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28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218"/>
        <w:gridCol w:w="6870"/>
      </w:tblGrid>
      <w:tr w:rsidR="004E0C68" w:rsidRPr="00F91427" w14:paraId="0FA142B3" w14:textId="77777777">
        <w:trPr>
          <w:trHeight w:val="713"/>
        </w:trPr>
        <w:tc>
          <w:tcPr>
            <w:tcW w:w="4218" w:type="dxa"/>
            <w:tcBorders>
              <w:top w:val="nil"/>
              <w:left w:val="nil"/>
              <w:bottom w:val="nil"/>
              <w:right w:val="nil"/>
            </w:tcBorders>
            <w:shd w:val="clear" w:color="auto" w:fill="auto"/>
            <w:tcMar>
              <w:top w:w="80" w:type="dxa"/>
              <w:left w:w="260" w:type="dxa"/>
              <w:bottom w:w="80" w:type="dxa"/>
              <w:right w:w="80" w:type="dxa"/>
            </w:tcMar>
          </w:tcPr>
          <w:p w14:paraId="163BA6EA" w14:textId="77777777" w:rsidR="004E0C68" w:rsidRPr="00F91427" w:rsidRDefault="00962634">
            <w:pPr>
              <w:pStyle w:val="CompanyName"/>
              <w:spacing w:line="240" w:lineRule="auto"/>
              <w:ind w:left="180"/>
              <w:rPr>
                <w:rFonts w:ascii="Arial" w:eastAsia="Arial" w:hAnsi="Arial" w:cs="Arial"/>
                <w:b w:val="0"/>
                <w:bCs w:val="0"/>
                <w:sz w:val="20"/>
                <w:szCs w:val="20"/>
              </w:rPr>
            </w:pPr>
            <w:r w:rsidRPr="00F91427">
              <w:rPr>
                <w:rFonts w:ascii="Arial" w:hAnsi="Arial" w:cs="Arial"/>
                <w:b w:val="0"/>
                <w:bCs w:val="0"/>
                <w:sz w:val="20"/>
                <w:szCs w:val="20"/>
              </w:rPr>
              <w:t xml:space="preserve">Permits Committee – </w:t>
            </w:r>
          </w:p>
          <w:p w14:paraId="097F237F" w14:textId="77777777" w:rsidR="004E0C68" w:rsidRPr="00F91427" w:rsidRDefault="00962634">
            <w:pPr>
              <w:pStyle w:val="CompanyName"/>
              <w:spacing w:line="240" w:lineRule="auto"/>
              <w:ind w:left="180"/>
              <w:rPr>
                <w:rFonts w:ascii="Arial" w:hAnsi="Arial" w:cs="Arial"/>
                <w:sz w:val="20"/>
                <w:szCs w:val="20"/>
              </w:rPr>
            </w:pPr>
            <w:r w:rsidRPr="00F91427">
              <w:rPr>
                <w:rFonts w:ascii="Arial" w:hAnsi="Arial" w:cs="Arial"/>
                <w:b w:val="0"/>
                <w:bCs w:val="0"/>
                <w:sz w:val="20"/>
                <w:szCs w:val="20"/>
              </w:rPr>
              <w:t>Report to BACWA Board</w:t>
            </w:r>
          </w:p>
        </w:tc>
        <w:tc>
          <w:tcPr>
            <w:tcW w:w="6870" w:type="dxa"/>
            <w:tcBorders>
              <w:top w:val="nil"/>
              <w:left w:val="nil"/>
              <w:bottom w:val="nil"/>
              <w:right w:val="nil"/>
            </w:tcBorders>
            <w:shd w:val="clear" w:color="auto" w:fill="auto"/>
            <w:tcMar>
              <w:top w:w="80" w:type="dxa"/>
              <w:left w:w="260" w:type="dxa"/>
              <w:bottom w:w="80" w:type="dxa"/>
              <w:right w:w="80" w:type="dxa"/>
            </w:tcMar>
          </w:tcPr>
          <w:p w14:paraId="6D81735C" w14:textId="3DB76079" w:rsidR="004E0C68" w:rsidRPr="00F91427" w:rsidRDefault="00962634">
            <w:pPr>
              <w:pStyle w:val="ReturnAddress"/>
              <w:spacing w:line="240" w:lineRule="auto"/>
              <w:ind w:left="180"/>
              <w:rPr>
                <w:rFonts w:ascii="Arial" w:eastAsia="Arial" w:hAnsi="Arial" w:cs="Arial"/>
                <w:sz w:val="20"/>
                <w:szCs w:val="20"/>
              </w:rPr>
            </w:pPr>
            <w:r w:rsidRPr="00F91427">
              <w:rPr>
                <w:rFonts w:ascii="Arial" w:hAnsi="Arial" w:cs="Arial"/>
                <w:sz w:val="20"/>
                <w:szCs w:val="20"/>
              </w:rPr>
              <w:t xml:space="preserve">Permits Committee Meetings on: </w:t>
            </w:r>
            <w:r w:rsidR="00F76CBD">
              <w:rPr>
                <w:rFonts w:ascii="Arial" w:hAnsi="Arial" w:cs="Arial"/>
                <w:sz w:val="20"/>
                <w:szCs w:val="20"/>
              </w:rPr>
              <w:t>4/10</w:t>
            </w:r>
            <w:r w:rsidR="00145232">
              <w:rPr>
                <w:rFonts w:ascii="Arial" w:hAnsi="Arial" w:cs="Arial"/>
                <w:sz w:val="20"/>
                <w:szCs w:val="20"/>
              </w:rPr>
              <w:t>/18</w:t>
            </w:r>
          </w:p>
          <w:p w14:paraId="1A33816B" w14:textId="293A6196" w:rsidR="004E0C68" w:rsidRPr="00F91427" w:rsidRDefault="0050329B">
            <w:pPr>
              <w:pStyle w:val="ReturnAddress"/>
              <w:spacing w:line="240" w:lineRule="auto"/>
              <w:ind w:left="180"/>
              <w:rPr>
                <w:rFonts w:ascii="Arial" w:eastAsia="Arial" w:hAnsi="Arial" w:cs="Arial"/>
                <w:sz w:val="20"/>
                <w:szCs w:val="20"/>
              </w:rPr>
            </w:pPr>
            <w:r w:rsidRPr="00F91427">
              <w:rPr>
                <w:rFonts w:ascii="Arial" w:hAnsi="Arial" w:cs="Arial"/>
                <w:sz w:val="20"/>
                <w:szCs w:val="20"/>
              </w:rPr>
              <w:t xml:space="preserve">Executive Board Meeting Date: </w:t>
            </w:r>
            <w:r w:rsidR="00F76CBD">
              <w:rPr>
                <w:rFonts w:ascii="Arial" w:hAnsi="Arial" w:cs="Arial"/>
                <w:sz w:val="20"/>
                <w:szCs w:val="20"/>
              </w:rPr>
              <w:t>4/20</w:t>
            </w:r>
            <w:r w:rsidR="00145232">
              <w:rPr>
                <w:rFonts w:ascii="Arial" w:hAnsi="Arial" w:cs="Arial"/>
                <w:sz w:val="20"/>
                <w:szCs w:val="20"/>
              </w:rPr>
              <w:t>/18</w:t>
            </w:r>
          </w:p>
          <w:p w14:paraId="44F8960D" w14:textId="4BC53D3E" w:rsidR="004E0C68" w:rsidRPr="00F91427" w:rsidRDefault="00373FF7">
            <w:pPr>
              <w:pStyle w:val="ReturnAddress"/>
              <w:spacing w:line="240" w:lineRule="auto"/>
              <w:ind w:left="180"/>
              <w:rPr>
                <w:rFonts w:ascii="Arial" w:hAnsi="Arial" w:cs="Arial"/>
                <w:sz w:val="20"/>
                <w:szCs w:val="20"/>
              </w:rPr>
            </w:pPr>
            <w:r w:rsidRPr="00F91427">
              <w:rPr>
                <w:rFonts w:ascii="Arial" w:hAnsi="Arial" w:cs="Arial"/>
                <w:sz w:val="20"/>
                <w:szCs w:val="20"/>
              </w:rPr>
              <w:t>Committee Chair:   Chris Dembiczak</w:t>
            </w:r>
          </w:p>
        </w:tc>
      </w:tr>
    </w:tbl>
    <w:p w14:paraId="38887590" w14:textId="77777777" w:rsidR="004E0C68" w:rsidRPr="00F91427" w:rsidRDefault="00962634" w:rsidP="00D1414E">
      <w:pPr>
        <w:pStyle w:val="Body"/>
        <w:spacing w:before="120" w:after="120"/>
        <w:ind w:left="180"/>
        <w:rPr>
          <w:rFonts w:ascii="Arial" w:eastAsia="Arial" w:hAnsi="Arial" w:cs="Arial"/>
          <w:b/>
          <w:bCs/>
          <w:sz w:val="20"/>
          <w:szCs w:val="20"/>
        </w:rPr>
      </w:pPr>
      <w:r w:rsidRPr="00F91427">
        <w:rPr>
          <w:rFonts w:ascii="Arial" w:hAnsi="Arial" w:cs="Arial"/>
          <w:b/>
          <w:bCs/>
          <w:sz w:val="20"/>
          <w:szCs w:val="20"/>
          <w:u w:val="single"/>
        </w:rPr>
        <w:t>Committee Request for Board Action</w:t>
      </w:r>
      <w:r w:rsidRPr="00F91427">
        <w:rPr>
          <w:rFonts w:ascii="Arial" w:hAnsi="Arial" w:cs="Arial"/>
          <w:b/>
          <w:bCs/>
          <w:sz w:val="20"/>
          <w:szCs w:val="20"/>
          <w:lang w:val="it-IT"/>
        </w:rPr>
        <w:t>: None</w:t>
      </w:r>
    </w:p>
    <w:p w14:paraId="7BF695F8" w14:textId="61A8A0F0" w:rsidR="001E4183" w:rsidRPr="00F91427" w:rsidRDefault="001E4183" w:rsidP="001E4183">
      <w:pPr>
        <w:pStyle w:val="Body"/>
        <w:ind w:left="187"/>
        <w:rPr>
          <w:rFonts w:ascii="Arial" w:eastAsia="Arial" w:hAnsi="Arial" w:cs="Arial"/>
          <w:b/>
          <w:bCs/>
          <w:sz w:val="20"/>
          <w:szCs w:val="20"/>
        </w:rPr>
      </w:pPr>
      <w:r>
        <w:rPr>
          <w:rFonts w:ascii="Arial" w:hAnsi="Arial" w:cs="Arial"/>
          <w:b/>
          <w:bCs/>
          <w:sz w:val="20"/>
          <w:szCs w:val="20"/>
        </w:rPr>
        <w:t>2</w:t>
      </w:r>
      <w:r w:rsidR="00F76CBD">
        <w:rPr>
          <w:rFonts w:ascii="Arial" w:hAnsi="Arial" w:cs="Arial"/>
          <w:b/>
          <w:bCs/>
          <w:sz w:val="20"/>
          <w:szCs w:val="20"/>
        </w:rPr>
        <w:t>4</w:t>
      </w:r>
      <w:r w:rsidRPr="00F91427">
        <w:rPr>
          <w:rFonts w:ascii="Arial" w:hAnsi="Arial" w:cs="Arial"/>
          <w:b/>
          <w:bCs/>
          <w:sz w:val="20"/>
          <w:szCs w:val="20"/>
        </w:rPr>
        <w:t xml:space="preserve"> Participants representing </w:t>
      </w:r>
      <w:r w:rsidR="00C84DD6">
        <w:rPr>
          <w:rFonts w:ascii="Arial" w:hAnsi="Arial" w:cs="Arial"/>
          <w:b/>
          <w:bCs/>
          <w:sz w:val="20"/>
          <w:szCs w:val="20"/>
        </w:rPr>
        <w:t>13</w:t>
      </w:r>
      <w:r w:rsidRPr="00F91427">
        <w:rPr>
          <w:rFonts w:ascii="Arial" w:hAnsi="Arial" w:cs="Arial"/>
          <w:b/>
          <w:bCs/>
          <w:sz w:val="20"/>
          <w:szCs w:val="20"/>
        </w:rPr>
        <w:t xml:space="preserve"> member agencies</w:t>
      </w:r>
    </w:p>
    <w:tbl>
      <w:tblPr>
        <w:tblW w:w="10530" w:type="dxa"/>
        <w:tblInd w:w="39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530"/>
      </w:tblGrid>
      <w:tr w:rsidR="004E0C68" w:rsidRPr="00903356" w14:paraId="09B24472"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31C97" w14:textId="4DD894F2" w:rsidR="008003D5" w:rsidRPr="00F41258" w:rsidRDefault="009D644C" w:rsidP="00F41258">
            <w:pPr>
              <w:pStyle w:val="Body"/>
              <w:rPr>
                <w:rFonts w:ascii="Arial" w:hAnsi="Arial" w:cs="Arial"/>
                <w:b/>
                <w:bCs/>
                <w:sz w:val="20"/>
                <w:szCs w:val="20"/>
              </w:rPr>
            </w:pPr>
            <w:r w:rsidRPr="00903356">
              <w:rPr>
                <w:rFonts w:ascii="Arial" w:hAnsi="Arial" w:cs="Arial"/>
                <w:b/>
                <w:bCs/>
                <w:sz w:val="20"/>
                <w:szCs w:val="20"/>
              </w:rPr>
              <w:t>Upcoming Permits</w:t>
            </w:r>
          </w:p>
          <w:p w14:paraId="1292DC03" w14:textId="63900708" w:rsidR="00AF7347" w:rsidRDefault="00AF7347" w:rsidP="00F41258">
            <w:pPr>
              <w:pStyle w:val="Body"/>
              <w:rPr>
                <w:rFonts w:ascii="Arial" w:eastAsia="Times New Roman" w:hAnsi="Arial" w:cs="Arial"/>
                <w:sz w:val="20"/>
                <w:szCs w:val="20"/>
                <w:bdr w:val="none" w:sz="0" w:space="0" w:color="auto"/>
              </w:rPr>
            </w:pPr>
            <w:r w:rsidRPr="00903356">
              <w:rPr>
                <w:rFonts w:ascii="Arial" w:eastAsia="Times New Roman" w:hAnsi="Arial" w:cs="Arial"/>
                <w:b/>
                <w:i/>
                <w:sz w:val="20"/>
                <w:szCs w:val="20"/>
                <w:bdr w:val="none" w:sz="0" w:space="0" w:color="auto"/>
              </w:rPr>
              <w:t xml:space="preserve">May – </w:t>
            </w:r>
            <w:r w:rsidRPr="00903356">
              <w:rPr>
                <w:rFonts w:ascii="Arial" w:eastAsia="Times New Roman" w:hAnsi="Arial" w:cs="Arial"/>
                <w:i/>
                <w:sz w:val="20"/>
                <w:szCs w:val="20"/>
                <w:bdr w:val="none" w:sz="0" w:space="0" w:color="auto"/>
              </w:rPr>
              <w:t>San Mateo</w:t>
            </w:r>
            <w:r w:rsidRPr="00903356">
              <w:rPr>
                <w:rFonts w:ascii="Arial" w:eastAsia="Times New Roman" w:hAnsi="Arial" w:cs="Arial"/>
                <w:b/>
                <w:i/>
                <w:sz w:val="20"/>
                <w:szCs w:val="20"/>
                <w:bdr w:val="none" w:sz="0" w:space="0" w:color="auto"/>
              </w:rPr>
              <w:t xml:space="preserve"> –</w:t>
            </w:r>
            <w:r w:rsidRPr="00903356">
              <w:rPr>
                <w:rFonts w:ascii="Arial" w:eastAsia="Times New Roman" w:hAnsi="Arial" w:cs="Arial"/>
                <w:i/>
                <w:sz w:val="20"/>
                <w:szCs w:val="20"/>
                <w:bdr w:val="none" w:sz="0" w:space="0" w:color="auto"/>
              </w:rPr>
              <w:t xml:space="preserve"> </w:t>
            </w:r>
            <w:r w:rsidR="00F41258">
              <w:rPr>
                <w:rFonts w:ascii="Arial" w:eastAsia="Times New Roman" w:hAnsi="Arial" w:cs="Arial"/>
                <w:sz w:val="20"/>
                <w:szCs w:val="20"/>
                <w:bdr w:val="none" w:sz="0" w:space="0" w:color="auto"/>
              </w:rPr>
              <w:t xml:space="preserve">They have not requested permission to blend this permit cycle. There is new language being introduced </w:t>
            </w:r>
            <w:r w:rsidR="00864854">
              <w:rPr>
                <w:rFonts w:ascii="Arial" w:eastAsia="Times New Roman" w:hAnsi="Arial" w:cs="Arial"/>
                <w:sz w:val="20"/>
                <w:szCs w:val="20"/>
                <w:bdr w:val="none" w:sz="0" w:space="0" w:color="auto"/>
              </w:rPr>
              <w:t xml:space="preserve">into theirs and other permits </w:t>
            </w:r>
            <w:r w:rsidR="00F41258">
              <w:rPr>
                <w:rFonts w:ascii="Arial" w:eastAsia="Times New Roman" w:hAnsi="Arial" w:cs="Arial"/>
                <w:sz w:val="20"/>
                <w:szCs w:val="20"/>
                <w:bdr w:val="none" w:sz="0" w:space="0" w:color="auto"/>
              </w:rPr>
              <w:t xml:space="preserve">about anaerobic digestion (new language underlined): </w:t>
            </w:r>
            <w:r w:rsidR="00F41258" w:rsidRPr="00F41258">
              <w:rPr>
                <w:rFonts w:ascii="Arial" w:eastAsia="Times New Roman" w:hAnsi="Arial" w:cs="Arial"/>
                <w:i/>
                <w:sz w:val="20"/>
                <w:szCs w:val="20"/>
                <w:bdr w:val="none" w:sz="0" w:space="0" w:color="auto"/>
              </w:rPr>
              <w:t xml:space="preserve">“The California Department of Resources Recycling and Recovery has proposed to exclude POTWs from Process Facility/Transfer Station permit requirements when the same activities are regulated under WDRs or NPDES permits. </w:t>
            </w:r>
            <w:r w:rsidR="00F41258" w:rsidRPr="00F41258">
              <w:rPr>
                <w:rFonts w:ascii="Arial" w:eastAsia="Times New Roman" w:hAnsi="Arial" w:cs="Arial"/>
                <w:i/>
                <w:sz w:val="20"/>
                <w:szCs w:val="20"/>
                <w:u w:val="single"/>
                <w:bdr w:val="none" w:sz="0" w:space="0" w:color="auto"/>
              </w:rPr>
              <w:t xml:space="preserve">The proposed exclusion is restricted to anaerobically-digestible materials that have been prescreened, </w:t>
            </w:r>
            <w:proofErr w:type="spellStart"/>
            <w:r w:rsidR="00F41258" w:rsidRPr="00F41258">
              <w:rPr>
                <w:rFonts w:ascii="Arial" w:eastAsia="Times New Roman" w:hAnsi="Arial" w:cs="Arial"/>
                <w:i/>
                <w:sz w:val="20"/>
                <w:szCs w:val="20"/>
                <w:u w:val="single"/>
                <w:bdr w:val="none" w:sz="0" w:space="0" w:color="auto"/>
              </w:rPr>
              <w:t>slurried</w:t>
            </w:r>
            <w:proofErr w:type="spellEnd"/>
            <w:r w:rsidR="00F41258" w:rsidRPr="00F41258">
              <w:rPr>
                <w:rFonts w:ascii="Arial" w:eastAsia="Times New Roman" w:hAnsi="Arial" w:cs="Arial"/>
                <w:i/>
                <w:sz w:val="20"/>
                <w:szCs w:val="20"/>
                <w:u w:val="single"/>
                <w:bdr w:val="none" w:sz="0" w:space="0" w:color="auto"/>
              </w:rPr>
              <w:t>, processed, and conveyed in a closed system for co-digestion with regular sewage sludge</w:t>
            </w:r>
            <w:r w:rsidR="00F41258" w:rsidRPr="00F41258">
              <w:rPr>
                <w:rFonts w:ascii="Arial" w:eastAsia="Times New Roman" w:hAnsi="Arial" w:cs="Arial"/>
                <w:i/>
                <w:sz w:val="20"/>
                <w:szCs w:val="20"/>
                <w:bdr w:val="none" w:sz="0" w:space="0" w:color="auto"/>
              </w:rPr>
              <w:t>.”</w:t>
            </w:r>
            <w:r w:rsidR="00F41258">
              <w:rPr>
                <w:rFonts w:ascii="Arial" w:eastAsia="Times New Roman" w:hAnsi="Arial" w:cs="Arial"/>
                <w:i/>
                <w:sz w:val="20"/>
                <w:szCs w:val="20"/>
                <w:bdr w:val="none" w:sz="0" w:space="0" w:color="auto"/>
              </w:rPr>
              <w:t xml:space="preserve"> </w:t>
            </w:r>
            <w:r w:rsidR="00C84DD6">
              <w:rPr>
                <w:rFonts w:ascii="Arial" w:eastAsia="Times New Roman" w:hAnsi="Arial" w:cs="Arial"/>
                <w:sz w:val="20"/>
                <w:szCs w:val="20"/>
                <w:bdr w:val="none" w:sz="0" w:space="0" w:color="auto"/>
              </w:rPr>
              <w:t>BACWA clarified with the Regional Water Board that this new language is not intended to change operations with respect to</w:t>
            </w:r>
            <w:r w:rsidR="00FE70D6">
              <w:rPr>
                <w:rFonts w:ascii="Arial" w:eastAsia="Times New Roman" w:hAnsi="Arial" w:cs="Arial"/>
                <w:sz w:val="20"/>
                <w:szCs w:val="20"/>
                <w:bdr w:val="none" w:sz="0" w:space="0" w:color="auto"/>
              </w:rPr>
              <w:t xml:space="preserve"> waste</w:t>
            </w:r>
            <w:r w:rsidR="00C84DD6">
              <w:rPr>
                <w:rFonts w:ascii="Arial" w:eastAsia="Times New Roman" w:hAnsi="Arial" w:cs="Arial"/>
                <w:sz w:val="20"/>
                <w:szCs w:val="20"/>
                <w:bdr w:val="none" w:sz="0" w:space="0" w:color="auto"/>
              </w:rPr>
              <w:t xml:space="preserve"> processing</w:t>
            </w:r>
            <w:r w:rsidR="00F41258">
              <w:rPr>
                <w:rFonts w:ascii="Arial" w:eastAsia="Times New Roman" w:hAnsi="Arial" w:cs="Arial"/>
                <w:sz w:val="20"/>
                <w:szCs w:val="20"/>
                <w:bdr w:val="none" w:sz="0" w:space="0" w:color="auto"/>
              </w:rPr>
              <w:t>.</w:t>
            </w:r>
          </w:p>
          <w:p w14:paraId="73097BA0" w14:textId="3DD156F1" w:rsidR="00F41258" w:rsidRDefault="00F41258" w:rsidP="00D66130">
            <w:pPr>
              <w:pStyle w:val="Body"/>
              <w:rPr>
                <w:rFonts w:ascii="Arial" w:eastAsia="Times New Roman" w:hAnsi="Arial" w:cs="Arial"/>
                <w:sz w:val="20"/>
                <w:szCs w:val="20"/>
                <w:bdr w:val="none" w:sz="0" w:space="0" w:color="auto"/>
              </w:rPr>
            </w:pPr>
            <w:r>
              <w:rPr>
                <w:rFonts w:ascii="Arial" w:eastAsia="Times New Roman" w:hAnsi="Arial" w:cs="Arial"/>
                <w:b/>
                <w:i/>
                <w:sz w:val="20"/>
                <w:szCs w:val="20"/>
                <w:bdr w:val="none" w:sz="0" w:space="0" w:color="auto"/>
              </w:rPr>
              <w:t xml:space="preserve">June </w:t>
            </w:r>
            <w:r w:rsidR="0022770F">
              <w:rPr>
                <w:rFonts w:ascii="Arial" w:eastAsia="Times New Roman" w:hAnsi="Arial" w:cs="Arial"/>
                <w:b/>
                <w:i/>
                <w:sz w:val="20"/>
                <w:szCs w:val="20"/>
                <w:bdr w:val="none" w:sz="0" w:space="0" w:color="auto"/>
              </w:rPr>
              <w:t>–</w:t>
            </w:r>
            <w:r>
              <w:rPr>
                <w:rFonts w:ascii="Arial" w:eastAsia="Times New Roman" w:hAnsi="Arial" w:cs="Arial"/>
                <w:i/>
                <w:sz w:val="20"/>
                <w:szCs w:val="20"/>
                <w:bdr w:val="none" w:sz="0" w:space="0" w:color="auto"/>
              </w:rPr>
              <w:t xml:space="preserve"> Sausalito</w:t>
            </w:r>
            <w:r w:rsidR="0022770F">
              <w:rPr>
                <w:rFonts w:ascii="Arial" w:eastAsia="Times New Roman" w:hAnsi="Arial" w:cs="Arial"/>
                <w:i/>
                <w:sz w:val="20"/>
                <w:szCs w:val="20"/>
                <w:bdr w:val="none" w:sz="0" w:space="0" w:color="auto"/>
              </w:rPr>
              <w:t>-</w:t>
            </w:r>
            <w:r w:rsidR="0022770F">
              <w:rPr>
                <w:rFonts w:ascii="Arial" w:eastAsia="Times New Roman" w:hAnsi="Arial" w:cs="Arial"/>
                <w:sz w:val="20"/>
                <w:szCs w:val="20"/>
                <w:bdr w:val="none" w:sz="0" w:space="0" w:color="auto"/>
              </w:rPr>
              <w:t xml:space="preserve"> </w:t>
            </w:r>
            <w:r w:rsidR="00C84DD6">
              <w:rPr>
                <w:rFonts w:ascii="Arial" w:eastAsia="Times New Roman" w:hAnsi="Arial" w:cs="Arial"/>
                <w:sz w:val="20"/>
                <w:szCs w:val="20"/>
                <w:bdr w:val="none" w:sz="0" w:space="0" w:color="auto"/>
              </w:rPr>
              <w:t>No issues, satellite agencies have not been included in permit.</w:t>
            </w:r>
            <w:r w:rsidR="00C84DD6">
              <w:rPr>
                <w:rFonts w:ascii="Arial" w:eastAsia="Times New Roman" w:hAnsi="Arial" w:cs="Arial"/>
                <w:sz w:val="20"/>
                <w:szCs w:val="20"/>
                <w:bdr w:val="none" w:sz="0" w:space="0" w:color="auto"/>
              </w:rPr>
              <w:t xml:space="preserve"> There is new language </w:t>
            </w:r>
            <w:r w:rsidR="00D66130">
              <w:rPr>
                <w:rFonts w:ascii="Arial" w:eastAsia="Times New Roman" w:hAnsi="Arial" w:cs="Arial"/>
                <w:sz w:val="20"/>
                <w:szCs w:val="20"/>
                <w:bdr w:val="none" w:sz="0" w:space="0" w:color="auto"/>
              </w:rPr>
              <w:t>for bacterial indicators as follows: “</w:t>
            </w:r>
            <w:r w:rsidR="00D66130" w:rsidRPr="00D66130">
              <w:rPr>
                <w:rFonts w:ascii="Arial" w:eastAsia="Times New Roman" w:hAnsi="Arial" w:cs="Arial"/>
                <w:i/>
                <w:sz w:val="20"/>
                <w:szCs w:val="20"/>
                <w:bdr w:val="none" w:sz="0" w:space="0" w:color="auto"/>
              </w:rPr>
              <w:t>There is reasonable potential fo</w:t>
            </w:r>
            <w:r w:rsidR="00D66130" w:rsidRPr="00D66130">
              <w:rPr>
                <w:rFonts w:ascii="Arial" w:eastAsia="Times New Roman" w:hAnsi="Arial" w:cs="Arial"/>
                <w:i/>
                <w:sz w:val="20"/>
                <w:szCs w:val="20"/>
                <w:bdr w:val="none" w:sz="0" w:space="0" w:color="auto"/>
              </w:rPr>
              <w:t xml:space="preserve">r enterococcus bacteria because </w:t>
            </w:r>
            <w:r w:rsidR="00D66130" w:rsidRPr="00D66130">
              <w:rPr>
                <w:rFonts w:ascii="Arial" w:eastAsia="Times New Roman" w:hAnsi="Arial" w:cs="Arial"/>
                <w:i/>
                <w:sz w:val="20"/>
                <w:szCs w:val="20"/>
                <w:bdr w:val="none" w:sz="0" w:space="0" w:color="auto"/>
              </w:rPr>
              <w:t>the Discharger discharges treated wastewat</w:t>
            </w:r>
            <w:r w:rsidR="00D66130">
              <w:rPr>
                <w:rFonts w:ascii="Arial" w:eastAsia="Times New Roman" w:hAnsi="Arial" w:cs="Arial"/>
                <w:i/>
                <w:sz w:val="20"/>
                <w:szCs w:val="20"/>
                <w:bdr w:val="none" w:sz="0" w:space="0" w:color="auto"/>
              </w:rPr>
              <w:t>er to Central San Francisco Bay,</w:t>
            </w:r>
            <w:r w:rsidR="00D66130">
              <w:rPr>
                <w:rFonts w:ascii="Arial" w:eastAsia="Times New Roman" w:hAnsi="Arial" w:cs="Arial"/>
                <w:sz w:val="20"/>
                <w:szCs w:val="20"/>
                <w:bdr w:val="none" w:sz="0" w:space="0" w:color="auto"/>
              </w:rPr>
              <w:t>” whereas previously the</w:t>
            </w:r>
            <w:r w:rsidR="00FE70D6">
              <w:rPr>
                <w:rFonts w:ascii="Arial" w:eastAsia="Times New Roman" w:hAnsi="Arial" w:cs="Arial"/>
                <w:sz w:val="20"/>
                <w:szCs w:val="20"/>
                <w:bdr w:val="none" w:sz="0" w:space="0" w:color="auto"/>
              </w:rPr>
              <w:t xml:space="preserve"> Permit</w:t>
            </w:r>
            <w:r w:rsidR="00D66130">
              <w:rPr>
                <w:rFonts w:ascii="Arial" w:eastAsia="Times New Roman" w:hAnsi="Arial" w:cs="Arial"/>
                <w:sz w:val="20"/>
                <w:szCs w:val="20"/>
                <w:bdr w:val="none" w:sz="0" w:space="0" w:color="auto"/>
              </w:rPr>
              <w:t xml:space="preserve"> had just referenced the Basin Plan Table 4.2A as the basis for effluent limits. The committee would like to submit comments </w:t>
            </w:r>
            <w:r w:rsidR="00FE70D6">
              <w:rPr>
                <w:rFonts w:ascii="Arial" w:eastAsia="Times New Roman" w:hAnsi="Arial" w:cs="Arial"/>
                <w:sz w:val="20"/>
                <w:szCs w:val="20"/>
                <w:bdr w:val="none" w:sz="0" w:space="0" w:color="auto"/>
              </w:rPr>
              <w:t xml:space="preserve">recommending </w:t>
            </w:r>
            <w:r w:rsidR="00D66130">
              <w:rPr>
                <w:rFonts w:ascii="Arial" w:eastAsia="Times New Roman" w:hAnsi="Arial" w:cs="Arial"/>
                <w:sz w:val="20"/>
                <w:szCs w:val="20"/>
                <w:bdr w:val="none" w:sz="0" w:space="0" w:color="auto"/>
              </w:rPr>
              <w:t>that if the SIP is to be used to assign reasonable potential, then WQBELs should be calculated based on the SIP method, including dilution credit.</w:t>
            </w:r>
          </w:p>
          <w:p w14:paraId="3A166F22" w14:textId="2896AA8E" w:rsidR="0022770F" w:rsidRPr="0022770F" w:rsidRDefault="0022770F" w:rsidP="00C84DD6">
            <w:pPr>
              <w:pStyle w:val="Body"/>
              <w:rPr>
                <w:rFonts w:ascii="Arial" w:eastAsia="Times New Roman" w:hAnsi="Arial" w:cs="Arial"/>
                <w:sz w:val="20"/>
                <w:szCs w:val="20"/>
                <w:bdr w:val="none" w:sz="0" w:space="0" w:color="auto"/>
              </w:rPr>
            </w:pPr>
            <w:r>
              <w:rPr>
                <w:rFonts w:ascii="Arial" w:eastAsia="Times New Roman" w:hAnsi="Arial" w:cs="Arial"/>
                <w:i/>
                <w:sz w:val="20"/>
                <w:szCs w:val="20"/>
                <w:bdr w:val="none" w:sz="0" w:space="0" w:color="auto"/>
              </w:rPr>
              <w:t xml:space="preserve">Burlingame – </w:t>
            </w:r>
            <w:r w:rsidR="00C84DD6">
              <w:rPr>
                <w:rFonts w:ascii="Arial" w:eastAsia="Times New Roman" w:hAnsi="Arial" w:cs="Arial"/>
                <w:sz w:val="20"/>
                <w:szCs w:val="20"/>
                <w:bdr w:val="none" w:sz="0" w:space="0" w:color="auto"/>
              </w:rPr>
              <w:t>No issues, satellite agencies have not been included in permit.</w:t>
            </w:r>
          </w:p>
        </w:tc>
      </w:tr>
      <w:tr w:rsidR="008E5D11" w:rsidRPr="00903356" w14:paraId="55B8AFA1"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69C04" w14:textId="65E9369E" w:rsidR="008E5D11" w:rsidRPr="00903356" w:rsidRDefault="00C84DD6" w:rsidP="00DD5026">
            <w:pPr>
              <w:pStyle w:val="Body"/>
              <w:rPr>
                <w:rFonts w:ascii="Arial" w:hAnsi="Arial" w:cs="Arial"/>
                <w:b/>
                <w:bCs/>
                <w:sz w:val="20"/>
                <w:szCs w:val="20"/>
              </w:rPr>
            </w:pPr>
            <w:r>
              <w:rPr>
                <w:rFonts w:ascii="Arial" w:hAnsi="Arial" w:cs="Arial"/>
                <w:b/>
                <w:bCs/>
                <w:sz w:val="20"/>
                <w:szCs w:val="20"/>
              </w:rPr>
              <w:t>Wetlands Permitting</w:t>
            </w:r>
          </w:p>
          <w:p w14:paraId="4785090A" w14:textId="226F40F9" w:rsidR="008E5D11" w:rsidRPr="00903356" w:rsidRDefault="00FE70D6" w:rsidP="00FE70D6">
            <w:pPr>
              <w:pStyle w:val="Body"/>
              <w:rPr>
                <w:rFonts w:ascii="Arial" w:hAnsi="Arial" w:cs="Arial"/>
                <w:bCs/>
                <w:sz w:val="20"/>
                <w:szCs w:val="20"/>
              </w:rPr>
            </w:pPr>
            <w:r>
              <w:rPr>
                <w:rFonts w:ascii="Arial" w:hAnsi="Arial" w:cs="Arial"/>
                <w:bCs/>
                <w:sz w:val="20"/>
                <w:szCs w:val="20"/>
              </w:rPr>
              <w:t xml:space="preserve">Naomi </w:t>
            </w:r>
            <w:proofErr w:type="spellStart"/>
            <w:r>
              <w:rPr>
                <w:rFonts w:ascii="Arial" w:hAnsi="Arial" w:cs="Arial"/>
                <w:bCs/>
                <w:sz w:val="20"/>
                <w:szCs w:val="20"/>
              </w:rPr>
              <w:t>Feger</w:t>
            </w:r>
            <w:proofErr w:type="spellEnd"/>
            <w:r w:rsidR="00D66130">
              <w:rPr>
                <w:rFonts w:ascii="Arial" w:hAnsi="Arial" w:cs="Arial"/>
                <w:bCs/>
                <w:sz w:val="20"/>
                <w:szCs w:val="20"/>
              </w:rPr>
              <w:t xml:space="preserve"> </w:t>
            </w:r>
            <w:r>
              <w:rPr>
                <w:rFonts w:ascii="Arial" w:hAnsi="Arial" w:cs="Arial"/>
                <w:bCs/>
                <w:sz w:val="20"/>
                <w:szCs w:val="20"/>
              </w:rPr>
              <w:t>(</w:t>
            </w:r>
            <w:r w:rsidR="00D66130">
              <w:rPr>
                <w:rFonts w:ascii="Arial" w:hAnsi="Arial" w:cs="Arial"/>
                <w:bCs/>
                <w:sz w:val="20"/>
                <w:szCs w:val="20"/>
              </w:rPr>
              <w:t>RWB</w:t>
            </w:r>
            <w:r>
              <w:rPr>
                <w:rFonts w:ascii="Arial" w:hAnsi="Arial" w:cs="Arial"/>
                <w:bCs/>
                <w:sz w:val="20"/>
                <w:szCs w:val="20"/>
              </w:rPr>
              <w:t>), and Ian Wren</w:t>
            </w:r>
            <w:r w:rsidR="00D66130">
              <w:rPr>
                <w:rFonts w:ascii="Arial" w:hAnsi="Arial" w:cs="Arial"/>
                <w:bCs/>
                <w:sz w:val="20"/>
                <w:szCs w:val="20"/>
              </w:rPr>
              <w:t xml:space="preserve"> </w:t>
            </w:r>
            <w:r>
              <w:rPr>
                <w:rFonts w:ascii="Arial" w:hAnsi="Arial" w:cs="Arial"/>
                <w:bCs/>
                <w:sz w:val="20"/>
                <w:szCs w:val="20"/>
              </w:rPr>
              <w:t>(</w:t>
            </w:r>
            <w:proofErr w:type="spellStart"/>
            <w:r w:rsidR="00D66130">
              <w:rPr>
                <w:rFonts w:ascii="Arial" w:hAnsi="Arial" w:cs="Arial"/>
                <w:bCs/>
                <w:sz w:val="20"/>
                <w:szCs w:val="20"/>
              </w:rPr>
              <w:t>Baykeeper</w:t>
            </w:r>
            <w:proofErr w:type="spellEnd"/>
            <w:r w:rsidR="00D66130">
              <w:rPr>
                <w:rFonts w:ascii="Arial" w:hAnsi="Arial" w:cs="Arial"/>
                <w:bCs/>
                <w:sz w:val="20"/>
                <w:szCs w:val="20"/>
              </w:rPr>
              <w:t>/SFEI</w:t>
            </w:r>
            <w:r>
              <w:rPr>
                <w:rFonts w:ascii="Arial" w:hAnsi="Arial" w:cs="Arial"/>
                <w:bCs/>
                <w:sz w:val="20"/>
                <w:szCs w:val="20"/>
              </w:rPr>
              <w:t>)</w:t>
            </w:r>
            <w:r w:rsidR="00D66130">
              <w:rPr>
                <w:rFonts w:ascii="Arial" w:hAnsi="Arial" w:cs="Arial"/>
                <w:bCs/>
                <w:sz w:val="20"/>
                <w:szCs w:val="20"/>
              </w:rPr>
              <w:t xml:space="preserve"> attended the discussion about the Wetlands Case study </w:t>
            </w:r>
            <w:hyperlink r:id="rId8" w:history="1">
              <w:r w:rsidR="00D66130" w:rsidRPr="00AC711E">
                <w:rPr>
                  <w:rStyle w:val="Hyperlink"/>
                  <w:rFonts w:eastAsia="Arial Unicode MS"/>
                  <w:u w:color="000000"/>
                  <w:shd w:val="clear" w:color="auto" w:fill="auto"/>
                </w:rPr>
                <w:t>draft document</w:t>
              </w:r>
            </w:hyperlink>
            <w:r w:rsidR="00D66130">
              <w:rPr>
                <w:rFonts w:ascii="Arial" w:hAnsi="Arial" w:cs="Arial"/>
                <w:bCs/>
                <w:sz w:val="20"/>
                <w:szCs w:val="20"/>
              </w:rPr>
              <w:t>.</w:t>
            </w:r>
            <w:r w:rsidR="00AC711E">
              <w:rPr>
                <w:rFonts w:ascii="Arial" w:hAnsi="Arial" w:cs="Arial"/>
                <w:bCs/>
                <w:sz w:val="20"/>
                <w:szCs w:val="20"/>
              </w:rPr>
              <w:t xml:space="preserve"> This effort was funded by a $90K grant from EPA, and was the first work product looking at the topic. SFEP is a co-grantee with the Regional Water Board and is interested in CECs in wetlands.  The committee has reviewed the document and identified several errors in the we</w:t>
            </w:r>
            <w:r w:rsidR="006B1A4F">
              <w:rPr>
                <w:rFonts w:ascii="Arial" w:hAnsi="Arial" w:cs="Arial"/>
                <w:bCs/>
                <w:sz w:val="20"/>
                <w:szCs w:val="20"/>
              </w:rPr>
              <w:t>t</w:t>
            </w:r>
            <w:r w:rsidR="00AC711E">
              <w:rPr>
                <w:rFonts w:ascii="Arial" w:hAnsi="Arial" w:cs="Arial"/>
                <w:bCs/>
                <w:sz w:val="20"/>
                <w:szCs w:val="20"/>
              </w:rPr>
              <w:t xml:space="preserve">lands case studies.  There is also a project in Palo Alto that is missing. The agencies </w:t>
            </w:r>
            <w:r>
              <w:rPr>
                <w:rFonts w:ascii="Arial" w:hAnsi="Arial" w:cs="Arial"/>
                <w:bCs/>
                <w:sz w:val="20"/>
                <w:szCs w:val="20"/>
              </w:rPr>
              <w:t xml:space="preserve">described in the report </w:t>
            </w:r>
            <w:r w:rsidR="00AC711E">
              <w:rPr>
                <w:rFonts w:ascii="Arial" w:hAnsi="Arial" w:cs="Arial"/>
                <w:bCs/>
                <w:sz w:val="20"/>
                <w:szCs w:val="20"/>
              </w:rPr>
              <w:t>will provide comments directly to Naomi within the next two weeks.  According to the RWB, the major ways to get a shallow water discharge prohibition is demonstrate either equivalent protection, or next environmental benefit.  The key issue is how to codify the demonstration of these principals.  For example, if a wetlands management plan could be a part of</w:t>
            </w:r>
            <w:r>
              <w:rPr>
                <w:rFonts w:ascii="Arial" w:hAnsi="Arial" w:cs="Arial"/>
                <w:bCs/>
                <w:sz w:val="20"/>
                <w:szCs w:val="20"/>
              </w:rPr>
              <w:t xml:space="preserve"> the</w:t>
            </w:r>
            <w:r w:rsidR="00AC711E">
              <w:rPr>
                <w:rFonts w:ascii="Arial" w:hAnsi="Arial" w:cs="Arial"/>
                <w:bCs/>
                <w:sz w:val="20"/>
                <w:szCs w:val="20"/>
              </w:rPr>
              <w:t xml:space="preserve"> </w:t>
            </w:r>
            <w:r>
              <w:rPr>
                <w:rFonts w:ascii="Arial" w:hAnsi="Arial" w:cs="Arial"/>
                <w:bCs/>
                <w:sz w:val="20"/>
                <w:szCs w:val="20"/>
              </w:rPr>
              <w:t>demonstration of</w:t>
            </w:r>
            <w:r w:rsidR="00AC711E">
              <w:rPr>
                <w:rFonts w:ascii="Arial" w:hAnsi="Arial" w:cs="Arial"/>
                <w:bCs/>
                <w:sz w:val="20"/>
                <w:szCs w:val="20"/>
              </w:rPr>
              <w:t xml:space="preserve"> equivalent protection, but what would be included, and where would be the point of compliance for discharge?  The committee agreed that it is important to get information about what kind of projects agencies would like to do, and then figure out regulatory approaches.  BACWA will work with their members to collect this information.  Additionally, further consideration of wetlands is likely to be part of the Regional Study that will be part of the second nutrient watershed permit. </w:t>
            </w:r>
          </w:p>
        </w:tc>
      </w:tr>
      <w:tr w:rsidR="001E7387" w:rsidRPr="00903356" w14:paraId="7F1EBB87"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F87BC5" w14:textId="69918AE9" w:rsidR="001E7387" w:rsidRPr="00903356" w:rsidRDefault="00AC711E" w:rsidP="00DD5026">
            <w:pPr>
              <w:pStyle w:val="Body"/>
              <w:rPr>
                <w:rFonts w:ascii="Arial" w:hAnsi="Arial" w:cs="Arial"/>
                <w:b/>
                <w:bCs/>
                <w:sz w:val="20"/>
                <w:szCs w:val="20"/>
              </w:rPr>
            </w:pPr>
            <w:r>
              <w:rPr>
                <w:rFonts w:ascii="Arial" w:hAnsi="Arial" w:cs="Arial"/>
                <w:b/>
                <w:bCs/>
                <w:sz w:val="20"/>
                <w:szCs w:val="20"/>
              </w:rPr>
              <w:t>Regional Water Board PSL Survey</w:t>
            </w:r>
          </w:p>
          <w:p w14:paraId="55B0EA70" w14:textId="4915D4DA" w:rsidR="004A2985" w:rsidRPr="00903356" w:rsidRDefault="00AC711E" w:rsidP="00484540">
            <w:pPr>
              <w:spacing w:after="160" w:line="259" w:lineRule="auto"/>
              <w:rPr>
                <w:rFonts w:ascii="Arial" w:hAnsi="Arial" w:cs="Arial"/>
                <w:sz w:val="20"/>
                <w:szCs w:val="20"/>
              </w:rPr>
            </w:pPr>
            <w:r>
              <w:rPr>
                <w:rFonts w:ascii="Arial" w:hAnsi="Arial" w:cs="Arial"/>
                <w:sz w:val="20"/>
                <w:szCs w:val="20"/>
              </w:rPr>
              <w:t>The RWB is soliciting updated information via survey on which agencies have Private Sewer Lateral Ordinances.</w:t>
            </w:r>
            <w:r w:rsidR="00BE2B97">
              <w:rPr>
                <w:rFonts w:ascii="Arial" w:hAnsi="Arial" w:cs="Arial"/>
                <w:sz w:val="20"/>
                <w:szCs w:val="20"/>
              </w:rPr>
              <w:t xml:space="preserve"> </w:t>
            </w:r>
            <w:r w:rsidR="004B7185">
              <w:rPr>
                <w:rFonts w:ascii="Arial" w:hAnsi="Arial" w:cs="Arial"/>
                <w:sz w:val="20"/>
                <w:szCs w:val="20"/>
              </w:rPr>
              <w:t>They would like to give agencies with ordinances additional latitude when considering enforcement actions.</w:t>
            </w:r>
          </w:p>
        </w:tc>
      </w:tr>
      <w:tr w:rsidR="008E5D11" w:rsidRPr="00903356" w14:paraId="20B542B5"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DBBC71" w14:textId="6639A43E" w:rsidR="008E5D11" w:rsidRPr="00B97C6D" w:rsidRDefault="004B7185" w:rsidP="00B97C6D">
            <w:pPr>
              <w:pStyle w:val="Body"/>
              <w:rPr>
                <w:rFonts w:ascii="Arial" w:hAnsi="Arial" w:cs="Arial"/>
                <w:bCs/>
                <w:sz w:val="20"/>
                <w:szCs w:val="20"/>
              </w:rPr>
            </w:pPr>
            <w:r>
              <w:rPr>
                <w:rFonts w:ascii="Arial" w:hAnsi="Arial" w:cs="Arial"/>
                <w:b/>
                <w:bCs/>
                <w:sz w:val="20"/>
                <w:szCs w:val="20"/>
              </w:rPr>
              <w:t>Mercury methods for influent and biosolids</w:t>
            </w:r>
          </w:p>
          <w:p w14:paraId="015E7B85" w14:textId="641843E6" w:rsidR="00B97C6D" w:rsidRPr="00903356" w:rsidRDefault="004B7185" w:rsidP="00FE70D6">
            <w:pPr>
              <w:pStyle w:val="Body"/>
              <w:rPr>
                <w:rFonts w:ascii="Arial" w:hAnsi="Arial" w:cs="Arial"/>
                <w:bCs/>
                <w:sz w:val="20"/>
                <w:szCs w:val="20"/>
              </w:rPr>
            </w:pPr>
            <w:r>
              <w:rPr>
                <w:rFonts w:ascii="Arial" w:hAnsi="Arial" w:cs="Arial"/>
                <w:bCs/>
                <w:sz w:val="20"/>
                <w:szCs w:val="20"/>
              </w:rPr>
              <w:t>The ultraclean mercury method that is required in permits is generally not suitable for influent or biosolids because it is impossible to get a clean equipment blank. BACWA will discuss with the Regional Water Board to either move the method footnote to indicate</w:t>
            </w:r>
            <w:r w:rsidR="00FE70D6">
              <w:rPr>
                <w:rFonts w:ascii="Arial" w:hAnsi="Arial" w:cs="Arial"/>
                <w:bCs/>
                <w:sz w:val="20"/>
                <w:szCs w:val="20"/>
              </w:rPr>
              <w:t xml:space="preserve"> that the method applies to</w:t>
            </w:r>
            <w:r>
              <w:rPr>
                <w:rFonts w:ascii="Arial" w:hAnsi="Arial" w:cs="Arial"/>
                <w:bCs/>
                <w:sz w:val="20"/>
                <w:szCs w:val="20"/>
              </w:rPr>
              <w:t xml:space="preserve"> just effluent, and not influent and biosolids, or to update a possible error that would allow other methods when samples are over 10 ng/l, as opposed to 10 </w:t>
            </w:r>
            <w:r w:rsidR="00FE70D6">
              <w:rPr>
                <w:rFonts w:ascii="Arial" w:hAnsi="Arial" w:cs="Arial"/>
                <w:bCs/>
                <w:sz w:val="20"/>
                <w:szCs w:val="20"/>
              </w:rPr>
              <w:t>µ</w:t>
            </w:r>
            <w:r>
              <w:rPr>
                <w:rFonts w:ascii="Arial" w:hAnsi="Arial" w:cs="Arial"/>
                <w:bCs/>
                <w:sz w:val="20"/>
                <w:szCs w:val="20"/>
              </w:rPr>
              <w:t>g/l, as currently written.  One agency got a letter from the Water board exempting them from having to use the ultraclean method for influent and biosolids.</w:t>
            </w:r>
          </w:p>
        </w:tc>
      </w:tr>
      <w:tr w:rsidR="004A2985" w:rsidRPr="00903356" w14:paraId="31BE1F5C"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0D1903" w14:textId="671AC2ED" w:rsidR="004A2985" w:rsidRPr="00903356" w:rsidRDefault="00814E5A" w:rsidP="00DD5026">
            <w:pPr>
              <w:pStyle w:val="Body"/>
              <w:rPr>
                <w:rFonts w:ascii="Arial" w:hAnsi="Arial" w:cs="Arial"/>
                <w:b/>
                <w:bCs/>
                <w:sz w:val="20"/>
                <w:szCs w:val="20"/>
              </w:rPr>
            </w:pPr>
            <w:r w:rsidRPr="00903356">
              <w:rPr>
                <w:rFonts w:ascii="Arial" w:hAnsi="Arial" w:cs="Arial"/>
                <w:b/>
                <w:bCs/>
                <w:sz w:val="20"/>
                <w:szCs w:val="20"/>
              </w:rPr>
              <w:t>Nutrients</w:t>
            </w:r>
          </w:p>
          <w:p w14:paraId="4C61DE65" w14:textId="04311EAE" w:rsidR="004D0A26" w:rsidRDefault="004B7185" w:rsidP="004D0A26">
            <w:pPr>
              <w:pStyle w:val="Body"/>
              <w:numPr>
                <w:ilvl w:val="0"/>
                <w:numId w:val="28"/>
              </w:numPr>
              <w:rPr>
                <w:rFonts w:ascii="Arial" w:hAnsi="Arial" w:cs="Arial"/>
                <w:bCs/>
                <w:sz w:val="20"/>
                <w:szCs w:val="20"/>
              </w:rPr>
            </w:pPr>
            <w:r>
              <w:rPr>
                <w:rFonts w:ascii="Arial" w:hAnsi="Arial" w:cs="Arial"/>
                <w:bCs/>
                <w:i/>
                <w:sz w:val="20"/>
                <w:szCs w:val="20"/>
              </w:rPr>
              <w:t>Optimization/Upgrade Studies –</w:t>
            </w:r>
            <w:r w:rsidR="004D0A26">
              <w:rPr>
                <w:rFonts w:ascii="Arial" w:hAnsi="Arial" w:cs="Arial"/>
                <w:bCs/>
                <w:sz w:val="20"/>
                <w:szCs w:val="20"/>
              </w:rPr>
              <w:t xml:space="preserve"> several agencies have not yet received their final reports. At the CMG call on 4/13, BACWA will ask for an update on the status of the reports and the certification letters.</w:t>
            </w:r>
          </w:p>
          <w:p w14:paraId="6BEE7947" w14:textId="0B2CC226" w:rsidR="00D11F05" w:rsidRDefault="00D11F05" w:rsidP="004D0A26">
            <w:pPr>
              <w:pStyle w:val="Body"/>
              <w:numPr>
                <w:ilvl w:val="0"/>
                <w:numId w:val="28"/>
              </w:numPr>
              <w:rPr>
                <w:rFonts w:ascii="Arial" w:hAnsi="Arial" w:cs="Arial"/>
                <w:bCs/>
                <w:sz w:val="20"/>
                <w:szCs w:val="20"/>
              </w:rPr>
            </w:pPr>
            <w:r>
              <w:rPr>
                <w:rFonts w:ascii="Arial" w:hAnsi="Arial" w:cs="Arial"/>
                <w:bCs/>
                <w:i/>
                <w:sz w:val="20"/>
                <w:szCs w:val="20"/>
              </w:rPr>
              <w:t>NST meeting –</w:t>
            </w:r>
            <w:r>
              <w:rPr>
                <w:rFonts w:ascii="Arial" w:hAnsi="Arial" w:cs="Arial"/>
                <w:bCs/>
                <w:sz w:val="20"/>
                <w:szCs w:val="20"/>
              </w:rPr>
              <w:t xml:space="preserve"> The Nutrient Strategy Team </w:t>
            </w:r>
            <w:r w:rsidR="004D0A26">
              <w:rPr>
                <w:rFonts w:ascii="Arial" w:hAnsi="Arial" w:cs="Arial"/>
                <w:bCs/>
                <w:sz w:val="20"/>
                <w:szCs w:val="20"/>
              </w:rPr>
              <w:t>met</w:t>
            </w:r>
            <w:r>
              <w:rPr>
                <w:rFonts w:ascii="Arial" w:hAnsi="Arial" w:cs="Arial"/>
                <w:bCs/>
                <w:sz w:val="20"/>
                <w:szCs w:val="20"/>
              </w:rPr>
              <w:t xml:space="preserve"> on March 15 to discuss </w:t>
            </w:r>
            <w:r w:rsidR="008429BB">
              <w:rPr>
                <w:rFonts w:ascii="Arial" w:hAnsi="Arial" w:cs="Arial"/>
                <w:bCs/>
                <w:sz w:val="20"/>
                <w:szCs w:val="20"/>
              </w:rPr>
              <w:t>elements of the second watershed permit - the</w:t>
            </w:r>
            <w:r>
              <w:rPr>
                <w:rFonts w:ascii="Arial" w:hAnsi="Arial" w:cs="Arial"/>
                <w:bCs/>
                <w:sz w:val="20"/>
                <w:szCs w:val="20"/>
              </w:rPr>
              <w:t xml:space="preserve"> Regional Study as well as concepts for encouraging early actions and reducing the risk of agencies that plan to implement Capital Projects to reduce nutrients. </w:t>
            </w:r>
            <w:r w:rsidR="004D0A26">
              <w:rPr>
                <w:rFonts w:ascii="Arial" w:hAnsi="Arial" w:cs="Arial"/>
                <w:bCs/>
                <w:sz w:val="20"/>
                <w:szCs w:val="20"/>
              </w:rPr>
              <w:t>There was not consensus on the credit banking issue, and will meet again in a few weeks to continue the discussion.  There was not time during the meeting to discuss the Regional Study.</w:t>
            </w:r>
          </w:p>
          <w:p w14:paraId="79905948" w14:textId="060741E4" w:rsidR="00D11F05" w:rsidRPr="00903356" w:rsidRDefault="004D0A26" w:rsidP="004D0A26">
            <w:pPr>
              <w:pStyle w:val="Body"/>
              <w:numPr>
                <w:ilvl w:val="0"/>
                <w:numId w:val="28"/>
              </w:numPr>
              <w:rPr>
                <w:rFonts w:ascii="Arial" w:hAnsi="Arial" w:cs="Arial"/>
                <w:bCs/>
                <w:sz w:val="20"/>
                <w:szCs w:val="20"/>
              </w:rPr>
            </w:pPr>
            <w:r>
              <w:rPr>
                <w:rFonts w:ascii="Arial" w:hAnsi="Arial" w:cs="Arial"/>
                <w:bCs/>
                <w:i/>
                <w:sz w:val="20"/>
                <w:szCs w:val="20"/>
              </w:rPr>
              <w:t xml:space="preserve">Sea Level Rise – </w:t>
            </w:r>
            <w:r>
              <w:rPr>
                <w:rFonts w:ascii="Arial" w:hAnsi="Arial" w:cs="Arial"/>
                <w:bCs/>
                <w:sz w:val="20"/>
                <w:szCs w:val="20"/>
              </w:rPr>
              <w:t xml:space="preserve">Per the State Water Board Climate Change Resolution of 2017, Regional Water Boards are to work with the Division of Water Quality to propose how climate change may be incorporated into permits. Region 2 staff have stated that they plan to show what is already being done, so the Sea Level Rise memo </w:t>
            </w:r>
            <w:r>
              <w:rPr>
                <w:rFonts w:ascii="Arial" w:hAnsi="Arial" w:cs="Arial"/>
                <w:bCs/>
                <w:sz w:val="20"/>
                <w:szCs w:val="20"/>
              </w:rPr>
              <w:lastRenderedPageBreak/>
              <w:t>developed as part of the Nutrient Watershed Permit will likely be used for this purpose.  Sea Level Rise/Climate Change planning will also be part of the revised SSS WDR.</w:t>
            </w:r>
          </w:p>
        </w:tc>
      </w:tr>
      <w:tr w:rsidR="00F91427" w:rsidRPr="00903356" w14:paraId="371F725A"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5EBD7D" w14:textId="0504798C" w:rsidR="00F91427" w:rsidRPr="007B15E6" w:rsidRDefault="004D0A26" w:rsidP="00F91427">
            <w:pPr>
              <w:pStyle w:val="Body"/>
              <w:rPr>
                <w:rStyle w:val="Hyperlink"/>
                <w:color w:val="auto"/>
                <w:u w:val="none"/>
              </w:rPr>
            </w:pPr>
            <w:r>
              <w:rPr>
                <w:rStyle w:val="Hyperlink"/>
                <w:color w:val="auto"/>
                <w:u w:val="none"/>
              </w:rPr>
              <w:lastRenderedPageBreak/>
              <w:t>CECs</w:t>
            </w:r>
          </w:p>
          <w:p w14:paraId="026C5E1E" w14:textId="27E4DE4B" w:rsidR="004D0A26" w:rsidRPr="004D0A26" w:rsidRDefault="004D0A26" w:rsidP="004D0A26">
            <w:pPr>
              <w:pStyle w:val="BodyText"/>
              <w:spacing w:after="0"/>
              <w:ind w:left="691" w:hanging="360"/>
              <w:rPr>
                <w:rFonts w:ascii="Arial" w:hAnsi="Arial" w:cs="Arial"/>
                <w:sz w:val="20"/>
                <w:szCs w:val="20"/>
              </w:rPr>
            </w:pPr>
            <w:proofErr w:type="gramStart"/>
            <w:r w:rsidRPr="004D0A26">
              <w:rPr>
                <w:rFonts w:ascii="Arial" w:hAnsi="Arial" w:cs="Arial"/>
                <w:sz w:val="20"/>
                <w:szCs w:val="20"/>
              </w:rPr>
              <w:t>a.</w:t>
            </w:r>
            <w:r w:rsidRPr="004D0A26">
              <w:rPr>
                <w:rFonts w:ascii="Arial" w:hAnsi="Arial" w:cs="Arial"/>
                <w:sz w:val="20"/>
                <w:szCs w:val="20"/>
              </w:rPr>
              <w:tab/>
            </w:r>
            <w:r w:rsidRPr="004D0A26">
              <w:rPr>
                <w:rFonts w:ascii="Arial" w:hAnsi="Arial" w:cs="Arial"/>
                <w:i/>
                <w:sz w:val="20"/>
                <w:szCs w:val="20"/>
              </w:rPr>
              <w:t>BACWA</w:t>
            </w:r>
            <w:proofErr w:type="gramEnd"/>
            <w:r w:rsidRPr="004D0A26">
              <w:rPr>
                <w:rFonts w:ascii="Arial" w:hAnsi="Arial" w:cs="Arial"/>
                <w:i/>
                <w:sz w:val="20"/>
                <w:szCs w:val="20"/>
              </w:rPr>
              <w:t xml:space="preserve"> White Paper on CECs participation</w:t>
            </w:r>
            <w:r>
              <w:rPr>
                <w:rFonts w:ascii="Arial" w:hAnsi="Arial" w:cs="Arial"/>
                <w:i/>
                <w:sz w:val="20"/>
                <w:szCs w:val="20"/>
              </w:rPr>
              <w:t xml:space="preserve">- </w:t>
            </w:r>
            <w:r>
              <w:rPr>
                <w:rFonts w:ascii="Arial" w:hAnsi="Arial" w:cs="Arial"/>
                <w:sz w:val="20"/>
                <w:szCs w:val="20"/>
              </w:rPr>
              <w:t xml:space="preserve"> BACWA is developing a White Paper detailing POTW participation in RMP studies. This will be provided to the Water Boards to demonstrate that Region 2 has a robust CECs program, where POTWs participate in studies when needed.  The alternative would be requirements for monitoring from the State Water </w:t>
            </w:r>
            <w:r w:rsidR="00FE70D6">
              <w:rPr>
                <w:rFonts w:ascii="Arial" w:hAnsi="Arial" w:cs="Arial"/>
                <w:sz w:val="20"/>
                <w:szCs w:val="20"/>
              </w:rPr>
              <w:t>B</w:t>
            </w:r>
            <w:bookmarkStart w:id="0" w:name="_GoBack"/>
            <w:bookmarkEnd w:id="0"/>
            <w:r>
              <w:rPr>
                <w:rFonts w:ascii="Arial" w:hAnsi="Arial" w:cs="Arial"/>
                <w:sz w:val="20"/>
                <w:szCs w:val="20"/>
              </w:rPr>
              <w:t>oard.</w:t>
            </w:r>
          </w:p>
          <w:p w14:paraId="126367E3" w14:textId="1BC0315B" w:rsidR="004D0A26" w:rsidRPr="004D0A26" w:rsidRDefault="004D0A26" w:rsidP="004D0A26">
            <w:pPr>
              <w:pStyle w:val="BodyText"/>
              <w:spacing w:after="0"/>
              <w:ind w:left="691" w:hanging="360"/>
              <w:rPr>
                <w:rFonts w:ascii="Arial" w:hAnsi="Arial" w:cs="Arial"/>
                <w:sz w:val="20"/>
                <w:szCs w:val="20"/>
              </w:rPr>
            </w:pPr>
            <w:r w:rsidRPr="004D0A26">
              <w:rPr>
                <w:rFonts w:ascii="Arial" w:hAnsi="Arial" w:cs="Arial"/>
                <w:sz w:val="20"/>
                <w:szCs w:val="20"/>
              </w:rPr>
              <w:t>b.</w:t>
            </w:r>
            <w:r w:rsidRPr="004D0A26">
              <w:rPr>
                <w:rFonts w:ascii="Arial" w:hAnsi="Arial" w:cs="Arial"/>
                <w:sz w:val="20"/>
                <w:szCs w:val="20"/>
              </w:rPr>
              <w:tab/>
              <w:t xml:space="preserve">RMP CEC Workgroup meeting April 12-13 – </w:t>
            </w:r>
            <w:hyperlink r:id="rId9" w:history="1">
              <w:r w:rsidRPr="004D0A26">
                <w:rPr>
                  <w:rStyle w:val="Hyperlink"/>
                  <w:rFonts w:eastAsiaTheme="minorHAnsi"/>
                  <w:shd w:val="clear" w:color="auto" w:fill="auto"/>
                </w:rPr>
                <w:t>see agenda</w:t>
              </w:r>
            </w:hyperlink>
          </w:p>
          <w:p w14:paraId="65D4FDF4" w14:textId="0A9531C8" w:rsidR="00F91427" w:rsidRPr="00903356" w:rsidRDefault="004D0A26" w:rsidP="004D0A26">
            <w:pPr>
              <w:pStyle w:val="BodyText"/>
              <w:spacing w:after="0" w:line="240" w:lineRule="auto"/>
              <w:ind w:left="691" w:hanging="360"/>
              <w:rPr>
                <w:rFonts w:ascii="Arial" w:hAnsi="Arial" w:cs="Arial"/>
                <w:sz w:val="20"/>
                <w:szCs w:val="20"/>
              </w:rPr>
            </w:pPr>
            <w:r w:rsidRPr="004D0A26">
              <w:rPr>
                <w:rFonts w:ascii="Arial" w:hAnsi="Arial" w:cs="Arial"/>
                <w:sz w:val="20"/>
                <w:szCs w:val="20"/>
              </w:rPr>
              <w:t>c.</w:t>
            </w:r>
            <w:r w:rsidRPr="004D0A26">
              <w:rPr>
                <w:rFonts w:ascii="Arial" w:hAnsi="Arial" w:cs="Arial"/>
                <w:sz w:val="20"/>
                <w:szCs w:val="20"/>
              </w:rPr>
              <w:tab/>
              <w:t xml:space="preserve">RMP </w:t>
            </w:r>
            <w:proofErr w:type="spellStart"/>
            <w:r w:rsidRPr="004D0A26">
              <w:rPr>
                <w:rFonts w:ascii="Arial" w:hAnsi="Arial" w:cs="Arial"/>
                <w:sz w:val="20"/>
                <w:szCs w:val="20"/>
              </w:rPr>
              <w:t>Microplastics</w:t>
            </w:r>
            <w:proofErr w:type="spellEnd"/>
            <w:r w:rsidRPr="004D0A26">
              <w:rPr>
                <w:rFonts w:ascii="Arial" w:hAnsi="Arial" w:cs="Arial"/>
                <w:sz w:val="20"/>
                <w:szCs w:val="20"/>
              </w:rPr>
              <w:t xml:space="preserve"> Workgroup meeting May 15</w:t>
            </w:r>
          </w:p>
        </w:tc>
      </w:tr>
      <w:tr w:rsidR="005B2FCA" w:rsidRPr="00903356" w14:paraId="2E16D9D0" w14:textId="77777777" w:rsidTr="00875C98">
        <w:trPr>
          <w:trHeight w:val="702"/>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67775A" w14:textId="4EEF8ED0" w:rsidR="005B2FCA" w:rsidRPr="006B1A4F" w:rsidRDefault="004D0A26" w:rsidP="002B62C5">
            <w:pPr>
              <w:rPr>
                <w:rFonts w:ascii="Arial" w:hAnsi="Arial" w:cs="Arial"/>
                <w:bCs/>
                <w:sz w:val="20"/>
                <w:szCs w:val="20"/>
              </w:rPr>
            </w:pPr>
            <w:r>
              <w:rPr>
                <w:rFonts w:ascii="Arial" w:hAnsi="Arial" w:cs="Arial"/>
                <w:b/>
                <w:bCs/>
                <w:sz w:val="20"/>
                <w:szCs w:val="20"/>
              </w:rPr>
              <w:t>Triennial Review</w:t>
            </w:r>
          </w:p>
          <w:p w14:paraId="21A76693" w14:textId="22D98B4F" w:rsidR="008C30A4" w:rsidRPr="0025585A" w:rsidRDefault="006B1A4F" w:rsidP="006B1A4F">
            <w:pPr>
              <w:rPr>
                <w:rStyle w:val="Hyperlink"/>
                <w:rFonts w:eastAsia="Arial Unicode MS"/>
                <w:color w:val="auto"/>
                <w:u w:val="none"/>
                <w:shd w:val="clear" w:color="auto" w:fill="auto"/>
              </w:rPr>
            </w:pPr>
            <w:r w:rsidRPr="006B1A4F">
              <w:rPr>
                <w:rStyle w:val="Hyperlink"/>
                <w:rFonts w:eastAsia="Arial Unicode MS"/>
                <w:b w:val="0"/>
                <w:color w:val="auto"/>
                <w:u w:val="none"/>
                <w:shd w:val="clear" w:color="auto" w:fill="auto"/>
              </w:rPr>
              <w:t>The Regional Water board is kicking off the 2018 Triennial Review Process.</w:t>
            </w:r>
            <w:r>
              <w:rPr>
                <w:rStyle w:val="Hyperlink"/>
                <w:rFonts w:eastAsia="Arial Unicode MS"/>
                <w:b w:val="0"/>
                <w:color w:val="auto"/>
                <w:u w:val="none"/>
                <w:shd w:val="clear" w:color="auto" w:fill="auto"/>
              </w:rPr>
              <w:t xml:space="preserve"> They have not yet released their list of projects, but there is a public hearing scheduled for May 21. There was discussion about asking to revise the dilution policy that give zero dilution credit to shallow dischargers and 10:1 dilution for deep dischargers. The committee was concerned that this may lead to less favorable parameters than some agencies currently have. However, there was consensus that BACWA should recommend that the Basin Plan be changed to allow the use of dilution for bacterial indicator limits.</w:t>
            </w:r>
          </w:p>
        </w:tc>
      </w:tr>
      <w:tr w:rsidR="00087D46" w:rsidRPr="00903356" w14:paraId="4AD901CA" w14:textId="77777777" w:rsidTr="001E4183">
        <w:trPr>
          <w:trHeight w:val="360"/>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9495E" w14:textId="77777777" w:rsidR="00307C64" w:rsidRPr="00903356" w:rsidRDefault="00087D46" w:rsidP="00307C64">
            <w:pPr>
              <w:pStyle w:val="Body"/>
              <w:rPr>
                <w:rFonts w:ascii="Arial" w:hAnsi="Arial" w:cs="Arial"/>
                <w:b/>
                <w:bCs/>
                <w:sz w:val="20"/>
                <w:szCs w:val="20"/>
              </w:rPr>
            </w:pPr>
            <w:r w:rsidRPr="00903356">
              <w:rPr>
                <w:rFonts w:ascii="Arial" w:hAnsi="Arial" w:cs="Arial"/>
                <w:b/>
                <w:bCs/>
                <w:sz w:val="20"/>
                <w:szCs w:val="20"/>
              </w:rPr>
              <w:t>Announcements</w:t>
            </w:r>
          </w:p>
          <w:p w14:paraId="35917028" w14:textId="77777777" w:rsidR="006B1A4F" w:rsidRPr="006B1A4F" w:rsidRDefault="006B1A4F" w:rsidP="006B1A4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779"/>
              <w:rPr>
                <w:rFonts w:ascii="Arial" w:hAnsi="Arial" w:cs="Arial"/>
                <w:sz w:val="20"/>
                <w:szCs w:val="20"/>
                <w:u w:val="single"/>
              </w:rPr>
            </w:pPr>
            <w:r w:rsidRPr="006B1A4F">
              <w:rPr>
                <w:rFonts w:ascii="Arial" w:hAnsi="Arial" w:cs="Arial"/>
                <w:sz w:val="20"/>
                <w:szCs w:val="20"/>
              </w:rPr>
              <w:t xml:space="preserve">H2S limit </w:t>
            </w:r>
            <w:hyperlink r:id="rId10" w:history="1">
              <w:r w:rsidRPr="006B1A4F">
                <w:rPr>
                  <w:rStyle w:val="Hyperlink"/>
                </w:rPr>
                <w:t>Association Comment Letter</w:t>
              </w:r>
            </w:hyperlink>
          </w:p>
          <w:p w14:paraId="278885E6" w14:textId="77777777" w:rsidR="006B1A4F" w:rsidRPr="006B1A4F" w:rsidRDefault="006B1A4F" w:rsidP="006B1A4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779"/>
              <w:rPr>
                <w:rFonts w:ascii="Arial" w:hAnsi="Arial" w:cs="Arial"/>
                <w:sz w:val="20"/>
                <w:szCs w:val="20"/>
                <w:u w:val="single"/>
              </w:rPr>
            </w:pPr>
            <w:r w:rsidRPr="006B1A4F">
              <w:rPr>
                <w:rFonts w:ascii="Arial" w:hAnsi="Arial" w:cs="Arial"/>
                <w:sz w:val="20"/>
                <w:szCs w:val="20"/>
              </w:rPr>
              <w:t xml:space="preserve">CASA/BACWA/SCAP </w:t>
            </w:r>
            <w:hyperlink r:id="rId11" w:history="1">
              <w:r w:rsidRPr="006B1A4F">
                <w:rPr>
                  <w:rStyle w:val="Hyperlink"/>
                </w:rPr>
                <w:t>comments</w:t>
              </w:r>
            </w:hyperlink>
            <w:r w:rsidRPr="006B1A4F">
              <w:rPr>
                <w:rFonts w:ascii="Arial" w:hAnsi="Arial" w:cs="Arial"/>
                <w:sz w:val="20"/>
                <w:szCs w:val="20"/>
              </w:rPr>
              <w:t xml:space="preserve"> on SSS WDR Revision</w:t>
            </w:r>
          </w:p>
          <w:p w14:paraId="3B859A74" w14:textId="77777777" w:rsidR="006B1A4F" w:rsidRPr="006B1A4F" w:rsidRDefault="006B1A4F" w:rsidP="006B1A4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779"/>
              <w:rPr>
                <w:rFonts w:ascii="Arial" w:hAnsi="Arial" w:cs="Arial"/>
                <w:sz w:val="20"/>
                <w:szCs w:val="20"/>
                <w:u w:val="single"/>
              </w:rPr>
            </w:pPr>
            <w:r w:rsidRPr="006B1A4F">
              <w:rPr>
                <w:rFonts w:ascii="Arial" w:hAnsi="Arial" w:cs="Arial"/>
                <w:sz w:val="20"/>
                <w:szCs w:val="20"/>
              </w:rPr>
              <w:t>Update on 1668c reporting, lab presentation at Lab Committee on 4/11</w:t>
            </w:r>
          </w:p>
          <w:p w14:paraId="0F831C13" w14:textId="463FC580" w:rsidR="006B1A4F" w:rsidRPr="006B1A4F" w:rsidRDefault="006B1A4F" w:rsidP="006B1A4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779"/>
              <w:rPr>
                <w:rFonts w:ascii="Arial" w:hAnsi="Arial" w:cs="Arial"/>
                <w:sz w:val="20"/>
                <w:szCs w:val="20"/>
              </w:rPr>
            </w:pPr>
            <w:r w:rsidRPr="006B1A4F">
              <w:rPr>
                <w:rFonts w:ascii="Arial" w:hAnsi="Arial" w:cs="Arial"/>
                <w:sz w:val="20"/>
                <w:szCs w:val="20"/>
              </w:rPr>
              <w:t>RB response on Anaerobic Digestion language in recent permits</w:t>
            </w:r>
            <w:r>
              <w:rPr>
                <w:rFonts w:ascii="Arial" w:hAnsi="Arial" w:cs="Arial"/>
                <w:sz w:val="20"/>
                <w:szCs w:val="20"/>
              </w:rPr>
              <w:t xml:space="preserve"> (see San Mateo Permit, above)</w:t>
            </w:r>
          </w:p>
          <w:p w14:paraId="21B3BD05" w14:textId="77777777" w:rsidR="0038714D" w:rsidRPr="006B1A4F" w:rsidRDefault="006B1A4F" w:rsidP="006B1A4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779"/>
              <w:rPr>
                <w:rFonts w:ascii="Arial" w:hAnsi="Arial" w:cs="Arial"/>
                <w:sz w:val="20"/>
                <w:szCs w:val="20"/>
                <w:u w:val="single"/>
              </w:rPr>
            </w:pPr>
            <w:r w:rsidRPr="006B1A4F">
              <w:rPr>
                <w:rFonts w:ascii="Arial" w:hAnsi="Arial" w:cs="Arial"/>
                <w:sz w:val="20"/>
                <w:szCs w:val="20"/>
              </w:rPr>
              <w:t>Chlorine Basin Plan Amendments – look for bisulfite use survey in near future</w:t>
            </w:r>
          </w:p>
          <w:p w14:paraId="08233C9D" w14:textId="1E5585A3" w:rsidR="006B1A4F" w:rsidRPr="006B1A4F" w:rsidRDefault="006B1A4F" w:rsidP="006B1A4F">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 w:val="num" w:pos="1080"/>
              </w:tabs>
              <w:ind w:left="779"/>
              <w:rPr>
                <w:rFonts w:ascii="Arial" w:hAnsi="Arial" w:cs="Arial"/>
                <w:sz w:val="22"/>
                <w:szCs w:val="22"/>
                <w:u w:val="single"/>
              </w:rPr>
            </w:pPr>
            <w:r w:rsidRPr="006B1A4F">
              <w:rPr>
                <w:rFonts w:ascii="Arial" w:hAnsi="Arial" w:cs="Arial"/>
                <w:sz w:val="20"/>
                <w:szCs w:val="20"/>
              </w:rPr>
              <w:t>Committee seeks new vice-chair for FY19</w:t>
            </w:r>
          </w:p>
        </w:tc>
      </w:tr>
      <w:tr w:rsidR="004E0C68" w:rsidRPr="00903356" w14:paraId="1B72519F" w14:textId="77777777">
        <w:trPr>
          <w:trHeight w:val="223"/>
        </w:trPr>
        <w:tc>
          <w:tcPr>
            <w:tcW w:w="10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26896A" w14:textId="69CA87B3" w:rsidR="004E0C68" w:rsidRPr="00903356" w:rsidRDefault="00962634" w:rsidP="004D0A26">
            <w:pPr>
              <w:pStyle w:val="Body"/>
              <w:spacing w:before="60"/>
              <w:rPr>
                <w:rFonts w:ascii="Arial" w:hAnsi="Arial" w:cs="Arial"/>
                <w:sz w:val="20"/>
                <w:szCs w:val="20"/>
              </w:rPr>
            </w:pPr>
            <w:r w:rsidRPr="00903356">
              <w:rPr>
                <w:rFonts w:ascii="Arial" w:hAnsi="Arial" w:cs="Arial"/>
                <w:b/>
                <w:bCs/>
                <w:sz w:val="20"/>
                <w:szCs w:val="20"/>
              </w:rPr>
              <w:t xml:space="preserve">Next BACWA Permits Committee Meeting:  </w:t>
            </w:r>
            <w:r w:rsidR="004D0A26" w:rsidRPr="004D0A26">
              <w:rPr>
                <w:rFonts w:ascii="Arial" w:hAnsi="Arial" w:cs="Arial"/>
                <w:sz w:val="20"/>
                <w:szCs w:val="20"/>
              </w:rPr>
              <w:t>Thursday May 10, 10:30</w:t>
            </w:r>
            <w:r w:rsidR="004D0A26">
              <w:rPr>
                <w:rFonts w:ascii="Arial" w:hAnsi="Arial" w:cs="Arial"/>
                <w:sz w:val="20"/>
                <w:szCs w:val="20"/>
              </w:rPr>
              <w:t>am</w:t>
            </w:r>
            <w:r w:rsidR="004D0A26" w:rsidRPr="004D0A26">
              <w:rPr>
                <w:rFonts w:ascii="Arial" w:hAnsi="Arial" w:cs="Arial"/>
                <w:sz w:val="20"/>
                <w:szCs w:val="20"/>
              </w:rPr>
              <w:t xml:space="preserve"> to 12:30</w:t>
            </w:r>
            <w:r w:rsidR="004D0A26">
              <w:rPr>
                <w:rFonts w:ascii="Arial" w:hAnsi="Arial" w:cs="Arial"/>
                <w:sz w:val="20"/>
                <w:szCs w:val="20"/>
              </w:rPr>
              <w:t>pm</w:t>
            </w:r>
            <w:r w:rsidR="004D0A26" w:rsidRPr="004D0A26">
              <w:rPr>
                <w:rFonts w:ascii="Arial" w:hAnsi="Arial" w:cs="Arial"/>
                <w:sz w:val="20"/>
                <w:szCs w:val="20"/>
              </w:rPr>
              <w:t>, Joint meeting with CASA RWG at downtown EBMUD</w:t>
            </w:r>
          </w:p>
        </w:tc>
      </w:tr>
    </w:tbl>
    <w:p w14:paraId="0BB1F764" w14:textId="77777777" w:rsidR="004E0C68" w:rsidRPr="00F91427" w:rsidRDefault="004E0C68" w:rsidP="008F6C8E">
      <w:pPr>
        <w:pStyle w:val="Body"/>
        <w:widowControl w:val="0"/>
        <w:rPr>
          <w:rFonts w:ascii="Arial" w:hAnsi="Arial" w:cs="Arial"/>
          <w:sz w:val="20"/>
          <w:szCs w:val="20"/>
        </w:rPr>
      </w:pPr>
    </w:p>
    <w:sectPr w:rsidR="004E0C68" w:rsidRPr="00F91427">
      <w:headerReference w:type="default" r:id="rId12"/>
      <w:footerReference w:type="default" r:id="rId13"/>
      <w:pgSz w:w="12240" w:h="15840"/>
      <w:pgMar w:top="720" w:right="720" w:bottom="245" w:left="720" w:header="432" w:footer="43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8D320" w14:textId="77777777" w:rsidR="00F37968" w:rsidRDefault="00F37968">
      <w:r>
        <w:separator/>
      </w:r>
    </w:p>
  </w:endnote>
  <w:endnote w:type="continuationSeparator" w:id="0">
    <w:p w14:paraId="129A9E2D" w14:textId="77777777" w:rsidR="00F37968" w:rsidRDefault="00F3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141EE" w14:textId="77777777" w:rsidR="00EA2D59" w:rsidRDefault="00EA2D59">
    <w:pPr>
      <w:pStyle w:val="Footer"/>
      <w:jc w:val="center"/>
    </w:pPr>
    <w:r>
      <w:rPr>
        <w:rFonts w:ascii="Arial Black" w:eastAsia="Arial Black" w:hAnsi="Arial Black" w:cs="Arial Black"/>
        <w:b/>
        <w:bCs/>
        <w:spacing w:val="-10"/>
        <w:sz w:val="18"/>
        <w:szCs w:val="18"/>
      </w:rPr>
      <w:fldChar w:fldCharType="begin"/>
    </w:r>
    <w:r>
      <w:rPr>
        <w:rFonts w:ascii="Arial Black" w:eastAsia="Arial Black" w:hAnsi="Arial Black" w:cs="Arial Black"/>
        <w:b/>
        <w:bCs/>
        <w:spacing w:val="-10"/>
        <w:sz w:val="18"/>
        <w:szCs w:val="18"/>
      </w:rPr>
      <w:instrText xml:space="preserve"> PAGE </w:instrText>
    </w:r>
    <w:r>
      <w:rPr>
        <w:rFonts w:ascii="Arial Black" w:eastAsia="Arial Black" w:hAnsi="Arial Black" w:cs="Arial Black"/>
        <w:b/>
        <w:bCs/>
        <w:spacing w:val="-10"/>
        <w:sz w:val="18"/>
        <w:szCs w:val="18"/>
      </w:rPr>
      <w:fldChar w:fldCharType="separate"/>
    </w:r>
    <w:r w:rsidR="00FE70D6">
      <w:rPr>
        <w:rFonts w:ascii="Arial Black" w:eastAsia="Arial Black" w:hAnsi="Arial Black" w:cs="Arial Black"/>
        <w:b/>
        <w:bCs/>
        <w:noProof/>
        <w:spacing w:val="-10"/>
        <w:sz w:val="18"/>
        <w:szCs w:val="18"/>
      </w:rPr>
      <w:t>1</w:t>
    </w:r>
    <w:r>
      <w:rPr>
        <w:rFonts w:ascii="Arial Black" w:eastAsia="Arial Black" w:hAnsi="Arial Black" w:cs="Arial Black"/>
        <w:b/>
        <w:bCs/>
        <w:spacing w:val="-1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85FBC" w14:textId="77777777" w:rsidR="00F37968" w:rsidRDefault="00F37968">
      <w:r>
        <w:separator/>
      </w:r>
    </w:p>
  </w:footnote>
  <w:footnote w:type="continuationSeparator" w:id="0">
    <w:p w14:paraId="325FCA02" w14:textId="77777777" w:rsidR="00F37968" w:rsidRDefault="00F37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0BE0" w14:textId="77777777" w:rsidR="00EA2D59" w:rsidRDefault="00EA2D59">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954961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0442081B"/>
    <w:multiLevelType w:val="hybridMultilevel"/>
    <w:tmpl w:val="62249A48"/>
    <w:lvl w:ilvl="0" w:tplc="07E2D01E">
      <w:start w:val="1"/>
      <w:numFmt w:val="lowerLetter"/>
      <w:lvlText w:val="%1."/>
      <w:lvlJc w:val="left"/>
      <w:pPr>
        <w:ind w:left="720" w:hanging="360"/>
      </w:pPr>
      <w:rPr>
        <w:rFonts w:hint="default"/>
        <w:b w:val="0"/>
      </w:rPr>
    </w:lvl>
    <w:lvl w:ilvl="1" w:tplc="482AD576">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707694"/>
    <w:multiLevelType w:val="hybridMultilevel"/>
    <w:tmpl w:val="C282A55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01EA0"/>
    <w:multiLevelType w:val="hybridMultilevel"/>
    <w:tmpl w:val="A1C8161C"/>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296AED"/>
    <w:multiLevelType w:val="hybridMultilevel"/>
    <w:tmpl w:val="89969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376BC"/>
    <w:multiLevelType w:val="hybridMultilevel"/>
    <w:tmpl w:val="C6B49E88"/>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ind w:left="144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CE93E12"/>
    <w:multiLevelType w:val="hybridMultilevel"/>
    <w:tmpl w:val="E36A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730E2"/>
    <w:multiLevelType w:val="hybridMultilevel"/>
    <w:tmpl w:val="9A6A632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847AD6"/>
    <w:multiLevelType w:val="hybridMultilevel"/>
    <w:tmpl w:val="51DE0E20"/>
    <w:lvl w:ilvl="0" w:tplc="27149C7E">
      <w:start w:val="1"/>
      <w:numFmt w:val="bullet"/>
      <w:lvlText w:val=""/>
      <w:lvlJc w:val="left"/>
      <w:pPr>
        <w:ind w:left="720"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2DFB2B5B"/>
    <w:multiLevelType w:val="hybridMultilevel"/>
    <w:tmpl w:val="F1AE4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F6638"/>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4002F1B"/>
    <w:multiLevelType w:val="hybridMultilevel"/>
    <w:tmpl w:val="50321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A74DBC"/>
    <w:multiLevelType w:val="hybridMultilevel"/>
    <w:tmpl w:val="EF4C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397B97"/>
    <w:multiLevelType w:val="hybridMultilevel"/>
    <w:tmpl w:val="40DA6B46"/>
    <w:lvl w:ilvl="0" w:tplc="B4104D5E">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8578E"/>
    <w:multiLevelType w:val="hybridMultilevel"/>
    <w:tmpl w:val="5E44C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05931"/>
    <w:multiLevelType w:val="hybridMultilevel"/>
    <w:tmpl w:val="065C3A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3D74E4"/>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15:restartNumberingAfterBreak="0">
    <w:nsid w:val="52F42A7A"/>
    <w:multiLevelType w:val="hybridMultilevel"/>
    <w:tmpl w:val="743EF9CA"/>
    <w:lvl w:ilvl="0" w:tplc="E87EE034">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5019A4"/>
    <w:multiLevelType w:val="hybridMultilevel"/>
    <w:tmpl w:val="B10EED78"/>
    <w:lvl w:ilvl="0" w:tplc="9DE268D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FE5E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DF4C7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E22DF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2B4B53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FAEC1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8865D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33A77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006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7E420F9"/>
    <w:multiLevelType w:val="hybridMultilevel"/>
    <w:tmpl w:val="531CD524"/>
    <w:lvl w:ilvl="0" w:tplc="27149C7E">
      <w:start w:val="1"/>
      <w:numFmt w:val="bullet"/>
      <w:lvlText w:val=""/>
      <w:lvlJc w:val="left"/>
      <w:pPr>
        <w:ind w:left="499" w:hanging="36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020ACC8">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2FA827C">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C0C08">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AA53FE">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94B9FE">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F0F50A">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A52B4F6">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4D0EC46">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7FB0D3E"/>
    <w:multiLevelType w:val="hybridMultilevel"/>
    <w:tmpl w:val="37ECD768"/>
    <w:lvl w:ilvl="0" w:tplc="F1B2B93E">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554CDF"/>
    <w:multiLevelType w:val="hybridMultilevel"/>
    <w:tmpl w:val="449EF3E6"/>
    <w:lvl w:ilvl="0" w:tplc="ACE2EE04">
      <w:start w:val="1"/>
      <w:numFmt w:val="bullet"/>
      <w:lvlText w:val="•"/>
      <w:lvlJc w:val="left"/>
      <w:pPr>
        <w:ind w:left="300" w:hanging="300"/>
      </w:pPr>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149C7E">
      <w:start w:val="1"/>
      <w:numFmt w:val="bullet"/>
      <w:lvlText w:val=""/>
      <w:lvlJc w:val="left"/>
      <w:pPr>
        <w:ind w:left="499" w:hanging="270"/>
      </w:pPr>
      <w:rPr>
        <w:rFonts w:ascii="Symbol" w:hAnsi="Symbol" w:hint="default"/>
        <w:b w:val="0"/>
        <w:bCs w:val="0"/>
        <w:i w:val="0"/>
        <w:iCs w:val="0"/>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D0B218">
      <w:start w:val="1"/>
      <w:numFmt w:val="bullet"/>
      <w:lvlText w:val="•"/>
      <w:lvlJc w:val="left"/>
      <w:pPr>
        <w:ind w:left="728"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DCFD0E">
      <w:start w:val="1"/>
      <w:numFmt w:val="bullet"/>
      <w:lvlText w:val="•"/>
      <w:lvlJc w:val="left"/>
      <w:pPr>
        <w:ind w:left="957"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E076F2">
      <w:start w:val="1"/>
      <w:numFmt w:val="bullet"/>
      <w:lvlText w:val="•"/>
      <w:lvlJc w:val="left"/>
      <w:pPr>
        <w:ind w:left="1186"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647750">
      <w:start w:val="1"/>
      <w:numFmt w:val="bullet"/>
      <w:lvlText w:val="•"/>
      <w:lvlJc w:val="left"/>
      <w:pPr>
        <w:ind w:left="1415"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AAEC76">
      <w:start w:val="1"/>
      <w:numFmt w:val="bullet"/>
      <w:lvlText w:val="•"/>
      <w:lvlJc w:val="left"/>
      <w:pPr>
        <w:ind w:left="1644"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169FE4">
      <w:start w:val="1"/>
      <w:numFmt w:val="bullet"/>
      <w:lvlText w:val="•"/>
      <w:lvlJc w:val="left"/>
      <w:pPr>
        <w:ind w:left="1873"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DC9C68">
      <w:start w:val="1"/>
      <w:numFmt w:val="bullet"/>
      <w:lvlText w:val="•"/>
      <w:lvlJc w:val="left"/>
      <w:pPr>
        <w:ind w:left="2102" w:hanging="27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C6D7CFC"/>
    <w:multiLevelType w:val="hybridMultilevel"/>
    <w:tmpl w:val="33D612E8"/>
    <w:lvl w:ilvl="0" w:tplc="BDC82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8C061E"/>
    <w:multiLevelType w:val="hybridMultilevel"/>
    <w:tmpl w:val="25B031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3B1B27"/>
    <w:multiLevelType w:val="hybridMultilevel"/>
    <w:tmpl w:val="D0DAB79A"/>
    <w:lvl w:ilvl="0" w:tplc="0409000F">
      <w:start w:val="1"/>
      <w:numFmt w:val="decimal"/>
      <w:lvlText w:val="%1."/>
      <w:lvlJc w:val="left"/>
      <w:pPr>
        <w:ind w:left="720" w:hanging="360"/>
      </w:pPr>
    </w:lvl>
    <w:lvl w:ilvl="1" w:tplc="FD9601D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E323B6"/>
    <w:multiLevelType w:val="hybridMultilevel"/>
    <w:tmpl w:val="616E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F2C48"/>
    <w:multiLevelType w:val="hybridMultilevel"/>
    <w:tmpl w:val="14D6DC12"/>
    <w:lvl w:ilvl="0" w:tplc="0409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65345610"/>
    <w:multiLevelType w:val="hybridMultilevel"/>
    <w:tmpl w:val="DEBED75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C2364A"/>
    <w:multiLevelType w:val="multilevel"/>
    <w:tmpl w:val="A2809CF4"/>
    <w:lvl w:ilvl="0">
      <w:start w:val="1"/>
      <w:numFmt w:val="upperRoman"/>
      <w:lvlText w:val="%1."/>
      <w:lvlJc w:val="left"/>
      <w:pPr>
        <w:tabs>
          <w:tab w:val="num" w:pos="720"/>
        </w:tabs>
        <w:ind w:left="720" w:hanging="720"/>
      </w:pPr>
      <w:rPr>
        <w:rFonts w:ascii="Arial" w:hAnsi="Arial" w:cs="Arial" w:hint="default"/>
        <w:color w:val="auto"/>
        <w:sz w:val="24"/>
      </w:rPr>
    </w:lvl>
    <w:lvl w:ilvl="1">
      <w:start w:val="1"/>
      <w:numFmt w:val="lowerLetter"/>
      <w:lvlText w:val="%2."/>
      <w:lvlJc w:val="left"/>
      <w:pPr>
        <w:tabs>
          <w:tab w:val="num" w:pos="1440"/>
        </w:tabs>
        <w:ind w:left="1440" w:hanging="360"/>
      </w:pPr>
      <w:rPr>
        <w:rFonts w:ascii="Arial" w:eastAsia="Arial" w:hAnsi="Arial" w:cs="Arial"/>
        <w:b w:val="0"/>
        <w:color w:val="auto"/>
        <w:sz w:val="22"/>
        <w:szCs w:val="22"/>
      </w:rPr>
    </w:lvl>
    <w:lvl w:ilvl="2">
      <w:start w:val="1"/>
      <w:numFmt w:val="lowerRoman"/>
      <w:lvlText w:val="%3."/>
      <w:lvlJc w:val="right"/>
      <w:pPr>
        <w:tabs>
          <w:tab w:val="num" w:pos="2160"/>
        </w:tabs>
        <w:ind w:left="2160" w:hanging="180"/>
      </w:pPr>
      <w:rPr>
        <w:rFonts w:ascii="Arial" w:hAnsi="Arial" w:cs="Arial"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15:restartNumberingAfterBreak="0">
    <w:nsid w:val="6A226CC3"/>
    <w:multiLevelType w:val="hybridMultilevel"/>
    <w:tmpl w:val="93FA765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FF7151E"/>
    <w:multiLevelType w:val="hybridMultilevel"/>
    <w:tmpl w:val="ACEEB48A"/>
    <w:lvl w:ilvl="0" w:tplc="7FAE971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92C5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3419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BB80A3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444A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882D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0A3F8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168428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02E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72491CF1"/>
    <w:multiLevelType w:val="multilevel"/>
    <w:tmpl w:val="465A5584"/>
    <w:lvl w:ilvl="0">
      <w:start w:val="1"/>
      <w:numFmt w:val="upperRoman"/>
      <w:lvlText w:val="%1."/>
      <w:lvlJc w:val="right"/>
      <w:pPr>
        <w:ind w:left="720" w:hanging="360"/>
      </w:pPr>
      <w:rPr>
        <w:rFonts w:hint="default"/>
      </w:rPr>
    </w:lvl>
    <w:lvl w:ilvl="1">
      <w:start w:val="1"/>
      <w:numFmt w:val="upperLetter"/>
      <w:pStyle w:val="ListNumber"/>
      <w:lvlText w:val="%2."/>
      <w:lvlJc w:val="left"/>
      <w:pPr>
        <w:ind w:left="1080" w:hanging="360"/>
      </w:pPr>
      <w:rPr>
        <w:rFonts w:hint="default"/>
      </w:rPr>
    </w:lvl>
    <w:lvl w:ilvl="2">
      <w:start w:val="1"/>
      <w:numFmt w:val="decimal"/>
      <w:pStyle w:val="ListNumber2"/>
      <w:lvlText w:val="%3."/>
      <w:lvlJc w:val="right"/>
      <w:pPr>
        <w:ind w:left="1800" w:hanging="360"/>
      </w:pPr>
      <w:rPr>
        <w:rFonts w:hint="default"/>
      </w:rPr>
    </w:lvl>
    <w:lvl w:ilvl="3">
      <w:start w:val="1"/>
      <w:numFmt w:val="lowerLetter"/>
      <w:lvlText w:val="%4)"/>
      <w:lvlJc w:val="left"/>
      <w:pPr>
        <w:ind w:left="216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4093B18"/>
    <w:multiLevelType w:val="hybridMultilevel"/>
    <w:tmpl w:val="0F5A660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86471F"/>
    <w:multiLevelType w:val="hybridMultilevel"/>
    <w:tmpl w:val="4F549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13157"/>
    <w:multiLevelType w:val="hybridMultilevel"/>
    <w:tmpl w:val="56765BDA"/>
    <w:lvl w:ilvl="0" w:tplc="04090001">
      <w:start w:val="1"/>
      <w:numFmt w:val="bullet"/>
      <w:lvlText w:val=""/>
      <w:lvlJc w:val="left"/>
      <w:pPr>
        <w:ind w:left="499"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8E548E">
      <w:start w:val="1"/>
      <w:numFmt w:val="bullet"/>
      <w:lvlText w:val="o"/>
      <w:lvlJc w:val="left"/>
      <w:pPr>
        <w:ind w:left="121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6148DC4">
      <w:start w:val="1"/>
      <w:numFmt w:val="bullet"/>
      <w:lvlText w:val="▪"/>
      <w:lvlJc w:val="left"/>
      <w:pPr>
        <w:ind w:left="19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64C54">
      <w:start w:val="1"/>
      <w:numFmt w:val="bullet"/>
      <w:lvlText w:val="•"/>
      <w:lvlJc w:val="left"/>
      <w:pPr>
        <w:ind w:left="265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A6F888">
      <w:start w:val="1"/>
      <w:numFmt w:val="bullet"/>
      <w:lvlText w:val="o"/>
      <w:lvlJc w:val="left"/>
      <w:pPr>
        <w:ind w:left="337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FAEC9C">
      <w:start w:val="1"/>
      <w:numFmt w:val="bullet"/>
      <w:lvlText w:val="▪"/>
      <w:lvlJc w:val="left"/>
      <w:pPr>
        <w:ind w:left="409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A2377C">
      <w:start w:val="1"/>
      <w:numFmt w:val="bullet"/>
      <w:lvlText w:val="•"/>
      <w:lvlJc w:val="left"/>
      <w:pPr>
        <w:ind w:left="4819"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5E4002">
      <w:start w:val="1"/>
      <w:numFmt w:val="bullet"/>
      <w:lvlText w:val="o"/>
      <w:lvlJc w:val="left"/>
      <w:pPr>
        <w:ind w:left="553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EEAC70">
      <w:start w:val="1"/>
      <w:numFmt w:val="bullet"/>
      <w:lvlText w:val="▪"/>
      <w:lvlJc w:val="left"/>
      <w:pPr>
        <w:ind w:left="6259"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9"/>
  </w:num>
  <w:num w:numId="2">
    <w:abstractNumId w:val="34"/>
  </w:num>
  <w:num w:numId="3">
    <w:abstractNumId w:val="21"/>
  </w:num>
  <w:num w:numId="4">
    <w:abstractNumId w:val="30"/>
  </w:num>
  <w:num w:numId="5">
    <w:abstractNumId w:val="18"/>
  </w:num>
  <w:num w:numId="6">
    <w:abstractNumId w:val="26"/>
  </w:num>
  <w:num w:numId="7">
    <w:abstractNumId w:val="8"/>
  </w:num>
  <w:num w:numId="8">
    <w:abstractNumId w:val="16"/>
  </w:num>
  <w:num w:numId="9">
    <w:abstractNumId w:val="5"/>
  </w:num>
  <w:num w:numId="10">
    <w:abstractNumId w:val="0"/>
  </w:num>
  <w:num w:numId="11">
    <w:abstractNumId w:val="31"/>
  </w:num>
  <w:num w:numId="12">
    <w:abstractNumId w:val="29"/>
  </w:num>
  <w:num w:numId="13">
    <w:abstractNumId w:val="27"/>
  </w:num>
  <w:num w:numId="14">
    <w:abstractNumId w:val="9"/>
  </w:num>
  <w:num w:numId="15">
    <w:abstractNumId w:val="12"/>
  </w:num>
  <w:num w:numId="16">
    <w:abstractNumId w:val="6"/>
  </w:num>
  <w:num w:numId="17">
    <w:abstractNumId w:val="11"/>
  </w:num>
  <w:num w:numId="18">
    <w:abstractNumId w:val="17"/>
  </w:num>
  <w:num w:numId="19">
    <w:abstractNumId w:val="15"/>
  </w:num>
  <w:num w:numId="20">
    <w:abstractNumId w:val="13"/>
  </w:num>
  <w:num w:numId="21">
    <w:abstractNumId w:val="2"/>
  </w:num>
  <w:num w:numId="22">
    <w:abstractNumId w:val="4"/>
  </w:num>
  <w:num w:numId="23">
    <w:abstractNumId w:val="20"/>
  </w:num>
  <w:num w:numId="24">
    <w:abstractNumId w:val="32"/>
  </w:num>
  <w:num w:numId="25">
    <w:abstractNumId w:val="33"/>
  </w:num>
  <w:num w:numId="26">
    <w:abstractNumId w:val="25"/>
  </w:num>
  <w:num w:numId="27">
    <w:abstractNumId w:val="7"/>
  </w:num>
  <w:num w:numId="28">
    <w:abstractNumId w:val="1"/>
  </w:num>
  <w:num w:numId="29">
    <w:abstractNumId w:val="10"/>
  </w:num>
  <w:num w:numId="30">
    <w:abstractNumId w:val="22"/>
  </w:num>
  <w:num w:numId="31">
    <w:abstractNumId w:val="28"/>
  </w:num>
  <w:num w:numId="32">
    <w:abstractNumId w:val="24"/>
  </w:num>
  <w:num w:numId="33">
    <w:abstractNumId w:val="23"/>
  </w:num>
  <w:num w:numId="34">
    <w:abstractNumId w:val="1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C68"/>
    <w:rsid w:val="000036CC"/>
    <w:rsid w:val="00005A23"/>
    <w:rsid w:val="00017984"/>
    <w:rsid w:val="0002359C"/>
    <w:rsid w:val="0003018F"/>
    <w:rsid w:val="000360AB"/>
    <w:rsid w:val="00053986"/>
    <w:rsid w:val="00087D46"/>
    <w:rsid w:val="00096769"/>
    <w:rsid w:val="000B6017"/>
    <w:rsid w:val="000D11FA"/>
    <w:rsid w:val="000E2975"/>
    <w:rsid w:val="00102DE2"/>
    <w:rsid w:val="00122AB2"/>
    <w:rsid w:val="00123CEF"/>
    <w:rsid w:val="0013586C"/>
    <w:rsid w:val="001405D3"/>
    <w:rsid w:val="00145232"/>
    <w:rsid w:val="00153907"/>
    <w:rsid w:val="00165FAB"/>
    <w:rsid w:val="00176F47"/>
    <w:rsid w:val="00181B5B"/>
    <w:rsid w:val="001929E6"/>
    <w:rsid w:val="00197075"/>
    <w:rsid w:val="001C7A79"/>
    <w:rsid w:val="001E4183"/>
    <w:rsid w:val="001E6ECF"/>
    <w:rsid w:val="001E7387"/>
    <w:rsid w:val="00205743"/>
    <w:rsid w:val="00214238"/>
    <w:rsid w:val="0022770F"/>
    <w:rsid w:val="0023578D"/>
    <w:rsid w:val="002424E8"/>
    <w:rsid w:val="0025585A"/>
    <w:rsid w:val="00257E0B"/>
    <w:rsid w:val="002878F7"/>
    <w:rsid w:val="002B57DF"/>
    <w:rsid w:val="002B62C5"/>
    <w:rsid w:val="002C1B01"/>
    <w:rsid w:val="002D0C82"/>
    <w:rsid w:val="00306C2F"/>
    <w:rsid w:val="00307C64"/>
    <w:rsid w:val="003204B0"/>
    <w:rsid w:val="003608DE"/>
    <w:rsid w:val="00373FF7"/>
    <w:rsid w:val="003759B1"/>
    <w:rsid w:val="0038714D"/>
    <w:rsid w:val="003A1F81"/>
    <w:rsid w:val="003A5F7F"/>
    <w:rsid w:val="003B2BFC"/>
    <w:rsid w:val="003D23AF"/>
    <w:rsid w:val="003F0E20"/>
    <w:rsid w:val="00406059"/>
    <w:rsid w:val="00462A61"/>
    <w:rsid w:val="00467390"/>
    <w:rsid w:val="00484540"/>
    <w:rsid w:val="004923A3"/>
    <w:rsid w:val="004A2985"/>
    <w:rsid w:val="004A44DB"/>
    <w:rsid w:val="004A4B8C"/>
    <w:rsid w:val="004A6525"/>
    <w:rsid w:val="004B7185"/>
    <w:rsid w:val="004C3B18"/>
    <w:rsid w:val="004D0A26"/>
    <w:rsid w:val="004E0C68"/>
    <w:rsid w:val="004F21A8"/>
    <w:rsid w:val="0050329B"/>
    <w:rsid w:val="00534CC2"/>
    <w:rsid w:val="0054223F"/>
    <w:rsid w:val="00550039"/>
    <w:rsid w:val="00556D48"/>
    <w:rsid w:val="00597207"/>
    <w:rsid w:val="005B1B11"/>
    <w:rsid w:val="005B2FCA"/>
    <w:rsid w:val="0063048A"/>
    <w:rsid w:val="00635329"/>
    <w:rsid w:val="006364F5"/>
    <w:rsid w:val="00654A4A"/>
    <w:rsid w:val="006664BE"/>
    <w:rsid w:val="00682798"/>
    <w:rsid w:val="00685C0D"/>
    <w:rsid w:val="006B1A4F"/>
    <w:rsid w:val="006C3057"/>
    <w:rsid w:val="006E4EE2"/>
    <w:rsid w:val="00740E24"/>
    <w:rsid w:val="00783C69"/>
    <w:rsid w:val="007859CF"/>
    <w:rsid w:val="00790CD7"/>
    <w:rsid w:val="007953B2"/>
    <w:rsid w:val="00796D12"/>
    <w:rsid w:val="007A31C5"/>
    <w:rsid w:val="007B15E6"/>
    <w:rsid w:val="007C109A"/>
    <w:rsid w:val="007C6A12"/>
    <w:rsid w:val="007F717B"/>
    <w:rsid w:val="008003D5"/>
    <w:rsid w:val="00814E5A"/>
    <w:rsid w:val="00826CB2"/>
    <w:rsid w:val="00826DA7"/>
    <w:rsid w:val="008429BB"/>
    <w:rsid w:val="00864854"/>
    <w:rsid w:val="008709AD"/>
    <w:rsid w:val="00875C98"/>
    <w:rsid w:val="008C30A4"/>
    <w:rsid w:val="008D0B2D"/>
    <w:rsid w:val="008D1864"/>
    <w:rsid w:val="008E5D11"/>
    <w:rsid w:val="008F6C8E"/>
    <w:rsid w:val="00901432"/>
    <w:rsid w:val="00903356"/>
    <w:rsid w:val="00905D7C"/>
    <w:rsid w:val="009456FA"/>
    <w:rsid w:val="00960462"/>
    <w:rsid w:val="00962634"/>
    <w:rsid w:val="00972575"/>
    <w:rsid w:val="00990959"/>
    <w:rsid w:val="009C583E"/>
    <w:rsid w:val="009D644C"/>
    <w:rsid w:val="009F4716"/>
    <w:rsid w:val="009F55F0"/>
    <w:rsid w:val="00A13716"/>
    <w:rsid w:val="00A15FE6"/>
    <w:rsid w:val="00A24A0A"/>
    <w:rsid w:val="00A40CF0"/>
    <w:rsid w:val="00A52165"/>
    <w:rsid w:val="00A5609E"/>
    <w:rsid w:val="00A62AF7"/>
    <w:rsid w:val="00A7453F"/>
    <w:rsid w:val="00A8015B"/>
    <w:rsid w:val="00A8586B"/>
    <w:rsid w:val="00AB5AB5"/>
    <w:rsid w:val="00AC002C"/>
    <w:rsid w:val="00AC711E"/>
    <w:rsid w:val="00AF28B3"/>
    <w:rsid w:val="00AF7347"/>
    <w:rsid w:val="00B06DB9"/>
    <w:rsid w:val="00B1648C"/>
    <w:rsid w:val="00B25D41"/>
    <w:rsid w:val="00B4092C"/>
    <w:rsid w:val="00B42EC3"/>
    <w:rsid w:val="00B5757C"/>
    <w:rsid w:val="00B97C6D"/>
    <w:rsid w:val="00BE2B97"/>
    <w:rsid w:val="00BF7290"/>
    <w:rsid w:val="00C00DBA"/>
    <w:rsid w:val="00C368A9"/>
    <w:rsid w:val="00C54EE7"/>
    <w:rsid w:val="00C6659A"/>
    <w:rsid w:val="00C66B3C"/>
    <w:rsid w:val="00C753EB"/>
    <w:rsid w:val="00C84DD6"/>
    <w:rsid w:val="00C96853"/>
    <w:rsid w:val="00CB3E8E"/>
    <w:rsid w:val="00CC12AC"/>
    <w:rsid w:val="00CD2F9B"/>
    <w:rsid w:val="00CE65C5"/>
    <w:rsid w:val="00CF4BA2"/>
    <w:rsid w:val="00D02669"/>
    <w:rsid w:val="00D11F05"/>
    <w:rsid w:val="00D1414E"/>
    <w:rsid w:val="00D1703E"/>
    <w:rsid w:val="00D57161"/>
    <w:rsid w:val="00D66130"/>
    <w:rsid w:val="00DA2465"/>
    <w:rsid w:val="00DC556C"/>
    <w:rsid w:val="00DC5EF7"/>
    <w:rsid w:val="00DD2D72"/>
    <w:rsid w:val="00DD5026"/>
    <w:rsid w:val="00DD5140"/>
    <w:rsid w:val="00DE6929"/>
    <w:rsid w:val="00DF3F80"/>
    <w:rsid w:val="00E54242"/>
    <w:rsid w:val="00E6272C"/>
    <w:rsid w:val="00E6648C"/>
    <w:rsid w:val="00E846B0"/>
    <w:rsid w:val="00E918C4"/>
    <w:rsid w:val="00E94A02"/>
    <w:rsid w:val="00EA2D59"/>
    <w:rsid w:val="00EB47D3"/>
    <w:rsid w:val="00EB5E3E"/>
    <w:rsid w:val="00EC2B47"/>
    <w:rsid w:val="00F26376"/>
    <w:rsid w:val="00F31F43"/>
    <w:rsid w:val="00F37968"/>
    <w:rsid w:val="00F41258"/>
    <w:rsid w:val="00F53CB3"/>
    <w:rsid w:val="00F76CBD"/>
    <w:rsid w:val="00F91427"/>
    <w:rsid w:val="00F958E0"/>
    <w:rsid w:val="00FA09EC"/>
    <w:rsid w:val="00FE61F2"/>
    <w:rsid w:val="00FE70D6"/>
    <w:rsid w:val="00FE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9AB782"/>
  <w15:docId w15:val="{3CEFD3F8-0478-4B12-BAE7-D15C232B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Hyperlink0"/>
    <w:rsid w:val="0038714D"/>
    <w:rPr>
      <w:rFonts w:ascii="Arial" w:eastAsia="Arial" w:hAnsi="Arial" w:cs="Arial"/>
      <w:b/>
      <w:bCs/>
      <w:color w:val="0070C0"/>
      <w:sz w:val="20"/>
      <w:szCs w:val="20"/>
      <w:u w:val="single" w:color="0070C0"/>
      <w:shd w:val="clear" w:color="auto" w:fill="FFFFFF"/>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keepLines/>
      <w:tabs>
        <w:tab w:val="center" w:pos="4320"/>
        <w:tab w:val="right" w:pos="8640"/>
      </w:tabs>
      <w:spacing w:line="190" w:lineRule="atLeast"/>
    </w:pPr>
    <w:rPr>
      <w:rFonts w:cs="Arial Unicode MS"/>
      <w:caps/>
      <w:color w:val="000000"/>
      <w:sz w:val="15"/>
      <w:szCs w:val="15"/>
      <w:u w:color="000000"/>
    </w:rPr>
  </w:style>
  <w:style w:type="paragraph" w:customStyle="1" w:styleId="Body">
    <w:name w:val="Body"/>
    <w:rPr>
      <w:rFonts w:cs="Arial Unicode MS"/>
      <w:color w:val="000000"/>
      <w:sz w:val="24"/>
      <w:szCs w:val="24"/>
      <w:u w:color="000000"/>
    </w:rPr>
  </w:style>
  <w:style w:type="paragraph" w:customStyle="1" w:styleId="CompanyName">
    <w:name w:val="Company Name"/>
    <w:pPr>
      <w:keepNext/>
      <w:keepLines/>
      <w:spacing w:line="220" w:lineRule="atLeast"/>
    </w:pPr>
    <w:rPr>
      <w:rFonts w:ascii="Arial Black" w:eastAsia="Arial Black" w:hAnsi="Arial Black" w:cs="Arial Black"/>
      <w:b/>
      <w:bCs/>
      <w:color w:val="000000"/>
      <w:spacing w:val="-25"/>
      <w:kern w:val="28"/>
      <w:sz w:val="32"/>
      <w:szCs w:val="32"/>
      <w:u w:color="000000"/>
    </w:rPr>
  </w:style>
  <w:style w:type="paragraph" w:customStyle="1" w:styleId="ReturnAddress">
    <w:name w:val="Return Address"/>
    <w:pPr>
      <w:keepLines/>
      <w:tabs>
        <w:tab w:val="left" w:pos="2160"/>
      </w:tabs>
      <w:spacing w:line="160" w:lineRule="atLeast"/>
    </w:pPr>
    <w:rPr>
      <w:rFonts w:cs="Arial Unicode MS"/>
      <w:color w:val="000000"/>
      <w:sz w:val="14"/>
      <w:szCs w:val="14"/>
      <w:u w:color="000000"/>
    </w:rPr>
  </w:style>
  <w:style w:type="character" w:customStyle="1" w:styleId="Link">
    <w:name w:val="Link"/>
    <w:rPr>
      <w:color w:val="0000FF"/>
      <w:u w:val="single" w:color="0000FF"/>
    </w:rPr>
  </w:style>
  <w:style w:type="character" w:customStyle="1" w:styleId="Hyperlink0">
    <w:name w:val="Hyperlink.0"/>
    <w:basedOn w:val="DefaultParagraphFont"/>
    <w:rsid w:val="00F91427"/>
    <w:rPr>
      <w:rFonts w:ascii="Arial" w:eastAsia="Arial" w:hAnsi="Arial" w:cs="Arial"/>
      <w:b/>
      <w:bCs/>
      <w:color w:val="0070C0"/>
      <w:sz w:val="20"/>
      <w:szCs w:val="20"/>
      <w:shd w:val="clear" w:color="auto" w:fill="FFFFFF"/>
    </w:rPr>
  </w:style>
  <w:style w:type="character" w:customStyle="1" w:styleId="Hyperlink1">
    <w:name w:val="Hyperlink.1"/>
    <w:basedOn w:val="Hyperlink0"/>
    <w:rsid w:val="00740E24"/>
    <w:rPr>
      <w:rFonts w:ascii="Arial" w:eastAsia="Arial" w:hAnsi="Arial" w:cs="Arial"/>
      <w:b/>
      <w:bCs/>
      <w:color w:val="0070C0"/>
      <w:sz w:val="20"/>
      <w:szCs w:val="20"/>
      <w:u w:val="single" w:color="0070C0"/>
      <w:shd w:val="clear" w:color="auto" w:fill="FFFFFF"/>
    </w:rPr>
  </w:style>
  <w:style w:type="paragraph" w:styleId="ListParagraph">
    <w:name w:val="List Paragraph"/>
    <w:uiPriority w:val="34"/>
    <w:qFormat/>
    <w:pPr>
      <w:ind w:left="720"/>
    </w:pPr>
    <w:rPr>
      <w:rFonts w:ascii="Calibri" w:eastAsia="Calibri" w:hAnsi="Calibri" w:cs="Calibri"/>
      <w:color w:val="000000"/>
      <w:sz w:val="22"/>
      <w:szCs w:val="22"/>
      <w:u w:color="000000"/>
    </w:rPr>
  </w:style>
  <w:style w:type="character" w:customStyle="1" w:styleId="Hyperlink2">
    <w:name w:val="Hyperlink.2"/>
    <w:basedOn w:val="Hyperlink1"/>
    <w:rsid w:val="00740E24"/>
    <w:rPr>
      <w:rFonts w:ascii="Arial" w:eastAsia="Arial" w:hAnsi="Arial" w:cs="Arial"/>
      <w:b/>
      <w:bCs/>
      <w:color w:val="0070C0"/>
      <w:sz w:val="20"/>
      <w:szCs w:val="20"/>
      <w:u w:val="single" w:color="0070C0"/>
      <w:shd w:val="clear" w:color="auto" w:fill="FFFFFF"/>
    </w:rPr>
  </w:style>
  <w:style w:type="character" w:customStyle="1" w:styleId="Hyperlink3">
    <w:name w:val="Hyperlink.3"/>
    <w:basedOn w:val="Link"/>
    <w:rPr>
      <w:rFonts w:ascii="Arial" w:eastAsia="Arial" w:hAnsi="Arial" w:cs="Arial"/>
      <w:color w:val="0000FF"/>
      <w:u w:val="single" w:color="0000FF"/>
      <w:shd w:val="clear" w:color="auto" w:fill="FFFFFF"/>
      <w:lang w:val="en-US"/>
    </w:rPr>
  </w:style>
  <w:style w:type="character" w:customStyle="1" w:styleId="Hyperlink4">
    <w:name w:val="Hyperlink.4"/>
    <w:basedOn w:val="Link"/>
    <w:rPr>
      <w:rFonts w:ascii="Arial" w:eastAsia="Arial" w:hAnsi="Arial" w:cs="Arial"/>
      <w:b/>
      <w:bCs/>
      <w:color w:val="0070C0"/>
      <w:u w:val="single" w:color="0070C0"/>
      <w:shd w:val="clear" w:color="auto" w:fill="FFFFFF"/>
      <w:lang w:val="en-US"/>
    </w:rPr>
  </w:style>
  <w:style w:type="character" w:customStyle="1" w:styleId="Hyperlink5">
    <w:name w:val="Hyperlink.5"/>
    <w:basedOn w:val="Link"/>
    <w:rPr>
      <w:rFonts w:ascii="Arial" w:eastAsia="Arial" w:hAnsi="Arial" w:cs="Arial"/>
      <w:color w:val="0000FF"/>
      <w:u w:val="single" w:color="0000FF"/>
      <w:lang w:val="en-US"/>
    </w:rPr>
  </w:style>
  <w:style w:type="paragraph" w:styleId="NormalWeb">
    <w:name w:val="Normal (Web)"/>
    <w:basedOn w:val="Normal"/>
    <w:uiPriority w:val="99"/>
    <w:semiHidden/>
    <w:unhideWhenUsed/>
    <w:rsid w:val="00DD502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C96853"/>
    <w:rPr>
      <w:b/>
      <w:bCs/>
    </w:rPr>
  </w:style>
  <w:style w:type="paragraph" w:styleId="BodyText">
    <w:name w:val="Body Text"/>
    <w:basedOn w:val="Normal"/>
    <w:link w:val="BodyTextChar"/>
    <w:rsid w:val="009F55F0"/>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rPr>
  </w:style>
  <w:style w:type="character" w:customStyle="1" w:styleId="BodyTextChar">
    <w:name w:val="Body Text Char"/>
    <w:basedOn w:val="DefaultParagraphFont"/>
    <w:link w:val="BodyText"/>
    <w:rsid w:val="009F55F0"/>
    <w:rPr>
      <w:rFonts w:asciiTheme="minorHAnsi" w:eastAsiaTheme="minorHAnsi" w:hAnsiTheme="minorHAnsi" w:cstheme="minorBidi"/>
      <w:sz w:val="22"/>
      <w:szCs w:val="22"/>
      <w:bdr w:val="none" w:sz="0" w:space="0" w:color="auto"/>
    </w:rPr>
  </w:style>
  <w:style w:type="paragraph" w:styleId="ListNumber">
    <w:name w:val="List Number"/>
    <w:basedOn w:val="BodyText"/>
    <w:rsid w:val="009F55F0"/>
    <w:pPr>
      <w:numPr>
        <w:ilvl w:val="1"/>
        <w:numId w:val="11"/>
      </w:numPr>
      <w:spacing w:before="60"/>
    </w:pPr>
  </w:style>
  <w:style w:type="paragraph" w:styleId="ListNumber2">
    <w:name w:val="List Number 2"/>
    <w:basedOn w:val="ListNumber"/>
    <w:rsid w:val="009F55F0"/>
    <w:pPr>
      <w:numPr>
        <w:ilvl w:val="2"/>
      </w:numPr>
    </w:pPr>
  </w:style>
  <w:style w:type="paragraph" w:styleId="ListBullet5">
    <w:name w:val="List Bullet 5"/>
    <w:basedOn w:val="Normal"/>
    <w:uiPriority w:val="99"/>
    <w:semiHidden/>
    <w:rsid w:val="009F55F0"/>
    <w:pPr>
      <w:numPr>
        <w:numId w:val="10"/>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HAnsi" w:hAnsiTheme="minorHAnsi" w:cstheme="minorBidi"/>
      <w:sz w:val="22"/>
      <w:szCs w:val="22"/>
      <w:bdr w:val="none" w:sz="0" w:space="0" w:color="auto"/>
    </w:rPr>
  </w:style>
  <w:style w:type="paragraph" w:styleId="BalloonText">
    <w:name w:val="Balloon Text"/>
    <w:basedOn w:val="Normal"/>
    <w:link w:val="BalloonTextChar"/>
    <w:uiPriority w:val="99"/>
    <w:semiHidden/>
    <w:unhideWhenUsed/>
    <w:rsid w:val="00EA2D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2D59"/>
    <w:rPr>
      <w:rFonts w:ascii="Lucida Grande" w:hAnsi="Lucida Grande" w:cs="Lucida Grande"/>
      <w:sz w:val="18"/>
      <w:szCs w:val="18"/>
    </w:rPr>
  </w:style>
  <w:style w:type="character" w:styleId="CommentReference">
    <w:name w:val="annotation reference"/>
    <w:basedOn w:val="DefaultParagraphFont"/>
    <w:uiPriority w:val="99"/>
    <w:semiHidden/>
    <w:unhideWhenUsed/>
    <w:rsid w:val="00826CB2"/>
    <w:rPr>
      <w:sz w:val="16"/>
      <w:szCs w:val="16"/>
    </w:rPr>
  </w:style>
  <w:style w:type="paragraph" w:styleId="CommentText">
    <w:name w:val="annotation text"/>
    <w:basedOn w:val="Normal"/>
    <w:link w:val="CommentTextChar"/>
    <w:uiPriority w:val="99"/>
    <w:semiHidden/>
    <w:unhideWhenUsed/>
    <w:rsid w:val="00826CB2"/>
    <w:rPr>
      <w:sz w:val="20"/>
      <w:szCs w:val="20"/>
    </w:rPr>
  </w:style>
  <w:style w:type="character" w:customStyle="1" w:styleId="CommentTextChar">
    <w:name w:val="Comment Text Char"/>
    <w:basedOn w:val="DefaultParagraphFont"/>
    <w:link w:val="CommentText"/>
    <w:uiPriority w:val="99"/>
    <w:semiHidden/>
    <w:rsid w:val="00826CB2"/>
  </w:style>
  <w:style w:type="paragraph" w:styleId="CommentSubject">
    <w:name w:val="annotation subject"/>
    <w:basedOn w:val="CommentText"/>
    <w:next w:val="CommentText"/>
    <w:link w:val="CommentSubjectChar"/>
    <w:uiPriority w:val="99"/>
    <w:semiHidden/>
    <w:unhideWhenUsed/>
    <w:rsid w:val="00826CB2"/>
    <w:rPr>
      <w:b/>
      <w:bCs/>
    </w:rPr>
  </w:style>
  <w:style w:type="character" w:customStyle="1" w:styleId="CommentSubjectChar">
    <w:name w:val="Comment Subject Char"/>
    <w:basedOn w:val="CommentTextChar"/>
    <w:link w:val="CommentSubject"/>
    <w:uiPriority w:val="99"/>
    <w:semiHidden/>
    <w:rsid w:val="00826CB2"/>
    <w:rPr>
      <w:b/>
      <w:bCs/>
    </w:rPr>
  </w:style>
  <w:style w:type="character" w:styleId="FollowedHyperlink">
    <w:name w:val="FollowedHyperlink"/>
    <w:basedOn w:val="DefaultParagraphFont"/>
    <w:uiPriority w:val="99"/>
    <w:semiHidden/>
    <w:unhideWhenUsed/>
    <w:rsid w:val="00DA2465"/>
    <w:rPr>
      <w:color w:val="FF00FF" w:themeColor="followedHyperlink"/>
      <w:u w:val="single"/>
    </w:rPr>
  </w:style>
  <w:style w:type="character" w:customStyle="1" w:styleId="hp">
    <w:name w:val="hp"/>
    <w:basedOn w:val="DefaultParagraphFont"/>
    <w:rsid w:val="00307C64"/>
  </w:style>
  <w:style w:type="paragraph" w:customStyle="1" w:styleId="Default">
    <w:name w:val="Default"/>
    <w:rsid w:val="000B601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heme="minorHAnsi" w:hAnsi="Calibri" w:cs="Calibri"/>
      <w:color w:val="000000"/>
      <w:sz w:val="24"/>
      <w:szCs w:val="24"/>
      <w:bdr w:val="none" w:sz="0" w:space="0" w:color="auto"/>
    </w:rPr>
  </w:style>
  <w:style w:type="table" w:styleId="TableGrid">
    <w:name w:val="Table Grid"/>
    <w:basedOn w:val="TableNormal"/>
    <w:rsid w:val="004A44DB"/>
    <w:pPr>
      <w:pBdr>
        <w:top w:val="none" w:sz="0" w:space="0" w:color="auto"/>
        <w:left w:val="none" w:sz="0" w:space="0" w:color="auto"/>
        <w:bottom w:val="none" w:sz="0" w:space="0" w:color="auto"/>
        <w:right w:val="none" w:sz="0" w:space="0" w:color="auto"/>
        <w:between w:val="none" w:sz="0" w:space="0" w:color="auto"/>
        <w:bar w:val="none" w:sz="0" w:color="auto"/>
      </w:pBdr>
      <w:ind w:left="1080"/>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04020">
      <w:bodyDiv w:val="1"/>
      <w:marLeft w:val="0"/>
      <w:marRight w:val="0"/>
      <w:marTop w:val="0"/>
      <w:marBottom w:val="0"/>
      <w:divBdr>
        <w:top w:val="none" w:sz="0" w:space="0" w:color="auto"/>
        <w:left w:val="none" w:sz="0" w:space="0" w:color="auto"/>
        <w:bottom w:val="none" w:sz="0" w:space="0" w:color="auto"/>
        <w:right w:val="none" w:sz="0" w:space="0" w:color="auto"/>
      </w:divBdr>
      <w:divsChild>
        <w:div w:id="788352956">
          <w:marLeft w:val="0"/>
          <w:marRight w:val="0"/>
          <w:marTop w:val="0"/>
          <w:marBottom w:val="0"/>
          <w:divBdr>
            <w:top w:val="none" w:sz="0" w:space="0" w:color="auto"/>
            <w:left w:val="none" w:sz="0" w:space="0" w:color="auto"/>
            <w:bottom w:val="none" w:sz="0" w:space="0" w:color="auto"/>
            <w:right w:val="none" w:sz="0" w:space="0" w:color="auto"/>
          </w:divBdr>
          <w:divsChild>
            <w:div w:id="12740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54143">
      <w:bodyDiv w:val="1"/>
      <w:marLeft w:val="0"/>
      <w:marRight w:val="0"/>
      <w:marTop w:val="0"/>
      <w:marBottom w:val="0"/>
      <w:divBdr>
        <w:top w:val="none" w:sz="0" w:space="0" w:color="auto"/>
        <w:left w:val="none" w:sz="0" w:space="0" w:color="auto"/>
        <w:bottom w:val="none" w:sz="0" w:space="0" w:color="auto"/>
        <w:right w:val="none" w:sz="0" w:space="0" w:color="auto"/>
      </w:divBdr>
    </w:div>
    <w:div w:id="733282912">
      <w:bodyDiv w:val="1"/>
      <w:marLeft w:val="0"/>
      <w:marRight w:val="0"/>
      <w:marTop w:val="0"/>
      <w:marBottom w:val="0"/>
      <w:divBdr>
        <w:top w:val="none" w:sz="0" w:space="0" w:color="auto"/>
        <w:left w:val="none" w:sz="0" w:space="0" w:color="auto"/>
        <w:bottom w:val="none" w:sz="0" w:space="0" w:color="auto"/>
        <w:right w:val="none" w:sz="0" w:space="0" w:color="auto"/>
      </w:divBdr>
    </w:div>
    <w:div w:id="942348679">
      <w:bodyDiv w:val="1"/>
      <w:marLeft w:val="0"/>
      <w:marRight w:val="0"/>
      <w:marTop w:val="0"/>
      <w:marBottom w:val="0"/>
      <w:divBdr>
        <w:top w:val="none" w:sz="0" w:space="0" w:color="auto"/>
        <w:left w:val="none" w:sz="0" w:space="0" w:color="auto"/>
        <w:bottom w:val="none" w:sz="0" w:space="0" w:color="auto"/>
        <w:right w:val="none" w:sz="0" w:space="0" w:color="auto"/>
      </w:divBdr>
    </w:div>
    <w:div w:id="1153259252">
      <w:bodyDiv w:val="1"/>
      <w:marLeft w:val="0"/>
      <w:marRight w:val="0"/>
      <w:marTop w:val="0"/>
      <w:marBottom w:val="0"/>
      <w:divBdr>
        <w:top w:val="none" w:sz="0" w:space="0" w:color="auto"/>
        <w:left w:val="none" w:sz="0" w:space="0" w:color="auto"/>
        <w:bottom w:val="none" w:sz="0" w:space="0" w:color="auto"/>
        <w:right w:val="none" w:sz="0" w:space="0" w:color="auto"/>
      </w:divBdr>
    </w:div>
    <w:div w:id="1598292134">
      <w:bodyDiv w:val="1"/>
      <w:marLeft w:val="0"/>
      <w:marRight w:val="0"/>
      <w:marTop w:val="0"/>
      <w:marBottom w:val="0"/>
      <w:divBdr>
        <w:top w:val="none" w:sz="0" w:space="0" w:color="auto"/>
        <w:left w:val="none" w:sz="0" w:space="0" w:color="auto"/>
        <w:bottom w:val="none" w:sz="0" w:space="0" w:color="auto"/>
        <w:right w:val="none" w:sz="0" w:space="0" w:color="auto"/>
      </w:divBdr>
    </w:div>
    <w:div w:id="1744449599">
      <w:bodyDiv w:val="1"/>
      <w:marLeft w:val="0"/>
      <w:marRight w:val="0"/>
      <w:marTop w:val="0"/>
      <w:marBottom w:val="0"/>
      <w:divBdr>
        <w:top w:val="none" w:sz="0" w:space="0" w:color="auto"/>
        <w:left w:val="none" w:sz="0" w:space="0" w:color="auto"/>
        <w:bottom w:val="none" w:sz="0" w:space="0" w:color="auto"/>
        <w:right w:val="none" w:sz="0" w:space="0" w:color="auto"/>
      </w:divBdr>
    </w:div>
    <w:div w:id="1953854213">
      <w:bodyDiv w:val="1"/>
      <w:marLeft w:val="0"/>
      <w:marRight w:val="0"/>
      <w:marTop w:val="0"/>
      <w:marBottom w:val="0"/>
      <w:divBdr>
        <w:top w:val="none" w:sz="0" w:space="0" w:color="auto"/>
        <w:left w:val="none" w:sz="0" w:space="0" w:color="auto"/>
        <w:bottom w:val="none" w:sz="0" w:space="0" w:color="auto"/>
        <w:right w:val="none" w:sz="0" w:space="0" w:color="auto"/>
      </w:divBdr>
    </w:div>
    <w:div w:id="2056344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cwa.org/document/wetland-permitting-case-study-report-april-201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cwa.org/wp-content/uploads/2018/03/3-28-18-Final-CASA-SCAP-BACWA-SSS-WDR-Letter.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cwa.org/wp-content/uploads/2018/03/Water-and-Sanitation-Coalition-Comments-on-Hydrogen-Sulfide-MARCH-6-2018.pdf" TargetMode="External"/><Relationship Id="rId4" Type="http://schemas.openxmlformats.org/officeDocument/2006/relationships/settings" Target="settings.xml"/><Relationship Id="rId9" Type="http://schemas.openxmlformats.org/officeDocument/2006/relationships/hyperlink" Target="https://bacwa.org/document/ecwg-agenda-4-11-18/"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E0BD1-9C17-48DA-A0EE-30BB9870C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Pages>
  <Words>1064</Words>
  <Characters>6068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East Bay Municipal Utility District</Company>
  <LinksUpToDate>false</LinksUpToDate>
  <CharactersWithSpaces>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Lorien Fono</dc:creator>
  <cp:lastModifiedBy>Lorien Fono</cp:lastModifiedBy>
  <cp:revision>4</cp:revision>
  <dcterms:created xsi:type="dcterms:W3CDTF">2018-04-11T20:52:00Z</dcterms:created>
  <dcterms:modified xsi:type="dcterms:W3CDTF">2018-04-12T16:10:00Z</dcterms:modified>
</cp:coreProperties>
</file>