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265445">
        <w:trPr>
          <w:trHeight w:val="835"/>
        </w:trPr>
        <w:tc>
          <w:tcPr>
            <w:tcW w:w="3978" w:type="dxa"/>
          </w:tcPr>
          <w:p w:rsidR="000E1846" w:rsidRPr="00265445" w:rsidRDefault="000E1846" w:rsidP="00C57D4C">
            <w:pPr>
              <w:pStyle w:val="CompanyName"/>
              <w:spacing w:line="240" w:lineRule="auto"/>
              <w:ind w:left="180"/>
              <w:rPr>
                <w:rFonts w:ascii="Arial" w:hAnsi="Arial" w:cs="Arial"/>
                <w:szCs w:val="32"/>
              </w:rPr>
            </w:pPr>
            <w:bookmarkStart w:id="0" w:name="_GoBack"/>
            <w:bookmarkEnd w:id="0"/>
            <w:r w:rsidRPr="00265445">
              <w:rPr>
                <w:rFonts w:ascii="Arial" w:hAnsi="Arial" w:cs="Arial"/>
                <w:szCs w:val="32"/>
              </w:rPr>
              <w:t xml:space="preserve">Permits Committee – </w:t>
            </w:r>
          </w:p>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Report to BACWA Board</w:t>
            </w:r>
          </w:p>
        </w:tc>
        <w:tc>
          <w:tcPr>
            <w:tcW w:w="6480" w:type="dxa"/>
          </w:tcPr>
          <w:p w:rsidR="000E1846" w:rsidRPr="00265445" w:rsidRDefault="00DB504A"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Permits Committee Meeting on</w:t>
            </w:r>
            <w:r w:rsidR="000E1846" w:rsidRPr="00265445">
              <w:rPr>
                <w:rFonts w:cs="Arial"/>
                <w:sz w:val="22"/>
                <w:szCs w:val="22"/>
              </w:rPr>
              <w:t xml:space="preserve">: </w:t>
            </w:r>
            <w:r w:rsidR="00242DB2">
              <w:rPr>
                <w:rFonts w:cs="Arial"/>
                <w:sz w:val="22"/>
                <w:szCs w:val="22"/>
              </w:rPr>
              <w:t>2</w:t>
            </w:r>
            <w:r w:rsidR="001657E7" w:rsidRPr="00265445">
              <w:rPr>
                <w:rFonts w:cs="Arial"/>
                <w:sz w:val="22"/>
                <w:szCs w:val="22"/>
              </w:rPr>
              <w:t>/</w:t>
            </w:r>
            <w:r w:rsidR="00B17789">
              <w:rPr>
                <w:rFonts w:cs="Arial"/>
                <w:sz w:val="22"/>
                <w:szCs w:val="22"/>
              </w:rPr>
              <w:t>1</w:t>
            </w:r>
            <w:r w:rsidR="00242DB2">
              <w:rPr>
                <w:rFonts w:cs="Arial"/>
                <w:sz w:val="22"/>
                <w:szCs w:val="22"/>
              </w:rPr>
              <w:t>0</w:t>
            </w:r>
            <w:r w:rsidR="0035184E" w:rsidRPr="00265445">
              <w:rPr>
                <w:rFonts w:cs="Arial"/>
                <w:sz w:val="22"/>
                <w:szCs w:val="22"/>
              </w:rPr>
              <w:t>/</w:t>
            </w:r>
            <w:r w:rsidR="00EC0961" w:rsidRPr="00265445">
              <w:rPr>
                <w:rFonts w:cs="Arial"/>
                <w:sz w:val="22"/>
                <w:szCs w:val="22"/>
              </w:rPr>
              <w:t>1</w:t>
            </w:r>
            <w:r w:rsidR="00B17789">
              <w:rPr>
                <w:rFonts w:cs="Arial"/>
                <w:sz w:val="22"/>
                <w:szCs w:val="22"/>
              </w:rPr>
              <w:t>5</w:t>
            </w:r>
          </w:p>
          <w:p w:rsidR="008946B7" w:rsidRPr="00265445" w:rsidRDefault="000E1846"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Executive Board Meeting Date: </w:t>
            </w:r>
            <w:r w:rsidR="00B17789">
              <w:rPr>
                <w:rFonts w:cs="Arial"/>
                <w:sz w:val="22"/>
                <w:szCs w:val="22"/>
              </w:rPr>
              <w:t>2</w:t>
            </w:r>
            <w:r w:rsidR="00DD0B8A">
              <w:rPr>
                <w:rFonts w:cs="Arial"/>
                <w:sz w:val="22"/>
                <w:szCs w:val="22"/>
              </w:rPr>
              <w:t>/</w:t>
            </w:r>
            <w:r w:rsidR="004D51EE">
              <w:rPr>
                <w:rFonts w:cs="Arial"/>
                <w:sz w:val="22"/>
                <w:szCs w:val="22"/>
              </w:rPr>
              <w:t>2</w:t>
            </w:r>
            <w:r w:rsidR="00B17789">
              <w:rPr>
                <w:rFonts w:cs="Arial"/>
                <w:sz w:val="22"/>
                <w:szCs w:val="22"/>
              </w:rPr>
              <w:t>0</w:t>
            </w:r>
            <w:r w:rsidR="00893499" w:rsidRPr="00265445">
              <w:rPr>
                <w:rFonts w:cs="Arial"/>
                <w:sz w:val="22"/>
                <w:szCs w:val="22"/>
              </w:rPr>
              <w:t>/1</w:t>
            </w:r>
            <w:r w:rsidR="00B17789">
              <w:rPr>
                <w:rFonts w:cs="Arial"/>
                <w:sz w:val="22"/>
                <w:szCs w:val="22"/>
              </w:rPr>
              <w:t>5</w:t>
            </w:r>
          </w:p>
          <w:p w:rsidR="000E1846" w:rsidRPr="00265445" w:rsidRDefault="005302F1" w:rsidP="00F82EAD">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Committee Chair:   </w:t>
            </w:r>
            <w:r w:rsidR="00F82EAD">
              <w:rPr>
                <w:rFonts w:cs="Arial"/>
                <w:sz w:val="22"/>
                <w:szCs w:val="22"/>
              </w:rPr>
              <w:t xml:space="preserve">Meg </w:t>
            </w:r>
            <w:proofErr w:type="spellStart"/>
            <w:r w:rsidR="00F82EAD">
              <w:rPr>
                <w:rFonts w:cs="Arial"/>
                <w:sz w:val="22"/>
                <w:szCs w:val="22"/>
              </w:rPr>
              <w:t>Herston</w:t>
            </w:r>
            <w:proofErr w:type="spellEnd"/>
            <w:r w:rsidR="000E1846" w:rsidRPr="00265445">
              <w:rPr>
                <w:rFonts w:cs="Arial"/>
                <w:sz w:val="22"/>
                <w:szCs w:val="22"/>
              </w:rPr>
              <w:tab/>
            </w:r>
          </w:p>
        </w:tc>
      </w:tr>
    </w:tbl>
    <w:p w:rsidR="009E70B4" w:rsidRPr="00265445" w:rsidRDefault="000E1846" w:rsidP="000719DD">
      <w:pPr>
        <w:spacing w:before="120" w:after="120"/>
        <w:ind w:left="180"/>
        <w:rPr>
          <w:rFonts w:cs="Arial"/>
          <w:b/>
          <w:sz w:val="24"/>
          <w:szCs w:val="24"/>
        </w:rPr>
      </w:pPr>
      <w:r w:rsidRPr="00265445">
        <w:rPr>
          <w:rFonts w:cs="Arial"/>
          <w:b/>
          <w:sz w:val="24"/>
          <w:szCs w:val="24"/>
          <w:u w:val="single"/>
        </w:rPr>
        <w:t>Committee Request for Board Action</w:t>
      </w:r>
      <w:r w:rsidRPr="00265445">
        <w:rPr>
          <w:rFonts w:cs="Arial"/>
          <w:b/>
          <w:sz w:val="24"/>
          <w:szCs w:val="24"/>
        </w:rPr>
        <w:t xml:space="preserve">: </w:t>
      </w:r>
      <w:r w:rsidR="004024FC">
        <w:rPr>
          <w:rFonts w:cs="Arial"/>
          <w:b/>
          <w:sz w:val="24"/>
          <w:szCs w:val="24"/>
        </w:rPr>
        <w:t>None</w:t>
      </w:r>
    </w:p>
    <w:p w:rsidR="00B9150D" w:rsidRPr="00265445" w:rsidRDefault="004D51EE" w:rsidP="00F82EAD">
      <w:pPr>
        <w:ind w:left="180"/>
        <w:rPr>
          <w:rFonts w:cs="Arial"/>
          <w:b/>
          <w:sz w:val="24"/>
          <w:szCs w:val="24"/>
        </w:rPr>
      </w:pPr>
      <w:r>
        <w:rPr>
          <w:rFonts w:cs="Arial"/>
          <w:b/>
          <w:sz w:val="24"/>
          <w:szCs w:val="24"/>
        </w:rPr>
        <w:t>2</w:t>
      </w:r>
      <w:r w:rsidR="002A2051">
        <w:rPr>
          <w:rFonts w:cs="Arial"/>
          <w:b/>
          <w:sz w:val="24"/>
          <w:szCs w:val="24"/>
        </w:rPr>
        <w:t>1</w:t>
      </w:r>
      <w:r w:rsidR="009E70B4" w:rsidRPr="00265445">
        <w:rPr>
          <w:rFonts w:cs="Arial"/>
          <w:b/>
          <w:sz w:val="24"/>
          <w:szCs w:val="24"/>
        </w:rPr>
        <w:t xml:space="preserve"> attendees representing </w:t>
      </w:r>
      <w:r w:rsidR="00242DB2">
        <w:rPr>
          <w:rFonts w:cs="Arial"/>
          <w:b/>
          <w:sz w:val="24"/>
          <w:szCs w:val="24"/>
        </w:rPr>
        <w:t>12</w:t>
      </w:r>
      <w:r w:rsidR="009E70B4" w:rsidRPr="00265445">
        <w:rPr>
          <w:rFonts w:cs="Arial"/>
          <w:b/>
          <w:sz w:val="24"/>
          <w:szCs w:val="24"/>
        </w:rPr>
        <w:t xml:space="preserve"> BACWA member agencies</w:t>
      </w:r>
      <w:r w:rsidR="001B62B9">
        <w:rPr>
          <w:rFonts w:cs="Arial"/>
          <w:b/>
          <w:sz w:val="24"/>
          <w:szCs w:val="24"/>
        </w:rPr>
        <w:t xml:space="preserve"> </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265445" w:rsidTr="004243F0">
        <w:trPr>
          <w:cantSplit/>
          <w:trHeight w:val="161"/>
        </w:trPr>
        <w:tc>
          <w:tcPr>
            <w:tcW w:w="10530" w:type="dxa"/>
          </w:tcPr>
          <w:p w:rsidR="009E70B4" w:rsidRPr="00215FF7" w:rsidRDefault="009E70B4" w:rsidP="004243F0">
            <w:pPr>
              <w:ind w:left="0"/>
              <w:rPr>
                <w:rFonts w:cs="Arial"/>
                <w:b/>
              </w:rPr>
            </w:pPr>
            <w:r w:rsidRPr="00215FF7">
              <w:rPr>
                <w:rFonts w:cs="Arial"/>
                <w:b/>
              </w:rPr>
              <w:t xml:space="preserve">Adoption of Permits/Permit Amendments:  </w:t>
            </w:r>
          </w:p>
          <w:p w:rsidR="006E0365" w:rsidRDefault="00F47475" w:rsidP="0090305B">
            <w:pPr>
              <w:ind w:left="769" w:hanging="769"/>
              <w:rPr>
                <w:rFonts w:cs="Arial"/>
              </w:rPr>
            </w:pPr>
            <w:r>
              <w:rPr>
                <w:rFonts w:cs="Arial"/>
                <w:b/>
              </w:rPr>
              <w:t xml:space="preserve">March – </w:t>
            </w:r>
            <w:r>
              <w:rPr>
                <w:rFonts w:cs="Arial"/>
              </w:rPr>
              <w:t xml:space="preserve">Fairfield Suisun Sewer District </w:t>
            </w:r>
            <w:r w:rsidR="00242DB2">
              <w:rPr>
                <w:rFonts w:cs="Arial"/>
              </w:rPr>
              <w:t>–</w:t>
            </w:r>
            <w:r>
              <w:rPr>
                <w:rFonts w:cs="Arial"/>
              </w:rPr>
              <w:t xml:space="preserve"> </w:t>
            </w:r>
            <w:r w:rsidR="00242DB2">
              <w:rPr>
                <w:rFonts w:cs="Arial"/>
              </w:rPr>
              <w:t>BACWA submitted a</w:t>
            </w:r>
            <w:r w:rsidR="0090305B">
              <w:rPr>
                <w:rFonts w:cs="Arial"/>
                <w:sz w:val="22"/>
                <w:szCs w:val="22"/>
              </w:rPr>
              <w:t xml:space="preserve"> </w:t>
            </w:r>
            <w:hyperlink r:id="rId8" w:history="1">
              <w:r w:rsidR="0090305B" w:rsidRPr="00942A15">
                <w:rPr>
                  <w:rStyle w:val="Hyperlink"/>
                  <w:rFonts w:cs="Arial"/>
                  <w:sz w:val="22"/>
                  <w:szCs w:val="22"/>
                </w:rPr>
                <w:t>comment letter</w:t>
              </w:r>
            </w:hyperlink>
            <w:r w:rsidR="0090305B">
              <w:rPr>
                <w:rFonts w:cs="Arial"/>
              </w:rPr>
              <w:t xml:space="preserve"> asking for the removal of SSO language from the Fact Sheet of their TO</w:t>
            </w:r>
            <w:r w:rsidR="00F0742B">
              <w:rPr>
                <w:rFonts w:cs="Arial"/>
              </w:rPr>
              <w:t>, since their sewer system is covered by the State SSS WDR</w:t>
            </w:r>
            <w:r w:rsidR="0090305B">
              <w:rPr>
                <w:rFonts w:cs="Arial"/>
              </w:rPr>
              <w:t>. FSSD has not yet he</w:t>
            </w:r>
            <w:r w:rsidR="00F0742B">
              <w:rPr>
                <w:rFonts w:cs="Arial"/>
              </w:rPr>
              <w:t>ard back from their permit w</w:t>
            </w:r>
            <w:r w:rsidR="00D32D24">
              <w:rPr>
                <w:rFonts w:cs="Arial"/>
              </w:rPr>
              <w:t>r</w:t>
            </w:r>
            <w:r w:rsidR="00F0742B">
              <w:rPr>
                <w:rFonts w:cs="Arial"/>
              </w:rPr>
              <w:t>ite</w:t>
            </w:r>
            <w:r w:rsidR="0090305B">
              <w:rPr>
                <w:rFonts w:cs="Arial"/>
              </w:rPr>
              <w:t>r about whether the language will be removed.</w:t>
            </w:r>
          </w:p>
          <w:p w:rsidR="00F60A9E" w:rsidRDefault="0090305B" w:rsidP="00F8276D">
            <w:pPr>
              <w:ind w:left="769" w:hanging="769"/>
              <w:rPr>
                <w:rFonts w:cs="Arial"/>
              </w:rPr>
            </w:pPr>
            <w:r>
              <w:rPr>
                <w:rFonts w:cs="Arial"/>
                <w:b/>
              </w:rPr>
              <w:t xml:space="preserve">April (and beyond) – </w:t>
            </w:r>
            <w:r>
              <w:rPr>
                <w:rFonts w:cs="Arial"/>
              </w:rPr>
              <w:t xml:space="preserve">Las Gallinas Valley Sanitation District – Las Gallinas was given numeric chronic toxicity limits, in addition to triggers in their tentative order.  In calculating their limits, the Region water board granted them the </w:t>
            </w:r>
            <w:r w:rsidR="00025EAB">
              <w:rPr>
                <w:rFonts w:cs="Arial"/>
              </w:rPr>
              <w:t xml:space="preserve">same </w:t>
            </w:r>
            <w:r>
              <w:rPr>
                <w:rFonts w:cs="Arial"/>
              </w:rPr>
              <w:t xml:space="preserve">dilution </w:t>
            </w:r>
            <w:r w:rsidR="00025EAB">
              <w:rPr>
                <w:rFonts w:cs="Arial"/>
              </w:rPr>
              <w:t xml:space="preserve">they get </w:t>
            </w:r>
            <w:r>
              <w:rPr>
                <w:rFonts w:cs="Arial"/>
              </w:rPr>
              <w:t xml:space="preserve">for cyanide (3.25:1) resulting in limits of 2.7 </w:t>
            </w:r>
            <w:proofErr w:type="spellStart"/>
            <w:r>
              <w:rPr>
                <w:rFonts w:cs="Arial"/>
              </w:rPr>
              <w:t>TUc</w:t>
            </w:r>
            <w:proofErr w:type="spellEnd"/>
            <w:r>
              <w:rPr>
                <w:rFonts w:cs="Arial"/>
              </w:rPr>
              <w:t xml:space="preserve"> </w:t>
            </w:r>
            <w:proofErr w:type="spellStart"/>
            <w:r w:rsidR="00C23E88">
              <w:rPr>
                <w:rFonts w:cs="Arial"/>
              </w:rPr>
              <w:t>avg</w:t>
            </w:r>
            <w:proofErr w:type="spellEnd"/>
            <w:r w:rsidR="00C23E88">
              <w:rPr>
                <w:rFonts w:cs="Arial"/>
              </w:rPr>
              <w:t xml:space="preserve"> monthly</w:t>
            </w:r>
            <w:r>
              <w:rPr>
                <w:rFonts w:cs="Arial"/>
              </w:rPr>
              <w:t xml:space="preserve"> and 5.3 </w:t>
            </w:r>
            <w:proofErr w:type="spellStart"/>
            <w:r>
              <w:rPr>
                <w:rFonts w:cs="Arial"/>
              </w:rPr>
              <w:t>TUc</w:t>
            </w:r>
            <w:proofErr w:type="spellEnd"/>
            <w:r>
              <w:rPr>
                <w:rFonts w:cs="Arial"/>
              </w:rPr>
              <w:t xml:space="preserve"> max </w:t>
            </w:r>
            <w:r w:rsidR="00C23E88">
              <w:rPr>
                <w:rFonts w:cs="Arial"/>
              </w:rPr>
              <w:t>day</w:t>
            </w:r>
            <w:r>
              <w:rPr>
                <w:rFonts w:cs="Arial"/>
              </w:rPr>
              <w:t>.  Reasonable potential</w:t>
            </w:r>
            <w:r w:rsidR="00F60A9E">
              <w:rPr>
                <w:rFonts w:cs="Arial"/>
              </w:rPr>
              <w:t xml:space="preserve"> was determined q</w:t>
            </w:r>
            <w:r w:rsidR="00025EAB">
              <w:rPr>
                <w:rFonts w:cs="Arial"/>
              </w:rPr>
              <w:t>ualitatively based on 30 data points.  The one</w:t>
            </w:r>
            <w:r w:rsidR="00F60A9E">
              <w:rPr>
                <w:rFonts w:cs="Arial"/>
              </w:rPr>
              <w:t xml:space="preserve"> high toxicity value (8</w:t>
            </w:r>
            <w:r w:rsidR="00025EAB">
              <w:rPr>
                <w:rFonts w:cs="Arial"/>
              </w:rPr>
              <w:t xml:space="preserve"> </w:t>
            </w:r>
            <w:proofErr w:type="spellStart"/>
            <w:r w:rsidR="00F60A9E">
              <w:rPr>
                <w:rFonts w:cs="Arial"/>
              </w:rPr>
              <w:t>TUc</w:t>
            </w:r>
            <w:proofErr w:type="spellEnd"/>
            <w:r w:rsidR="00F60A9E">
              <w:rPr>
                <w:rFonts w:cs="Arial"/>
              </w:rPr>
              <w:t>) was used to confirm reasonable potential, although the agency says that it was likely a spurious hit.</w:t>
            </w:r>
            <w:r w:rsidR="00E54123">
              <w:rPr>
                <w:rFonts w:cs="Arial"/>
              </w:rPr>
              <w:t xml:space="preserve"> A key objection to the development of limits in the Las Gallinas permit is that it represents developing policy by permit. </w:t>
            </w:r>
            <w:r w:rsidR="00F60A9E">
              <w:rPr>
                <w:rFonts w:cs="Arial"/>
              </w:rPr>
              <w:t xml:space="preserve"> Other</w:t>
            </w:r>
            <w:r w:rsidR="00025EAB">
              <w:rPr>
                <w:rFonts w:cs="Arial"/>
              </w:rPr>
              <w:t xml:space="preserve"> (minor)</w:t>
            </w:r>
            <w:r w:rsidR="00F60A9E">
              <w:rPr>
                <w:rFonts w:cs="Arial"/>
              </w:rPr>
              <w:t xml:space="preserve"> issues in the Las Gallinas permit were language addressing historic blending and the rescinding of a CDO for copper compliance.</w:t>
            </w:r>
            <w:r w:rsidR="00F8276D">
              <w:rPr>
                <w:rFonts w:cs="Arial"/>
              </w:rPr>
              <w:t xml:space="preserve"> Further discussion about toxicity is below.</w:t>
            </w:r>
          </w:p>
          <w:p w:rsidR="00BE475E" w:rsidRDefault="00BE475E" w:rsidP="0090305B">
            <w:pPr>
              <w:ind w:left="769" w:hanging="769"/>
              <w:rPr>
                <w:rFonts w:cs="Arial"/>
              </w:rPr>
            </w:pPr>
          </w:p>
          <w:p w:rsidR="00BE475E" w:rsidRPr="0090305B" w:rsidRDefault="00BE475E" w:rsidP="00BE475E">
            <w:pPr>
              <w:ind w:left="769"/>
              <w:rPr>
                <w:rFonts w:cs="Arial"/>
              </w:rPr>
            </w:pPr>
            <w:r>
              <w:rPr>
                <w:rFonts w:cs="Arial"/>
              </w:rPr>
              <w:t>San Francisco Oceanside Plant and EBMUD</w:t>
            </w:r>
            <w:r w:rsidR="00DE77D1">
              <w:rPr>
                <w:rFonts w:cs="Arial"/>
              </w:rPr>
              <w:t>’s upcoming permits</w:t>
            </w:r>
            <w:r>
              <w:rPr>
                <w:rFonts w:cs="Arial"/>
              </w:rPr>
              <w:t xml:space="preserve"> were on the agenda but were not discussed at the meeting.</w:t>
            </w:r>
            <w:r w:rsidR="00DE77D1">
              <w:rPr>
                <w:rFonts w:cs="Arial"/>
              </w:rPr>
              <w:t xml:space="preserve"> Please see the January Board report for more information.</w:t>
            </w:r>
          </w:p>
        </w:tc>
      </w:tr>
      <w:tr w:rsidR="00BA06B1" w:rsidRPr="00265445" w:rsidTr="004243F0">
        <w:trPr>
          <w:cantSplit/>
          <w:trHeight w:val="161"/>
        </w:trPr>
        <w:tc>
          <w:tcPr>
            <w:tcW w:w="10530" w:type="dxa"/>
          </w:tcPr>
          <w:p w:rsidR="004A602F" w:rsidRPr="00215FF7" w:rsidRDefault="00F47475" w:rsidP="004A602F">
            <w:pPr>
              <w:ind w:left="0"/>
              <w:rPr>
                <w:rFonts w:cs="Arial"/>
                <w:b/>
                <w:spacing w:val="0"/>
              </w:rPr>
            </w:pPr>
            <w:r>
              <w:rPr>
                <w:rFonts w:cs="Arial"/>
                <w:b/>
              </w:rPr>
              <w:t>Toxicity</w:t>
            </w:r>
          </w:p>
          <w:p w:rsidR="00E40BE1" w:rsidRDefault="00F8276D" w:rsidP="00FA6B57">
            <w:pPr>
              <w:ind w:left="0"/>
              <w:rPr>
                <w:rFonts w:cs="Arial"/>
              </w:rPr>
            </w:pPr>
            <w:r>
              <w:rPr>
                <w:rFonts w:cs="Arial"/>
              </w:rPr>
              <w:t xml:space="preserve">Jim Ervin gave the </w:t>
            </w:r>
            <w:hyperlink r:id="rId9" w:history="1">
              <w:r w:rsidRPr="00025EAB">
                <w:rPr>
                  <w:rStyle w:val="Hyperlink"/>
                  <w:rFonts w:cs="Arial"/>
                </w:rPr>
                <w:t>presentation</w:t>
              </w:r>
            </w:hyperlink>
            <w:r>
              <w:rPr>
                <w:rFonts w:cs="Arial"/>
              </w:rPr>
              <w:t xml:space="preserve"> on toxicity that he had developed for the BACWA annual meeting. Two key points of the presentation are that</w:t>
            </w:r>
            <w:r w:rsidR="00025EAB">
              <w:rPr>
                <w:rFonts w:cs="Arial"/>
              </w:rPr>
              <w:t xml:space="preserve"> observed</w:t>
            </w:r>
            <w:r>
              <w:rPr>
                <w:rFonts w:cs="Arial"/>
              </w:rPr>
              <w:t xml:space="preserve"> toxicity is difficult to replicate and </w:t>
            </w:r>
            <w:r w:rsidR="00025EAB">
              <w:rPr>
                <w:rFonts w:cs="Arial"/>
              </w:rPr>
              <w:t>attribute to a specific toxicant</w:t>
            </w:r>
            <w:r>
              <w:rPr>
                <w:rFonts w:cs="Arial"/>
              </w:rPr>
              <w:t>.  Also,</w:t>
            </w:r>
            <w:r w:rsidR="00025EAB">
              <w:rPr>
                <w:rFonts w:cs="Arial"/>
              </w:rPr>
              <w:t xml:space="preserve"> his key closing message is that</w:t>
            </w:r>
            <w:r>
              <w:rPr>
                <w:rFonts w:cs="Arial"/>
              </w:rPr>
              <w:t xml:space="preserve"> although San Jose experiences ongoing low level toxicity, the health of the ecosystem downstream of their effluent is evidence that their effluent isn’t toxic in the receiving water.</w:t>
            </w:r>
          </w:p>
          <w:p w:rsidR="006E0365" w:rsidRPr="006E0365" w:rsidRDefault="00F8276D" w:rsidP="00025EAB">
            <w:pPr>
              <w:ind w:left="0"/>
              <w:rPr>
                <w:rFonts w:cs="Arial"/>
                <w:spacing w:val="0"/>
              </w:rPr>
            </w:pPr>
            <w:r>
              <w:rPr>
                <w:rFonts w:cs="Arial"/>
              </w:rPr>
              <w:t xml:space="preserve">Several BACWA members will be meeting with Dave Smith at the EPA to discuss the inclusion of numeric limits in permits moving forward. The committee discussed approaches to this meeting.  Lorien Fono will gather chronic toxicity data from shallow water dischargers and send an analysis of </w:t>
            </w:r>
            <w:r w:rsidR="00025EAB">
              <w:rPr>
                <w:rFonts w:cs="Arial"/>
              </w:rPr>
              <w:t>the data</w:t>
            </w:r>
            <w:r>
              <w:rPr>
                <w:rFonts w:cs="Arial"/>
              </w:rPr>
              <w:t xml:space="preserve"> to the team attending the meeting.</w:t>
            </w:r>
            <w:r w:rsidR="00E54123">
              <w:rPr>
                <w:rFonts w:cs="Arial"/>
              </w:rPr>
              <w:t xml:space="preserve"> If chronic toxicity limits are included in permits moving forward, the group discussed that it may be possible to do a similar reasonable potential analysis for acute toxicity and have acute toxicity limits removed from some permits.</w:t>
            </w:r>
          </w:p>
        </w:tc>
      </w:tr>
      <w:tr w:rsidR="00EB1D3D" w:rsidRPr="00265445" w:rsidTr="004243F0">
        <w:trPr>
          <w:cantSplit/>
          <w:trHeight w:val="161"/>
        </w:trPr>
        <w:tc>
          <w:tcPr>
            <w:tcW w:w="10530" w:type="dxa"/>
          </w:tcPr>
          <w:p w:rsidR="00EB1D3D" w:rsidRDefault="00546FF9" w:rsidP="004A602F">
            <w:pPr>
              <w:ind w:left="0"/>
              <w:rPr>
                <w:rFonts w:cs="Arial"/>
                <w:b/>
              </w:rPr>
            </w:pPr>
            <w:r>
              <w:rPr>
                <w:rFonts w:cs="Arial"/>
                <w:b/>
              </w:rPr>
              <w:t>Nutrients</w:t>
            </w:r>
          </w:p>
          <w:p w:rsidR="00DF1333" w:rsidRPr="00DE77D1" w:rsidRDefault="00E54123" w:rsidP="00571DC9">
            <w:pPr>
              <w:ind w:left="0"/>
              <w:rPr>
                <w:rFonts w:cs="Arial"/>
              </w:rPr>
            </w:pPr>
            <w:r w:rsidRPr="00DE77D1">
              <w:rPr>
                <w:rFonts w:cs="Arial"/>
              </w:rPr>
              <w:t>The group did not discuss nutrients</w:t>
            </w:r>
            <w:r w:rsidR="00025EAB">
              <w:rPr>
                <w:rFonts w:cs="Arial"/>
              </w:rPr>
              <w:t xml:space="preserve"> at the meeting</w:t>
            </w:r>
            <w:r w:rsidRPr="00DE77D1">
              <w:rPr>
                <w:rFonts w:cs="Arial"/>
              </w:rPr>
              <w:t xml:space="preserve">, but Meg </w:t>
            </w:r>
            <w:proofErr w:type="spellStart"/>
            <w:r w:rsidRPr="00DE77D1">
              <w:rPr>
                <w:rFonts w:cs="Arial"/>
              </w:rPr>
              <w:t>Herston</w:t>
            </w:r>
            <w:proofErr w:type="spellEnd"/>
            <w:r w:rsidRPr="00DE77D1">
              <w:rPr>
                <w:rFonts w:cs="Arial"/>
              </w:rPr>
              <w:t xml:space="preserve"> pointed out that updates were provided as links in the agenda as follows:</w:t>
            </w:r>
          </w:p>
          <w:p w:rsidR="00E54123" w:rsidRPr="00DE77D1" w:rsidRDefault="00E54123" w:rsidP="00E54123">
            <w:pPr>
              <w:numPr>
                <w:ilvl w:val="1"/>
                <w:numId w:val="12"/>
              </w:numPr>
            </w:pPr>
            <w:r w:rsidRPr="00DE77D1">
              <w:t xml:space="preserve">Regional Water Board </w:t>
            </w:r>
            <w:hyperlink r:id="rId10" w:history="1">
              <w:r w:rsidRPr="00DE77D1">
                <w:rPr>
                  <w:rStyle w:val="Hyperlink"/>
                </w:rPr>
                <w:t>conditional acceptance</w:t>
              </w:r>
            </w:hyperlink>
            <w:r w:rsidRPr="00DE77D1">
              <w:t xml:space="preserve"> of Scoping and Evaluation Plan, and BACWA </w:t>
            </w:r>
            <w:hyperlink r:id="rId11" w:history="1">
              <w:r w:rsidRPr="00DE77D1">
                <w:rPr>
                  <w:rStyle w:val="Hyperlink"/>
                </w:rPr>
                <w:t>response</w:t>
              </w:r>
            </w:hyperlink>
          </w:p>
          <w:p w:rsidR="00E54123" w:rsidRPr="00DE77D1" w:rsidRDefault="003057CA" w:rsidP="00E54123">
            <w:pPr>
              <w:numPr>
                <w:ilvl w:val="1"/>
                <w:numId w:val="12"/>
              </w:numPr>
            </w:pPr>
            <w:hyperlink r:id="rId12" w:history="1">
              <w:r w:rsidR="00E54123" w:rsidRPr="00DE77D1">
                <w:rPr>
                  <w:rStyle w:val="Hyperlink"/>
                </w:rPr>
                <w:t>Survey</w:t>
              </w:r>
            </w:hyperlink>
            <w:r w:rsidR="00E54123" w:rsidRPr="00DE77D1">
              <w:t xml:space="preserve"> </w:t>
            </w:r>
          </w:p>
          <w:p w:rsidR="00E54123" w:rsidRPr="00DE77D1" w:rsidRDefault="00E54123" w:rsidP="00E54123">
            <w:pPr>
              <w:numPr>
                <w:ilvl w:val="1"/>
                <w:numId w:val="12"/>
              </w:numPr>
            </w:pPr>
            <w:r w:rsidRPr="00DE77D1">
              <w:t xml:space="preserve">Report-out from February 9 Nutrient Management Strategy </w:t>
            </w:r>
            <w:hyperlink r:id="rId13" w:history="1">
              <w:r w:rsidRPr="00DE77D1">
                <w:rPr>
                  <w:rStyle w:val="Hyperlink"/>
                </w:rPr>
                <w:t>Steering Committee</w:t>
              </w:r>
            </w:hyperlink>
          </w:p>
          <w:p w:rsidR="00E54123" w:rsidRPr="00E54123" w:rsidRDefault="003057CA" w:rsidP="00E54123">
            <w:pPr>
              <w:numPr>
                <w:ilvl w:val="1"/>
                <w:numId w:val="12"/>
              </w:numPr>
              <w:rPr>
                <w:sz w:val="22"/>
                <w:szCs w:val="22"/>
              </w:rPr>
            </w:pPr>
            <w:hyperlink r:id="rId14" w:history="1">
              <w:r w:rsidR="00E54123" w:rsidRPr="00DE77D1">
                <w:rPr>
                  <w:rStyle w:val="Hyperlink"/>
                </w:rPr>
                <w:t>Interim Science Plan Submitted</w:t>
              </w:r>
            </w:hyperlink>
            <w:r w:rsidR="00E54123" w:rsidRPr="00DE77D1">
              <w:t xml:space="preserve"> for permit compliance</w:t>
            </w:r>
          </w:p>
        </w:tc>
      </w:tr>
      <w:tr w:rsidR="009E70B4" w:rsidRPr="00265445" w:rsidTr="004243F0">
        <w:trPr>
          <w:cantSplit/>
          <w:trHeight w:val="161"/>
        </w:trPr>
        <w:tc>
          <w:tcPr>
            <w:tcW w:w="10530" w:type="dxa"/>
          </w:tcPr>
          <w:p w:rsidR="009E70B4" w:rsidRPr="006950DD" w:rsidRDefault="00E54123" w:rsidP="004243F0">
            <w:pPr>
              <w:ind w:left="0"/>
              <w:rPr>
                <w:rFonts w:cs="Arial"/>
                <w:spacing w:val="0"/>
              </w:rPr>
            </w:pPr>
            <w:r>
              <w:rPr>
                <w:rFonts w:cs="Arial"/>
                <w:b/>
              </w:rPr>
              <w:t>Chlorine limitations</w:t>
            </w:r>
          </w:p>
          <w:p w:rsidR="004B1E43" w:rsidRPr="00021A24" w:rsidRDefault="00746583" w:rsidP="00746583">
            <w:pPr>
              <w:autoSpaceDE w:val="0"/>
              <w:autoSpaceDN w:val="0"/>
              <w:adjustRightInd w:val="0"/>
              <w:ind w:left="0"/>
              <w:rPr>
                <w:rFonts w:cs="Arial"/>
              </w:rPr>
            </w:pPr>
            <w:r>
              <w:rPr>
                <w:rFonts w:cs="Arial"/>
              </w:rPr>
              <w:t>Mike Connor is seeking feedback from other deep water dischargers on a strategy to change how chlorine residual is permitted. Agencies are overdosing their effluent with bisulfite to avoid chlorine residual violations, thereby impacting DO in the Bay. It would make more sense to take actual chlorine toxicity and its dissipation rate into consideration when setting limits.</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6950DD" w:rsidRDefault="009E70B4" w:rsidP="004243F0">
            <w:pPr>
              <w:ind w:left="0"/>
              <w:rPr>
                <w:rFonts w:cs="Arial"/>
                <w:b/>
              </w:rPr>
            </w:pPr>
            <w:r w:rsidRPr="006950DD">
              <w:rPr>
                <w:rFonts w:cs="Arial"/>
                <w:b/>
              </w:rPr>
              <w:t>Informational Items/Announcements</w:t>
            </w:r>
          </w:p>
          <w:p w:rsidR="00E54123" w:rsidRPr="00DE77D1" w:rsidRDefault="00E54123" w:rsidP="00E54123">
            <w:pPr>
              <w:numPr>
                <w:ilvl w:val="1"/>
                <w:numId w:val="20"/>
              </w:numPr>
              <w:rPr>
                <w:rStyle w:val="Hyperlink"/>
                <w:rFonts w:cs="Arial"/>
                <w:color w:val="auto"/>
                <w:u w:val="none"/>
              </w:rPr>
            </w:pPr>
            <w:r w:rsidRPr="00DE77D1">
              <w:rPr>
                <w:rStyle w:val="Hyperlink"/>
                <w:rFonts w:cs="Arial"/>
                <w:color w:val="auto"/>
                <w:u w:val="none"/>
              </w:rPr>
              <w:t>Federal Dental Amalgam Rule CASA comment letter</w:t>
            </w:r>
            <w:r w:rsidR="00DE77D1">
              <w:rPr>
                <w:rStyle w:val="Hyperlink"/>
                <w:rFonts w:cs="Arial"/>
                <w:color w:val="auto"/>
                <w:u w:val="none"/>
              </w:rPr>
              <w:t>, due February 20.  Tim Potter is BACWA lia</w:t>
            </w:r>
            <w:r w:rsidR="00D32D24">
              <w:rPr>
                <w:rStyle w:val="Hyperlink"/>
                <w:rFonts w:cs="Arial"/>
                <w:color w:val="auto"/>
                <w:u w:val="none"/>
              </w:rPr>
              <w:t>i</w:t>
            </w:r>
            <w:r w:rsidR="00DE77D1">
              <w:rPr>
                <w:rStyle w:val="Hyperlink"/>
                <w:rFonts w:cs="Arial"/>
                <w:color w:val="auto"/>
                <w:u w:val="none"/>
              </w:rPr>
              <w:t>son.</w:t>
            </w:r>
          </w:p>
          <w:p w:rsidR="00E54123" w:rsidRPr="00DE77D1" w:rsidRDefault="00E54123" w:rsidP="00E54123">
            <w:pPr>
              <w:numPr>
                <w:ilvl w:val="1"/>
                <w:numId w:val="20"/>
              </w:numPr>
              <w:rPr>
                <w:rStyle w:val="Hyperlink"/>
                <w:rFonts w:cs="Arial"/>
                <w:color w:val="auto"/>
                <w:u w:val="none"/>
              </w:rPr>
            </w:pPr>
            <w:r w:rsidRPr="00DE77D1">
              <w:rPr>
                <w:rStyle w:val="Hyperlink"/>
                <w:rFonts w:cs="Arial"/>
                <w:color w:val="auto"/>
                <w:u w:val="none"/>
              </w:rPr>
              <w:t>Risk Reduction update</w:t>
            </w:r>
            <w:r w:rsidR="00DE77D1">
              <w:rPr>
                <w:rStyle w:val="Hyperlink"/>
                <w:rFonts w:cs="Arial"/>
                <w:color w:val="auto"/>
                <w:u w:val="none"/>
              </w:rPr>
              <w:t xml:space="preserve"> – Regional Water Board has asked BACWA to work directly with community-based organizations and fund risk reduction work. </w:t>
            </w:r>
          </w:p>
          <w:p w:rsidR="00E54123" w:rsidRDefault="00E54123" w:rsidP="00E54123">
            <w:pPr>
              <w:numPr>
                <w:ilvl w:val="1"/>
                <w:numId w:val="20"/>
              </w:numPr>
              <w:rPr>
                <w:rStyle w:val="Hyperlink"/>
                <w:rFonts w:cs="Arial"/>
                <w:color w:val="auto"/>
                <w:u w:val="none"/>
              </w:rPr>
            </w:pPr>
            <w:r w:rsidRPr="00DE77D1">
              <w:rPr>
                <w:rStyle w:val="Hyperlink"/>
                <w:rFonts w:cs="Arial"/>
                <w:color w:val="auto"/>
                <w:u w:val="none"/>
              </w:rPr>
              <w:t>AIR committee to be integrated into BACWA as regular committee, meetings will be open to all BACWA members</w:t>
            </w:r>
          </w:p>
          <w:p w:rsidR="00CC576E" w:rsidRPr="00DE77D1" w:rsidRDefault="00DE77D1" w:rsidP="00C23E88">
            <w:pPr>
              <w:numPr>
                <w:ilvl w:val="1"/>
                <w:numId w:val="20"/>
              </w:numPr>
              <w:rPr>
                <w:rFonts w:cs="Arial"/>
              </w:rPr>
            </w:pPr>
            <w:r>
              <w:rPr>
                <w:rStyle w:val="Hyperlink"/>
                <w:rFonts w:cs="Arial"/>
                <w:color w:val="auto"/>
                <w:u w:val="none"/>
              </w:rPr>
              <w:t xml:space="preserve">CASA is </w:t>
            </w:r>
            <w:r w:rsidR="00C23E88">
              <w:rPr>
                <w:rStyle w:val="Hyperlink"/>
                <w:rFonts w:cs="Arial"/>
                <w:color w:val="auto"/>
                <w:u w:val="none"/>
              </w:rPr>
              <w:t xml:space="preserve">soliciting </w:t>
            </w:r>
            <w:r>
              <w:rPr>
                <w:rStyle w:val="Hyperlink"/>
                <w:rFonts w:cs="Arial"/>
                <w:color w:val="auto"/>
                <w:u w:val="none"/>
              </w:rPr>
              <w:t xml:space="preserve">specific requests for monitoring </w:t>
            </w:r>
            <w:r w:rsidR="00C23E88">
              <w:rPr>
                <w:rStyle w:val="Hyperlink"/>
                <w:rFonts w:cs="Arial"/>
                <w:color w:val="auto"/>
                <w:u w:val="none"/>
              </w:rPr>
              <w:t xml:space="preserve">and reporting </w:t>
            </w:r>
            <w:r>
              <w:rPr>
                <w:rStyle w:val="Hyperlink"/>
                <w:rFonts w:cs="Arial"/>
                <w:color w:val="auto"/>
                <w:u w:val="none"/>
              </w:rPr>
              <w:t>reductions as part of the resource alignment</w:t>
            </w:r>
            <w:r w:rsidR="00C23E88">
              <w:rPr>
                <w:rStyle w:val="Hyperlink"/>
                <w:rFonts w:cs="Arial"/>
                <w:color w:val="auto"/>
                <w:u w:val="none"/>
              </w:rPr>
              <w:t>/cost of compliance</w:t>
            </w:r>
            <w:r>
              <w:rPr>
                <w:rStyle w:val="Hyperlink"/>
                <w:rFonts w:cs="Arial"/>
                <w:color w:val="auto"/>
                <w:u w:val="none"/>
              </w:rPr>
              <w:t xml:space="preserve"> effort</w:t>
            </w:r>
            <w:r w:rsidR="00C23E88">
              <w:rPr>
                <w:rStyle w:val="Hyperlink"/>
                <w:rFonts w:cs="Arial"/>
                <w:color w:val="auto"/>
                <w:u w:val="none"/>
              </w:rPr>
              <w:t>.  Amanda Roa will send out additional information.</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6950DD" w:rsidRDefault="009E70B4" w:rsidP="00F47475">
            <w:pPr>
              <w:spacing w:before="60"/>
              <w:ind w:left="0"/>
              <w:rPr>
                <w:rFonts w:cs="Arial"/>
                <w:b/>
                <w:i/>
              </w:rPr>
            </w:pPr>
            <w:r w:rsidRPr="006950DD">
              <w:rPr>
                <w:rFonts w:cs="Arial"/>
                <w:b/>
              </w:rPr>
              <w:t xml:space="preserve">Next BACWA Permits Committee Meeting:  </w:t>
            </w:r>
            <w:r w:rsidRPr="006950DD">
              <w:rPr>
                <w:rFonts w:cs="Arial"/>
              </w:rPr>
              <w:t xml:space="preserve">Tuesday, </w:t>
            </w:r>
            <w:r w:rsidR="00F47475">
              <w:rPr>
                <w:rFonts w:cs="Arial"/>
              </w:rPr>
              <w:t>March</w:t>
            </w:r>
            <w:r w:rsidR="0015521C">
              <w:rPr>
                <w:rFonts w:cs="Arial"/>
              </w:rPr>
              <w:t xml:space="preserve"> 10</w:t>
            </w:r>
            <w:r w:rsidRPr="006950DD">
              <w:rPr>
                <w:rFonts w:cs="Arial"/>
              </w:rPr>
              <w:t>, 201</w:t>
            </w:r>
            <w:r w:rsidR="00F61DF5" w:rsidRPr="006950DD">
              <w:rPr>
                <w:rFonts w:cs="Arial"/>
              </w:rPr>
              <w:t>4</w:t>
            </w:r>
            <w:r w:rsidRPr="006950DD">
              <w:rPr>
                <w:rFonts w:cs="Arial"/>
              </w:rPr>
              <w:t>, at EBMUD Plant Library</w:t>
            </w:r>
            <w:r w:rsidR="00F47475">
              <w:rPr>
                <w:rFonts w:cs="Arial"/>
              </w:rPr>
              <w:t>, Regional Water Board Staff to attend</w:t>
            </w:r>
          </w:p>
        </w:tc>
      </w:tr>
    </w:tbl>
    <w:p w:rsidR="000E1846" w:rsidRPr="00265445" w:rsidRDefault="000E1846" w:rsidP="003A1C9C">
      <w:pPr>
        <w:ind w:left="0"/>
        <w:rPr>
          <w:rFonts w:cs="Arial"/>
        </w:rPr>
      </w:pPr>
    </w:p>
    <w:sectPr w:rsidR="000E1846" w:rsidRPr="00265445" w:rsidSect="004931F3">
      <w:footerReference w:type="even" r:id="rId15"/>
      <w:footerReference w:type="default" r:id="rId16"/>
      <w:headerReference w:type="first" r:id="rId17"/>
      <w:footerReference w:type="first" r:id="rId18"/>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7CA" w:rsidRDefault="003057CA">
      <w:r>
        <w:separator/>
      </w:r>
    </w:p>
  </w:endnote>
  <w:endnote w:type="continuationSeparator" w:id="0">
    <w:p w:rsidR="003057CA" w:rsidRDefault="0030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D1" w:rsidRDefault="00DE7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E77D1" w:rsidRDefault="00DE77D1">
    <w:pPr>
      <w:ind w:left="-1080"/>
    </w:pPr>
  </w:p>
  <w:p w:rsidR="00DE77D1" w:rsidRDefault="00DE77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D1" w:rsidRPr="00944BEA" w:rsidRDefault="00DE77D1"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CD5522">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D1" w:rsidRDefault="00DE77D1">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7CA" w:rsidRDefault="003057CA">
      <w:r>
        <w:separator/>
      </w:r>
    </w:p>
  </w:footnote>
  <w:footnote w:type="continuationSeparator" w:id="0">
    <w:p w:rsidR="003057CA" w:rsidRDefault="00305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7D1" w:rsidRDefault="00DE77D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98C5B2"/>
    <w:lvl w:ilvl="0">
      <w:numFmt w:val="decimal"/>
      <w:pStyle w:val="Caption"/>
      <w:lvlText w:val="*"/>
      <w:lvlJc w:val="left"/>
    </w:lvl>
  </w:abstractNum>
  <w:abstractNum w:abstractNumId="1">
    <w:nsid w:val="07144753"/>
    <w:multiLevelType w:val="hybridMultilevel"/>
    <w:tmpl w:val="E278DC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4659A"/>
    <w:multiLevelType w:val="hybridMultilevel"/>
    <w:tmpl w:val="1A720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86CC2"/>
    <w:multiLevelType w:val="hybridMultilevel"/>
    <w:tmpl w:val="49A00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43077"/>
    <w:multiLevelType w:val="hybridMultilevel"/>
    <w:tmpl w:val="F3663D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1053B0"/>
    <w:multiLevelType w:val="hybridMultilevel"/>
    <w:tmpl w:val="DC241388"/>
    <w:lvl w:ilvl="0" w:tplc="B782824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C7827"/>
    <w:multiLevelType w:val="hybridMultilevel"/>
    <w:tmpl w:val="9D3C8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2463C"/>
    <w:multiLevelType w:val="hybridMultilevel"/>
    <w:tmpl w:val="675A5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50851"/>
    <w:multiLevelType w:val="hybridMultilevel"/>
    <w:tmpl w:val="7A7A1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D04A9"/>
    <w:multiLevelType w:val="hybridMultilevel"/>
    <w:tmpl w:val="009CB7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2191E"/>
    <w:multiLevelType w:val="hybridMultilevel"/>
    <w:tmpl w:val="4F087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37C8C"/>
    <w:multiLevelType w:val="hybridMultilevel"/>
    <w:tmpl w:val="B12EC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175B"/>
    <w:multiLevelType w:val="hybridMultilevel"/>
    <w:tmpl w:val="330CD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D74E4"/>
    <w:multiLevelType w:val="multilevel"/>
    <w:tmpl w:val="D04CB006"/>
    <w:lvl w:ilvl="0">
      <w:start w:val="1"/>
      <w:numFmt w:val="upperRoman"/>
      <w:lvlText w:val="%1."/>
      <w:lvlJc w:val="left"/>
      <w:pPr>
        <w:tabs>
          <w:tab w:val="num" w:pos="720"/>
        </w:tabs>
        <w:ind w:left="720" w:hanging="720"/>
      </w:pPr>
      <w:rPr>
        <w:rFonts w:ascii="Arial" w:hAnsi="Arial" w:cs="Arial"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5">
    <w:nsid w:val="4E136569"/>
    <w:multiLevelType w:val="hybridMultilevel"/>
    <w:tmpl w:val="4E3A7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7732F4"/>
    <w:multiLevelType w:val="hybridMultilevel"/>
    <w:tmpl w:val="6866945E"/>
    <w:lvl w:ilvl="0" w:tplc="CA967276">
      <w:start w:val="1"/>
      <w:numFmt w:val="decimal"/>
      <w:lvlText w:val="%1)"/>
      <w:lvlJc w:val="left"/>
      <w:pPr>
        <w:tabs>
          <w:tab w:val="num" w:pos="735"/>
        </w:tabs>
        <w:ind w:left="735" w:hanging="375"/>
      </w:pPr>
      <w:rPr>
        <w:rFonts w:hint="default"/>
        <w:b/>
      </w:rPr>
    </w:lvl>
    <w:lvl w:ilvl="1" w:tplc="5BB6CEEC">
      <w:start w:val="1"/>
      <w:numFmt w:val="lowerLetter"/>
      <w:lvlText w:val="%2."/>
      <w:lvlJc w:val="left"/>
      <w:pPr>
        <w:tabs>
          <w:tab w:val="num" w:pos="1080"/>
        </w:tabs>
        <w:ind w:left="1080" w:hanging="360"/>
      </w:pPr>
      <w:rPr>
        <w:rFonts w:ascii="Tahoma" w:eastAsia="Batang" w:hAnsi="Tahoma" w:cs="Tahoma"/>
      </w:rPr>
    </w:lvl>
    <w:lvl w:ilvl="2" w:tplc="04021BE8">
      <w:start w:val="1"/>
      <w:numFmt w:val="lowerLetter"/>
      <w:lvlText w:val="%3."/>
      <w:lvlJc w:val="right"/>
      <w:pPr>
        <w:tabs>
          <w:tab w:val="num" w:pos="1800"/>
        </w:tabs>
        <w:ind w:left="1800" w:hanging="180"/>
      </w:pPr>
      <w:rPr>
        <w:rFonts w:ascii="Tahoma" w:eastAsia="Batang" w:hAnsi="Tahoma" w:cs="Tahoma"/>
      </w:rPr>
    </w:lvl>
    <w:lvl w:ilvl="3" w:tplc="6E3C759A">
      <w:start w:val="1"/>
      <w:numFmt w:val="lowerRoman"/>
      <w:lvlText w:val="%4."/>
      <w:lvlJc w:val="left"/>
      <w:pPr>
        <w:tabs>
          <w:tab w:val="num" w:pos="1440"/>
        </w:tabs>
        <w:ind w:left="1440" w:hanging="360"/>
      </w:pPr>
      <w:rPr>
        <w:rFonts w:ascii="Tahoma" w:eastAsia="Batang" w:hAnsi="Tahoma" w:cs="Tahoma"/>
        <w:b w:val="0"/>
      </w:rPr>
    </w:lvl>
    <w:lvl w:ilvl="4" w:tplc="DC44E008">
      <w:start w:val="2"/>
      <w:numFmt w:val="bullet"/>
      <w:lvlText w:val="-"/>
      <w:lvlJc w:val="left"/>
      <w:pPr>
        <w:ind w:left="3240" w:hanging="360"/>
      </w:pPr>
      <w:rPr>
        <w:rFonts w:ascii="Tahoma" w:eastAsia="Batang" w:hAnsi="Tahoma" w:cs="Tahoma" w:hint="default"/>
      </w:rPr>
    </w:lvl>
    <w:lvl w:ilvl="5" w:tplc="971C8B92">
      <w:start w:val="1"/>
      <w:numFmt w:val="lowerLetter"/>
      <w:lvlText w:val="(%6)"/>
      <w:lvlJc w:val="left"/>
      <w:pPr>
        <w:ind w:left="4140" w:hanging="360"/>
      </w:pPr>
      <w:rPr>
        <w:rFonts w:hint="default"/>
      </w:rPr>
    </w:lvl>
    <w:lvl w:ilvl="6" w:tplc="3FCAA17C">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8">
    <w:nsid w:val="566F2F6C"/>
    <w:multiLevelType w:val="hybridMultilevel"/>
    <w:tmpl w:val="E04C8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A71D15"/>
    <w:multiLevelType w:val="hybridMultilevel"/>
    <w:tmpl w:val="E64C8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FF022F"/>
    <w:multiLevelType w:val="hybridMultilevel"/>
    <w:tmpl w:val="15325F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3C1270"/>
    <w:multiLevelType w:val="hybridMultilevel"/>
    <w:tmpl w:val="18CA4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AF1D3D"/>
    <w:multiLevelType w:val="hybridMultilevel"/>
    <w:tmpl w:val="7212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290F72"/>
    <w:multiLevelType w:val="hybridMultilevel"/>
    <w:tmpl w:val="890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4"/>
  </w:num>
  <w:num w:numId="3">
    <w:abstractNumId w:val="17"/>
  </w:num>
  <w:num w:numId="4">
    <w:abstractNumId w:val="18"/>
  </w:num>
  <w:num w:numId="5">
    <w:abstractNumId w:val="22"/>
  </w:num>
  <w:num w:numId="6">
    <w:abstractNumId w:val="9"/>
  </w:num>
  <w:num w:numId="7">
    <w:abstractNumId w:val="4"/>
  </w:num>
  <w:num w:numId="8">
    <w:abstractNumId w:val="10"/>
  </w:num>
  <w:num w:numId="9">
    <w:abstractNumId w:val="21"/>
  </w:num>
  <w:num w:numId="10">
    <w:abstractNumId w:val="2"/>
  </w:num>
  <w:num w:numId="11">
    <w:abstractNumId w:val="19"/>
  </w:num>
  <w:num w:numId="12">
    <w:abstractNumId w:val="13"/>
  </w:num>
  <w:num w:numId="13">
    <w:abstractNumId w:val="23"/>
  </w:num>
  <w:num w:numId="14">
    <w:abstractNumId w:val="3"/>
  </w:num>
  <w:num w:numId="15">
    <w:abstractNumId w:val="16"/>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1"/>
  </w:num>
  <w:num w:numId="21">
    <w:abstractNumId w:val="8"/>
  </w:num>
  <w:num w:numId="22">
    <w:abstractNumId w:val="11"/>
  </w:num>
  <w:num w:numId="23">
    <w:abstractNumId w:val="15"/>
  </w:num>
  <w:num w:numId="24">
    <w:abstractNumId w:val="5"/>
  </w:num>
  <w:num w:numId="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418"/>
    <w:rsid w:val="00014AB1"/>
    <w:rsid w:val="00017050"/>
    <w:rsid w:val="00021A24"/>
    <w:rsid w:val="000222CC"/>
    <w:rsid w:val="000249C3"/>
    <w:rsid w:val="00025300"/>
    <w:rsid w:val="00025EAB"/>
    <w:rsid w:val="00026734"/>
    <w:rsid w:val="00030B19"/>
    <w:rsid w:val="00031518"/>
    <w:rsid w:val="00031B33"/>
    <w:rsid w:val="00036F53"/>
    <w:rsid w:val="00040EDE"/>
    <w:rsid w:val="0004112E"/>
    <w:rsid w:val="00045EE8"/>
    <w:rsid w:val="000479E6"/>
    <w:rsid w:val="00055810"/>
    <w:rsid w:val="00057C38"/>
    <w:rsid w:val="00060652"/>
    <w:rsid w:val="00061BE5"/>
    <w:rsid w:val="000632E1"/>
    <w:rsid w:val="000637C6"/>
    <w:rsid w:val="00063B06"/>
    <w:rsid w:val="00064826"/>
    <w:rsid w:val="000668A8"/>
    <w:rsid w:val="00070A42"/>
    <w:rsid w:val="000719DD"/>
    <w:rsid w:val="00073087"/>
    <w:rsid w:val="0007541E"/>
    <w:rsid w:val="00080579"/>
    <w:rsid w:val="000841DB"/>
    <w:rsid w:val="00084B73"/>
    <w:rsid w:val="00086F94"/>
    <w:rsid w:val="0009037D"/>
    <w:rsid w:val="00091831"/>
    <w:rsid w:val="00091B3F"/>
    <w:rsid w:val="00095589"/>
    <w:rsid w:val="000969C9"/>
    <w:rsid w:val="000A3124"/>
    <w:rsid w:val="000A4A98"/>
    <w:rsid w:val="000A4C0B"/>
    <w:rsid w:val="000B1F9D"/>
    <w:rsid w:val="000B23BF"/>
    <w:rsid w:val="000B29CE"/>
    <w:rsid w:val="000B2A82"/>
    <w:rsid w:val="000B4209"/>
    <w:rsid w:val="000B7801"/>
    <w:rsid w:val="000C32F3"/>
    <w:rsid w:val="000C4DF8"/>
    <w:rsid w:val="000C5A68"/>
    <w:rsid w:val="000C5E40"/>
    <w:rsid w:val="000C687B"/>
    <w:rsid w:val="000C6FE4"/>
    <w:rsid w:val="000D0243"/>
    <w:rsid w:val="000D1979"/>
    <w:rsid w:val="000D27CE"/>
    <w:rsid w:val="000D61E2"/>
    <w:rsid w:val="000E1846"/>
    <w:rsid w:val="000E33E3"/>
    <w:rsid w:val="000E4FFE"/>
    <w:rsid w:val="000F07E5"/>
    <w:rsid w:val="000F31FA"/>
    <w:rsid w:val="000F4376"/>
    <w:rsid w:val="001005D3"/>
    <w:rsid w:val="001064BC"/>
    <w:rsid w:val="00106E74"/>
    <w:rsid w:val="00107980"/>
    <w:rsid w:val="00110F6D"/>
    <w:rsid w:val="00112156"/>
    <w:rsid w:val="001139F8"/>
    <w:rsid w:val="00115981"/>
    <w:rsid w:val="0011753C"/>
    <w:rsid w:val="00117C9B"/>
    <w:rsid w:val="0012410A"/>
    <w:rsid w:val="00124DC5"/>
    <w:rsid w:val="001272C2"/>
    <w:rsid w:val="00127D7B"/>
    <w:rsid w:val="00130DBE"/>
    <w:rsid w:val="00132EE1"/>
    <w:rsid w:val="001429B8"/>
    <w:rsid w:val="0014579B"/>
    <w:rsid w:val="00153F8F"/>
    <w:rsid w:val="0015521C"/>
    <w:rsid w:val="00157ECE"/>
    <w:rsid w:val="00165617"/>
    <w:rsid w:val="001657E7"/>
    <w:rsid w:val="00173EA8"/>
    <w:rsid w:val="001856DB"/>
    <w:rsid w:val="00192108"/>
    <w:rsid w:val="00193A1B"/>
    <w:rsid w:val="00195466"/>
    <w:rsid w:val="00196B79"/>
    <w:rsid w:val="00196EDF"/>
    <w:rsid w:val="001A0726"/>
    <w:rsid w:val="001A15D9"/>
    <w:rsid w:val="001A4B29"/>
    <w:rsid w:val="001A5713"/>
    <w:rsid w:val="001B2F9D"/>
    <w:rsid w:val="001B4372"/>
    <w:rsid w:val="001B62B9"/>
    <w:rsid w:val="001B7E50"/>
    <w:rsid w:val="001C696E"/>
    <w:rsid w:val="001D466B"/>
    <w:rsid w:val="001D79E2"/>
    <w:rsid w:val="001D7ED0"/>
    <w:rsid w:val="001E1E7E"/>
    <w:rsid w:val="001E314F"/>
    <w:rsid w:val="001E7159"/>
    <w:rsid w:val="001E7686"/>
    <w:rsid w:val="001F110B"/>
    <w:rsid w:val="001F134E"/>
    <w:rsid w:val="001F31B1"/>
    <w:rsid w:val="001F4C4D"/>
    <w:rsid w:val="001F51FA"/>
    <w:rsid w:val="001F6439"/>
    <w:rsid w:val="002002AD"/>
    <w:rsid w:val="002010F8"/>
    <w:rsid w:val="002011E0"/>
    <w:rsid w:val="0021235F"/>
    <w:rsid w:val="00212A54"/>
    <w:rsid w:val="0021419F"/>
    <w:rsid w:val="00215FF7"/>
    <w:rsid w:val="00217085"/>
    <w:rsid w:val="00217475"/>
    <w:rsid w:val="00220774"/>
    <w:rsid w:val="002219AC"/>
    <w:rsid w:val="002223B8"/>
    <w:rsid w:val="0022401C"/>
    <w:rsid w:val="00225CC0"/>
    <w:rsid w:val="002304ED"/>
    <w:rsid w:val="00232BC6"/>
    <w:rsid w:val="00233919"/>
    <w:rsid w:val="00233DEE"/>
    <w:rsid w:val="00234B68"/>
    <w:rsid w:val="0023730F"/>
    <w:rsid w:val="002414A2"/>
    <w:rsid w:val="00242DB2"/>
    <w:rsid w:val="002435A0"/>
    <w:rsid w:val="002527C2"/>
    <w:rsid w:val="002535AF"/>
    <w:rsid w:val="00255802"/>
    <w:rsid w:val="00255CB3"/>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89D"/>
    <w:rsid w:val="002965F3"/>
    <w:rsid w:val="002A0BC4"/>
    <w:rsid w:val="002A0C5E"/>
    <w:rsid w:val="002A19FD"/>
    <w:rsid w:val="002A1A3B"/>
    <w:rsid w:val="002A2051"/>
    <w:rsid w:val="002A38F2"/>
    <w:rsid w:val="002B0E4F"/>
    <w:rsid w:val="002B0FD7"/>
    <w:rsid w:val="002B4CE2"/>
    <w:rsid w:val="002B5217"/>
    <w:rsid w:val="002B6989"/>
    <w:rsid w:val="002C2227"/>
    <w:rsid w:val="002C4BB9"/>
    <w:rsid w:val="002C52E5"/>
    <w:rsid w:val="002C53DA"/>
    <w:rsid w:val="002D0ECC"/>
    <w:rsid w:val="002D2055"/>
    <w:rsid w:val="002D22D6"/>
    <w:rsid w:val="002D4199"/>
    <w:rsid w:val="002D5688"/>
    <w:rsid w:val="002E0BA7"/>
    <w:rsid w:val="002E1A92"/>
    <w:rsid w:val="002E1E79"/>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208FD"/>
    <w:rsid w:val="003233DE"/>
    <w:rsid w:val="00324954"/>
    <w:rsid w:val="003266DE"/>
    <w:rsid w:val="003300B3"/>
    <w:rsid w:val="00332C2B"/>
    <w:rsid w:val="00333996"/>
    <w:rsid w:val="003373D7"/>
    <w:rsid w:val="00340EC8"/>
    <w:rsid w:val="00341C16"/>
    <w:rsid w:val="00341FD5"/>
    <w:rsid w:val="00342E1B"/>
    <w:rsid w:val="00351370"/>
    <w:rsid w:val="0035184E"/>
    <w:rsid w:val="0035448D"/>
    <w:rsid w:val="0035613D"/>
    <w:rsid w:val="00363B1D"/>
    <w:rsid w:val="003672B0"/>
    <w:rsid w:val="00370447"/>
    <w:rsid w:val="003709F3"/>
    <w:rsid w:val="00373DB3"/>
    <w:rsid w:val="003768B9"/>
    <w:rsid w:val="00380AD5"/>
    <w:rsid w:val="003821BD"/>
    <w:rsid w:val="00382CC9"/>
    <w:rsid w:val="00383FFE"/>
    <w:rsid w:val="00385D39"/>
    <w:rsid w:val="00386A75"/>
    <w:rsid w:val="003912FB"/>
    <w:rsid w:val="00395530"/>
    <w:rsid w:val="003A191C"/>
    <w:rsid w:val="003A1A41"/>
    <w:rsid w:val="003A1AE5"/>
    <w:rsid w:val="003A1C9C"/>
    <w:rsid w:val="003B3513"/>
    <w:rsid w:val="003B3DF4"/>
    <w:rsid w:val="003B7B15"/>
    <w:rsid w:val="003C3654"/>
    <w:rsid w:val="003C6D0E"/>
    <w:rsid w:val="003D2D36"/>
    <w:rsid w:val="003D51FB"/>
    <w:rsid w:val="003E45C6"/>
    <w:rsid w:val="003E7490"/>
    <w:rsid w:val="003F642C"/>
    <w:rsid w:val="004004C3"/>
    <w:rsid w:val="004005D5"/>
    <w:rsid w:val="004024FC"/>
    <w:rsid w:val="004028F2"/>
    <w:rsid w:val="0041076B"/>
    <w:rsid w:val="00412415"/>
    <w:rsid w:val="00415DE4"/>
    <w:rsid w:val="00417368"/>
    <w:rsid w:val="00420244"/>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6446"/>
    <w:rsid w:val="00466E7F"/>
    <w:rsid w:val="00473661"/>
    <w:rsid w:val="004765FC"/>
    <w:rsid w:val="0047728F"/>
    <w:rsid w:val="00480325"/>
    <w:rsid w:val="00481ADF"/>
    <w:rsid w:val="0048333C"/>
    <w:rsid w:val="004863E7"/>
    <w:rsid w:val="00487788"/>
    <w:rsid w:val="00492F8A"/>
    <w:rsid w:val="004931F3"/>
    <w:rsid w:val="004950EB"/>
    <w:rsid w:val="00495EC6"/>
    <w:rsid w:val="00495F42"/>
    <w:rsid w:val="004A000E"/>
    <w:rsid w:val="004A1867"/>
    <w:rsid w:val="004A602F"/>
    <w:rsid w:val="004B1A6A"/>
    <w:rsid w:val="004B1E43"/>
    <w:rsid w:val="004B5618"/>
    <w:rsid w:val="004B6166"/>
    <w:rsid w:val="004C0E43"/>
    <w:rsid w:val="004C1869"/>
    <w:rsid w:val="004C1E25"/>
    <w:rsid w:val="004C1F9D"/>
    <w:rsid w:val="004C4BB2"/>
    <w:rsid w:val="004C7FBD"/>
    <w:rsid w:val="004D0E4D"/>
    <w:rsid w:val="004D1E6F"/>
    <w:rsid w:val="004D4350"/>
    <w:rsid w:val="004D51EE"/>
    <w:rsid w:val="004D5915"/>
    <w:rsid w:val="004D5E7F"/>
    <w:rsid w:val="004D62C2"/>
    <w:rsid w:val="004E0A58"/>
    <w:rsid w:val="004E0CBE"/>
    <w:rsid w:val="004E1F85"/>
    <w:rsid w:val="004E41D6"/>
    <w:rsid w:val="004E55FB"/>
    <w:rsid w:val="004F1DD8"/>
    <w:rsid w:val="004F493D"/>
    <w:rsid w:val="004F4CF9"/>
    <w:rsid w:val="004F7E04"/>
    <w:rsid w:val="00503374"/>
    <w:rsid w:val="005109D7"/>
    <w:rsid w:val="00512D0B"/>
    <w:rsid w:val="005142CA"/>
    <w:rsid w:val="00517408"/>
    <w:rsid w:val="00523E4C"/>
    <w:rsid w:val="00524A35"/>
    <w:rsid w:val="00527204"/>
    <w:rsid w:val="00527EE7"/>
    <w:rsid w:val="005302F1"/>
    <w:rsid w:val="005314DA"/>
    <w:rsid w:val="00534BF0"/>
    <w:rsid w:val="005360EA"/>
    <w:rsid w:val="00541789"/>
    <w:rsid w:val="005442F1"/>
    <w:rsid w:val="00546FF9"/>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27F"/>
    <w:rsid w:val="005A256A"/>
    <w:rsid w:val="005B1B30"/>
    <w:rsid w:val="005B35AA"/>
    <w:rsid w:val="005B477F"/>
    <w:rsid w:val="005C1CC1"/>
    <w:rsid w:val="005C73E7"/>
    <w:rsid w:val="005D3651"/>
    <w:rsid w:val="005E1E0C"/>
    <w:rsid w:val="005E1F7C"/>
    <w:rsid w:val="005E27C1"/>
    <w:rsid w:val="005E30B9"/>
    <w:rsid w:val="005E3FD9"/>
    <w:rsid w:val="005E45DA"/>
    <w:rsid w:val="005E4961"/>
    <w:rsid w:val="005E59F2"/>
    <w:rsid w:val="005E5BF7"/>
    <w:rsid w:val="005E5DE9"/>
    <w:rsid w:val="005E64DF"/>
    <w:rsid w:val="005E66D6"/>
    <w:rsid w:val="005E69AC"/>
    <w:rsid w:val="005E6DD6"/>
    <w:rsid w:val="005E7B57"/>
    <w:rsid w:val="005E7FB0"/>
    <w:rsid w:val="005F1FCD"/>
    <w:rsid w:val="005F23CC"/>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45C6"/>
    <w:rsid w:val="00624970"/>
    <w:rsid w:val="006264EC"/>
    <w:rsid w:val="00626A45"/>
    <w:rsid w:val="006309A9"/>
    <w:rsid w:val="00635601"/>
    <w:rsid w:val="006379B9"/>
    <w:rsid w:val="00637E87"/>
    <w:rsid w:val="00641547"/>
    <w:rsid w:val="00642A64"/>
    <w:rsid w:val="00646B39"/>
    <w:rsid w:val="0065007C"/>
    <w:rsid w:val="0065582E"/>
    <w:rsid w:val="00655940"/>
    <w:rsid w:val="00655ED2"/>
    <w:rsid w:val="006576EF"/>
    <w:rsid w:val="00672467"/>
    <w:rsid w:val="006732E3"/>
    <w:rsid w:val="00673E1E"/>
    <w:rsid w:val="006746A8"/>
    <w:rsid w:val="006750EE"/>
    <w:rsid w:val="00682612"/>
    <w:rsid w:val="006863BE"/>
    <w:rsid w:val="00690BBD"/>
    <w:rsid w:val="00691376"/>
    <w:rsid w:val="006915C0"/>
    <w:rsid w:val="0069246E"/>
    <w:rsid w:val="006938B4"/>
    <w:rsid w:val="006944D8"/>
    <w:rsid w:val="006950DD"/>
    <w:rsid w:val="006957C8"/>
    <w:rsid w:val="006A4A5A"/>
    <w:rsid w:val="006A7C51"/>
    <w:rsid w:val="006A7CE3"/>
    <w:rsid w:val="006B7B4B"/>
    <w:rsid w:val="006C0465"/>
    <w:rsid w:val="006C12D4"/>
    <w:rsid w:val="006C599A"/>
    <w:rsid w:val="006C64D2"/>
    <w:rsid w:val="006D0538"/>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42220"/>
    <w:rsid w:val="00742349"/>
    <w:rsid w:val="0074418E"/>
    <w:rsid w:val="00746583"/>
    <w:rsid w:val="007504C5"/>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2F39"/>
    <w:rsid w:val="00827717"/>
    <w:rsid w:val="008301B1"/>
    <w:rsid w:val="0083456D"/>
    <w:rsid w:val="00835C76"/>
    <w:rsid w:val="00842ED4"/>
    <w:rsid w:val="00844FB5"/>
    <w:rsid w:val="008456D8"/>
    <w:rsid w:val="008514D4"/>
    <w:rsid w:val="00851C95"/>
    <w:rsid w:val="0085204D"/>
    <w:rsid w:val="0085248D"/>
    <w:rsid w:val="0085440E"/>
    <w:rsid w:val="008558BC"/>
    <w:rsid w:val="00856F06"/>
    <w:rsid w:val="008638A1"/>
    <w:rsid w:val="00863C92"/>
    <w:rsid w:val="008674EB"/>
    <w:rsid w:val="00872C6E"/>
    <w:rsid w:val="00877BD1"/>
    <w:rsid w:val="00881E46"/>
    <w:rsid w:val="00881FB1"/>
    <w:rsid w:val="0088323E"/>
    <w:rsid w:val="00885A41"/>
    <w:rsid w:val="00886A72"/>
    <w:rsid w:val="008902F4"/>
    <w:rsid w:val="00893499"/>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22ED3"/>
    <w:rsid w:val="009320EA"/>
    <w:rsid w:val="009379AC"/>
    <w:rsid w:val="00942223"/>
    <w:rsid w:val="009448A9"/>
    <w:rsid w:val="00944BEA"/>
    <w:rsid w:val="0094667D"/>
    <w:rsid w:val="00950EFC"/>
    <w:rsid w:val="0096016E"/>
    <w:rsid w:val="009608F3"/>
    <w:rsid w:val="0096120C"/>
    <w:rsid w:val="0096225C"/>
    <w:rsid w:val="009657A6"/>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A82"/>
    <w:rsid w:val="00A112D0"/>
    <w:rsid w:val="00A11489"/>
    <w:rsid w:val="00A16789"/>
    <w:rsid w:val="00A20704"/>
    <w:rsid w:val="00A2522F"/>
    <w:rsid w:val="00A25871"/>
    <w:rsid w:val="00A25A3C"/>
    <w:rsid w:val="00A2713E"/>
    <w:rsid w:val="00A32C04"/>
    <w:rsid w:val="00A33774"/>
    <w:rsid w:val="00A34C2A"/>
    <w:rsid w:val="00A402F9"/>
    <w:rsid w:val="00A407DF"/>
    <w:rsid w:val="00A41A26"/>
    <w:rsid w:val="00A4265F"/>
    <w:rsid w:val="00A445F5"/>
    <w:rsid w:val="00A50ACC"/>
    <w:rsid w:val="00A5259B"/>
    <w:rsid w:val="00A557B0"/>
    <w:rsid w:val="00A56450"/>
    <w:rsid w:val="00A602B2"/>
    <w:rsid w:val="00A6155E"/>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300D"/>
    <w:rsid w:val="00AA4E50"/>
    <w:rsid w:val="00AA7E94"/>
    <w:rsid w:val="00AB4614"/>
    <w:rsid w:val="00AB79A9"/>
    <w:rsid w:val="00AC148F"/>
    <w:rsid w:val="00AC16EE"/>
    <w:rsid w:val="00AC190E"/>
    <w:rsid w:val="00AC491E"/>
    <w:rsid w:val="00AC7F92"/>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213DF"/>
    <w:rsid w:val="00B2595F"/>
    <w:rsid w:val="00B272BD"/>
    <w:rsid w:val="00B30739"/>
    <w:rsid w:val="00B3207A"/>
    <w:rsid w:val="00B32857"/>
    <w:rsid w:val="00B329B3"/>
    <w:rsid w:val="00B33704"/>
    <w:rsid w:val="00B3545E"/>
    <w:rsid w:val="00B411A2"/>
    <w:rsid w:val="00B51F50"/>
    <w:rsid w:val="00B6078C"/>
    <w:rsid w:val="00B60B2A"/>
    <w:rsid w:val="00B61CDE"/>
    <w:rsid w:val="00B65851"/>
    <w:rsid w:val="00B66FC0"/>
    <w:rsid w:val="00B708F5"/>
    <w:rsid w:val="00B72B61"/>
    <w:rsid w:val="00B75699"/>
    <w:rsid w:val="00B8447C"/>
    <w:rsid w:val="00B84BA8"/>
    <w:rsid w:val="00B85908"/>
    <w:rsid w:val="00B86875"/>
    <w:rsid w:val="00B9150D"/>
    <w:rsid w:val="00B925F5"/>
    <w:rsid w:val="00B960CB"/>
    <w:rsid w:val="00B96907"/>
    <w:rsid w:val="00B96C70"/>
    <w:rsid w:val="00BA06B1"/>
    <w:rsid w:val="00BA1097"/>
    <w:rsid w:val="00BA6A95"/>
    <w:rsid w:val="00BB6884"/>
    <w:rsid w:val="00BB7215"/>
    <w:rsid w:val="00BC0FC4"/>
    <w:rsid w:val="00BC5D31"/>
    <w:rsid w:val="00BD4C6C"/>
    <w:rsid w:val="00BD7612"/>
    <w:rsid w:val="00BE475E"/>
    <w:rsid w:val="00BE6457"/>
    <w:rsid w:val="00BE6EF0"/>
    <w:rsid w:val="00BF2AA0"/>
    <w:rsid w:val="00BF458B"/>
    <w:rsid w:val="00BF5D5B"/>
    <w:rsid w:val="00C00E5B"/>
    <w:rsid w:val="00C02599"/>
    <w:rsid w:val="00C031F7"/>
    <w:rsid w:val="00C03EA6"/>
    <w:rsid w:val="00C10F86"/>
    <w:rsid w:val="00C139F5"/>
    <w:rsid w:val="00C146F1"/>
    <w:rsid w:val="00C15392"/>
    <w:rsid w:val="00C158E5"/>
    <w:rsid w:val="00C17B58"/>
    <w:rsid w:val="00C17CB2"/>
    <w:rsid w:val="00C20E53"/>
    <w:rsid w:val="00C21BEB"/>
    <w:rsid w:val="00C22782"/>
    <w:rsid w:val="00C22BC8"/>
    <w:rsid w:val="00C23E88"/>
    <w:rsid w:val="00C24E1F"/>
    <w:rsid w:val="00C26C17"/>
    <w:rsid w:val="00C31DDB"/>
    <w:rsid w:val="00C33B38"/>
    <w:rsid w:val="00C358A0"/>
    <w:rsid w:val="00C35DA0"/>
    <w:rsid w:val="00C40209"/>
    <w:rsid w:val="00C40AB6"/>
    <w:rsid w:val="00C46FCC"/>
    <w:rsid w:val="00C5139E"/>
    <w:rsid w:val="00C51890"/>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A3EDC"/>
    <w:rsid w:val="00CA5FF5"/>
    <w:rsid w:val="00CA704C"/>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3E32"/>
    <w:rsid w:val="00D1406E"/>
    <w:rsid w:val="00D17BAD"/>
    <w:rsid w:val="00D21AC6"/>
    <w:rsid w:val="00D24707"/>
    <w:rsid w:val="00D2563C"/>
    <w:rsid w:val="00D26E0F"/>
    <w:rsid w:val="00D26E98"/>
    <w:rsid w:val="00D3077F"/>
    <w:rsid w:val="00D30D08"/>
    <w:rsid w:val="00D32D24"/>
    <w:rsid w:val="00D338C8"/>
    <w:rsid w:val="00D339B2"/>
    <w:rsid w:val="00D340C4"/>
    <w:rsid w:val="00D358D7"/>
    <w:rsid w:val="00D404D6"/>
    <w:rsid w:val="00D421EF"/>
    <w:rsid w:val="00D42CAF"/>
    <w:rsid w:val="00D43C95"/>
    <w:rsid w:val="00D62F05"/>
    <w:rsid w:val="00D6793D"/>
    <w:rsid w:val="00D7525E"/>
    <w:rsid w:val="00D77071"/>
    <w:rsid w:val="00D809E7"/>
    <w:rsid w:val="00D81AE9"/>
    <w:rsid w:val="00D82B07"/>
    <w:rsid w:val="00D901CE"/>
    <w:rsid w:val="00D901DF"/>
    <w:rsid w:val="00D932B1"/>
    <w:rsid w:val="00D93E75"/>
    <w:rsid w:val="00DA13EE"/>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7AE"/>
    <w:rsid w:val="00DF28F3"/>
    <w:rsid w:val="00E013C4"/>
    <w:rsid w:val="00E02BB9"/>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415A"/>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5515"/>
    <w:rsid w:val="00E7567B"/>
    <w:rsid w:val="00E75B94"/>
    <w:rsid w:val="00E772E2"/>
    <w:rsid w:val="00E8358B"/>
    <w:rsid w:val="00E84BE1"/>
    <w:rsid w:val="00E86D00"/>
    <w:rsid w:val="00E92267"/>
    <w:rsid w:val="00EA08C2"/>
    <w:rsid w:val="00EA1AE7"/>
    <w:rsid w:val="00EA27FA"/>
    <w:rsid w:val="00EA4B93"/>
    <w:rsid w:val="00EA5B43"/>
    <w:rsid w:val="00EB01E9"/>
    <w:rsid w:val="00EB0CE4"/>
    <w:rsid w:val="00EB12D3"/>
    <w:rsid w:val="00EB1D3D"/>
    <w:rsid w:val="00EB3E47"/>
    <w:rsid w:val="00EB53C0"/>
    <w:rsid w:val="00EB5F5E"/>
    <w:rsid w:val="00EC0961"/>
    <w:rsid w:val="00EC105C"/>
    <w:rsid w:val="00EC16D0"/>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607D"/>
    <w:rsid w:val="00F162D8"/>
    <w:rsid w:val="00F16482"/>
    <w:rsid w:val="00F200A9"/>
    <w:rsid w:val="00F26205"/>
    <w:rsid w:val="00F264B0"/>
    <w:rsid w:val="00F32F78"/>
    <w:rsid w:val="00F33691"/>
    <w:rsid w:val="00F36975"/>
    <w:rsid w:val="00F375E1"/>
    <w:rsid w:val="00F4037B"/>
    <w:rsid w:val="00F418F1"/>
    <w:rsid w:val="00F45265"/>
    <w:rsid w:val="00F45AD8"/>
    <w:rsid w:val="00F47475"/>
    <w:rsid w:val="00F50E91"/>
    <w:rsid w:val="00F55824"/>
    <w:rsid w:val="00F6096E"/>
    <w:rsid w:val="00F60A9E"/>
    <w:rsid w:val="00F61DF5"/>
    <w:rsid w:val="00F64EDE"/>
    <w:rsid w:val="00F6571D"/>
    <w:rsid w:val="00F67815"/>
    <w:rsid w:val="00F70495"/>
    <w:rsid w:val="00F70569"/>
    <w:rsid w:val="00F7166D"/>
    <w:rsid w:val="00F721AD"/>
    <w:rsid w:val="00F77BBA"/>
    <w:rsid w:val="00F8276D"/>
    <w:rsid w:val="00F82EAD"/>
    <w:rsid w:val="00F85D4E"/>
    <w:rsid w:val="00F86078"/>
    <w:rsid w:val="00F95183"/>
    <w:rsid w:val="00F95B4C"/>
    <w:rsid w:val="00FA6B57"/>
    <w:rsid w:val="00FA7B07"/>
    <w:rsid w:val="00FA7F6F"/>
    <w:rsid w:val="00FB338E"/>
    <w:rsid w:val="00FB3C86"/>
    <w:rsid w:val="00FB787E"/>
    <w:rsid w:val="00FC0BD5"/>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ED1E03-5901-4E0A-B85E-A7F13CA4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E3"/>
    <w:pPr>
      <w:ind w:left="1080"/>
    </w:pPr>
    <w:rPr>
      <w:rFonts w:ascii="Arial" w:hAnsi="Arial"/>
      <w:spacing w:val="-5"/>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7A05E3"/>
    <w:pPr>
      <w:keepNext/>
      <w:keepLines/>
      <w:spacing w:after="240" w:line="240" w:lineRule="atLeast"/>
      <w:ind w:left="0"/>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pacing w:val="0"/>
      <w:sz w:val="18"/>
    </w:rPr>
  </w:style>
  <w:style w:type="paragraph" w:customStyle="1" w:styleId="PartLabel">
    <w:name w:val="Part Label"/>
    <w:basedOn w:val="Normal"/>
    <w:rsid w:val="007A05E3"/>
    <w:pPr>
      <w:shd w:val="solid" w:color="auto" w:fill="auto"/>
      <w:spacing w:line="360" w:lineRule="exact"/>
      <w:ind w:left="0"/>
      <w:jc w:val="center"/>
    </w:pPr>
    <w:rPr>
      <w:color w:val="FFFFFF"/>
      <w:spacing w:val="-16"/>
      <w:sz w:val="26"/>
    </w:rPr>
  </w:style>
  <w:style w:type="paragraph" w:customStyle="1" w:styleId="PartTitle">
    <w:name w:val="Part Title"/>
    <w:basedOn w:val="Normal"/>
    <w:rsid w:val="007A05E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ind w:left="0"/>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ind w:left="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ind w:left="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ind w:left="0"/>
    </w:pPr>
    <w:rPr>
      <w:rFonts w:ascii="Arial Black" w:hAnsi="Arial Black"/>
      <w:sz w:val="24"/>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ind w:left="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pPr>
      <w:ind w:left="0"/>
    </w:pPr>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pPr>
      <w:ind w:left="0"/>
    </w:pPr>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pacing w:val="0"/>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ind w:left="0"/>
    </w:pPr>
    <w:rPr>
      <w:rFonts w:ascii="Times New Roman" w:hAnsi="Times New Roman"/>
      <w:spacing w:val="0"/>
      <w:sz w:val="24"/>
      <w:szCs w:val="24"/>
    </w:rPr>
  </w:style>
  <w:style w:type="character" w:customStyle="1" w:styleId="tx">
    <w:name w:val="tx"/>
    <w:basedOn w:val="DefaultParagraphFont"/>
    <w:rsid w:val="00EB0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Portals/0/HomePageDocuments/BACWA%20Comment%20Letter%20on%20FSSD%20Permit%2026-Jan-2015.pdf" TargetMode="External"/><Relationship Id="rId13" Type="http://schemas.openxmlformats.org/officeDocument/2006/relationships/hyperlink" Target="http://sfbaynutrients.sfei.org/books/nms-steering-committee-meeting-material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cwa.box.com/s/rs6bkopyd0zd88unkfg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wa.box.com/s/2cz1at3lqpfpbzv3m38ulftdyi6v08s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cwa.box.com/s/72s9hoozmtwz882q05gtvn7kypfuihu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cwa.org/Portals/0/ExecutiveBoard/Library/Policy%20for%20Toxicity%20Assessment%20and%20Control%202015b.pdf" TargetMode="External"/><Relationship Id="rId14" Type="http://schemas.openxmlformats.org/officeDocument/2006/relationships/hyperlink" Target="https://bacwa.box.com/s/gh63aba7lkqo5mahqh1vk8i64temvfc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2C0E1-9B59-4DC4-ADAF-03A5F4B6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5</TotalTime>
  <Pages>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2015-02-16T22:25:00Z</dcterms:created>
  <dcterms:modified xsi:type="dcterms:W3CDTF">2015-02-16T22:25:00Z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