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1A26B2">
              <w:rPr>
                <w:rFonts w:cs="Arial"/>
                <w:sz w:val="22"/>
                <w:szCs w:val="22"/>
              </w:rPr>
              <w:t>4</w:t>
            </w:r>
            <w:r w:rsidR="001657E7" w:rsidRPr="00265445">
              <w:rPr>
                <w:rFonts w:cs="Arial"/>
                <w:sz w:val="22"/>
                <w:szCs w:val="22"/>
              </w:rPr>
              <w:t>/</w:t>
            </w:r>
            <w:r w:rsidR="001A26B2">
              <w:rPr>
                <w:rFonts w:cs="Arial"/>
                <w:sz w:val="22"/>
                <w:szCs w:val="22"/>
              </w:rPr>
              <w:t>7</w:t>
            </w:r>
            <w:r w:rsidR="0035184E" w:rsidRPr="00265445">
              <w:rPr>
                <w:rFonts w:cs="Arial"/>
                <w:sz w:val="22"/>
                <w:szCs w:val="22"/>
              </w:rPr>
              <w:t>/</w:t>
            </w:r>
            <w:r w:rsidR="00EC0961" w:rsidRPr="00265445">
              <w:rPr>
                <w:rFonts w:cs="Arial"/>
                <w:sz w:val="22"/>
                <w:szCs w:val="22"/>
              </w:rPr>
              <w:t>1</w:t>
            </w:r>
            <w:r w:rsidR="00B17789">
              <w:rPr>
                <w:rFonts w:cs="Arial"/>
                <w:sz w:val="22"/>
                <w:szCs w:val="22"/>
              </w:rPr>
              <w:t>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1A26B2">
              <w:rPr>
                <w:rFonts w:cs="Arial"/>
                <w:sz w:val="22"/>
                <w:szCs w:val="22"/>
              </w:rPr>
              <w:t>4</w:t>
            </w:r>
            <w:r w:rsidR="00DD0B8A">
              <w:rPr>
                <w:rFonts w:cs="Arial"/>
                <w:sz w:val="22"/>
                <w:szCs w:val="22"/>
              </w:rPr>
              <w:t>/</w:t>
            </w:r>
            <w:r w:rsidR="001A26B2">
              <w:rPr>
                <w:rFonts w:cs="Arial"/>
                <w:sz w:val="22"/>
                <w:szCs w:val="22"/>
              </w:rPr>
              <w:t>17</w:t>
            </w:r>
            <w:r w:rsidR="00893499" w:rsidRPr="00265445">
              <w:rPr>
                <w:rFonts w:cs="Arial"/>
                <w:sz w:val="22"/>
                <w:szCs w:val="22"/>
              </w:rPr>
              <w:t>/1</w:t>
            </w:r>
            <w:r w:rsidR="00B17789">
              <w:rPr>
                <w:rFonts w:cs="Arial"/>
                <w:sz w:val="22"/>
                <w:szCs w:val="22"/>
              </w:rPr>
              <w:t>5</w:t>
            </w:r>
          </w:p>
          <w:p w:rsidR="000E1846" w:rsidRPr="00265445" w:rsidRDefault="005302F1" w:rsidP="00F82EA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F82EAD">
              <w:rPr>
                <w:rFonts w:cs="Arial"/>
                <w:sz w:val="22"/>
                <w:szCs w:val="22"/>
              </w:rPr>
              <w:t>Meg Herston</w:t>
            </w:r>
            <w:r w:rsidR="000E1846" w:rsidRPr="00265445">
              <w:rPr>
                <w:rFonts w:cs="Arial"/>
                <w:sz w:val="22"/>
                <w:szCs w:val="22"/>
              </w:rPr>
              <w:tab/>
            </w:r>
          </w:p>
        </w:tc>
      </w:tr>
    </w:tbl>
    <w:p w:rsidR="009E70B4" w:rsidRPr="00265445" w:rsidRDefault="000E1846" w:rsidP="000719DD">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4024FC">
        <w:rPr>
          <w:rFonts w:cs="Arial"/>
          <w:b/>
          <w:sz w:val="24"/>
          <w:szCs w:val="24"/>
        </w:rPr>
        <w:t>None</w:t>
      </w:r>
    </w:p>
    <w:p w:rsidR="00933736" w:rsidRPr="00265445" w:rsidRDefault="001A26B2" w:rsidP="001A26B2">
      <w:pPr>
        <w:ind w:left="180"/>
        <w:rPr>
          <w:rFonts w:cs="Arial"/>
          <w:b/>
          <w:sz w:val="24"/>
          <w:szCs w:val="24"/>
        </w:rPr>
      </w:pPr>
      <w:r>
        <w:rPr>
          <w:rFonts w:cs="Arial"/>
          <w:b/>
          <w:sz w:val="24"/>
          <w:szCs w:val="24"/>
        </w:rPr>
        <w:t>16</w:t>
      </w:r>
      <w:r w:rsidR="009E70B4" w:rsidRPr="00265445">
        <w:rPr>
          <w:rFonts w:cs="Arial"/>
          <w:b/>
          <w:sz w:val="24"/>
          <w:szCs w:val="24"/>
        </w:rPr>
        <w:t xml:space="preserve"> attendees representing </w:t>
      </w:r>
      <w:r w:rsidR="00242DB2">
        <w:rPr>
          <w:rFonts w:cs="Arial"/>
          <w:b/>
          <w:sz w:val="24"/>
          <w:szCs w:val="24"/>
        </w:rPr>
        <w:t>1</w:t>
      </w:r>
      <w:r>
        <w:rPr>
          <w:rFonts w:cs="Arial"/>
          <w:b/>
          <w:sz w:val="24"/>
          <w:szCs w:val="24"/>
        </w:rPr>
        <w:t>3</w:t>
      </w:r>
      <w:r w:rsidR="009E70B4" w:rsidRPr="00265445">
        <w:rPr>
          <w:rFonts w:cs="Arial"/>
          <w:b/>
          <w:sz w:val="24"/>
          <w:szCs w:val="24"/>
        </w:rPr>
        <w:t xml:space="preserve"> BACWA member agencies</w:t>
      </w:r>
      <w:r w:rsidR="001B62B9">
        <w:rPr>
          <w:rFonts w:cs="Arial"/>
          <w:b/>
          <w:sz w:val="24"/>
          <w:szCs w:val="24"/>
        </w:rPr>
        <w:t xml:space="preserve"> </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BE475E" w:rsidRDefault="00D3668A" w:rsidP="00A41406">
            <w:pPr>
              <w:ind w:left="769" w:hanging="769"/>
              <w:rPr>
                <w:rFonts w:cs="Arial"/>
              </w:rPr>
            </w:pPr>
            <w:r>
              <w:rPr>
                <w:rFonts w:cs="Arial"/>
                <w:b/>
              </w:rPr>
              <w:t>May</w:t>
            </w:r>
            <w:r w:rsidR="0090305B">
              <w:rPr>
                <w:rFonts w:cs="Arial"/>
                <w:b/>
              </w:rPr>
              <w:t xml:space="preserve"> – </w:t>
            </w:r>
            <w:r w:rsidR="00A41406">
              <w:rPr>
                <w:rFonts w:cs="Arial"/>
                <w:b/>
              </w:rPr>
              <w:t xml:space="preserve">   </w:t>
            </w:r>
            <w:r w:rsidR="0090305B" w:rsidRPr="00A41406">
              <w:rPr>
                <w:rFonts w:cs="Arial"/>
                <w:i/>
              </w:rPr>
              <w:t>Las Gallinas Valley Sanitation District</w:t>
            </w:r>
            <w:r w:rsidR="00B84153" w:rsidRPr="00A41406">
              <w:rPr>
                <w:rFonts w:cs="Arial"/>
                <w:i/>
              </w:rPr>
              <w:t xml:space="preserve"> (LGVSD)</w:t>
            </w:r>
            <w:r w:rsidR="0090305B">
              <w:rPr>
                <w:rFonts w:cs="Arial"/>
              </w:rPr>
              <w:t xml:space="preserve"> – </w:t>
            </w:r>
            <w:r w:rsidR="00933736">
              <w:rPr>
                <w:rFonts w:cs="Arial"/>
              </w:rPr>
              <w:t xml:space="preserve">At the behest of EPA, </w:t>
            </w:r>
            <w:r w:rsidR="00B84153">
              <w:rPr>
                <w:rFonts w:cs="Arial"/>
              </w:rPr>
              <w:t>LGVSD</w:t>
            </w:r>
            <w:r w:rsidR="0090305B">
              <w:rPr>
                <w:rFonts w:cs="Arial"/>
              </w:rPr>
              <w:t xml:space="preserve"> was given numeric chronic toxicity limits, in addition to triggers in their tentative order.</w:t>
            </w:r>
            <w:r w:rsidR="00A62D64">
              <w:rPr>
                <w:rFonts w:cs="Arial"/>
              </w:rPr>
              <w:t xml:space="preserve"> </w:t>
            </w:r>
            <w:r w:rsidR="00933736">
              <w:rPr>
                <w:rFonts w:cs="Arial"/>
              </w:rPr>
              <w:t xml:space="preserve">BACWA submitted a </w:t>
            </w:r>
            <w:hyperlink r:id="rId8" w:history="1">
              <w:r w:rsidR="00933736" w:rsidRPr="002E24AA">
                <w:rPr>
                  <w:rStyle w:val="Hyperlink"/>
                  <w:rFonts w:cs="Arial"/>
                </w:rPr>
                <w:t>comment letter</w:t>
              </w:r>
            </w:hyperlink>
            <w:r w:rsidR="00933736">
              <w:rPr>
                <w:rFonts w:cs="Arial"/>
              </w:rPr>
              <w:t xml:space="preserve"> which suggested changes in impl</w:t>
            </w:r>
            <w:r w:rsidR="00736668">
              <w:rPr>
                <w:rFonts w:cs="Arial"/>
              </w:rPr>
              <w:t>ementation</w:t>
            </w:r>
            <w:r w:rsidR="00933736">
              <w:rPr>
                <w:rFonts w:cs="Arial"/>
              </w:rPr>
              <w:t>, including how limits are calculated, how reasonable potential is determined, mixing zones, removal of triggers, and removal of acute toxicity limits</w:t>
            </w:r>
            <w:r w:rsidR="00736668">
              <w:rPr>
                <w:rFonts w:cs="Arial"/>
              </w:rPr>
              <w:t xml:space="preserve"> where no reasonable potential is found</w:t>
            </w:r>
            <w:r w:rsidR="00933736">
              <w:rPr>
                <w:rFonts w:cs="Arial"/>
              </w:rPr>
              <w:t xml:space="preserve">.  BACWA also suggested that a watershed permit for toxicity may make sense in the San Francisco Bay area. </w:t>
            </w:r>
            <w:r w:rsidR="001A26B2">
              <w:rPr>
                <w:rFonts w:cs="Arial"/>
              </w:rPr>
              <w:t>Bill Johnson has reported that he will implement BACWA’s recommendations where they are allowed by the Basin Plan and Federal Regulations.</w:t>
            </w:r>
          </w:p>
          <w:p w:rsidR="00BE475E" w:rsidRDefault="00D3668A" w:rsidP="001A26B2">
            <w:pPr>
              <w:ind w:left="769"/>
              <w:rPr>
                <w:rFonts w:cs="Arial"/>
              </w:rPr>
            </w:pPr>
            <w:r w:rsidRPr="00A41406">
              <w:rPr>
                <w:rFonts w:cs="Arial"/>
                <w:i/>
              </w:rPr>
              <w:t>E</w:t>
            </w:r>
            <w:r w:rsidR="00933736" w:rsidRPr="00A41406">
              <w:rPr>
                <w:rFonts w:cs="Arial"/>
                <w:i/>
              </w:rPr>
              <w:t>BMUD</w:t>
            </w:r>
            <w:r w:rsidR="00933736">
              <w:rPr>
                <w:rFonts w:cs="Arial"/>
              </w:rPr>
              <w:t xml:space="preserve"> – </w:t>
            </w:r>
            <w:r w:rsidR="001A26B2">
              <w:rPr>
                <w:rFonts w:cs="Arial"/>
              </w:rPr>
              <w:t>There was no representative present, but it was mentioned that they were happy with their TO.</w:t>
            </w:r>
          </w:p>
          <w:p w:rsidR="001A26B2" w:rsidRDefault="001A26B2" w:rsidP="001A26B2">
            <w:pPr>
              <w:ind w:left="0"/>
              <w:rPr>
                <w:rFonts w:cs="Arial"/>
              </w:rPr>
            </w:pPr>
            <w:r>
              <w:rPr>
                <w:rFonts w:cs="Arial"/>
                <w:b/>
              </w:rPr>
              <w:t xml:space="preserve">June – </w:t>
            </w:r>
            <w:r w:rsidR="00A41406">
              <w:rPr>
                <w:rFonts w:cs="Arial"/>
                <w:b/>
              </w:rPr>
              <w:t xml:space="preserve"> </w:t>
            </w:r>
            <w:r w:rsidR="006B2CC8">
              <w:rPr>
                <w:rFonts w:cs="Arial"/>
                <w:b/>
              </w:rPr>
              <w:t xml:space="preserve"> </w:t>
            </w:r>
            <w:r>
              <w:rPr>
                <w:rFonts w:cs="Arial"/>
              </w:rPr>
              <w:t>SFPUC – No representative was present</w:t>
            </w:r>
          </w:p>
          <w:p w:rsidR="001A26B2" w:rsidRPr="001A26B2" w:rsidRDefault="001A26B2" w:rsidP="00A41406">
            <w:pPr>
              <w:ind w:left="769"/>
              <w:rPr>
                <w:rFonts w:cs="Arial"/>
              </w:rPr>
            </w:pPr>
            <w:r>
              <w:rPr>
                <w:rFonts w:cs="Arial"/>
              </w:rPr>
              <w:t>Yountville – The TO will come out soon.  The Administrative Order did not contain changes to their discharge prohibition dates</w:t>
            </w:r>
            <w:r w:rsidR="00A41406">
              <w:rPr>
                <w:rFonts w:cs="Arial"/>
              </w:rPr>
              <w:t xml:space="preserve"> (see below)</w:t>
            </w:r>
            <w:r>
              <w:rPr>
                <w:rFonts w:cs="Arial"/>
              </w:rPr>
              <w:t>.</w:t>
            </w:r>
          </w:p>
        </w:tc>
      </w:tr>
      <w:tr w:rsidR="00BA06B1" w:rsidRPr="00265445" w:rsidTr="004243F0">
        <w:trPr>
          <w:cantSplit/>
          <w:trHeight w:val="161"/>
        </w:trPr>
        <w:tc>
          <w:tcPr>
            <w:tcW w:w="10530" w:type="dxa"/>
          </w:tcPr>
          <w:p w:rsidR="004A602F" w:rsidRPr="00215FF7" w:rsidRDefault="00A62D64" w:rsidP="004A602F">
            <w:pPr>
              <w:ind w:left="0"/>
              <w:rPr>
                <w:rFonts w:cs="Arial"/>
                <w:b/>
                <w:spacing w:val="0"/>
              </w:rPr>
            </w:pPr>
            <w:r>
              <w:rPr>
                <w:rFonts w:cs="Arial"/>
                <w:b/>
              </w:rPr>
              <w:t>Dry Season Discharge Prohibitions</w:t>
            </w:r>
          </w:p>
          <w:p w:rsidR="006E0365" w:rsidRPr="006E0365" w:rsidRDefault="00736668" w:rsidP="00A41406">
            <w:pPr>
              <w:ind w:left="0"/>
              <w:rPr>
                <w:rFonts w:cs="Arial"/>
                <w:spacing w:val="0"/>
              </w:rPr>
            </w:pPr>
            <w:r>
              <w:rPr>
                <w:rFonts w:cs="Arial"/>
              </w:rPr>
              <w:t xml:space="preserve">Nine shallow water dischargers in the </w:t>
            </w:r>
            <w:r w:rsidR="00A62D64">
              <w:rPr>
                <w:rFonts w:cs="Arial"/>
              </w:rPr>
              <w:t>Nort</w:t>
            </w:r>
            <w:r>
              <w:rPr>
                <w:rFonts w:cs="Arial"/>
              </w:rPr>
              <w:t xml:space="preserve">h Bay </w:t>
            </w:r>
            <w:r w:rsidR="00A62D64">
              <w:rPr>
                <w:rFonts w:cs="Arial"/>
              </w:rPr>
              <w:t>are prohibited from discharging during the dry season.  However, there is inconsistency in how this</w:t>
            </w:r>
            <w:r w:rsidR="000B4BDF">
              <w:rPr>
                <w:rFonts w:cs="Arial"/>
              </w:rPr>
              <w:t xml:space="preserve"> prohibition</w:t>
            </w:r>
            <w:r w:rsidR="00A62D64">
              <w:rPr>
                <w:rFonts w:cs="Arial"/>
              </w:rPr>
              <w:t xml:space="preserve"> is implemented in terms of the dates of the dry season, </w:t>
            </w:r>
            <w:r w:rsidR="000B4BDF">
              <w:rPr>
                <w:rFonts w:cs="Arial"/>
              </w:rPr>
              <w:t xml:space="preserve">criteria </w:t>
            </w:r>
            <w:r w:rsidR="00A62D64">
              <w:rPr>
                <w:rFonts w:cs="Arial"/>
              </w:rPr>
              <w:t xml:space="preserve">exceptions, and </w:t>
            </w:r>
            <w:r w:rsidR="000B4BDF">
              <w:rPr>
                <w:rFonts w:cs="Arial"/>
              </w:rPr>
              <w:t>method</w:t>
            </w:r>
            <w:r w:rsidR="00B84153">
              <w:rPr>
                <w:rFonts w:cs="Arial"/>
              </w:rPr>
              <w:t>s</w:t>
            </w:r>
            <w:r w:rsidR="00A62D64">
              <w:rPr>
                <w:rFonts w:cs="Arial"/>
              </w:rPr>
              <w:t xml:space="preserve"> to </w:t>
            </w:r>
            <w:r w:rsidR="00B84153">
              <w:rPr>
                <w:rFonts w:cs="Arial"/>
              </w:rPr>
              <w:t xml:space="preserve">obtain </w:t>
            </w:r>
            <w:r w:rsidR="00A62D64">
              <w:rPr>
                <w:rFonts w:cs="Arial"/>
              </w:rPr>
              <w:t>approval to discharge.</w:t>
            </w:r>
            <w:r w:rsidR="001A26B2">
              <w:rPr>
                <w:rFonts w:cs="Arial"/>
              </w:rPr>
              <w:t xml:space="preserve"> Each agency’s dates are reflective of the circumstances at their facility and recycled water customers’ demand.</w:t>
            </w:r>
            <w:r w:rsidR="00A62D64">
              <w:rPr>
                <w:rFonts w:cs="Arial"/>
              </w:rPr>
              <w:t xml:space="preserve"> Lila Tang </w:t>
            </w:r>
            <w:r w:rsidR="001A26B2">
              <w:rPr>
                <w:rFonts w:cs="Arial"/>
              </w:rPr>
              <w:t>called a meeting on March 24 to solicit feedback on differen</w:t>
            </w:r>
            <w:r w:rsidR="00917119">
              <w:rPr>
                <w:rFonts w:cs="Arial"/>
              </w:rPr>
              <w:t xml:space="preserve">t alternatives for </w:t>
            </w:r>
            <w:r w:rsidR="00A41406">
              <w:rPr>
                <w:rFonts w:cs="Arial"/>
              </w:rPr>
              <w:t xml:space="preserve">developing </w:t>
            </w:r>
            <w:r w:rsidR="00917119">
              <w:rPr>
                <w:rFonts w:cs="Arial"/>
              </w:rPr>
              <w:t>consistency. Most agencies do not see the need for this project and fear unintended consequences, even though Lila has said the intent is not to change operations. The most popular alternative</w:t>
            </w:r>
            <w:r w:rsidR="006B2CC8">
              <w:rPr>
                <w:rFonts w:cs="Arial"/>
              </w:rPr>
              <w:t xml:space="preserve"> of those discussed that the meeting</w:t>
            </w:r>
            <w:r w:rsidR="00917119">
              <w:rPr>
                <w:rFonts w:cs="Arial"/>
              </w:rPr>
              <w:t xml:space="preserve"> is that BACWA can offer to develop a template to allow agencies to provide justification for the length of their discharge prohibition</w:t>
            </w:r>
            <w:r w:rsidR="00A41406">
              <w:rPr>
                <w:rFonts w:cs="Arial"/>
              </w:rPr>
              <w:t>,</w:t>
            </w:r>
            <w:r w:rsidR="00917119">
              <w:rPr>
                <w:rFonts w:cs="Arial"/>
              </w:rPr>
              <w:t xml:space="preserve"> </w:t>
            </w:r>
            <w:r w:rsidR="00A41406">
              <w:rPr>
                <w:rFonts w:cs="Arial"/>
              </w:rPr>
              <w:t>which w</w:t>
            </w:r>
            <w:r w:rsidR="00917119">
              <w:rPr>
                <w:rFonts w:cs="Arial"/>
              </w:rPr>
              <w:t>ould be used in the Fact Sheet. Lila will contact the group</w:t>
            </w:r>
            <w:r w:rsidR="00A41406">
              <w:rPr>
                <w:rFonts w:cs="Arial"/>
              </w:rPr>
              <w:t xml:space="preserve"> by April 22 to let us know which</w:t>
            </w:r>
            <w:r w:rsidR="00917119">
              <w:rPr>
                <w:rFonts w:cs="Arial"/>
              </w:rPr>
              <w:t xml:space="preserve"> alternative the Regional Water Board will p</w:t>
            </w:r>
            <w:r w:rsidR="00BB3194">
              <w:rPr>
                <w:rFonts w:cs="Arial"/>
              </w:rPr>
              <w:t>u</w:t>
            </w:r>
            <w:r w:rsidR="00917119">
              <w:rPr>
                <w:rFonts w:cs="Arial"/>
              </w:rPr>
              <w:t>rsue.</w:t>
            </w:r>
          </w:p>
        </w:tc>
      </w:tr>
      <w:tr w:rsidR="00EB1D3D" w:rsidRPr="00265445" w:rsidTr="004243F0">
        <w:trPr>
          <w:cantSplit/>
          <w:trHeight w:val="161"/>
        </w:trPr>
        <w:tc>
          <w:tcPr>
            <w:tcW w:w="10530" w:type="dxa"/>
          </w:tcPr>
          <w:p w:rsidR="00E54123" w:rsidRPr="00917119" w:rsidRDefault="00917119" w:rsidP="00917119">
            <w:pPr>
              <w:ind w:left="0"/>
              <w:rPr>
                <w:rFonts w:cs="Arial"/>
                <w:sz w:val="18"/>
              </w:rPr>
            </w:pPr>
            <w:r w:rsidRPr="00917119">
              <w:rPr>
                <w:rFonts w:cs="Arial"/>
                <w:b/>
                <w:sz w:val="18"/>
              </w:rPr>
              <w:t>Toxicity</w:t>
            </w:r>
          </w:p>
          <w:p w:rsidR="00917119" w:rsidRPr="00917119" w:rsidRDefault="00917119" w:rsidP="00917119">
            <w:pPr>
              <w:pStyle w:val="ListParagraph"/>
              <w:numPr>
                <w:ilvl w:val="0"/>
                <w:numId w:val="29"/>
              </w:numPr>
              <w:rPr>
                <w:rFonts w:ascii="Arial" w:hAnsi="Arial" w:cs="Arial"/>
                <w:sz w:val="20"/>
              </w:rPr>
            </w:pPr>
            <w:r w:rsidRPr="00917119">
              <w:rPr>
                <w:rFonts w:ascii="Arial" w:hAnsi="Arial" w:cs="Arial"/>
                <w:sz w:val="20"/>
              </w:rPr>
              <w:t>Numeric limits in Region 2 – See Las Gallinas TO, above.  Bill Johnson will deliver a draft Response to Comments to BACWA before it is published online, and would be open to meeting with BACWA</w:t>
            </w:r>
            <w:r w:rsidR="00A41406">
              <w:rPr>
                <w:rFonts w:ascii="Arial" w:hAnsi="Arial" w:cs="Arial"/>
                <w:sz w:val="20"/>
              </w:rPr>
              <w:t xml:space="preserve"> representatives</w:t>
            </w:r>
            <w:r w:rsidRPr="00917119">
              <w:rPr>
                <w:rFonts w:ascii="Arial" w:hAnsi="Arial" w:cs="Arial"/>
                <w:sz w:val="20"/>
              </w:rPr>
              <w:t>.  Novato’s draft administrative order did not contain numeric limits, since chronic toxicity hits were explained by pathogen interference.  It is unknown whether EPA will object.  At the joint meeting with the Regional Water board, Tom Mumley reported they are not ready to spend staff resources on a toxicity Watershed Permit or similar initiative, since the State Water Board is still working on the Toxicity Plan.</w:t>
            </w:r>
          </w:p>
          <w:p w:rsidR="00917119" w:rsidRPr="009B5864" w:rsidRDefault="009B5864" w:rsidP="00917119">
            <w:pPr>
              <w:pStyle w:val="ListParagraph"/>
              <w:numPr>
                <w:ilvl w:val="0"/>
                <w:numId w:val="29"/>
              </w:numPr>
              <w:rPr>
                <w:rFonts w:ascii="Arial" w:hAnsi="Arial" w:cs="Arial"/>
                <w:sz w:val="16"/>
              </w:rPr>
            </w:pPr>
            <w:r>
              <w:rPr>
                <w:rFonts w:ascii="Arial" w:hAnsi="Arial" w:cs="Arial"/>
                <w:sz w:val="20"/>
              </w:rPr>
              <w:t xml:space="preserve">Toxicity data request - </w:t>
            </w:r>
            <w:r w:rsidR="00917119" w:rsidRPr="009B5864">
              <w:rPr>
                <w:rFonts w:ascii="Arial" w:hAnsi="Arial" w:cs="Arial"/>
                <w:sz w:val="18"/>
              </w:rPr>
              <w:t>L</w:t>
            </w:r>
            <w:r w:rsidR="00917119" w:rsidRPr="009B5864">
              <w:rPr>
                <w:rFonts w:ascii="Arial" w:hAnsi="Arial" w:cs="Arial"/>
                <w:sz w:val="20"/>
              </w:rPr>
              <w:t>orien Fono req</w:t>
            </w:r>
            <w:r w:rsidR="00A41406">
              <w:rPr>
                <w:rFonts w:ascii="Arial" w:hAnsi="Arial" w:cs="Arial"/>
                <w:sz w:val="20"/>
              </w:rPr>
              <w:t>uested that all agencies send her</w:t>
            </w:r>
            <w:r w:rsidR="00917119" w:rsidRPr="009B5864">
              <w:rPr>
                <w:rFonts w:ascii="Arial" w:hAnsi="Arial" w:cs="Arial"/>
                <w:sz w:val="20"/>
              </w:rPr>
              <w:t xml:space="preserve"> their toxicity data, as the shallow dischargers already have.  These data will be used in discussions with the Regional and State Water Boards.  She will send out an email that will include a link to the State Water Board’s TST calculator so agencies can see whether their chronic toxicity samples would have passed</w:t>
            </w:r>
            <w:r w:rsidR="00A41406">
              <w:rPr>
                <w:rFonts w:ascii="Arial" w:hAnsi="Arial" w:cs="Arial"/>
                <w:sz w:val="20"/>
              </w:rPr>
              <w:t xml:space="preserve"> or failed when measured via</w:t>
            </w:r>
            <w:r w:rsidR="00917119" w:rsidRPr="009B5864">
              <w:rPr>
                <w:rFonts w:ascii="Arial" w:hAnsi="Arial" w:cs="Arial"/>
                <w:sz w:val="20"/>
              </w:rPr>
              <w:t xml:space="preserve"> the TST.</w:t>
            </w:r>
          </w:p>
          <w:p w:rsidR="009B5864" w:rsidRPr="00917119" w:rsidRDefault="009B5864" w:rsidP="00917119">
            <w:pPr>
              <w:pStyle w:val="ListParagraph"/>
              <w:numPr>
                <w:ilvl w:val="0"/>
                <w:numId w:val="29"/>
              </w:numPr>
              <w:rPr>
                <w:rFonts w:ascii="Arial" w:hAnsi="Arial" w:cs="Arial"/>
                <w:sz w:val="18"/>
              </w:rPr>
            </w:pPr>
            <w:r w:rsidRPr="009B5864">
              <w:rPr>
                <w:rFonts w:ascii="Arial" w:hAnsi="Arial" w:cs="Arial"/>
                <w:sz w:val="20"/>
              </w:rPr>
              <w:t>Region 4 Update – Region 4 is continuing to require the TST in LACSD permits.</w:t>
            </w:r>
            <w:r w:rsidR="00073780">
              <w:rPr>
                <w:rFonts w:ascii="Arial" w:hAnsi="Arial" w:cs="Arial"/>
                <w:sz w:val="20"/>
              </w:rPr>
              <w:t xml:space="preserve"> EPA has rescinded their alternative test procedure approval for the 2-concentration TST, which would have allowed regional water boards to assess violations without considering the dose-response curves of a sample that fails the TST.  LACSD is negotiating with Region 4 how the 5-concentration test will be interpreted, as well as how they can be protected from continuing</w:t>
            </w:r>
            <w:r w:rsidR="00A41406">
              <w:rPr>
                <w:rFonts w:ascii="Arial" w:hAnsi="Arial" w:cs="Arial"/>
                <w:sz w:val="20"/>
              </w:rPr>
              <w:t xml:space="preserve"> assessments of violation</w:t>
            </w:r>
            <w:r w:rsidR="00073780">
              <w:rPr>
                <w:rFonts w:ascii="Arial" w:hAnsi="Arial" w:cs="Arial"/>
                <w:sz w:val="20"/>
              </w:rPr>
              <w:t xml:space="preserve"> while they are in a TRE.</w:t>
            </w:r>
          </w:p>
        </w:tc>
      </w:tr>
      <w:tr w:rsidR="009E70B4" w:rsidRPr="00265445" w:rsidTr="004243F0">
        <w:trPr>
          <w:cantSplit/>
          <w:trHeight w:val="161"/>
        </w:trPr>
        <w:tc>
          <w:tcPr>
            <w:tcW w:w="10530" w:type="dxa"/>
          </w:tcPr>
          <w:p w:rsidR="009E70B4" w:rsidRPr="00400F92" w:rsidRDefault="00073780" w:rsidP="004243F0">
            <w:pPr>
              <w:ind w:left="0"/>
              <w:rPr>
                <w:rFonts w:cs="Arial"/>
                <w:spacing w:val="0"/>
              </w:rPr>
            </w:pPr>
            <w:r w:rsidRPr="00400F92">
              <w:rPr>
                <w:rFonts w:cs="Arial"/>
                <w:b/>
              </w:rPr>
              <w:t>North Bay Selenium TMDL Scoping Meeting</w:t>
            </w:r>
          </w:p>
          <w:p w:rsidR="002E24AA" w:rsidRPr="00073780" w:rsidRDefault="00073780" w:rsidP="00BB3194">
            <w:pPr>
              <w:autoSpaceDE w:val="0"/>
              <w:autoSpaceDN w:val="0"/>
              <w:adjustRightInd w:val="0"/>
              <w:ind w:left="0"/>
              <w:rPr>
                <w:rFonts w:cs="Arial"/>
                <w:sz w:val="18"/>
              </w:rPr>
            </w:pPr>
            <w:r w:rsidRPr="00400F92">
              <w:rPr>
                <w:rFonts w:cs="Arial"/>
              </w:rPr>
              <w:t>Barbara Baginska held a scoping meeting on April 3 for the North Bay Selenium TMDL.  She reported that the Regiona</w:t>
            </w:r>
            <w:r w:rsidR="00400F92">
              <w:rPr>
                <w:rFonts w:cs="Arial"/>
              </w:rPr>
              <w:t xml:space="preserve">l Water Board used the EPA’s draft freshwater </w:t>
            </w:r>
            <w:r w:rsidR="00A41406">
              <w:rPr>
                <w:rFonts w:cs="Arial"/>
              </w:rPr>
              <w:t>selenium</w:t>
            </w:r>
            <w:r w:rsidR="00400F92">
              <w:rPr>
                <w:rFonts w:cs="Arial"/>
              </w:rPr>
              <w:t xml:space="preserve"> fish tissue objective, which is conservative for the San Francisco Bay, and translated it to a water column objective of </w:t>
            </w:r>
            <w:r w:rsidR="00A41406">
              <w:rPr>
                <w:rFonts w:cs="Arial"/>
              </w:rPr>
              <w:t>0.5</w:t>
            </w:r>
            <w:r w:rsidR="00400F92">
              <w:rPr>
                <w:rFonts w:cs="Arial"/>
              </w:rPr>
              <w:t>2 ug/L</w:t>
            </w:r>
            <w:r w:rsidRPr="00400F92">
              <w:rPr>
                <w:rFonts w:cs="Arial"/>
              </w:rPr>
              <w:t>.</w:t>
            </w:r>
            <w:r w:rsidR="00BB3194">
              <w:rPr>
                <w:rFonts w:cs="Arial"/>
              </w:rPr>
              <w:t xml:space="preserve">  The </w:t>
            </w:r>
            <w:hyperlink r:id="rId9" w:history="1">
              <w:r w:rsidR="00BB3194" w:rsidRPr="00BB3194">
                <w:rPr>
                  <w:rStyle w:val="Hyperlink"/>
                  <w:rFonts w:cs="Arial"/>
                </w:rPr>
                <w:t>presen</w:t>
              </w:r>
              <w:r w:rsidR="00BB3194" w:rsidRPr="00BB3194">
                <w:rPr>
                  <w:rStyle w:val="Hyperlink"/>
                  <w:rFonts w:cs="Arial"/>
                </w:rPr>
                <w:t>t</w:t>
              </w:r>
              <w:r w:rsidR="00BB3194" w:rsidRPr="00BB3194">
                <w:rPr>
                  <w:rStyle w:val="Hyperlink"/>
                  <w:rFonts w:cs="Arial"/>
                </w:rPr>
                <w:t>ation</w:t>
              </w:r>
            </w:hyperlink>
            <w:r w:rsidR="00BB3194">
              <w:rPr>
                <w:rFonts w:cs="Arial"/>
              </w:rPr>
              <w:t xml:space="preserve"> is available online.  There are no requirements for POTWs to reduce loads, and refineries’ loads are capped at present levels.  There is some concern about what will happen if the BDCP causes an increase in selenium loads from the San Joaquin River.  The Regional Water Board reports that they are working with the BDCP to make sure that</w:t>
            </w:r>
            <w:r w:rsidR="001F3DE3">
              <w:rPr>
                <w:rFonts w:cs="Arial"/>
              </w:rPr>
              <w:t xml:space="preserve"> responsibility for</w:t>
            </w:r>
            <w:r w:rsidR="00BB3194">
              <w:rPr>
                <w:rFonts w:cs="Arial"/>
              </w:rPr>
              <w:t xml:space="preserve"> any increased loads are not externalized to the San Francisco Bay.</w:t>
            </w:r>
          </w:p>
        </w:tc>
      </w:tr>
      <w:tr w:rsidR="002E24AA" w:rsidRPr="00265445" w:rsidTr="004243F0">
        <w:trPr>
          <w:cantSplit/>
          <w:trHeight w:val="161"/>
        </w:trPr>
        <w:tc>
          <w:tcPr>
            <w:tcW w:w="10530" w:type="dxa"/>
          </w:tcPr>
          <w:p w:rsidR="002E24AA" w:rsidRPr="00A507F5" w:rsidRDefault="00BB3194" w:rsidP="004243F0">
            <w:pPr>
              <w:ind w:left="0"/>
              <w:rPr>
                <w:rFonts w:cs="Arial"/>
                <w:b/>
              </w:rPr>
            </w:pPr>
            <w:r>
              <w:rPr>
                <w:rFonts w:cs="Arial"/>
                <w:b/>
              </w:rPr>
              <w:t>Resource Alignment/Cost of Compliance</w:t>
            </w:r>
          </w:p>
          <w:p w:rsidR="00A507F5" w:rsidRPr="00BB3194" w:rsidRDefault="00BB3194" w:rsidP="00642BFE">
            <w:pPr>
              <w:ind w:left="0"/>
              <w:rPr>
                <w:rFonts w:cs="Arial"/>
              </w:rPr>
            </w:pPr>
            <w:r>
              <w:rPr>
                <w:rFonts w:cs="Arial"/>
              </w:rPr>
              <w:t xml:space="preserve">CASA is working with the State Water Board </w:t>
            </w:r>
            <w:r w:rsidR="001F3DE3">
              <w:rPr>
                <w:rFonts w:cs="Arial"/>
              </w:rPr>
              <w:t xml:space="preserve">to provide information about potential monitoring surrogates and reporting that could be eliminated.  They provided a </w:t>
            </w:r>
            <w:hyperlink r:id="rId10" w:history="1">
              <w:r w:rsidR="00642BFE" w:rsidRPr="00642BFE">
                <w:rPr>
                  <w:rStyle w:val="Hyperlink"/>
                  <w:rFonts w:cs="Arial"/>
                </w:rPr>
                <w:t>template</w:t>
              </w:r>
            </w:hyperlink>
            <w:r w:rsidR="001F3DE3">
              <w:rPr>
                <w:rFonts w:cs="Arial"/>
              </w:rPr>
              <w:t xml:space="preserve"> for agencies to use.</w:t>
            </w:r>
            <w:r w:rsidR="00642BFE">
              <w:rPr>
                <w:rFonts w:cs="Arial"/>
              </w:rPr>
              <w:t xml:space="preserve">  BACWA members should send their ideas for potential monitoring/reporting reductions to Amanda Roa.</w:t>
            </w:r>
            <w:r w:rsidR="00224EB4">
              <w:rPr>
                <w:rFonts w:cs="Arial"/>
              </w:rPr>
              <w:t xml:space="preserve">  Ideas that were floated at the meeting included eliminating acute toxicity monitoring where chronic toxicity monitoring is required, as well as eliminating multiple bacteriological indicators.</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165CD9" w:rsidRDefault="00BB3194" w:rsidP="004243F0">
            <w:pPr>
              <w:ind w:left="0"/>
              <w:rPr>
                <w:rFonts w:cs="Arial"/>
                <w:b/>
              </w:rPr>
            </w:pPr>
            <w:r w:rsidRPr="00165CD9">
              <w:rPr>
                <w:rFonts w:cs="Arial"/>
                <w:b/>
              </w:rPr>
              <w:lastRenderedPageBreak/>
              <w:t>Nutrients</w:t>
            </w:r>
          </w:p>
          <w:p w:rsidR="00CC576E" w:rsidRPr="00165CD9" w:rsidRDefault="00BB3194" w:rsidP="005F2BB3">
            <w:pPr>
              <w:pStyle w:val="ListParagraph"/>
              <w:numPr>
                <w:ilvl w:val="0"/>
                <w:numId w:val="33"/>
              </w:numPr>
              <w:ind w:left="769"/>
              <w:rPr>
                <w:rFonts w:ascii="Arial" w:hAnsi="Arial" w:cs="Arial"/>
                <w:sz w:val="20"/>
                <w:szCs w:val="20"/>
              </w:rPr>
            </w:pPr>
            <w:r w:rsidRPr="00165CD9">
              <w:rPr>
                <w:rFonts w:ascii="Arial" w:hAnsi="Arial" w:cs="Arial"/>
                <w:sz w:val="20"/>
                <w:szCs w:val="20"/>
              </w:rPr>
              <w:t>Optimization/Upgrade Studies – The site visits began this week</w:t>
            </w:r>
            <w:r w:rsidR="00224EB4">
              <w:rPr>
                <w:rFonts w:ascii="Arial" w:hAnsi="Arial" w:cs="Arial"/>
                <w:sz w:val="20"/>
                <w:szCs w:val="20"/>
              </w:rPr>
              <w:t>, and each visit will range from two to six hours depending on the complexity of the facility</w:t>
            </w:r>
            <w:r w:rsidRPr="00165CD9">
              <w:rPr>
                <w:rFonts w:ascii="Arial" w:hAnsi="Arial" w:cs="Arial"/>
                <w:sz w:val="20"/>
                <w:szCs w:val="20"/>
              </w:rPr>
              <w:t xml:space="preserve">. The consultant team will be bring the presentation from the Annual Meeting to the site visits to familiarize staff with what is being asked of them.  One piece of feedback </w:t>
            </w:r>
            <w:r w:rsidR="00A41406">
              <w:rPr>
                <w:rFonts w:ascii="Arial" w:hAnsi="Arial" w:cs="Arial"/>
                <w:sz w:val="20"/>
                <w:szCs w:val="20"/>
              </w:rPr>
              <w:t xml:space="preserve">resulting from initial meetings </w:t>
            </w:r>
            <w:r w:rsidRPr="00165CD9">
              <w:rPr>
                <w:rFonts w:ascii="Arial" w:hAnsi="Arial" w:cs="Arial"/>
                <w:sz w:val="20"/>
                <w:szCs w:val="20"/>
              </w:rPr>
              <w:t>is that we shouldn’t constrain our options with concerns about regulatory constraints, since those are negotiable.</w:t>
            </w:r>
          </w:p>
          <w:p w:rsidR="001F3DE3" w:rsidRPr="00165CD9" w:rsidRDefault="001F3DE3" w:rsidP="005F2BB3">
            <w:pPr>
              <w:pStyle w:val="ListParagraph"/>
              <w:numPr>
                <w:ilvl w:val="0"/>
                <w:numId w:val="33"/>
              </w:numPr>
              <w:ind w:left="769"/>
              <w:rPr>
                <w:rFonts w:cs="Arial"/>
                <w:sz w:val="20"/>
                <w:szCs w:val="20"/>
              </w:rPr>
            </w:pPr>
            <w:r w:rsidRPr="00165CD9">
              <w:rPr>
                <w:rFonts w:ascii="Arial" w:hAnsi="Arial" w:cs="Arial"/>
                <w:sz w:val="20"/>
                <w:szCs w:val="20"/>
              </w:rPr>
              <w:t>The next Nutrient Technical Workgroup meeting is scheduled for April 22, at SFEI. More info will be sent out via the Permits mailing list.</w:t>
            </w:r>
            <w:r w:rsidR="00224EB4">
              <w:rPr>
                <w:rFonts w:ascii="Arial" w:hAnsi="Arial" w:cs="Arial"/>
                <w:sz w:val="20"/>
                <w:szCs w:val="20"/>
              </w:rPr>
              <w:t xml:space="preserve">  There will be discussion of the Assessment Framework, which seems to exist outside of the purview of the steering committee structure.</w:t>
            </w:r>
          </w:p>
        </w:tc>
      </w:tr>
      <w:tr w:rsidR="00642BFE"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642BFE" w:rsidRPr="00165CD9" w:rsidRDefault="00642BFE" w:rsidP="004243F0">
            <w:pPr>
              <w:ind w:left="0"/>
              <w:rPr>
                <w:rFonts w:cs="Arial"/>
                <w:b/>
              </w:rPr>
            </w:pPr>
            <w:r w:rsidRPr="00165CD9">
              <w:rPr>
                <w:rFonts w:cs="Arial"/>
                <w:b/>
              </w:rPr>
              <w:t>Report out from March 13 Joint Meeting with Regional Water Board and March 20 Executive Board Meeting</w:t>
            </w:r>
          </w:p>
          <w:p w:rsidR="00642BFE" w:rsidRPr="00165CD9" w:rsidRDefault="00642BFE" w:rsidP="00642BFE">
            <w:pPr>
              <w:pStyle w:val="ListParagraph"/>
              <w:numPr>
                <w:ilvl w:val="0"/>
                <w:numId w:val="31"/>
              </w:numPr>
              <w:rPr>
                <w:rFonts w:ascii="Arial" w:hAnsi="Arial" w:cs="Arial"/>
                <w:b/>
                <w:sz w:val="20"/>
                <w:szCs w:val="20"/>
              </w:rPr>
            </w:pPr>
            <w:r w:rsidRPr="00165CD9">
              <w:rPr>
                <w:rFonts w:ascii="Arial" w:hAnsi="Arial" w:cs="Arial"/>
                <w:sz w:val="20"/>
                <w:szCs w:val="20"/>
              </w:rPr>
              <w:t xml:space="preserve">SSO Enforcement Options – The collection systems committee </w:t>
            </w:r>
            <w:r w:rsidR="00224EB4">
              <w:rPr>
                <w:rFonts w:ascii="Arial" w:hAnsi="Arial" w:cs="Arial"/>
                <w:sz w:val="20"/>
                <w:szCs w:val="20"/>
              </w:rPr>
              <w:t xml:space="preserve">developed alternatives to protect agencies from third party lawsuits </w:t>
            </w:r>
            <w:r w:rsidR="00CA5267">
              <w:rPr>
                <w:rFonts w:ascii="Arial" w:hAnsi="Arial" w:cs="Arial"/>
                <w:sz w:val="20"/>
                <w:szCs w:val="20"/>
              </w:rPr>
              <w:t xml:space="preserve">in response to </w:t>
            </w:r>
            <w:r w:rsidR="00224EB4">
              <w:rPr>
                <w:rFonts w:ascii="Arial" w:hAnsi="Arial" w:cs="Arial"/>
                <w:sz w:val="20"/>
                <w:szCs w:val="20"/>
              </w:rPr>
              <w:t xml:space="preserve">SSOs. </w:t>
            </w:r>
            <w:r w:rsidR="00CA5267">
              <w:rPr>
                <w:rFonts w:ascii="Arial" w:hAnsi="Arial" w:cs="Arial"/>
                <w:sz w:val="20"/>
                <w:szCs w:val="20"/>
              </w:rPr>
              <w:t xml:space="preserve">The preferred alternative was that “good actors” would fill out a template and pay a fine that would </w:t>
            </w:r>
            <w:r w:rsidR="00A41406">
              <w:rPr>
                <w:rFonts w:ascii="Arial" w:hAnsi="Arial" w:cs="Arial"/>
                <w:sz w:val="20"/>
                <w:szCs w:val="20"/>
              </w:rPr>
              <w:t>constitute</w:t>
            </w:r>
            <w:r w:rsidR="00CA5267">
              <w:rPr>
                <w:rFonts w:ascii="Arial" w:hAnsi="Arial" w:cs="Arial"/>
                <w:sz w:val="20"/>
                <w:szCs w:val="20"/>
              </w:rPr>
              <w:t xml:space="preserve"> enforcement action by the Regional Water board and preclude future lawsuits. While the Regional Water Board staff was open to this at the meeting, they later responded that they were concerned that it looked like too close a relationship with the regulated community.</w:t>
            </w:r>
            <w:r w:rsidR="00F524BA">
              <w:rPr>
                <w:rFonts w:ascii="Arial" w:hAnsi="Arial" w:cs="Arial"/>
                <w:sz w:val="20"/>
                <w:szCs w:val="20"/>
              </w:rPr>
              <w:t xml:space="preserve"> Denise Connor reported that the Regional Water Board did </w:t>
            </w:r>
            <w:r w:rsidR="00A41406">
              <w:rPr>
                <w:rFonts w:ascii="Arial" w:hAnsi="Arial" w:cs="Arial"/>
                <w:sz w:val="20"/>
                <w:szCs w:val="20"/>
              </w:rPr>
              <w:t>d</w:t>
            </w:r>
            <w:r w:rsidR="00151A50">
              <w:rPr>
                <w:rFonts w:ascii="Arial" w:hAnsi="Arial" w:cs="Arial"/>
                <w:sz w:val="20"/>
                <w:szCs w:val="20"/>
              </w:rPr>
              <w:t>evelop a CD</w:t>
            </w:r>
            <w:bookmarkStart w:id="0" w:name="_GoBack"/>
            <w:bookmarkEnd w:id="0"/>
            <w:r w:rsidR="00A41406">
              <w:rPr>
                <w:rFonts w:ascii="Arial" w:hAnsi="Arial" w:cs="Arial"/>
                <w:sz w:val="20"/>
                <w:szCs w:val="20"/>
              </w:rPr>
              <w:t>O for</w:t>
            </w:r>
            <w:r w:rsidR="00F524BA">
              <w:rPr>
                <w:rFonts w:ascii="Arial" w:hAnsi="Arial" w:cs="Arial"/>
                <w:sz w:val="20"/>
                <w:szCs w:val="20"/>
              </w:rPr>
              <w:t xml:space="preserve"> one of her client agencies</w:t>
            </w:r>
            <w:r w:rsidR="00A41406">
              <w:rPr>
                <w:rFonts w:ascii="Arial" w:hAnsi="Arial" w:cs="Arial"/>
                <w:sz w:val="20"/>
                <w:szCs w:val="20"/>
              </w:rPr>
              <w:t xml:space="preserve"> but</w:t>
            </w:r>
            <w:r w:rsidR="00F524BA">
              <w:rPr>
                <w:rFonts w:ascii="Arial" w:hAnsi="Arial" w:cs="Arial"/>
                <w:sz w:val="20"/>
                <w:szCs w:val="20"/>
              </w:rPr>
              <w:t xml:space="preserve"> this did not preclude a Riverwatch lawsuit, which alleged tha</w:t>
            </w:r>
            <w:r w:rsidR="00A41406">
              <w:rPr>
                <w:rFonts w:ascii="Arial" w:hAnsi="Arial" w:cs="Arial"/>
                <w:sz w:val="20"/>
                <w:szCs w:val="20"/>
              </w:rPr>
              <w:t>t the enforcement action did</w:t>
            </w:r>
            <w:r w:rsidR="00F524BA">
              <w:rPr>
                <w:rFonts w:ascii="Arial" w:hAnsi="Arial" w:cs="Arial"/>
                <w:sz w:val="20"/>
                <w:szCs w:val="20"/>
              </w:rPr>
              <w:t xml:space="preserve"> not cover the full extent of the lawsuit.</w:t>
            </w:r>
          </w:p>
          <w:p w:rsidR="00642BFE" w:rsidRPr="00165CD9" w:rsidRDefault="00642BFE" w:rsidP="00642BFE">
            <w:pPr>
              <w:pStyle w:val="ListParagraph"/>
              <w:numPr>
                <w:ilvl w:val="0"/>
                <w:numId w:val="31"/>
              </w:numPr>
              <w:rPr>
                <w:rFonts w:ascii="Arial" w:hAnsi="Arial" w:cs="Arial"/>
                <w:b/>
                <w:sz w:val="20"/>
                <w:szCs w:val="20"/>
              </w:rPr>
            </w:pPr>
            <w:r w:rsidRPr="00165CD9">
              <w:rPr>
                <w:rFonts w:ascii="Arial" w:hAnsi="Arial" w:cs="Arial"/>
                <w:sz w:val="20"/>
                <w:szCs w:val="20"/>
              </w:rPr>
              <w:t xml:space="preserve">Recycled Water Permitting - </w:t>
            </w:r>
            <w:r w:rsidR="00F524BA">
              <w:rPr>
                <w:rFonts w:ascii="Arial" w:hAnsi="Arial" w:cs="Arial"/>
                <w:sz w:val="20"/>
                <w:szCs w:val="20"/>
              </w:rPr>
              <w:t>BACWA asked the Regional Water Board if new projects could continue to be permitted under 96-011, which is less onerous than the new State general order, 2014-0090.  Lila Tang sent an email after the meeting that her reading of the new order is that the Regional Water board should not continue to provide coverage under 96-011 for new (or expanded) projects. Dave Williams suggests that an agency that is starting a new recycled water project or expanding a project can apply under 96-011, forcing the Regional Water board to develop a defensible permitting strategy.</w:t>
            </w:r>
          </w:p>
          <w:p w:rsidR="00642BFE" w:rsidRPr="00165CD9" w:rsidRDefault="00642BFE" w:rsidP="00642BFE">
            <w:pPr>
              <w:pStyle w:val="ListParagraph"/>
              <w:numPr>
                <w:ilvl w:val="0"/>
                <w:numId w:val="31"/>
              </w:numPr>
              <w:rPr>
                <w:rFonts w:ascii="Arial" w:hAnsi="Arial" w:cs="Arial"/>
                <w:b/>
                <w:sz w:val="20"/>
                <w:szCs w:val="20"/>
              </w:rPr>
            </w:pPr>
            <w:r w:rsidRPr="00165CD9">
              <w:rPr>
                <w:rFonts w:ascii="Arial" w:hAnsi="Arial" w:cs="Arial"/>
                <w:sz w:val="20"/>
                <w:szCs w:val="20"/>
              </w:rPr>
              <w:t>IRWMP funding</w:t>
            </w:r>
            <w:r w:rsidR="00F524BA">
              <w:rPr>
                <w:rFonts w:ascii="Arial" w:hAnsi="Arial" w:cs="Arial"/>
                <w:sz w:val="20"/>
                <w:szCs w:val="20"/>
              </w:rPr>
              <w:t xml:space="preserve"> – BACWA will be submitting a nutrient themed project concept submittal as well as a package of recycled water projects to the Bay Area IRWM Project Screening Committee.  That committee will select projects to be part of a Regional application to DWR for the final round of Proposition 84 funding.</w:t>
            </w:r>
          </w:p>
          <w:p w:rsidR="00642BFE" w:rsidRPr="00A41406" w:rsidRDefault="00642BFE" w:rsidP="00F524BA">
            <w:pPr>
              <w:pStyle w:val="ListParagraph"/>
              <w:numPr>
                <w:ilvl w:val="0"/>
                <w:numId w:val="31"/>
              </w:numPr>
              <w:rPr>
                <w:rFonts w:ascii="Arial" w:hAnsi="Arial" w:cs="Arial"/>
                <w:b/>
                <w:sz w:val="20"/>
                <w:szCs w:val="20"/>
              </w:rPr>
            </w:pPr>
            <w:r w:rsidRPr="00165CD9">
              <w:rPr>
                <w:rFonts w:ascii="Arial" w:hAnsi="Arial" w:cs="Arial"/>
                <w:sz w:val="20"/>
                <w:szCs w:val="20"/>
              </w:rPr>
              <w:t>RMP Status and Trends</w:t>
            </w:r>
            <w:r w:rsidR="00F524BA">
              <w:rPr>
                <w:rFonts w:ascii="Arial" w:hAnsi="Arial" w:cs="Arial"/>
                <w:sz w:val="20"/>
                <w:szCs w:val="20"/>
              </w:rPr>
              <w:t xml:space="preserve"> – The RMP would like to put off sampling CTR constituents</w:t>
            </w:r>
            <w:r w:rsidR="00A41406">
              <w:rPr>
                <w:rFonts w:ascii="Arial" w:hAnsi="Arial" w:cs="Arial"/>
                <w:sz w:val="20"/>
                <w:szCs w:val="20"/>
              </w:rPr>
              <w:t xml:space="preserve"> due to cost</w:t>
            </w:r>
            <w:r w:rsidR="00F524BA">
              <w:rPr>
                <w:rFonts w:ascii="Arial" w:hAnsi="Arial" w:cs="Arial"/>
                <w:sz w:val="20"/>
                <w:szCs w:val="20"/>
              </w:rPr>
              <w:t>.  Some agencies are upset about being given limits based on data collected in the 1990s.  Robert Schlipf</w:t>
            </w:r>
            <w:r w:rsidR="00A41406">
              <w:rPr>
                <w:rFonts w:ascii="Arial" w:hAnsi="Arial" w:cs="Arial"/>
                <w:sz w:val="20"/>
                <w:szCs w:val="20"/>
              </w:rPr>
              <w:t xml:space="preserve"> at the Regional Water Board</w:t>
            </w:r>
            <w:r w:rsidR="00F524BA">
              <w:rPr>
                <w:rFonts w:ascii="Arial" w:hAnsi="Arial" w:cs="Arial"/>
                <w:sz w:val="20"/>
                <w:szCs w:val="20"/>
              </w:rPr>
              <w:t xml:space="preserve"> is looking into what would be required to truncate the list of constituents moving forward.</w:t>
            </w:r>
          </w:p>
          <w:p w:rsidR="00A41406" w:rsidRPr="00F524BA" w:rsidRDefault="00A41406" w:rsidP="00F524BA">
            <w:pPr>
              <w:pStyle w:val="ListParagraph"/>
              <w:numPr>
                <w:ilvl w:val="0"/>
                <w:numId w:val="31"/>
              </w:numPr>
              <w:rPr>
                <w:rFonts w:ascii="Arial" w:hAnsi="Arial" w:cs="Arial"/>
                <w:b/>
                <w:sz w:val="20"/>
                <w:szCs w:val="20"/>
              </w:rPr>
            </w:pPr>
            <w:r>
              <w:rPr>
                <w:rFonts w:ascii="Arial" w:hAnsi="Arial" w:cs="Arial"/>
                <w:sz w:val="20"/>
                <w:szCs w:val="20"/>
              </w:rPr>
              <w:t>Fees – BACWA dues will be going up 2% and the nutrient surcharge will be doubling.</w:t>
            </w:r>
          </w:p>
        </w:tc>
      </w:tr>
      <w:tr w:rsidR="00642BFE"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642BFE" w:rsidRPr="005F2BB3" w:rsidRDefault="00642BFE" w:rsidP="004243F0">
            <w:pPr>
              <w:ind w:left="0"/>
              <w:rPr>
                <w:rFonts w:cs="Arial"/>
                <w:b/>
              </w:rPr>
            </w:pPr>
            <w:r w:rsidRPr="005F2BB3">
              <w:rPr>
                <w:rFonts w:cs="Arial"/>
                <w:b/>
              </w:rPr>
              <w:t>Announcements/Informational Items</w:t>
            </w:r>
          </w:p>
          <w:p w:rsidR="00642BFE" w:rsidRPr="00165CD9" w:rsidRDefault="00642BFE" w:rsidP="00642BFE">
            <w:pPr>
              <w:pStyle w:val="ListParagraph"/>
              <w:numPr>
                <w:ilvl w:val="0"/>
                <w:numId w:val="32"/>
              </w:numPr>
              <w:rPr>
                <w:rFonts w:cs="Arial"/>
                <w:b/>
                <w:sz w:val="20"/>
                <w:szCs w:val="20"/>
              </w:rPr>
            </w:pPr>
            <w:r w:rsidRPr="00165CD9">
              <w:rPr>
                <w:rFonts w:ascii="Arial" w:hAnsi="Arial" w:cs="Arial"/>
                <w:sz w:val="20"/>
                <w:szCs w:val="20"/>
              </w:rPr>
              <w:t>Risk reduction RFP – BACWA is required to contribute to risk reduction programs per the Hg/PCB watershed program.  BACWA has posted an RFP inviting community-based organizations to apply for grants.</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A41406">
            <w:pPr>
              <w:spacing w:before="60"/>
              <w:ind w:left="0"/>
              <w:rPr>
                <w:rFonts w:cs="Arial"/>
                <w:b/>
                <w:i/>
              </w:rPr>
            </w:pPr>
            <w:r w:rsidRPr="006950DD">
              <w:rPr>
                <w:rFonts w:cs="Arial"/>
                <w:b/>
              </w:rPr>
              <w:t xml:space="preserve">Next BACWA Permits Committee Meeting:  </w:t>
            </w:r>
            <w:r w:rsidRPr="006950DD">
              <w:rPr>
                <w:rFonts w:cs="Arial"/>
              </w:rPr>
              <w:t xml:space="preserve">Tuesday, </w:t>
            </w:r>
            <w:r w:rsidR="00642BFE">
              <w:rPr>
                <w:rFonts w:cs="Arial"/>
              </w:rPr>
              <w:t>May 5</w:t>
            </w:r>
            <w:r w:rsidR="00A507F5">
              <w:rPr>
                <w:rFonts w:cs="Arial"/>
              </w:rPr>
              <w:t>, 2015</w:t>
            </w:r>
            <w:r w:rsidRPr="006950DD">
              <w:rPr>
                <w:rFonts w:cs="Arial"/>
              </w:rPr>
              <w:t>, at EBMUD Plant Library</w:t>
            </w:r>
            <w:r w:rsidR="00A41406">
              <w:rPr>
                <w:rFonts w:cs="Arial"/>
              </w:rPr>
              <w:t>.</w:t>
            </w:r>
          </w:p>
        </w:tc>
      </w:tr>
    </w:tbl>
    <w:p w:rsidR="000E1846" w:rsidRPr="00265445" w:rsidRDefault="000E1846" w:rsidP="003A1C9C">
      <w:pPr>
        <w:ind w:left="0"/>
        <w:rPr>
          <w:rFonts w:cs="Arial"/>
        </w:rPr>
      </w:pPr>
    </w:p>
    <w:sectPr w:rsidR="000E1846" w:rsidRPr="00265445" w:rsidSect="004931F3">
      <w:footerReference w:type="even" r:id="rId11"/>
      <w:footerReference w:type="default" r:id="rId12"/>
      <w:headerReference w:type="first" r:id="rId13"/>
      <w:footerReference w:type="first" r:id="rId14"/>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6D9" w:rsidRDefault="008506D9">
      <w:r>
        <w:separator/>
      </w:r>
    </w:p>
  </w:endnote>
  <w:endnote w:type="continuationSeparator" w:id="0">
    <w:p w:rsidR="008506D9" w:rsidRDefault="0085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164B" w:rsidRDefault="0042164B">
    <w:pPr>
      <w:ind w:left="-1080"/>
    </w:pPr>
  </w:p>
  <w:p w:rsidR="0042164B" w:rsidRDefault="004216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Pr="00944BEA" w:rsidRDefault="0042164B"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151A5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6D9" w:rsidRDefault="008506D9">
      <w:r>
        <w:separator/>
      </w:r>
    </w:p>
  </w:footnote>
  <w:footnote w:type="continuationSeparator" w:id="0">
    <w:p w:rsidR="008506D9" w:rsidRDefault="00850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98C5B2"/>
    <w:lvl w:ilvl="0">
      <w:numFmt w:val="decimal"/>
      <w:pStyle w:val="Caption"/>
      <w:lvlText w:val="*"/>
      <w:lvlJc w:val="left"/>
    </w:lvl>
  </w:abstractNum>
  <w:abstractNum w:abstractNumId="1">
    <w:nsid w:val="07144753"/>
    <w:multiLevelType w:val="hybridMultilevel"/>
    <w:tmpl w:val="E278DC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37BE"/>
    <w:multiLevelType w:val="hybridMultilevel"/>
    <w:tmpl w:val="473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4659A"/>
    <w:multiLevelType w:val="hybridMultilevel"/>
    <w:tmpl w:val="1A720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6CC2"/>
    <w:multiLevelType w:val="hybridMultilevel"/>
    <w:tmpl w:val="49A0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43077"/>
    <w:multiLevelType w:val="hybridMultilevel"/>
    <w:tmpl w:val="F3663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1053B0"/>
    <w:multiLevelType w:val="hybridMultilevel"/>
    <w:tmpl w:val="DC241388"/>
    <w:lvl w:ilvl="0" w:tplc="B782824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C7827"/>
    <w:multiLevelType w:val="hybridMultilevel"/>
    <w:tmpl w:val="9D3C8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D08EC"/>
    <w:multiLevelType w:val="hybridMultilevel"/>
    <w:tmpl w:val="D22A3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74C42"/>
    <w:multiLevelType w:val="hybridMultilevel"/>
    <w:tmpl w:val="447A6B42"/>
    <w:lvl w:ilvl="0" w:tplc="25ACA1F8">
      <w:start w:val="1"/>
      <w:numFmt w:val="lowerLetter"/>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2463C"/>
    <w:multiLevelType w:val="hybridMultilevel"/>
    <w:tmpl w:val="675A5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50851"/>
    <w:multiLevelType w:val="hybridMultilevel"/>
    <w:tmpl w:val="7A7A1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954F0"/>
    <w:multiLevelType w:val="hybridMultilevel"/>
    <w:tmpl w:val="E2DEE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D04A9"/>
    <w:multiLevelType w:val="hybridMultilevel"/>
    <w:tmpl w:val="009CB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2191E"/>
    <w:multiLevelType w:val="hybridMultilevel"/>
    <w:tmpl w:val="4F0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37C8C"/>
    <w:multiLevelType w:val="hybridMultilevel"/>
    <w:tmpl w:val="B12E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41F23"/>
    <w:multiLevelType w:val="hybridMultilevel"/>
    <w:tmpl w:val="2E9444A8"/>
    <w:lvl w:ilvl="0" w:tplc="74B23EE6">
      <w:start w:val="1"/>
      <w:numFmt w:val="lowerLetter"/>
      <w:lvlText w:val="%1)"/>
      <w:lvlJc w:val="left"/>
      <w:pPr>
        <w:ind w:left="720" w:hanging="360"/>
      </w:pPr>
      <w:rPr>
        <w:rFonts w:cs="Times New Roman"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71A44"/>
    <w:multiLevelType w:val="hybridMultilevel"/>
    <w:tmpl w:val="B5B6AB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5851E9"/>
    <w:multiLevelType w:val="hybridMultilevel"/>
    <w:tmpl w:val="3AC06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7175B"/>
    <w:multiLevelType w:val="hybridMultilevel"/>
    <w:tmpl w:val="330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D74E4"/>
    <w:multiLevelType w:val="multilevel"/>
    <w:tmpl w:val="D04CB006"/>
    <w:lvl w:ilvl="0">
      <w:start w:val="1"/>
      <w:numFmt w:val="upperRoman"/>
      <w:lvlText w:val="%1."/>
      <w:lvlJc w:val="left"/>
      <w:pPr>
        <w:tabs>
          <w:tab w:val="num" w:pos="720"/>
        </w:tabs>
        <w:ind w:left="720" w:hanging="720"/>
      </w:pPr>
      <w:rPr>
        <w:rFonts w:ascii="Arial" w:hAnsi="Arial" w:cs="Arial"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2">
    <w:nsid w:val="4C9B1847"/>
    <w:multiLevelType w:val="hybridMultilevel"/>
    <w:tmpl w:val="01927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36569"/>
    <w:multiLevelType w:val="hybridMultilevel"/>
    <w:tmpl w:val="4E3A7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732F4"/>
    <w:multiLevelType w:val="hybridMultilevel"/>
    <w:tmpl w:val="6866945E"/>
    <w:lvl w:ilvl="0" w:tplc="CA967276">
      <w:start w:val="1"/>
      <w:numFmt w:val="decimal"/>
      <w:lvlText w:val="%1)"/>
      <w:lvlJc w:val="left"/>
      <w:pPr>
        <w:tabs>
          <w:tab w:val="num" w:pos="735"/>
        </w:tabs>
        <w:ind w:left="735" w:hanging="375"/>
      </w:pPr>
      <w:rPr>
        <w:rFonts w:hint="default"/>
        <w:b/>
      </w:rPr>
    </w:lvl>
    <w:lvl w:ilvl="1" w:tplc="5BB6CEEC">
      <w:start w:val="1"/>
      <w:numFmt w:val="lowerLetter"/>
      <w:lvlText w:val="%2."/>
      <w:lvlJc w:val="left"/>
      <w:pPr>
        <w:tabs>
          <w:tab w:val="num" w:pos="1080"/>
        </w:tabs>
        <w:ind w:left="1080" w:hanging="360"/>
      </w:pPr>
      <w:rPr>
        <w:rFonts w:ascii="Tahoma" w:eastAsia="Batang" w:hAnsi="Tahoma" w:cs="Tahoma"/>
      </w:rPr>
    </w:lvl>
    <w:lvl w:ilvl="2" w:tplc="04021BE8">
      <w:start w:val="1"/>
      <w:numFmt w:val="lowerLetter"/>
      <w:lvlText w:val="%3."/>
      <w:lvlJc w:val="right"/>
      <w:pPr>
        <w:tabs>
          <w:tab w:val="num" w:pos="1800"/>
        </w:tabs>
        <w:ind w:left="1800" w:hanging="180"/>
      </w:pPr>
      <w:rPr>
        <w:rFonts w:ascii="Tahoma" w:eastAsia="Batang" w:hAnsi="Tahoma" w:cs="Tahoma"/>
      </w:rPr>
    </w:lvl>
    <w:lvl w:ilvl="3" w:tplc="6E3C759A">
      <w:start w:val="1"/>
      <w:numFmt w:val="lowerRoman"/>
      <w:lvlText w:val="%4."/>
      <w:lvlJc w:val="left"/>
      <w:pPr>
        <w:tabs>
          <w:tab w:val="num" w:pos="1440"/>
        </w:tabs>
        <w:ind w:left="1440" w:hanging="360"/>
      </w:pPr>
      <w:rPr>
        <w:rFonts w:ascii="Tahoma" w:eastAsia="Batang" w:hAnsi="Tahoma" w:cs="Tahoma"/>
        <w:b w:val="0"/>
      </w:rPr>
    </w:lvl>
    <w:lvl w:ilvl="4" w:tplc="DC44E008">
      <w:start w:val="2"/>
      <w:numFmt w:val="bullet"/>
      <w:lvlText w:val="-"/>
      <w:lvlJc w:val="left"/>
      <w:pPr>
        <w:ind w:left="3240" w:hanging="360"/>
      </w:pPr>
      <w:rPr>
        <w:rFonts w:ascii="Tahoma" w:eastAsia="Batang" w:hAnsi="Tahoma" w:cs="Tahoma" w:hint="default"/>
      </w:rPr>
    </w:lvl>
    <w:lvl w:ilvl="5" w:tplc="971C8B92">
      <w:start w:val="1"/>
      <w:numFmt w:val="lowerLetter"/>
      <w:lvlText w:val="(%6)"/>
      <w:lvlJc w:val="left"/>
      <w:pPr>
        <w:ind w:left="4140" w:hanging="360"/>
      </w:pPr>
      <w:rPr>
        <w:rFonts w:hint="default"/>
      </w:rPr>
    </w:lvl>
    <w:lvl w:ilvl="6" w:tplc="3FCAA17C">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6">
    <w:nsid w:val="566F2F6C"/>
    <w:multiLevelType w:val="hybridMultilevel"/>
    <w:tmpl w:val="E04C8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A71D15"/>
    <w:multiLevelType w:val="hybridMultilevel"/>
    <w:tmpl w:val="E64C8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F022F"/>
    <w:multiLevelType w:val="hybridMultilevel"/>
    <w:tmpl w:val="15325F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C1270"/>
    <w:multiLevelType w:val="hybridMultilevel"/>
    <w:tmpl w:val="18CA4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F1D3D"/>
    <w:multiLevelType w:val="hybridMultilevel"/>
    <w:tmpl w:val="7212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290F72"/>
    <w:multiLevelType w:val="hybridMultilevel"/>
    <w:tmpl w:val="890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1"/>
  </w:num>
  <w:num w:numId="3">
    <w:abstractNumId w:val="25"/>
  </w:num>
  <w:num w:numId="4">
    <w:abstractNumId w:val="26"/>
  </w:num>
  <w:num w:numId="5">
    <w:abstractNumId w:val="30"/>
  </w:num>
  <w:num w:numId="6">
    <w:abstractNumId w:val="13"/>
  </w:num>
  <w:num w:numId="7">
    <w:abstractNumId w:val="5"/>
  </w:num>
  <w:num w:numId="8">
    <w:abstractNumId w:val="14"/>
  </w:num>
  <w:num w:numId="9">
    <w:abstractNumId w:val="29"/>
  </w:num>
  <w:num w:numId="10">
    <w:abstractNumId w:val="3"/>
  </w:num>
  <w:num w:numId="11">
    <w:abstractNumId w:val="27"/>
  </w:num>
  <w:num w:numId="12">
    <w:abstractNumId w:val="20"/>
  </w:num>
  <w:num w:numId="13">
    <w:abstractNumId w:val="31"/>
  </w:num>
  <w:num w:numId="14">
    <w:abstractNumId w:val="4"/>
  </w:num>
  <w:num w:numId="15">
    <w:abstractNumId w:val="24"/>
  </w:num>
  <w:num w:numId="16">
    <w:abstractNumId w:val="2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
  </w:num>
  <w:num w:numId="21">
    <w:abstractNumId w:val="11"/>
  </w:num>
  <w:num w:numId="22">
    <w:abstractNumId w:val="15"/>
  </w:num>
  <w:num w:numId="23">
    <w:abstractNumId w:val="23"/>
  </w:num>
  <w:num w:numId="24">
    <w:abstractNumId w:val="6"/>
  </w:num>
  <w:num w:numId="25">
    <w:abstractNumId w:val="10"/>
  </w:num>
  <w:num w:numId="26">
    <w:abstractNumId w:val="2"/>
  </w:num>
  <w:num w:numId="27">
    <w:abstractNumId w:val="8"/>
  </w:num>
  <w:num w:numId="28">
    <w:abstractNumId w:val="18"/>
  </w:num>
  <w:num w:numId="29">
    <w:abstractNumId w:val="9"/>
  </w:num>
  <w:num w:numId="30">
    <w:abstractNumId w:val="16"/>
  </w:num>
  <w:num w:numId="31">
    <w:abstractNumId w:val="12"/>
  </w:num>
  <w:num w:numId="32">
    <w:abstractNumId w:val="22"/>
  </w:num>
  <w:num w:numId="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418"/>
    <w:rsid w:val="00014AB1"/>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3780"/>
    <w:rsid w:val="0007541E"/>
    <w:rsid w:val="00080579"/>
    <w:rsid w:val="000841DB"/>
    <w:rsid w:val="00084B73"/>
    <w:rsid w:val="00086F94"/>
    <w:rsid w:val="0009037D"/>
    <w:rsid w:val="00091831"/>
    <w:rsid w:val="00091B3F"/>
    <w:rsid w:val="00095589"/>
    <w:rsid w:val="000969C9"/>
    <w:rsid w:val="000A3124"/>
    <w:rsid w:val="000A4A98"/>
    <w:rsid w:val="000A4C0B"/>
    <w:rsid w:val="000B1F9D"/>
    <w:rsid w:val="000B23BF"/>
    <w:rsid w:val="000B29CE"/>
    <w:rsid w:val="000B2A82"/>
    <w:rsid w:val="000B4209"/>
    <w:rsid w:val="000B4BDF"/>
    <w:rsid w:val="000B7801"/>
    <w:rsid w:val="000C32F3"/>
    <w:rsid w:val="000C4DF8"/>
    <w:rsid w:val="000C5A68"/>
    <w:rsid w:val="000C5E40"/>
    <w:rsid w:val="000C687B"/>
    <w:rsid w:val="000C6FE4"/>
    <w:rsid w:val="000D0243"/>
    <w:rsid w:val="000D1979"/>
    <w:rsid w:val="000D27CE"/>
    <w:rsid w:val="000D61E2"/>
    <w:rsid w:val="000E1846"/>
    <w:rsid w:val="000E33E3"/>
    <w:rsid w:val="000E4FFE"/>
    <w:rsid w:val="000F07E5"/>
    <w:rsid w:val="000F31FA"/>
    <w:rsid w:val="000F4376"/>
    <w:rsid w:val="001005D3"/>
    <w:rsid w:val="001064BC"/>
    <w:rsid w:val="00106E74"/>
    <w:rsid w:val="00107980"/>
    <w:rsid w:val="00110F6D"/>
    <w:rsid w:val="00112156"/>
    <w:rsid w:val="001139F8"/>
    <w:rsid w:val="00115981"/>
    <w:rsid w:val="0011753C"/>
    <w:rsid w:val="00117C9B"/>
    <w:rsid w:val="0012410A"/>
    <w:rsid w:val="00124DC5"/>
    <w:rsid w:val="001272C2"/>
    <w:rsid w:val="00127D7B"/>
    <w:rsid w:val="00130DBE"/>
    <w:rsid w:val="00132EE1"/>
    <w:rsid w:val="001429B8"/>
    <w:rsid w:val="0014579B"/>
    <w:rsid w:val="00151A50"/>
    <w:rsid w:val="00153F8F"/>
    <w:rsid w:val="0015521C"/>
    <w:rsid w:val="00157ECE"/>
    <w:rsid w:val="00165617"/>
    <w:rsid w:val="001657E7"/>
    <w:rsid w:val="00165CD9"/>
    <w:rsid w:val="00173EA8"/>
    <w:rsid w:val="001856DB"/>
    <w:rsid w:val="00192108"/>
    <w:rsid w:val="00193A1B"/>
    <w:rsid w:val="00195466"/>
    <w:rsid w:val="00196B79"/>
    <w:rsid w:val="00196EDF"/>
    <w:rsid w:val="001A0726"/>
    <w:rsid w:val="001A15D9"/>
    <w:rsid w:val="001A26B2"/>
    <w:rsid w:val="001A4B29"/>
    <w:rsid w:val="001A5713"/>
    <w:rsid w:val="001B2F9D"/>
    <w:rsid w:val="001B4372"/>
    <w:rsid w:val="001B62B9"/>
    <w:rsid w:val="001B7E50"/>
    <w:rsid w:val="001C696E"/>
    <w:rsid w:val="001D466B"/>
    <w:rsid w:val="001D79E2"/>
    <w:rsid w:val="001D7ED0"/>
    <w:rsid w:val="001E1E7E"/>
    <w:rsid w:val="001E314F"/>
    <w:rsid w:val="001E7159"/>
    <w:rsid w:val="001E7686"/>
    <w:rsid w:val="001F110B"/>
    <w:rsid w:val="001F134E"/>
    <w:rsid w:val="001F31B1"/>
    <w:rsid w:val="001F3DE3"/>
    <w:rsid w:val="001F4C4D"/>
    <w:rsid w:val="001F51FA"/>
    <w:rsid w:val="001F6439"/>
    <w:rsid w:val="002002AD"/>
    <w:rsid w:val="002010F8"/>
    <w:rsid w:val="002011E0"/>
    <w:rsid w:val="0021235F"/>
    <w:rsid w:val="00212A54"/>
    <w:rsid w:val="0021419F"/>
    <w:rsid w:val="00215FF7"/>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208FD"/>
    <w:rsid w:val="003233DE"/>
    <w:rsid w:val="00324954"/>
    <w:rsid w:val="003266DE"/>
    <w:rsid w:val="003300B3"/>
    <w:rsid w:val="00332C2B"/>
    <w:rsid w:val="00333996"/>
    <w:rsid w:val="003373D7"/>
    <w:rsid w:val="00340EC8"/>
    <w:rsid w:val="00341C16"/>
    <w:rsid w:val="00341FD5"/>
    <w:rsid w:val="00342E1B"/>
    <w:rsid w:val="00351370"/>
    <w:rsid w:val="0035184E"/>
    <w:rsid w:val="0035448D"/>
    <w:rsid w:val="0035613D"/>
    <w:rsid w:val="00363B1D"/>
    <w:rsid w:val="003672B0"/>
    <w:rsid w:val="00370447"/>
    <w:rsid w:val="003709F3"/>
    <w:rsid w:val="00373DB3"/>
    <w:rsid w:val="003768B9"/>
    <w:rsid w:val="00380AD5"/>
    <w:rsid w:val="003821BD"/>
    <w:rsid w:val="00382CC9"/>
    <w:rsid w:val="00383FFE"/>
    <w:rsid w:val="00385D39"/>
    <w:rsid w:val="00386A75"/>
    <w:rsid w:val="003912FB"/>
    <w:rsid w:val="00395530"/>
    <w:rsid w:val="003A191C"/>
    <w:rsid w:val="003A1A41"/>
    <w:rsid w:val="003A1AE5"/>
    <w:rsid w:val="003A1C9C"/>
    <w:rsid w:val="003B3513"/>
    <w:rsid w:val="003B3DF4"/>
    <w:rsid w:val="003B7B15"/>
    <w:rsid w:val="003C3654"/>
    <w:rsid w:val="003C6D0E"/>
    <w:rsid w:val="003D2D36"/>
    <w:rsid w:val="003D51FB"/>
    <w:rsid w:val="003E45C6"/>
    <w:rsid w:val="003E7490"/>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6446"/>
    <w:rsid w:val="00466E7F"/>
    <w:rsid w:val="00473661"/>
    <w:rsid w:val="004765FC"/>
    <w:rsid w:val="0047728F"/>
    <w:rsid w:val="00480325"/>
    <w:rsid w:val="00481ADF"/>
    <w:rsid w:val="0048333C"/>
    <w:rsid w:val="004863E7"/>
    <w:rsid w:val="00487788"/>
    <w:rsid w:val="00492F8A"/>
    <w:rsid w:val="004931F3"/>
    <w:rsid w:val="004950EB"/>
    <w:rsid w:val="00495EC6"/>
    <w:rsid w:val="00495F42"/>
    <w:rsid w:val="004A000E"/>
    <w:rsid w:val="004A1867"/>
    <w:rsid w:val="004A602F"/>
    <w:rsid w:val="004B1A6A"/>
    <w:rsid w:val="004B1E43"/>
    <w:rsid w:val="004B2701"/>
    <w:rsid w:val="004B5618"/>
    <w:rsid w:val="004B6166"/>
    <w:rsid w:val="004C0E43"/>
    <w:rsid w:val="004C1869"/>
    <w:rsid w:val="004C1E25"/>
    <w:rsid w:val="004C1F9D"/>
    <w:rsid w:val="004C4BB2"/>
    <w:rsid w:val="004C7FBD"/>
    <w:rsid w:val="004D0E4D"/>
    <w:rsid w:val="004D1E6F"/>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3374"/>
    <w:rsid w:val="005109D7"/>
    <w:rsid w:val="00512D0B"/>
    <w:rsid w:val="005142CA"/>
    <w:rsid w:val="00517408"/>
    <w:rsid w:val="00523E4C"/>
    <w:rsid w:val="00524A35"/>
    <w:rsid w:val="00527204"/>
    <w:rsid w:val="00527EE7"/>
    <w:rsid w:val="005302F1"/>
    <w:rsid w:val="005314DA"/>
    <w:rsid w:val="00534BF0"/>
    <w:rsid w:val="005360EA"/>
    <w:rsid w:val="00541789"/>
    <w:rsid w:val="00543508"/>
    <w:rsid w:val="005442F1"/>
    <w:rsid w:val="00546FF9"/>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27F"/>
    <w:rsid w:val="005A256A"/>
    <w:rsid w:val="005B1B30"/>
    <w:rsid w:val="005B35AA"/>
    <w:rsid w:val="005B477F"/>
    <w:rsid w:val="005C1CC1"/>
    <w:rsid w:val="005C73E7"/>
    <w:rsid w:val="005D3651"/>
    <w:rsid w:val="005E1E0C"/>
    <w:rsid w:val="005E1F7C"/>
    <w:rsid w:val="005E27C1"/>
    <w:rsid w:val="005E30B9"/>
    <w:rsid w:val="005E3FD9"/>
    <w:rsid w:val="005E45DA"/>
    <w:rsid w:val="005E4961"/>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2BFE"/>
    <w:rsid w:val="00646B39"/>
    <w:rsid w:val="0065007C"/>
    <w:rsid w:val="0065582E"/>
    <w:rsid w:val="00655940"/>
    <w:rsid w:val="00655ED2"/>
    <w:rsid w:val="006576EF"/>
    <w:rsid w:val="00672467"/>
    <w:rsid w:val="006732E3"/>
    <w:rsid w:val="00673E1E"/>
    <w:rsid w:val="006746A8"/>
    <w:rsid w:val="006750EE"/>
    <w:rsid w:val="00682612"/>
    <w:rsid w:val="006863BE"/>
    <w:rsid w:val="00690BBD"/>
    <w:rsid w:val="00691376"/>
    <w:rsid w:val="006915C0"/>
    <w:rsid w:val="0069246E"/>
    <w:rsid w:val="006938B4"/>
    <w:rsid w:val="006944D8"/>
    <w:rsid w:val="006950DD"/>
    <w:rsid w:val="006957C8"/>
    <w:rsid w:val="006A4A5A"/>
    <w:rsid w:val="006A7C51"/>
    <w:rsid w:val="006A7CE3"/>
    <w:rsid w:val="006B2CC8"/>
    <w:rsid w:val="006B4BA3"/>
    <w:rsid w:val="006B7B4B"/>
    <w:rsid w:val="006C0465"/>
    <w:rsid w:val="006C12D4"/>
    <w:rsid w:val="006C599A"/>
    <w:rsid w:val="006C64D2"/>
    <w:rsid w:val="006D0538"/>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418E"/>
    <w:rsid w:val="00746583"/>
    <w:rsid w:val="007504C5"/>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2F39"/>
    <w:rsid w:val="00827717"/>
    <w:rsid w:val="008301B1"/>
    <w:rsid w:val="0083456D"/>
    <w:rsid w:val="00835C76"/>
    <w:rsid w:val="00842ED4"/>
    <w:rsid w:val="00844FB5"/>
    <w:rsid w:val="008456D8"/>
    <w:rsid w:val="008506D9"/>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3499"/>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320EA"/>
    <w:rsid w:val="00933736"/>
    <w:rsid w:val="009379AC"/>
    <w:rsid w:val="00942223"/>
    <w:rsid w:val="009448A9"/>
    <w:rsid w:val="00944BEA"/>
    <w:rsid w:val="0094667D"/>
    <w:rsid w:val="00950EFC"/>
    <w:rsid w:val="0096016E"/>
    <w:rsid w:val="009608F3"/>
    <w:rsid w:val="0096120C"/>
    <w:rsid w:val="0096225C"/>
    <w:rsid w:val="009657A6"/>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6789"/>
    <w:rsid w:val="00A20704"/>
    <w:rsid w:val="00A2522F"/>
    <w:rsid w:val="00A25871"/>
    <w:rsid w:val="00A25A3C"/>
    <w:rsid w:val="00A2713E"/>
    <w:rsid w:val="00A30F32"/>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595F"/>
    <w:rsid w:val="00B272BD"/>
    <w:rsid w:val="00B30739"/>
    <w:rsid w:val="00B3207A"/>
    <w:rsid w:val="00B32857"/>
    <w:rsid w:val="00B329B3"/>
    <w:rsid w:val="00B33704"/>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6A95"/>
    <w:rsid w:val="00BB3194"/>
    <w:rsid w:val="00BB6884"/>
    <w:rsid w:val="00BB7215"/>
    <w:rsid w:val="00BC0FC4"/>
    <w:rsid w:val="00BC5D31"/>
    <w:rsid w:val="00BD4C6C"/>
    <w:rsid w:val="00BD5BDE"/>
    <w:rsid w:val="00BD7612"/>
    <w:rsid w:val="00BE475E"/>
    <w:rsid w:val="00BE6457"/>
    <w:rsid w:val="00BE6EF0"/>
    <w:rsid w:val="00BF2AA0"/>
    <w:rsid w:val="00BF458B"/>
    <w:rsid w:val="00BF5D5B"/>
    <w:rsid w:val="00C00E5B"/>
    <w:rsid w:val="00C02599"/>
    <w:rsid w:val="00C031F7"/>
    <w:rsid w:val="00C03EA6"/>
    <w:rsid w:val="00C10F86"/>
    <w:rsid w:val="00C139F5"/>
    <w:rsid w:val="00C146F1"/>
    <w:rsid w:val="00C15392"/>
    <w:rsid w:val="00C158E5"/>
    <w:rsid w:val="00C17B58"/>
    <w:rsid w:val="00C17CB2"/>
    <w:rsid w:val="00C20E53"/>
    <w:rsid w:val="00C21BEB"/>
    <w:rsid w:val="00C22782"/>
    <w:rsid w:val="00C22BC8"/>
    <w:rsid w:val="00C23E88"/>
    <w:rsid w:val="00C24E1F"/>
    <w:rsid w:val="00C26C17"/>
    <w:rsid w:val="00C31DDB"/>
    <w:rsid w:val="00C33B38"/>
    <w:rsid w:val="00C358A0"/>
    <w:rsid w:val="00C35DA0"/>
    <w:rsid w:val="00C40209"/>
    <w:rsid w:val="00C40AB6"/>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A3EDC"/>
    <w:rsid w:val="00CA5267"/>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3E32"/>
    <w:rsid w:val="00D1406E"/>
    <w:rsid w:val="00D17BAD"/>
    <w:rsid w:val="00D2170E"/>
    <w:rsid w:val="00D21AC6"/>
    <w:rsid w:val="00D24707"/>
    <w:rsid w:val="00D2563C"/>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039BE"/>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415A"/>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A08C2"/>
    <w:rsid w:val="00EA1AE7"/>
    <w:rsid w:val="00EA27FA"/>
    <w:rsid w:val="00EA4B93"/>
    <w:rsid w:val="00EA5B43"/>
    <w:rsid w:val="00EB01E9"/>
    <w:rsid w:val="00EB0CE4"/>
    <w:rsid w:val="00EB12D3"/>
    <w:rsid w:val="00EB1D3D"/>
    <w:rsid w:val="00EB3E47"/>
    <w:rsid w:val="00EB53C0"/>
    <w:rsid w:val="00EB5F5E"/>
    <w:rsid w:val="00EC0961"/>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4157"/>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6B57"/>
    <w:rsid w:val="00FA7B07"/>
    <w:rsid w:val="00FA7F6F"/>
    <w:rsid w:val="00FB338E"/>
    <w:rsid w:val="00FB3C86"/>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8F0533-F6B2-411F-A4DF-BBC2FB9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Portals/0/Committees/Permit/Library/BACWA%20Comment%20Letter%20to%20RWQCB%20-%20Las%20Gallinas%203-9-1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cwa.box.com/s/grbe63eme72c3i6aa9fpfd2tmy7ulpp8" TargetMode="External"/><Relationship Id="rId4" Type="http://schemas.openxmlformats.org/officeDocument/2006/relationships/settings" Target="settings.xml"/><Relationship Id="rId9" Type="http://schemas.openxmlformats.org/officeDocument/2006/relationships/hyperlink" Target="http://www.waterboards.ca.gov/sanfranciscobay/water_issues/programs/TMDLs/northsfbayselenium/BB_CEQA_Meeting_April3-2015-final.pd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2FDE9-FB48-4013-963E-FF2B49C6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770</TotalTime>
  <Pages>2</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12</cp:revision>
  <cp:lastPrinted>2014-07-11T22:57:00Z</cp:lastPrinted>
  <dcterms:created xsi:type="dcterms:W3CDTF">2015-04-10T20:44:00Z</dcterms:created>
  <dcterms:modified xsi:type="dcterms:W3CDTF">2015-04-13T15:48:00Z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