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265445">
        <w:trPr>
          <w:trHeight w:val="835"/>
        </w:trPr>
        <w:tc>
          <w:tcPr>
            <w:tcW w:w="3978" w:type="dxa"/>
          </w:tcPr>
          <w:p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 xml:space="preserve">Permits Committee – </w:t>
            </w:r>
          </w:p>
          <w:p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Report to BACWA Board</w:t>
            </w:r>
          </w:p>
        </w:tc>
        <w:tc>
          <w:tcPr>
            <w:tcW w:w="6480" w:type="dxa"/>
          </w:tcPr>
          <w:p w:rsidR="000E1846" w:rsidRPr="00265445" w:rsidRDefault="00DB504A"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Permits Committee Meeting on</w:t>
            </w:r>
            <w:r w:rsidR="000E1846" w:rsidRPr="00265445">
              <w:rPr>
                <w:rFonts w:cs="Arial"/>
                <w:sz w:val="22"/>
                <w:szCs w:val="22"/>
              </w:rPr>
              <w:t xml:space="preserve">: </w:t>
            </w:r>
            <w:r w:rsidR="005C50DB">
              <w:rPr>
                <w:rFonts w:cs="Arial"/>
                <w:sz w:val="22"/>
                <w:szCs w:val="22"/>
              </w:rPr>
              <w:t>5</w:t>
            </w:r>
            <w:r w:rsidR="001657E7" w:rsidRPr="00265445">
              <w:rPr>
                <w:rFonts w:cs="Arial"/>
                <w:sz w:val="22"/>
                <w:szCs w:val="22"/>
              </w:rPr>
              <w:t>/</w:t>
            </w:r>
            <w:r w:rsidR="005C50DB">
              <w:rPr>
                <w:rFonts w:cs="Arial"/>
                <w:sz w:val="22"/>
                <w:szCs w:val="22"/>
              </w:rPr>
              <w:t>5</w:t>
            </w:r>
            <w:r w:rsidR="0035184E" w:rsidRPr="00265445">
              <w:rPr>
                <w:rFonts w:cs="Arial"/>
                <w:sz w:val="22"/>
                <w:szCs w:val="22"/>
              </w:rPr>
              <w:t>/</w:t>
            </w:r>
            <w:r w:rsidR="00EC0961" w:rsidRPr="00265445">
              <w:rPr>
                <w:rFonts w:cs="Arial"/>
                <w:sz w:val="22"/>
                <w:szCs w:val="22"/>
              </w:rPr>
              <w:t>1</w:t>
            </w:r>
            <w:r w:rsidR="00B17789">
              <w:rPr>
                <w:rFonts w:cs="Arial"/>
                <w:sz w:val="22"/>
                <w:szCs w:val="22"/>
              </w:rPr>
              <w:t>5</w:t>
            </w:r>
          </w:p>
          <w:p w:rsidR="008946B7" w:rsidRPr="00265445" w:rsidRDefault="000E1846"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Executive Board Meeting Date: </w:t>
            </w:r>
            <w:r w:rsidR="005C50DB">
              <w:rPr>
                <w:rFonts w:cs="Arial"/>
                <w:sz w:val="22"/>
                <w:szCs w:val="22"/>
              </w:rPr>
              <w:t>5</w:t>
            </w:r>
            <w:r w:rsidR="00DD0B8A">
              <w:rPr>
                <w:rFonts w:cs="Arial"/>
                <w:sz w:val="22"/>
                <w:szCs w:val="22"/>
              </w:rPr>
              <w:t>/</w:t>
            </w:r>
            <w:r w:rsidR="001A26B2">
              <w:rPr>
                <w:rFonts w:cs="Arial"/>
                <w:sz w:val="22"/>
                <w:szCs w:val="22"/>
              </w:rPr>
              <w:t>1</w:t>
            </w:r>
            <w:r w:rsidR="005C50DB">
              <w:rPr>
                <w:rFonts w:cs="Arial"/>
                <w:sz w:val="22"/>
                <w:szCs w:val="22"/>
              </w:rPr>
              <w:t>5</w:t>
            </w:r>
            <w:r w:rsidR="00893499" w:rsidRPr="00265445">
              <w:rPr>
                <w:rFonts w:cs="Arial"/>
                <w:sz w:val="22"/>
                <w:szCs w:val="22"/>
              </w:rPr>
              <w:t>/1</w:t>
            </w:r>
            <w:r w:rsidR="00B17789">
              <w:rPr>
                <w:rFonts w:cs="Arial"/>
                <w:sz w:val="22"/>
                <w:szCs w:val="22"/>
              </w:rPr>
              <w:t>5</w:t>
            </w:r>
          </w:p>
          <w:p w:rsidR="000E1846" w:rsidRPr="00265445" w:rsidRDefault="005302F1" w:rsidP="00F82EAD">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Committee Chair:   </w:t>
            </w:r>
            <w:r w:rsidR="00F82EAD">
              <w:rPr>
                <w:rFonts w:cs="Arial"/>
                <w:sz w:val="22"/>
                <w:szCs w:val="22"/>
              </w:rPr>
              <w:t>Meg Herston</w:t>
            </w:r>
            <w:r w:rsidR="000E1846" w:rsidRPr="00265445">
              <w:rPr>
                <w:rFonts w:cs="Arial"/>
                <w:sz w:val="22"/>
                <w:szCs w:val="22"/>
              </w:rPr>
              <w:tab/>
            </w:r>
          </w:p>
        </w:tc>
      </w:tr>
    </w:tbl>
    <w:p w:rsidR="009E70B4" w:rsidRPr="00265445" w:rsidRDefault="000E1846" w:rsidP="000719DD">
      <w:pPr>
        <w:spacing w:before="120" w:after="120"/>
        <w:ind w:left="180"/>
        <w:rPr>
          <w:rFonts w:cs="Arial"/>
          <w:b/>
          <w:sz w:val="24"/>
          <w:szCs w:val="24"/>
        </w:rPr>
      </w:pPr>
      <w:r w:rsidRPr="00265445">
        <w:rPr>
          <w:rFonts w:cs="Arial"/>
          <w:b/>
          <w:sz w:val="24"/>
          <w:szCs w:val="24"/>
          <w:u w:val="single"/>
        </w:rPr>
        <w:t>Committee Request for Board Action</w:t>
      </w:r>
      <w:r w:rsidRPr="00265445">
        <w:rPr>
          <w:rFonts w:cs="Arial"/>
          <w:b/>
          <w:sz w:val="24"/>
          <w:szCs w:val="24"/>
        </w:rPr>
        <w:t xml:space="preserve">: </w:t>
      </w:r>
      <w:r w:rsidR="006A5FB5">
        <w:rPr>
          <w:rFonts w:cs="Arial"/>
          <w:b/>
          <w:sz w:val="24"/>
          <w:szCs w:val="24"/>
        </w:rPr>
        <w:t>Discuss Novato permit ammonia reasonable potential with Regional Water Board</w:t>
      </w:r>
    </w:p>
    <w:p w:rsidR="00933736" w:rsidRPr="00265445" w:rsidRDefault="005C50DB" w:rsidP="001A26B2">
      <w:pPr>
        <w:ind w:left="180"/>
        <w:rPr>
          <w:rFonts w:cs="Arial"/>
          <w:b/>
          <w:sz w:val="24"/>
          <w:szCs w:val="24"/>
        </w:rPr>
      </w:pPr>
      <w:r>
        <w:rPr>
          <w:rFonts w:cs="Arial"/>
          <w:b/>
          <w:sz w:val="24"/>
          <w:szCs w:val="24"/>
        </w:rPr>
        <w:t>15</w:t>
      </w:r>
      <w:r w:rsidR="009E70B4" w:rsidRPr="00265445">
        <w:rPr>
          <w:rFonts w:cs="Arial"/>
          <w:b/>
          <w:sz w:val="24"/>
          <w:szCs w:val="24"/>
        </w:rPr>
        <w:t xml:space="preserve"> attendees representing </w:t>
      </w:r>
      <w:r w:rsidR="00242DB2">
        <w:rPr>
          <w:rFonts w:cs="Arial"/>
          <w:b/>
          <w:sz w:val="24"/>
          <w:szCs w:val="24"/>
        </w:rPr>
        <w:t>1</w:t>
      </w:r>
      <w:r w:rsidR="001A26B2">
        <w:rPr>
          <w:rFonts w:cs="Arial"/>
          <w:b/>
          <w:sz w:val="24"/>
          <w:szCs w:val="24"/>
        </w:rPr>
        <w:t>3</w:t>
      </w:r>
      <w:r w:rsidR="009E70B4" w:rsidRPr="00265445">
        <w:rPr>
          <w:rFonts w:cs="Arial"/>
          <w:b/>
          <w:sz w:val="24"/>
          <w:szCs w:val="24"/>
        </w:rPr>
        <w:t xml:space="preserve"> BACWA member agencies</w:t>
      </w:r>
      <w:r w:rsidR="001B62B9">
        <w:rPr>
          <w:rFonts w:cs="Arial"/>
          <w:b/>
          <w:sz w:val="24"/>
          <w:szCs w:val="24"/>
        </w:rPr>
        <w:t xml:space="preserve"> </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9E70B4" w:rsidRPr="00265445" w:rsidTr="004243F0">
        <w:trPr>
          <w:cantSplit/>
          <w:trHeight w:val="161"/>
        </w:trPr>
        <w:tc>
          <w:tcPr>
            <w:tcW w:w="10530" w:type="dxa"/>
          </w:tcPr>
          <w:p w:rsidR="009E70B4" w:rsidRPr="00215FF7" w:rsidRDefault="009E70B4" w:rsidP="004243F0">
            <w:pPr>
              <w:ind w:left="0"/>
              <w:rPr>
                <w:rFonts w:cs="Arial"/>
                <w:b/>
              </w:rPr>
            </w:pPr>
            <w:r w:rsidRPr="00215FF7">
              <w:rPr>
                <w:rFonts w:cs="Arial"/>
                <w:b/>
              </w:rPr>
              <w:t xml:space="preserve">Adoption of Permits/Permit Amendments:  </w:t>
            </w:r>
          </w:p>
          <w:p w:rsidR="00BE475E" w:rsidRDefault="00D3668A" w:rsidP="00A41406">
            <w:pPr>
              <w:ind w:left="769" w:hanging="769"/>
              <w:rPr>
                <w:rFonts w:cs="Arial"/>
              </w:rPr>
            </w:pPr>
            <w:r>
              <w:rPr>
                <w:rFonts w:cs="Arial"/>
                <w:b/>
              </w:rPr>
              <w:t>May</w:t>
            </w:r>
            <w:r w:rsidR="0090305B">
              <w:rPr>
                <w:rFonts w:cs="Arial"/>
                <w:b/>
              </w:rPr>
              <w:t xml:space="preserve"> – </w:t>
            </w:r>
            <w:r w:rsidR="00A41406">
              <w:rPr>
                <w:rFonts w:cs="Arial"/>
                <w:b/>
              </w:rPr>
              <w:t xml:space="preserve">   </w:t>
            </w:r>
            <w:r w:rsidR="0090305B" w:rsidRPr="00A41406">
              <w:rPr>
                <w:rFonts w:cs="Arial"/>
                <w:i/>
              </w:rPr>
              <w:t>Las Gallinas Valley Sanitation District</w:t>
            </w:r>
            <w:r w:rsidR="00B84153" w:rsidRPr="00A41406">
              <w:rPr>
                <w:rFonts w:cs="Arial"/>
                <w:i/>
              </w:rPr>
              <w:t xml:space="preserve"> (LGVSD)</w:t>
            </w:r>
            <w:r w:rsidR="0090305B">
              <w:rPr>
                <w:rFonts w:cs="Arial"/>
              </w:rPr>
              <w:t xml:space="preserve"> – </w:t>
            </w:r>
            <w:r w:rsidR="00933736">
              <w:rPr>
                <w:rFonts w:cs="Arial"/>
              </w:rPr>
              <w:t xml:space="preserve">At the behest of EPA, </w:t>
            </w:r>
            <w:r w:rsidR="00B84153">
              <w:rPr>
                <w:rFonts w:cs="Arial"/>
              </w:rPr>
              <w:t>LGVSD</w:t>
            </w:r>
            <w:r w:rsidR="0090305B">
              <w:rPr>
                <w:rFonts w:cs="Arial"/>
              </w:rPr>
              <w:t xml:space="preserve"> was given numeric chronic toxicity limits, in addition to triggers in their tentative order.</w:t>
            </w:r>
            <w:r w:rsidR="00A62D64">
              <w:rPr>
                <w:rFonts w:cs="Arial"/>
              </w:rPr>
              <w:t xml:space="preserve"> </w:t>
            </w:r>
            <w:r w:rsidR="00933736">
              <w:rPr>
                <w:rFonts w:cs="Arial"/>
              </w:rPr>
              <w:t xml:space="preserve">BACWA submitted a </w:t>
            </w:r>
            <w:hyperlink r:id="rId8" w:history="1">
              <w:r w:rsidR="00933736" w:rsidRPr="002E24AA">
                <w:rPr>
                  <w:rStyle w:val="Hyperlink"/>
                  <w:rFonts w:cs="Arial"/>
                </w:rPr>
                <w:t>comment letter</w:t>
              </w:r>
            </w:hyperlink>
            <w:r w:rsidR="00933736">
              <w:rPr>
                <w:rFonts w:cs="Arial"/>
              </w:rPr>
              <w:t xml:space="preserve"> which suggested changes in impl</w:t>
            </w:r>
            <w:r w:rsidR="00736668">
              <w:rPr>
                <w:rFonts w:cs="Arial"/>
              </w:rPr>
              <w:t>ementation</w:t>
            </w:r>
            <w:r w:rsidR="00933736">
              <w:rPr>
                <w:rFonts w:cs="Arial"/>
              </w:rPr>
              <w:t>, including how limits are calculated, how reasonable potential is determined, mixing zones, removal of triggers, and removal of acute toxicity limits</w:t>
            </w:r>
            <w:r w:rsidR="00736668">
              <w:rPr>
                <w:rFonts w:cs="Arial"/>
              </w:rPr>
              <w:t xml:space="preserve"> where no reasonable potential is found</w:t>
            </w:r>
            <w:r w:rsidR="00933736">
              <w:rPr>
                <w:rFonts w:cs="Arial"/>
              </w:rPr>
              <w:t>.  BACWA also suggested that a watershed permit for toxicity may make sense in the San Francisco Bay area</w:t>
            </w:r>
            <w:r w:rsidR="00216A5E">
              <w:rPr>
                <w:rFonts w:cs="Arial"/>
              </w:rPr>
              <w:t>. BACWA received a draft response to comments whereby Regional Water Board staff will not implement the changes BACWA requested</w:t>
            </w:r>
            <w:r w:rsidR="001A26B2">
              <w:rPr>
                <w:rFonts w:cs="Arial"/>
              </w:rPr>
              <w:t>.</w:t>
            </w:r>
            <w:r w:rsidR="00216A5E">
              <w:rPr>
                <w:rFonts w:cs="Arial"/>
              </w:rPr>
              <w:t xml:space="preserve">  EPA sent a comment letter supporting dropping chronic toxicity triggers and acute testing, however, the Regional Water Board feels they cannot remove those provisions because they are required by the Basin Plan.</w:t>
            </w:r>
            <w:r w:rsidR="00AC62E4">
              <w:rPr>
                <w:rFonts w:cs="Arial"/>
              </w:rPr>
              <w:t xml:space="preserve">  </w:t>
            </w:r>
          </w:p>
          <w:p w:rsidR="00BE475E" w:rsidRDefault="00D3668A" w:rsidP="001A26B2">
            <w:pPr>
              <w:ind w:left="769"/>
              <w:rPr>
                <w:rFonts w:cs="Arial"/>
              </w:rPr>
            </w:pPr>
            <w:r w:rsidRPr="00A41406">
              <w:rPr>
                <w:rFonts w:cs="Arial"/>
                <w:i/>
              </w:rPr>
              <w:t>E</w:t>
            </w:r>
            <w:r w:rsidR="00933736" w:rsidRPr="00A41406">
              <w:rPr>
                <w:rFonts w:cs="Arial"/>
                <w:i/>
              </w:rPr>
              <w:t>BMUD</w:t>
            </w:r>
            <w:r w:rsidR="00933736">
              <w:rPr>
                <w:rFonts w:cs="Arial"/>
              </w:rPr>
              <w:t xml:space="preserve"> – </w:t>
            </w:r>
            <w:r w:rsidR="006A5FB5">
              <w:rPr>
                <w:rFonts w:cs="Arial"/>
              </w:rPr>
              <w:t>The chronic toxicity narrative limit was removed from the TO.  The language about blending was removed because of the consent decree. They continue to have a very conservative dilution credit. They receive brine waste from a chlorine generation facility, and the point of compliance is moving downstream of the comingling point</w:t>
            </w:r>
            <w:r w:rsidR="0024567B">
              <w:rPr>
                <w:rFonts w:cs="Arial"/>
              </w:rPr>
              <w:t>, whereas previously it was upstream</w:t>
            </w:r>
            <w:r w:rsidR="006A5FB5">
              <w:rPr>
                <w:rFonts w:cs="Arial"/>
              </w:rPr>
              <w:t xml:space="preserve">. </w:t>
            </w:r>
          </w:p>
          <w:p w:rsidR="001A26B2" w:rsidRDefault="001A26B2" w:rsidP="001A26B2">
            <w:pPr>
              <w:ind w:left="0"/>
              <w:rPr>
                <w:rFonts w:cs="Arial"/>
              </w:rPr>
            </w:pPr>
            <w:r>
              <w:rPr>
                <w:rFonts w:cs="Arial"/>
                <w:b/>
              </w:rPr>
              <w:t xml:space="preserve">June – </w:t>
            </w:r>
            <w:r w:rsidR="00A41406">
              <w:rPr>
                <w:rFonts w:cs="Arial"/>
                <w:b/>
              </w:rPr>
              <w:t xml:space="preserve"> </w:t>
            </w:r>
            <w:r w:rsidR="006B2CC8">
              <w:rPr>
                <w:rFonts w:cs="Arial"/>
                <w:b/>
              </w:rPr>
              <w:t xml:space="preserve"> </w:t>
            </w:r>
            <w:r w:rsidRPr="00685695">
              <w:rPr>
                <w:rFonts w:cs="Arial"/>
                <w:i/>
              </w:rPr>
              <w:t xml:space="preserve">SFPUC </w:t>
            </w:r>
            <w:r>
              <w:rPr>
                <w:rFonts w:cs="Arial"/>
              </w:rPr>
              <w:t>– No representative was present</w:t>
            </w:r>
            <w:r w:rsidR="0024567B">
              <w:rPr>
                <w:rFonts w:cs="Arial"/>
              </w:rPr>
              <w:t>.</w:t>
            </w:r>
          </w:p>
          <w:p w:rsidR="006A5FB5" w:rsidRDefault="001A26B2" w:rsidP="006A5FB5">
            <w:pPr>
              <w:ind w:left="769"/>
              <w:rPr>
                <w:rFonts w:cs="Arial"/>
              </w:rPr>
            </w:pPr>
            <w:r w:rsidRPr="00685695">
              <w:rPr>
                <w:rFonts w:cs="Arial"/>
                <w:i/>
              </w:rPr>
              <w:t>Yountville</w:t>
            </w:r>
            <w:r>
              <w:rPr>
                <w:rFonts w:cs="Arial"/>
              </w:rPr>
              <w:t xml:space="preserve"> – </w:t>
            </w:r>
            <w:r w:rsidR="006A5FB5">
              <w:rPr>
                <w:rFonts w:cs="Arial"/>
              </w:rPr>
              <w:t xml:space="preserve">The TO does not contain dates for the dry season prohibition or chronic toxicity testing requirements since they are an intermittent discharger.  Their flow is 0.5 </w:t>
            </w:r>
            <w:proofErr w:type="spellStart"/>
            <w:r w:rsidR="006A5FB5">
              <w:rPr>
                <w:rFonts w:cs="Arial"/>
              </w:rPr>
              <w:t>mgd</w:t>
            </w:r>
            <w:proofErr w:type="spellEnd"/>
            <w:r w:rsidR="006A5FB5">
              <w:rPr>
                <w:rFonts w:cs="Arial"/>
              </w:rPr>
              <w:t>. They are given pollutant-specific mixing zones.</w:t>
            </w:r>
          </w:p>
          <w:p w:rsidR="005C50DB" w:rsidRPr="006A5FB5" w:rsidRDefault="005C50DB" w:rsidP="0024567B">
            <w:pPr>
              <w:ind w:left="769" w:hanging="769"/>
              <w:rPr>
                <w:rFonts w:cs="Arial"/>
              </w:rPr>
            </w:pPr>
            <w:r w:rsidRPr="006A5FB5">
              <w:rPr>
                <w:rFonts w:cs="Arial"/>
                <w:b/>
              </w:rPr>
              <w:t xml:space="preserve">July </w:t>
            </w:r>
            <w:r w:rsidR="0024567B">
              <w:rPr>
                <w:rFonts w:cs="Arial"/>
              </w:rPr>
              <w:t xml:space="preserve">-  </w:t>
            </w:r>
            <w:r>
              <w:rPr>
                <w:rFonts w:cs="Arial"/>
              </w:rPr>
              <w:t xml:space="preserve">   </w:t>
            </w:r>
            <w:r w:rsidRPr="00685695">
              <w:rPr>
                <w:rFonts w:cs="Arial"/>
                <w:i/>
              </w:rPr>
              <w:t>Novato</w:t>
            </w:r>
            <w:r w:rsidR="006A5FB5">
              <w:rPr>
                <w:rFonts w:cs="Arial"/>
                <w:i/>
              </w:rPr>
              <w:t xml:space="preserve"> – </w:t>
            </w:r>
            <w:r w:rsidR="006A5FB5">
              <w:rPr>
                <w:rFonts w:cs="Arial"/>
              </w:rPr>
              <w:t>Novato removes ammonia</w:t>
            </w:r>
            <w:r w:rsidR="0024567B">
              <w:rPr>
                <w:rFonts w:cs="Arial"/>
              </w:rPr>
              <w:t>,</w:t>
            </w:r>
            <w:r w:rsidR="006A5FB5">
              <w:rPr>
                <w:rFonts w:cs="Arial"/>
              </w:rPr>
              <w:t xml:space="preserve"> and previously had </w:t>
            </w:r>
            <w:r w:rsidR="0024567B">
              <w:rPr>
                <w:rFonts w:cs="Arial"/>
              </w:rPr>
              <w:t>a WQBEL</w:t>
            </w:r>
            <w:r w:rsidR="006A5FB5" w:rsidRPr="00CA2E28">
              <w:rPr>
                <w:rFonts w:cs="Arial"/>
              </w:rPr>
              <w:t xml:space="preserve"> for ammonia </w:t>
            </w:r>
            <w:r w:rsidR="0024567B">
              <w:rPr>
                <w:rFonts w:cs="Arial"/>
              </w:rPr>
              <w:t>because of high effluent concentrations</w:t>
            </w:r>
            <w:r w:rsidR="006A5FB5" w:rsidRPr="00CA2E28">
              <w:rPr>
                <w:rFonts w:cs="Arial"/>
              </w:rPr>
              <w:t xml:space="preserve">.  However, in this TO, </w:t>
            </w:r>
            <w:r w:rsidR="0024567B">
              <w:rPr>
                <w:rFonts w:cs="Arial"/>
              </w:rPr>
              <w:t xml:space="preserve">although their effluent ammonia is much lower, </w:t>
            </w:r>
            <w:r w:rsidR="006A5FB5" w:rsidRPr="00CA2E28">
              <w:rPr>
                <w:rFonts w:cs="Arial"/>
              </w:rPr>
              <w:t>they were given reasonable potential for ammonia because “</w:t>
            </w:r>
            <w:r w:rsidR="006A5FB5" w:rsidRPr="00CA2E28">
              <w:rPr>
                <w:rFonts w:cs="Arial"/>
                <w:i/>
                <w:iCs/>
                <w:spacing w:val="0"/>
              </w:rPr>
              <w:t xml:space="preserve">human waste is a significant source of ammonia and </w:t>
            </w:r>
            <w:r w:rsidR="006A5FB5" w:rsidRPr="006A5FB5">
              <w:rPr>
                <w:rFonts w:cs="Arial"/>
                <w:i/>
                <w:iCs/>
                <w:spacing w:val="0"/>
              </w:rPr>
              <w:t>compounds that breakdown into ammonia</w:t>
            </w:r>
            <w:r w:rsidR="006A5FB5" w:rsidRPr="00CA2E28">
              <w:rPr>
                <w:rFonts w:cs="Arial"/>
                <w:spacing w:val="0"/>
              </w:rPr>
              <w:t>”.</w:t>
            </w:r>
            <w:r w:rsidR="00CA2E28" w:rsidRPr="00CA2E28">
              <w:rPr>
                <w:rFonts w:cs="Arial"/>
                <w:spacing w:val="0"/>
              </w:rPr>
              <w:t xml:space="preserve"> </w:t>
            </w:r>
            <w:r w:rsidR="0024567B">
              <w:rPr>
                <w:rFonts w:cs="Arial"/>
                <w:spacing w:val="0"/>
              </w:rPr>
              <w:t xml:space="preserve">Their limit is essentially the same as the previous permit. </w:t>
            </w:r>
            <w:r w:rsidR="00CA2E28" w:rsidRPr="00CA2E28">
              <w:rPr>
                <w:rFonts w:cs="Arial"/>
                <w:spacing w:val="0"/>
              </w:rPr>
              <w:t>Comments are due June 1.</w:t>
            </w:r>
            <w:r w:rsidR="0024567B">
              <w:rPr>
                <w:rFonts w:cs="Arial"/>
                <w:spacing w:val="0"/>
              </w:rPr>
              <w:t xml:space="preserve"> </w:t>
            </w:r>
            <w:r w:rsidR="0024567B" w:rsidRPr="00917119">
              <w:rPr>
                <w:rFonts w:cs="Arial"/>
              </w:rPr>
              <w:t xml:space="preserve">Numeric limits in Region 2 – See Las Gallinas TO, above.  </w:t>
            </w:r>
            <w:r w:rsidR="0024567B">
              <w:rPr>
                <w:rFonts w:cs="Arial"/>
              </w:rPr>
              <w:t>In Novato TO, they ran the chronic toxicity data through the TSD, applied dilution and concluded there was no reasonable potential.  They also threw out the data from the previous test species that was impacted by pathogen interference.</w:t>
            </w:r>
          </w:p>
        </w:tc>
      </w:tr>
      <w:tr w:rsidR="00BA06B1" w:rsidRPr="00265445" w:rsidTr="004243F0">
        <w:trPr>
          <w:cantSplit/>
          <w:trHeight w:val="161"/>
        </w:trPr>
        <w:tc>
          <w:tcPr>
            <w:tcW w:w="10530" w:type="dxa"/>
          </w:tcPr>
          <w:p w:rsidR="004A602F" w:rsidRPr="00215FF7" w:rsidRDefault="00A62D64" w:rsidP="004A602F">
            <w:pPr>
              <w:ind w:left="0"/>
              <w:rPr>
                <w:rFonts w:cs="Arial"/>
                <w:b/>
                <w:spacing w:val="0"/>
              </w:rPr>
            </w:pPr>
            <w:r>
              <w:rPr>
                <w:rFonts w:cs="Arial"/>
                <w:b/>
              </w:rPr>
              <w:t>Dry Season Discharge Prohibitions</w:t>
            </w:r>
          </w:p>
          <w:p w:rsidR="006E0365" w:rsidRPr="00CA2E28" w:rsidRDefault="00736668" w:rsidP="0024567B">
            <w:pPr>
              <w:ind w:left="0"/>
              <w:rPr>
                <w:rFonts w:cs="Arial"/>
                <w:sz w:val="22"/>
                <w:szCs w:val="22"/>
              </w:rPr>
            </w:pPr>
            <w:r>
              <w:rPr>
                <w:rFonts w:cs="Arial"/>
              </w:rPr>
              <w:t xml:space="preserve">Nine shallow water dischargers in the </w:t>
            </w:r>
            <w:r w:rsidR="00A62D64">
              <w:rPr>
                <w:rFonts w:cs="Arial"/>
              </w:rPr>
              <w:t>Nort</w:t>
            </w:r>
            <w:r>
              <w:rPr>
                <w:rFonts w:cs="Arial"/>
              </w:rPr>
              <w:t xml:space="preserve">h Bay </w:t>
            </w:r>
            <w:r w:rsidR="00A62D64">
              <w:rPr>
                <w:rFonts w:cs="Arial"/>
              </w:rPr>
              <w:t>are prohibited from discharging during the dry season.  However, there is inconsistency in how this</w:t>
            </w:r>
            <w:r w:rsidR="000B4BDF">
              <w:rPr>
                <w:rFonts w:cs="Arial"/>
              </w:rPr>
              <w:t xml:space="preserve"> prohibition</w:t>
            </w:r>
            <w:r w:rsidR="00A62D64">
              <w:rPr>
                <w:rFonts w:cs="Arial"/>
              </w:rPr>
              <w:t xml:space="preserve"> is implemented in terms of the dates of the dry season, </w:t>
            </w:r>
            <w:r w:rsidR="000B4BDF">
              <w:rPr>
                <w:rFonts w:cs="Arial"/>
              </w:rPr>
              <w:t>criteria</w:t>
            </w:r>
            <w:r w:rsidR="0024567B">
              <w:rPr>
                <w:rFonts w:cs="Arial"/>
              </w:rPr>
              <w:t xml:space="preserve"> for</w:t>
            </w:r>
            <w:r w:rsidR="000B4BDF">
              <w:rPr>
                <w:rFonts w:cs="Arial"/>
              </w:rPr>
              <w:t xml:space="preserve"> </w:t>
            </w:r>
            <w:r w:rsidR="00A62D64">
              <w:rPr>
                <w:rFonts w:cs="Arial"/>
              </w:rPr>
              <w:t xml:space="preserve">exceptions, and </w:t>
            </w:r>
            <w:r w:rsidR="000B4BDF">
              <w:rPr>
                <w:rFonts w:cs="Arial"/>
              </w:rPr>
              <w:t>method</w:t>
            </w:r>
            <w:r w:rsidR="00B84153">
              <w:rPr>
                <w:rFonts w:cs="Arial"/>
              </w:rPr>
              <w:t>s</w:t>
            </w:r>
            <w:r w:rsidR="00A62D64">
              <w:rPr>
                <w:rFonts w:cs="Arial"/>
              </w:rPr>
              <w:t xml:space="preserve"> to </w:t>
            </w:r>
            <w:r w:rsidR="00B84153">
              <w:rPr>
                <w:rFonts w:cs="Arial"/>
              </w:rPr>
              <w:t xml:space="preserve">obtain </w:t>
            </w:r>
            <w:r w:rsidR="00A62D64">
              <w:rPr>
                <w:rFonts w:cs="Arial"/>
              </w:rPr>
              <w:t>approval to discharge</w:t>
            </w:r>
            <w:r w:rsidR="00A62D64" w:rsidRPr="00CA2E28">
              <w:rPr>
                <w:rFonts w:cs="Arial"/>
              </w:rPr>
              <w:t>.</w:t>
            </w:r>
            <w:r w:rsidR="001A26B2" w:rsidRPr="00CA2E28">
              <w:rPr>
                <w:rFonts w:cs="Arial"/>
              </w:rPr>
              <w:t xml:space="preserve"> Each agency’s dates are reflective of the circumstances at their facility and recycled water customers’ demand.</w:t>
            </w:r>
            <w:r w:rsidR="00A62D64" w:rsidRPr="00CA2E28">
              <w:rPr>
                <w:rFonts w:cs="Arial"/>
              </w:rPr>
              <w:t xml:space="preserve"> Lila Tang </w:t>
            </w:r>
            <w:r w:rsidR="001A26B2" w:rsidRPr="00CA2E28">
              <w:rPr>
                <w:rFonts w:cs="Arial"/>
              </w:rPr>
              <w:t>called a meeting on March 24 to solicit feedback on differen</w:t>
            </w:r>
            <w:r w:rsidR="00917119" w:rsidRPr="00CA2E28">
              <w:rPr>
                <w:rFonts w:cs="Arial"/>
              </w:rPr>
              <w:t xml:space="preserve">t alternatives for </w:t>
            </w:r>
            <w:r w:rsidR="00A41406" w:rsidRPr="00CA2E28">
              <w:rPr>
                <w:rFonts w:cs="Arial"/>
              </w:rPr>
              <w:t xml:space="preserve">developing </w:t>
            </w:r>
            <w:r w:rsidR="00917119" w:rsidRPr="00CA2E28">
              <w:rPr>
                <w:rFonts w:cs="Arial"/>
              </w:rPr>
              <w:t xml:space="preserve">consistency. </w:t>
            </w:r>
            <w:r w:rsidR="00CA2E28" w:rsidRPr="00CA2E28">
              <w:rPr>
                <w:rFonts w:cs="Arial"/>
              </w:rPr>
              <w:t>Lila has</w:t>
            </w:r>
            <w:r w:rsidR="00CA2E28" w:rsidRPr="00CA2E28">
              <w:rPr>
                <w:rFonts w:cs="Arial"/>
              </w:rPr>
              <w:t xml:space="preserve"> </w:t>
            </w:r>
            <w:hyperlink r:id="rId9" w:history="1">
              <w:r w:rsidR="00CA2E28" w:rsidRPr="00CA2E28">
                <w:rPr>
                  <w:rStyle w:val="Hyperlink"/>
                  <w:rFonts w:cs="Arial"/>
                </w:rPr>
                <w:t>prop</w:t>
              </w:r>
              <w:r w:rsidR="00CA2E28" w:rsidRPr="00CA2E28">
                <w:rPr>
                  <w:rStyle w:val="Hyperlink"/>
                  <w:rFonts w:cs="Arial"/>
                </w:rPr>
                <w:t>o</w:t>
              </w:r>
              <w:r w:rsidR="00CA2E28" w:rsidRPr="00CA2E28">
                <w:rPr>
                  <w:rStyle w:val="Hyperlink"/>
                  <w:rFonts w:cs="Arial"/>
                </w:rPr>
                <w:t>sed</w:t>
              </w:r>
            </w:hyperlink>
            <w:r w:rsidR="00CA2E28" w:rsidRPr="00CA2E28">
              <w:rPr>
                <w:rFonts w:cs="Arial"/>
              </w:rPr>
              <w:t xml:space="preserve"> </w:t>
            </w:r>
            <w:r w:rsidR="00CA2E28" w:rsidRPr="00CA2E28">
              <w:rPr>
                <w:rFonts w:cs="Arial"/>
                <w:spacing w:val="0"/>
              </w:rPr>
              <w:t>language</w:t>
            </w:r>
            <w:r w:rsidR="00CA2E28">
              <w:rPr>
                <w:rFonts w:cs="Arial"/>
                <w:spacing w:val="0"/>
              </w:rPr>
              <w:t xml:space="preserve"> that does not </w:t>
            </w:r>
            <w:r w:rsidR="0039342C">
              <w:rPr>
                <w:rFonts w:cs="Arial"/>
                <w:spacing w:val="0"/>
              </w:rPr>
              <w:t>include dates, but instead requires dischargers to give reasons for their prohibition dates as part of the report of waste discharge.</w:t>
            </w:r>
            <w:r w:rsidR="00826820">
              <w:rPr>
                <w:rFonts w:cs="Arial"/>
                <w:spacing w:val="0"/>
              </w:rPr>
              <w:t xml:space="preserve">  There is some concern that without written authorization agencies won’t have certainty about the allowance of discharges during the dry season, but this seems to be in line with the general Regional Water Board strategy of</w:t>
            </w:r>
            <w:r w:rsidR="0024567B">
              <w:rPr>
                <w:rFonts w:cs="Arial"/>
                <w:spacing w:val="0"/>
              </w:rPr>
              <w:t xml:space="preserve"> generally</w:t>
            </w:r>
            <w:r w:rsidR="00826820">
              <w:rPr>
                <w:rFonts w:cs="Arial"/>
                <w:spacing w:val="0"/>
              </w:rPr>
              <w:t xml:space="preserve"> removing language requiring written authorizations</w:t>
            </w:r>
            <w:r w:rsidR="0024567B">
              <w:rPr>
                <w:rFonts w:cs="Arial"/>
                <w:spacing w:val="0"/>
              </w:rPr>
              <w:t xml:space="preserve"> for various actions</w:t>
            </w:r>
            <w:r w:rsidR="00826820">
              <w:rPr>
                <w:rFonts w:cs="Arial"/>
                <w:spacing w:val="0"/>
              </w:rPr>
              <w:t xml:space="preserve">. </w:t>
            </w:r>
          </w:p>
        </w:tc>
      </w:tr>
      <w:tr w:rsidR="00EB1D3D" w:rsidRPr="00265445" w:rsidTr="004243F0">
        <w:trPr>
          <w:cantSplit/>
          <w:trHeight w:val="161"/>
        </w:trPr>
        <w:tc>
          <w:tcPr>
            <w:tcW w:w="10530" w:type="dxa"/>
          </w:tcPr>
          <w:p w:rsidR="00E54123" w:rsidRPr="00AC62E4" w:rsidRDefault="00917119" w:rsidP="00917119">
            <w:pPr>
              <w:ind w:left="0"/>
              <w:rPr>
                <w:rFonts w:cs="Arial"/>
              </w:rPr>
            </w:pPr>
            <w:r w:rsidRPr="00AC62E4">
              <w:rPr>
                <w:rFonts w:cs="Arial"/>
                <w:b/>
              </w:rPr>
              <w:t>Toxicity</w:t>
            </w:r>
          </w:p>
          <w:p w:rsidR="00917119" w:rsidRPr="00917119" w:rsidRDefault="0024567B" w:rsidP="00917119">
            <w:pPr>
              <w:pStyle w:val="ListParagraph"/>
              <w:numPr>
                <w:ilvl w:val="0"/>
                <w:numId w:val="29"/>
              </w:numPr>
              <w:rPr>
                <w:rFonts w:ascii="Arial" w:hAnsi="Arial" w:cs="Arial"/>
                <w:sz w:val="20"/>
              </w:rPr>
            </w:pPr>
            <w:r w:rsidRPr="0024567B">
              <w:rPr>
                <w:rFonts w:ascii="Arial" w:hAnsi="Arial" w:cs="Arial"/>
                <w:i/>
                <w:sz w:val="20"/>
              </w:rPr>
              <w:t>Region 2 Policy -</w:t>
            </w:r>
            <w:r>
              <w:rPr>
                <w:rFonts w:ascii="Arial" w:hAnsi="Arial" w:cs="Arial"/>
                <w:sz w:val="20"/>
              </w:rPr>
              <w:t xml:space="preserve"> </w:t>
            </w:r>
            <w:r w:rsidR="00AC62E4">
              <w:rPr>
                <w:rFonts w:ascii="Arial" w:hAnsi="Arial" w:cs="Arial"/>
                <w:sz w:val="20"/>
              </w:rPr>
              <w:t xml:space="preserve">At the Joint Meeting with Regional Water Board Staff on 5/8, BACWA will approach staff about including a Basin Plan Amendment to remove the triggers and the requirement for acute toxicity limits.  </w:t>
            </w:r>
          </w:p>
          <w:p w:rsidR="009B5864" w:rsidRPr="00AC62E4" w:rsidRDefault="009B5864" w:rsidP="00AC62E4">
            <w:pPr>
              <w:pStyle w:val="ListParagraph"/>
              <w:numPr>
                <w:ilvl w:val="0"/>
                <w:numId w:val="29"/>
              </w:numPr>
              <w:rPr>
                <w:rFonts w:ascii="Arial" w:hAnsi="Arial" w:cs="Arial"/>
                <w:sz w:val="18"/>
              </w:rPr>
            </w:pPr>
            <w:r w:rsidRPr="0024567B">
              <w:rPr>
                <w:rFonts w:ascii="Arial" w:hAnsi="Arial" w:cs="Arial"/>
                <w:i/>
                <w:sz w:val="20"/>
              </w:rPr>
              <w:t>Toxicity data request</w:t>
            </w:r>
            <w:r>
              <w:rPr>
                <w:rFonts w:ascii="Arial" w:hAnsi="Arial" w:cs="Arial"/>
                <w:sz w:val="20"/>
              </w:rPr>
              <w:t xml:space="preserve"> - </w:t>
            </w:r>
            <w:r w:rsidR="00917119" w:rsidRPr="009B5864">
              <w:rPr>
                <w:rFonts w:ascii="Arial" w:hAnsi="Arial" w:cs="Arial"/>
                <w:sz w:val="18"/>
              </w:rPr>
              <w:t>L</w:t>
            </w:r>
            <w:r w:rsidR="00917119" w:rsidRPr="009B5864">
              <w:rPr>
                <w:rFonts w:ascii="Arial" w:hAnsi="Arial" w:cs="Arial"/>
                <w:sz w:val="20"/>
              </w:rPr>
              <w:t>orien Fono req</w:t>
            </w:r>
            <w:r w:rsidR="00A41406">
              <w:rPr>
                <w:rFonts w:ascii="Arial" w:hAnsi="Arial" w:cs="Arial"/>
                <w:sz w:val="20"/>
              </w:rPr>
              <w:t>uested that all agencies send her</w:t>
            </w:r>
            <w:r w:rsidR="00917119" w:rsidRPr="009B5864">
              <w:rPr>
                <w:rFonts w:ascii="Arial" w:hAnsi="Arial" w:cs="Arial"/>
                <w:sz w:val="20"/>
              </w:rPr>
              <w:t xml:space="preserve"> their toxicity data, as the shallow dischargers already have.  </w:t>
            </w:r>
            <w:r w:rsidR="00AC62E4">
              <w:rPr>
                <w:rFonts w:ascii="Arial" w:hAnsi="Arial" w:cs="Arial"/>
                <w:sz w:val="20"/>
              </w:rPr>
              <w:t xml:space="preserve">She has </w:t>
            </w:r>
            <w:r w:rsidR="00012230">
              <w:rPr>
                <w:rFonts w:ascii="Arial" w:hAnsi="Arial" w:cs="Arial"/>
                <w:sz w:val="20"/>
              </w:rPr>
              <w:t xml:space="preserve">already </w:t>
            </w:r>
            <w:r w:rsidR="00AC62E4">
              <w:rPr>
                <w:rFonts w:ascii="Arial" w:hAnsi="Arial" w:cs="Arial"/>
                <w:sz w:val="20"/>
              </w:rPr>
              <w:t>received data from several agencies.</w:t>
            </w:r>
          </w:p>
        </w:tc>
      </w:tr>
      <w:tr w:rsidR="005C50DB" w:rsidRPr="00265445" w:rsidTr="004243F0">
        <w:trPr>
          <w:cantSplit/>
          <w:trHeight w:val="161"/>
        </w:trPr>
        <w:tc>
          <w:tcPr>
            <w:tcW w:w="10530" w:type="dxa"/>
          </w:tcPr>
          <w:p w:rsidR="005C50DB" w:rsidRPr="00826820" w:rsidRDefault="005C50DB" w:rsidP="005C50DB">
            <w:pPr>
              <w:ind w:left="0"/>
              <w:rPr>
                <w:rFonts w:cs="Arial"/>
              </w:rPr>
            </w:pPr>
            <w:r w:rsidRPr="00826820">
              <w:rPr>
                <w:rFonts w:cs="Arial"/>
              </w:rPr>
              <w:t xml:space="preserve">Approach to </w:t>
            </w:r>
            <w:proofErr w:type="spellStart"/>
            <w:r w:rsidRPr="00826820">
              <w:rPr>
                <w:rFonts w:cs="Arial"/>
              </w:rPr>
              <w:t>dechlorination</w:t>
            </w:r>
            <w:proofErr w:type="spellEnd"/>
          </w:p>
          <w:p w:rsidR="00AC62E4" w:rsidRPr="00826820" w:rsidRDefault="00826820" w:rsidP="00AC62E4">
            <w:pPr>
              <w:pStyle w:val="ListParagraph"/>
              <w:numPr>
                <w:ilvl w:val="0"/>
                <w:numId w:val="34"/>
              </w:numPr>
              <w:rPr>
                <w:rFonts w:ascii="Arial" w:hAnsi="Arial" w:cs="Arial"/>
                <w:sz w:val="20"/>
                <w:szCs w:val="20"/>
              </w:rPr>
            </w:pPr>
            <w:r w:rsidRPr="00826820">
              <w:rPr>
                <w:rFonts w:ascii="Arial" w:hAnsi="Arial" w:cs="Arial"/>
                <w:i/>
                <w:sz w:val="20"/>
                <w:szCs w:val="20"/>
              </w:rPr>
              <w:t xml:space="preserve">Sodium bisulfite </w:t>
            </w:r>
            <w:r w:rsidR="004D0A81">
              <w:rPr>
                <w:rFonts w:ascii="Arial" w:hAnsi="Arial" w:cs="Arial"/>
                <w:i/>
                <w:sz w:val="20"/>
                <w:szCs w:val="20"/>
              </w:rPr>
              <w:t xml:space="preserve">(SBS) </w:t>
            </w:r>
            <w:r w:rsidRPr="00826820">
              <w:rPr>
                <w:rFonts w:ascii="Arial" w:hAnsi="Arial" w:cs="Arial"/>
                <w:i/>
                <w:sz w:val="20"/>
                <w:szCs w:val="20"/>
              </w:rPr>
              <w:t>overdosing</w:t>
            </w:r>
            <w:r w:rsidRPr="00826820">
              <w:rPr>
                <w:rFonts w:ascii="Arial" w:hAnsi="Arial" w:cs="Arial"/>
                <w:sz w:val="20"/>
                <w:szCs w:val="20"/>
              </w:rPr>
              <w:t xml:space="preserve"> – Operators have expressed concern</w:t>
            </w:r>
            <w:r w:rsidR="004D0A81">
              <w:rPr>
                <w:rFonts w:ascii="Arial" w:hAnsi="Arial" w:cs="Arial"/>
                <w:sz w:val="20"/>
                <w:szCs w:val="20"/>
              </w:rPr>
              <w:t xml:space="preserve"> about personal liability if they fail to sufficiently dose with SBS and that leads to a chlorine violation. </w:t>
            </w:r>
            <w:r w:rsidR="005A1048">
              <w:rPr>
                <w:rFonts w:ascii="Arial" w:hAnsi="Arial" w:cs="Arial"/>
                <w:sz w:val="20"/>
                <w:szCs w:val="20"/>
              </w:rPr>
              <w:t>There is also a risk to operators to go out in wet weather to monitor chlorine residual.</w:t>
            </w:r>
            <w:r w:rsidR="004D0A81">
              <w:rPr>
                <w:rFonts w:ascii="Arial" w:hAnsi="Arial" w:cs="Arial"/>
                <w:sz w:val="20"/>
                <w:szCs w:val="20"/>
              </w:rPr>
              <w:t xml:space="preserve"> The instantaneous maximum of 0.0 mg/L</w:t>
            </w:r>
            <w:r w:rsidR="0012748A">
              <w:rPr>
                <w:rFonts w:ascii="Arial" w:hAnsi="Arial" w:cs="Arial"/>
                <w:sz w:val="20"/>
                <w:szCs w:val="20"/>
              </w:rPr>
              <w:t xml:space="preserve"> chlorine residual</w:t>
            </w:r>
            <w:r w:rsidR="004D0A81">
              <w:rPr>
                <w:rFonts w:ascii="Arial" w:hAnsi="Arial" w:cs="Arial"/>
                <w:sz w:val="20"/>
                <w:szCs w:val="20"/>
              </w:rPr>
              <w:t xml:space="preserve"> in the </w:t>
            </w:r>
            <w:r w:rsidR="0024567B" w:rsidRPr="0024567B">
              <w:rPr>
                <w:rFonts w:ascii="Arial" w:hAnsi="Arial" w:cs="Arial"/>
                <w:sz w:val="20"/>
                <w:szCs w:val="20"/>
              </w:rPr>
              <w:t>B</w:t>
            </w:r>
            <w:r w:rsidR="004D0A81">
              <w:rPr>
                <w:rFonts w:ascii="Arial" w:hAnsi="Arial" w:cs="Arial"/>
                <w:sz w:val="20"/>
                <w:szCs w:val="20"/>
              </w:rPr>
              <w:t xml:space="preserve">asin </w:t>
            </w:r>
            <w:r w:rsidR="0024567B">
              <w:rPr>
                <w:rFonts w:ascii="Arial" w:hAnsi="Arial" w:cs="Arial"/>
                <w:sz w:val="20"/>
                <w:szCs w:val="20"/>
              </w:rPr>
              <w:t>P</w:t>
            </w:r>
            <w:r w:rsidR="004D0A81">
              <w:rPr>
                <w:rFonts w:ascii="Arial" w:hAnsi="Arial" w:cs="Arial"/>
                <w:sz w:val="20"/>
                <w:szCs w:val="20"/>
              </w:rPr>
              <w:t xml:space="preserve">lan is responsible for this </w:t>
            </w:r>
            <w:r w:rsidR="0012748A">
              <w:rPr>
                <w:rFonts w:ascii="Arial" w:hAnsi="Arial" w:cs="Arial"/>
                <w:sz w:val="20"/>
                <w:szCs w:val="20"/>
              </w:rPr>
              <w:t xml:space="preserve">precautionary approach.  The overuse of SBS cost millions of dollars annually and consumes oxygen in the Bay.  There is </w:t>
            </w:r>
            <w:r w:rsidR="00473222">
              <w:rPr>
                <w:rFonts w:ascii="Arial" w:hAnsi="Arial" w:cs="Arial"/>
                <w:sz w:val="20"/>
                <w:szCs w:val="20"/>
              </w:rPr>
              <w:t xml:space="preserve">committee </w:t>
            </w:r>
            <w:r w:rsidR="0012748A">
              <w:rPr>
                <w:rFonts w:ascii="Arial" w:hAnsi="Arial" w:cs="Arial"/>
                <w:sz w:val="20"/>
                <w:szCs w:val="20"/>
              </w:rPr>
              <w:t>support to approach the Regional Water Board to explore alternative regulatory approaches, perhaps through a Basin Plan Amendment.</w:t>
            </w:r>
            <w:r w:rsidR="00473222">
              <w:rPr>
                <w:rFonts w:ascii="Arial" w:hAnsi="Arial" w:cs="Arial"/>
                <w:sz w:val="20"/>
                <w:szCs w:val="20"/>
              </w:rPr>
              <w:t xml:space="preserve">  Getting dilution or credit for die-off in the pipe would reduce the risk of violation.</w:t>
            </w:r>
            <w:r w:rsidR="005A1048">
              <w:rPr>
                <w:rFonts w:ascii="Arial" w:hAnsi="Arial" w:cs="Arial"/>
                <w:sz w:val="20"/>
                <w:szCs w:val="20"/>
              </w:rPr>
              <w:t xml:space="preserve">  Also, in 2008, the State Water Board found that an ML of 0.3</w:t>
            </w:r>
            <w:r w:rsidR="003461B5">
              <w:rPr>
                <w:rFonts w:ascii="Arial" w:hAnsi="Arial" w:cs="Arial"/>
                <w:sz w:val="20"/>
                <w:szCs w:val="20"/>
              </w:rPr>
              <w:t xml:space="preserve"> mg/L</w:t>
            </w:r>
            <w:r w:rsidR="005A1048">
              <w:rPr>
                <w:rFonts w:ascii="Arial" w:hAnsi="Arial" w:cs="Arial"/>
                <w:sz w:val="20"/>
                <w:szCs w:val="20"/>
              </w:rPr>
              <w:t xml:space="preserve"> was </w:t>
            </w:r>
            <w:r w:rsidR="00012230">
              <w:rPr>
                <w:rFonts w:ascii="Arial" w:hAnsi="Arial" w:cs="Arial"/>
                <w:sz w:val="20"/>
                <w:szCs w:val="20"/>
              </w:rPr>
              <w:t>protective.</w:t>
            </w:r>
          </w:p>
          <w:p w:rsidR="00826820" w:rsidRPr="00826820" w:rsidRDefault="0024567B" w:rsidP="0024567B">
            <w:pPr>
              <w:pStyle w:val="ListParagraph"/>
              <w:numPr>
                <w:ilvl w:val="0"/>
                <w:numId w:val="34"/>
              </w:numPr>
              <w:rPr>
                <w:rFonts w:ascii="Arial" w:hAnsi="Arial" w:cs="Arial"/>
                <w:sz w:val="20"/>
                <w:szCs w:val="20"/>
              </w:rPr>
            </w:pPr>
            <w:proofErr w:type="spellStart"/>
            <w:r w:rsidRPr="0024567B">
              <w:rPr>
                <w:rFonts w:ascii="Arial" w:hAnsi="Arial" w:cs="Arial"/>
                <w:i/>
                <w:sz w:val="20"/>
                <w:szCs w:val="20"/>
              </w:rPr>
              <w:t>Peracetic</w:t>
            </w:r>
            <w:proofErr w:type="spellEnd"/>
            <w:r w:rsidRPr="0024567B">
              <w:rPr>
                <w:rFonts w:ascii="Arial" w:hAnsi="Arial" w:cs="Arial"/>
                <w:i/>
                <w:sz w:val="20"/>
                <w:szCs w:val="20"/>
              </w:rPr>
              <w:t xml:space="preserve"> acid -</w:t>
            </w:r>
            <w:r w:rsidR="00473222">
              <w:rPr>
                <w:rFonts w:ascii="Arial" w:hAnsi="Arial" w:cs="Arial"/>
                <w:sz w:val="20"/>
                <w:szCs w:val="20"/>
              </w:rPr>
              <w:t xml:space="preserve">Several agencies are </w:t>
            </w:r>
            <w:r>
              <w:rPr>
                <w:rFonts w:ascii="Arial" w:hAnsi="Arial" w:cs="Arial"/>
                <w:sz w:val="20"/>
                <w:szCs w:val="20"/>
              </w:rPr>
              <w:t>planning to pilot</w:t>
            </w:r>
            <w:r w:rsidR="00473222">
              <w:rPr>
                <w:rFonts w:ascii="Arial" w:hAnsi="Arial" w:cs="Arial"/>
                <w:sz w:val="20"/>
                <w:szCs w:val="20"/>
              </w:rPr>
              <w:t xml:space="preserve"> </w:t>
            </w:r>
            <w:proofErr w:type="spellStart"/>
            <w:r w:rsidR="00473222">
              <w:rPr>
                <w:rFonts w:ascii="Arial" w:hAnsi="Arial" w:cs="Arial"/>
                <w:sz w:val="20"/>
                <w:szCs w:val="20"/>
              </w:rPr>
              <w:t>peracetic</w:t>
            </w:r>
            <w:proofErr w:type="spellEnd"/>
            <w:r w:rsidR="00473222">
              <w:rPr>
                <w:rFonts w:ascii="Arial" w:hAnsi="Arial" w:cs="Arial"/>
                <w:sz w:val="20"/>
                <w:szCs w:val="20"/>
              </w:rPr>
              <w:t xml:space="preserve"> acid as an alternative disinfectant.  It has the advantage of working instantaneously, i.e., not requiring a significant contact time, and does not produce chlorination byproducts. It may still need to be quenched via SBS. BACWA would like to know what the Regional Water Board would need from a regulatory standpoint to permit its use.</w:t>
            </w:r>
          </w:p>
        </w:tc>
      </w:tr>
      <w:tr w:rsidR="009E70B4" w:rsidRPr="00265445" w:rsidTr="004243F0">
        <w:trPr>
          <w:cantSplit/>
          <w:trHeight w:val="161"/>
        </w:trPr>
        <w:tc>
          <w:tcPr>
            <w:tcW w:w="10530" w:type="dxa"/>
          </w:tcPr>
          <w:p w:rsidR="005C50DB" w:rsidRPr="00473222" w:rsidRDefault="005C50DB" w:rsidP="005C50DB">
            <w:pPr>
              <w:ind w:left="0"/>
              <w:rPr>
                <w:rFonts w:cs="Arial"/>
                <w:b/>
              </w:rPr>
            </w:pPr>
            <w:r w:rsidRPr="00473222">
              <w:rPr>
                <w:rFonts w:cs="Arial"/>
                <w:b/>
                <w:color w:val="000000"/>
              </w:rPr>
              <w:lastRenderedPageBreak/>
              <w:t>Protocol to truncate list of CTR constituents monitored by RMP</w:t>
            </w:r>
          </w:p>
          <w:p w:rsidR="002E24AA" w:rsidRPr="00826820" w:rsidRDefault="00473222" w:rsidP="005D7F22">
            <w:pPr>
              <w:autoSpaceDE w:val="0"/>
              <w:autoSpaceDN w:val="0"/>
              <w:adjustRightInd w:val="0"/>
              <w:ind w:left="0"/>
              <w:rPr>
                <w:rFonts w:cs="Arial"/>
              </w:rPr>
            </w:pPr>
            <w:r>
              <w:rPr>
                <w:rFonts w:cs="Arial"/>
              </w:rPr>
              <w:t xml:space="preserve">Tom Mumley approached BACWA to ask whether we would accept reduced CTR monitoring in the receiving water.  However, Robert </w:t>
            </w:r>
            <w:proofErr w:type="spellStart"/>
            <w:r>
              <w:rPr>
                <w:rFonts w:cs="Arial"/>
              </w:rPr>
              <w:t>Schipf’s</w:t>
            </w:r>
            <w:proofErr w:type="spellEnd"/>
            <w:r>
              <w:rPr>
                <w:rFonts w:cs="Arial"/>
              </w:rPr>
              <w:t xml:space="preserve"> opinion is that there isn’t really room for further reduction, since monitoring only happens once every ten years.  Some agencies are u</w:t>
            </w:r>
            <w:r w:rsidR="005D7F22">
              <w:rPr>
                <w:rFonts w:cs="Arial"/>
              </w:rPr>
              <w:t>nhappy</w:t>
            </w:r>
            <w:r>
              <w:rPr>
                <w:rFonts w:cs="Arial"/>
              </w:rPr>
              <w:t xml:space="preserve"> about receiving permit limits due to background concentrations of constituents that were measured in the 1990s, since those data are still being used.  There was discussion in the committee that it would be worth exploring the possibility of reducing monitoring of constituents by individual agencies and trading this for increased funding to the RMP for monitoring.  One limit to reduced monitoring is the pretreatment monitoring requirements in Attachment H, as </w:t>
            </w:r>
            <w:hyperlink r:id="rId10" w:history="1">
              <w:r w:rsidRPr="00473222">
                <w:rPr>
                  <w:rStyle w:val="Hyperlink"/>
                  <w:rFonts w:cs="Arial"/>
                </w:rPr>
                <w:t>amended</w:t>
              </w:r>
            </w:hyperlink>
            <w:r>
              <w:rPr>
                <w:rFonts w:cs="Arial"/>
              </w:rPr>
              <w:t xml:space="preserve"> in 2011.</w:t>
            </w:r>
            <w:r w:rsidR="005A1048">
              <w:rPr>
                <w:rFonts w:cs="Arial"/>
              </w:rPr>
              <w:t xml:space="preserve">  </w:t>
            </w:r>
          </w:p>
        </w:tc>
      </w:tr>
      <w:tr w:rsidR="002E24AA" w:rsidRPr="00265445" w:rsidTr="004243F0">
        <w:trPr>
          <w:cantSplit/>
          <w:trHeight w:val="161"/>
        </w:trPr>
        <w:tc>
          <w:tcPr>
            <w:tcW w:w="10530" w:type="dxa"/>
          </w:tcPr>
          <w:p w:rsidR="005A1048" w:rsidRDefault="005A1048" w:rsidP="005A1048">
            <w:pPr>
              <w:ind w:left="0"/>
              <w:rPr>
                <w:rFonts w:cs="Arial"/>
                <w:b/>
              </w:rPr>
            </w:pPr>
            <w:r>
              <w:rPr>
                <w:rFonts w:cs="Arial"/>
                <w:b/>
              </w:rPr>
              <w:t>Funding for RMP CECs projects</w:t>
            </w:r>
          </w:p>
          <w:p w:rsidR="00A507F5" w:rsidRPr="00BB3194" w:rsidRDefault="005A1048" w:rsidP="005D7F22">
            <w:pPr>
              <w:ind w:left="0"/>
              <w:rPr>
                <w:rFonts w:cs="Arial"/>
              </w:rPr>
            </w:pPr>
            <w:r>
              <w:rPr>
                <w:rFonts w:cs="Arial"/>
              </w:rPr>
              <w:t xml:space="preserve">The RMP has minimal funding for their priority CECs projects, which are </w:t>
            </w:r>
            <w:r w:rsidR="005D7F22">
              <w:rPr>
                <w:rFonts w:cs="Arial"/>
              </w:rPr>
              <w:t>looking at</w:t>
            </w:r>
            <w:r>
              <w:rPr>
                <w:rFonts w:cs="Arial"/>
              </w:rPr>
              <w:t xml:space="preserve"> mi</w:t>
            </w:r>
            <w:r w:rsidR="00204A00">
              <w:rPr>
                <w:rFonts w:cs="Arial"/>
              </w:rPr>
              <w:t xml:space="preserve">crobeads, antibiotics and resistance, as well as </w:t>
            </w:r>
            <w:proofErr w:type="spellStart"/>
            <w:r w:rsidR="00204A00">
              <w:rPr>
                <w:rFonts w:cs="Arial"/>
              </w:rPr>
              <w:t>fipronil</w:t>
            </w:r>
            <w:proofErr w:type="spellEnd"/>
            <w:r w:rsidR="00204A00">
              <w:rPr>
                <w:rFonts w:cs="Arial"/>
              </w:rPr>
              <w:t xml:space="preserve"> and </w:t>
            </w:r>
            <w:proofErr w:type="gramStart"/>
            <w:r w:rsidR="00204A00">
              <w:rPr>
                <w:rFonts w:cs="Arial"/>
              </w:rPr>
              <w:t xml:space="preserve">its </w:t>
            </w:r>
            <w:proofErr w:type="spellStart"/>
            <w:r w:rsidR="00204A00">
              <w:rPr>
                <w:rFonts w:cs="Arial"/>
              </w:rPr>
              <w:t>degradates</w:t>
            </w:r>
            <w:proofErr w:type="spellEnd"/>
            <w:proofErr w:type="gramEnd"/>
            <w:r w:rsidR="00204A00">
              <w:rPr>
                <w:rFonts w:cs="Arial"/>
              </w:rPr>
              <w:t>. They are soliciting voluntary participation and funding from BACWA members for these projects.</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165CD9" w:rsidRDefault="00BB3194" w:rsidP="004243F0">
            <w:pPr>
              <w:ind w:left="0"/>
              <w:rPr>
                <w:rFonts w:cs="Arial"/>
                <w:b/>
              </w:rPr>
            </w:pPr>
            <w:r w:rsidRPr="00165CD9">
              <w:rPr>
                <w:rFonts w:cs="Arial"/>
                <w:b/>
              </w:rPr>
              <w:t>Nutrients</w:t>
            </w:r>
          </w:p>
          <w:p w:rsidR="003F1CA8" w:rsidRDefault="001F3DE3" w:rsidP="003F1CA8">
            <w:pPr>
              <w:pStyle w:val="ListParagraph"/>
              <w:numPr>
                <w:ilvl w:val="0"/>
                <w:numId w:val="33"/>
              </w:numPr>
              <w:ind w:left="769"/>
              <w:rPr>
                <w:rFonts w:ascii="Arial" w:hAnsi="Arial" w:cs="Arial"/>
                <w:sz w:val="20"/>
                <w:szCs w:val="20"/>
              </w:rPr>
            </w:pPr>
            <w:r w:rsidRPr="00165CD9">
              <w:rPr>
                <w:rFonts w:ascii="Arial" w:hAnsi="Arial" w:cs="Arial"/>
                <w:sz w:val="20"/>
                <w:szCs w:val="20"/>
              </w:rPr>
              <w:t>T</w:t>
            </w:r>
            <w:r w:rsidR="003F1CA8">
              <w:rPr>
                <w:rFonts w:ascii="Arial" w:hAnsi="Arial" w:cs="Arial"/>
                <w:sz w:val="20"/>
                <w:szCs w:val="20"/>
              </w:rPr>
              <w:t xml:space="preserve">he </w:t>
            </w:r>
            <w:r w:rsidRPr="00165CD9">
              <w:rPr>
                <w:rFonts w:ascii="Arial" w:hAnsi="Arial" w:cs="Arial"/>
                <w:sz w:val="20"/>
                <w:szCs w:val="20"/>
              </w:rPr>
              <w:t xml:space="preserve">Nutrient Technical Workgroup meeting </w:t>
            </w:r>
            <w:r w:rsidR="003F1CA8">
              <w:rPr>
                <w:rFonts w:ascii="Arial" w:hAnsi="Arial" w:cs="Arial"/>
                <w:sz w:val="20"/>
                <w:szCs w:val="20"/>
              </w:rPr>
              <w:t>was</w:t>
            </w:r>
            <w:r w:rsidRPr="00165CD9">
              <w:rPr>
                <w:rFonts w:ascii="Arial" w:hAnsi="Arial" w:cs="Arial"/>
                <w:sz w:val="20"/>
                <w:szCs w:val="20"/>
              </w:rPr>
              <w:t xml:space="preserve"> April 22, at SFEI. </w:t>
            </w:r>
            <w:r w:rsidR="003F1CA8">
              <w:rPr>
                <w:rFonts w:ascii="Arial" w:hAnsi="Arial" w:cs="Arial"/>
                <w:sz w:val="20"/>
                <w:szCs w:val="20"/>
              </w:rPr>
              <w:t xml:space="preserve">Dave </w:t>
            </w:r>
            <w:proofErr w:type="spellStart"/>
            <w:r w:rsidR="003F1CA8">
              <w:rPr>
                <w:rFonts w:ascii="Arial" w:hAnsi="Arial" w:cs="Arial"/>
                <w:sz w:val="20"/>
                <w:szCs w:val="20"/>
              </w:rPr>
              <w:t>Senn</w:t>
            </w:r>
            <w:proofErr w:type="spellEnd"/>
            <w:r w:rsidR="003F1CA8">
              <w:rPr>
                <w:rFonts w:ascii="Arial" w:hAnsi="Arial" w:cs="Arial"/>
                <w:sz w:val="20"/>
                <w:szCs w:val="20"/>
              </w:rPr>
              <w:t xml:space="preserve"> provided a review of recent data and an update on the science plan, and Martha </w:t>
            </w:r>
            <w:proofErr w:type="spellStart"/>
            <w:r w:rsidR="003F1CA8">
              <w:rPr>
                <w:rFonts w:ascii="Arial" w:hAnsi="Arial" w:cs="Arial"/>
                <w:sz w:val="20"/>
                <w:szCs w:val="20"/>
              </w:rPr>
              <w:t>Sutula</w:t>
            </w:r>
            <w:proofErr w:type="spellEnd"/>
            <w:r w:rsidR="003F1CA8">
              <w:rPr>
                <w:rFonts w:ascii="Arial" w:hAnsi="Arial" w:cs="Arial"/>
                <w:sz w:val="20"/>
                <w:szCs w:val="20"/>
              </w:rPr>
              <w:t xml:space="preserve"> discussed the assessment framework. There was discussion about the role of harmful algal blooms and whether that data was being properly vetted. The significance of low DO was also important. Mike pointed out that Martha’s work is leading to </w:t>
            </w:r>
            <w:r w:rsidR="005D7F22">
              <w:rPr>
                <w:rFonts w:ascii="Arial" w:hAnsi="Arial" w:cs="Arial"/>
                <w:sz w:val="20"/>
                <w:szCs w:val="20"/>
              </w:rPr>
              <w:t>unobtainable</w:t>
            </w:r>
            <w:r w:rsidR="003F1CA8">
              <w:rPr>
                <w:rFonts w:ascii="Arial" w:hAnsi="Arial" w:cs="Arial"/>
                <w:sz w:val="20"/>
                <w:szCs w:val="20"/>
              </w:rPr>
              <w:t xml:space="preserve"> low numbers (0.2 </w:t>
            </w:r>
            <w:proofErr w:type="spellStart"/>
            <w:r w:rsidR="003F1CA8">
              <w:rPr>
                <w:rFonts w:ascii="Arial" w:hAnsi="Arial" w:cs="Arial"/>
                <w:sz w:val="20"/>
                <w:szCs w:val="20"/>
              </w:rPr>
              <w:t>ug</w:t>
            </w:r>
            <w:proofErr w:type="spellEnd"/>
            <w:r w:rsidR="003F1CA8">
              <w:rPr>
                <w:rFonts w:ascii="Arial" w:hAnsi="Arial" w:cs="Arial"/>
                <w:sz w:val="20"/>
                <w:szCs w:val="20"/>
              </w:rPr>
              <w:t>/L DIN), and there is concern that these will translate to enforceable limits.</w:t>
            </w:r>
            <w:r w:rsidR="003F1CA8" w:rsidRPr="00165CD9">
              <w:rPr>
                <w:rFonts w:ascii="Arial" w:hAnsi="Arial" w:cs="Arial"/>
                <w:sz w:val="20"/>
                <w:szCs w:val="20"/>
              </w:rPr>
              <w:t xml:space="preserve"> </w:t>
            </w:r>
          </w:p>
          <w:p w:rsidR="001F3DE3" w:rsidRPr="003F1CA8" w:rsidRDefault="003F1CA8" w:rsidP="005D7F22">
            <w:pPr>
              <w:pStyle w:val="ListParagraph"/>
              <w:numPr>
                <w:ilvl w:val="0"/>
                <w:numId w:val="33"/>
              </w:numPr>
              <w:ind w:left="769"/>
              <w:rPr>
                <w:rFonts w:ascii="Arial" w:hAnsi="Arial" w:cs="Arial"/>
                <w:sz w:val="20"/>
                <w:szCs w:val="20"/>
              </w:rPr>
            </w:pPr>
            <w:r w:rsidRPr="00165CD9">
              <w:rPr>
                <w:rFonts w:ascii="Arial" w:hAnsi="Arial" w:cs="Arial"/>
                <w:sz w:val="20"/>
                <w:szCs w:val="20"/>
              </w:rPr>
              <w:t xml:space="preserve">Optimization/Upgrade Studies – The site visits </w:t>
            </w:r>
            <w:r>
              <w:rPr>
                <w:rFonts w:ascii="Arial" w:hAnsi="Arial" w:cs="Arial"/>
                <w:sz w:val="20"/>
                <w:szCs w:val="20"/>
              </w:rPr>
              <w:t>have been taking place since April, and agencies are generally happy</w:t>
            </w:r>
            <w:r w:rsidR="005D7F22">
              <w:rPr>
                <w:rFonts w:ascii="Arial" w:hAnsi="Arial" w:cs="Arial"/>
                <w:sz w:val="20"/>
                <w:szCs w:val="20"/>
              </w:rPr>
              <w:t xml:space="preserve"> </w:t>
            </w:r>
            <w:r>
              <w:rPr>
                <w:rFonts w:ascii="Arial" w:hAnsi="Arial" w:cs="Arial"/>
                <w:sz w:val="20"/>
                <w:szCs w:val="20"/>
              </w:rPr>
              <w:t>with how th</w:t>
            </w:r>
            <w:r w:rsidR="005D7F22">
              <w:rPr>
                <w:rFonts w:ascii="Arial" w:hAnsi="Arial" w:cs="Arial"/>
                <w:sz w:val="20"/>
                <w:szCs w:val="20"/>
              </w:rPr>
              <w:t>ese</w:t>
            </w:r>
            <w:r>
              <w:rPr>
                <w:rFonts w:ascii="Arial" w:hAnsi="Arial" w:cs="Arial"/>
                <w:sz w:val="20"/>
                <w:szCs w:val="20"/>
              </w:rPr>
              <w:t xml:space="preserve"> are going. Facilities with space limitations do not have many options other than membrane treatment for level 3</w:t>
            </w:r>
            <w:r w:rsidR="005D7F22">
              <w:rPr>
                <w:rFonts w:ascii="Arial" w:hAnsi="Arial" w:cs="Arial"/>
                <w:sz w:val="20"/>
                <w:szCs w:val="20"/>
              </w:rPr>
              <w:t xml:space="preserve"> nutrient reductions</w:t>
            </w:r>
            <w:r>
              <w:rPr>
                <w:rFonts w:ascii="Arial" w:hAnsi="Arial" w:cs="Arial"/>
                <w:sz w:val="20"/>
                <w:szCs w:val="20"/>
              </w:rPr>
              <w:t xml:space="preserve">, and are concerned about stranded assets if they need to achieve level 2 removals first. </w:t>
            </w:r>
            <w:r w:rsidR="00012230">
              <w:rPr>
                <w:rFonts w:ascii="Arial" w:hAnsi="Arial" w:cs="Arial"/>
                <w:sz w:val="20"/>
                <w:szCs w:val="20"/>
              </w:rPr>
              <w:t xml:space="preserve">(See </w:t>
            </w:r>
            <w:hyperlink r:id="rId11" w:history="1">
              <w:r w:rsidR="00012230" w:rsidRPr="00012230">
                <w:rPr>
                  <w:rStyle w:val="Hyperlink"/>
                  <w:rFonts w:ascii="Arial" w:hAnsi="Arial" w:cs="Arial"/>
                  <w:sz w:val="20"/>
                  <w:szCs w:val="20"/>
                </w:rPr>
                <w:t>HDR presentation</w:t>
              </w:r>
            </w:hyperlink>
            <w:r w:rsidR="00012230">
              <w:rPr>
                <w:rFonts w:ascii="Arial" w:hAnsi="Arial" w:cs="Arial"/>
                <w:sz w:val="20"/>
                <w:szCs w:val="20"/>
              </w:rPr>
              <w:t xml:space="preserve"> for details)</w:t>
            </w:r>
          </w:p>
        </w:tc>
      </w:tr>
      <w:tr w:rsidR="00642BFE"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642BFE" w:rsidRPr="005F2BB3" w:rsidRDefault="00642BFE" w:rsidP="004243F0">
            <w:pPr>
              <w:ind w:left="0"/>
              <w:rPr>
                <w:rFonts w:cs="Arial"/>
                <w:b/>
              </w:rPr>
            </w:pPr>
            <w:r w:rsidRPr="005F2BB3">
              <w:rPr>
                <w:rFonts w:cs="Arial"/>
                <w:b/>
              </w:rPr>
              <w:t>Announcements/Informational Items</w:t>
            </w:r>
          </w:p>
          <w:p w:rsidR="00642BFE" w:rsidRPr="00012230" w:rsidRDefault="00E0514F" w:rsidP="00E0514F">
            <w:pPr>
              <w:pStyle w:val="ListParagraph"/>
              <w:numPr>
                <w:ilvl w:val="0"/>
                <w:numId w:val="32"/>
              </w:numPr>
              <w:rPr>
                <w:rFonts w:cs="Arial"/>
                <w:b/>
                <w:sz w:val="20"/>
                <w:szCs w:val="20"/>
              </w:rPr>
            </w:pPr>
            <w:hyperlink r:id="rId12" w:history="1">
              <w:r w:rsidRPr="00E0514F">
                <w:rPr>
                  <w:rStyle w:val="Hyperlink"/>
                  <w:rFonts w:ascii="Arial" w:hAnsi="Arial" w:cs="Arial"/>
                  <w:sz w:val="20"/>
                  <w:szCs w:val="20"/>
                </w:rPr>
                <w:t>WEF Nutrient Workshop</w:t>
              </w:r>
            </w:hyperlink>
            <w:r>
              <w:rPr>
                <w:rFonts w:ascii="Arial" w:hAnsi="Arial" w:cs="Arial"/>
                <w:sz w:val="20"/>
                <w:szCs w:val="20"/>
              </w:rPr>
              <w:t xml:space="preserve"> July 26-28</w:t>
            </w:r>
          </w:p>
          <w:p w:rsidR="00012230" w:rsidRPr="00012230" w:rsidRDefault="00012230" w:rsidP="00E0514F">
            <w:pPr>
              <w:pStyle w:val="ListParagraph"/>
              <w:numPr>
                <w:ilvl w:val="0"/>
                <w:numId w:val="32"/>
              </w:numPr>
              <w:rPr>
                <w:rFonts w:cs="Arial"/>
                <w:b/>
                <w:sz w:val="20"/>
                <w:szCs w:val="20"/>
              </w:rPr>
            </w:pPr>
            <w:r>
              <w:rPr>
                <w:rFonts w:ascii="Arial" w:hAnsi="Arial" w:cs="Arial"/>
                <w:sz w:val="20"/>
                <w:szCs w:val="20"/>
              </w:rPr>
              <w:t>NACWA Dental Amalgam Task Force – EPA has been listening to objections against making dentists SIUs. The rule is set to be finalized this summer.</w:t>
            </w:r>
          </w:p>
          <w:p w:rsidR="00012230" w:rsidRPr="00165CD9" w:rsidRDefault="00012230" w:rsidP="00E0514F">
            <w:pPr>
              <w:pStyle w:val="ListParagraph"/>
              <w:numPr>
                <w:ilvl w:val="0"/>
                <w:numId w:val="32"/>
              </w:numPr>
              <w:rPr>
                <w:rFonts w:cs="Arial"/>
                <w:b/>
                <w:sz w:val="20"/>
                <w:szCs w:val="20"/>
              </w:rPr>
            </w:pPr>
            <w:r>
              <w:rPr>
                <w:rFonts w:ascii="Arial" w:hAnsi="Arial" w:cs="Arial"/>
                <w:sz w:val="20"/>
                <w:szCs w:val="20"/>
              </w:rPr>
              <w:t xml:space="preserve">CECs – Ralph </w:t>
            </w:r>
            <w:proofErr w:type="spellStart"/>
            <w:r>
              <w:rPr>
                <w:rFonts w:ascii="Arial" w:hAnsi="Arial" w:cs="Arial"/>
                <w:sz w:val="20"/>
                <w:szCs w:val="20"/>
              </w:rPr>
              <w:t>Halden</w:t>
            </w:r>
            <w:proofErr w:type="spellEnd"/>
            <w:r>
              <w:rPr>
                <w:rFonts w:ascii="Arial" w:hAnsi="Arial" w:cs="Arial"/>
                <w:sz w:val="20"/>
                <w:szCs w:val="20"/>
              </w:rPr>
              <w:t xml:space="preserve"> is seeking POTW participation in studies.  There would be no cost to participants, other than to collect samples.  Karin will send information to Lorien to distribute.</w:t>
            </w:r>
          </w:p>
        </w:tc>
      </w:tr>
      <w:tr w:rsidR="005C50DB"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5C50DB" w:rsidRDefault="005C50DB" w:rsidP="004243F0">
            <w:pPr>
              <w:ind w:left="0"/>
              <w:rPr>
                <w:rFonts w:cs="Arial"/>
                <w:b/>
              </w:rPr>
            </w:pPr>
            <w:r>
              <w:rPr>
                <w:rFonts w:cs="Arial"/>
                <w:b/>
              </w:rPr>
              <w:t>2015 Meeting Dates</w:t>
            </w:r>
          </w:p>
          <w:p w:rsidR="00E0514F" w:rsidRPr="00E0514F" w:rsidRDefault="00E0514F" w:rsidP="005D7F22">
            <w:pPr>
              <w:ind w:left="0"/>
              <w:rPr>
                <w:rFonts w:cs="Arial"/>
              </w:rPr>
            </w:pPr>
            <w:r>
              <w:rPr>
                <w:rFonts w:cs="Arial"/>
              </w:rPr>
              <w:t xml:space="preserve">August meeting will be changed to Aug 4, otherwise all meetings will remain </w:t>
            </w:r>
            <w:bookmarkStart w:id="0" w:name="_GoBack"/>
            <w:r>
              <w:rPr>
                <w:rFonts w:cs="Arial"/>
              </w:rPr>
              <w:t>at</w:t>
            </w:r>
            <w:bookmarkEnd w:id="0"/>
            <w:r>
              <w:rPr>
                <w:rFonts w:cs="Arial"/>
              </w:rPr>
              <w:t xml:space="preserve"> same </w:t>
            </w:r>
            <w:r w:rsidR="005D7F22">
              <w:rPr>
                <w:rFonts w:cs="Arial"/>
              </w:rPr>
              <w:t>date</w:t>
            </w:r>
            <w:r>
              <w:rPr>
                <w:rFonts w:cs="Arial"/>
              </w:rPr>
              <w:t>.</w:t>
            </w:r>
            <w:r w:rsidR="00012230">
              <w:rPr>
                <w:rFonts w:cs="Arial"/>
              </w:rPr>
              <w:t xml:space="preserve"> Lila Tang will attend July, rather than June meeting.</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6950DD" w:rsidRDefault="009E70B4" w:rsidP="00012230">
            <w:pPr>
              <w:spacing w:before="60"/>
              <w:ind w:left="0"/>
              <w:rPr>
                <w:rFonts w:cs="Arial"/>
                <w:b/>
                <w:i/>
              </w:rPr>
            </w:pPr>
            <w:r w:rsidRPr="006950DD">
              <w:rPr>
                <w:rFonts w:cs="Arial"/>
                <w:b/>
              </w:rPr>
              <w:t xml:space="preserve">Next BACWA Permits Committee Meeting:  </w:t>
            </w:r>
            <w:r w:rsidRPr="006950DD">
              <w:rPr>
                <w:rFonts w:cs="Arial"/>
              </w:rPr>
              <w:t xml:space="preserve">Tuesday, </w:t>
            </w:r>
            <w:r w:rsidR="00012230">
              <w:rPr>
                <w:rFonts w:cs="Arial"/>
              </w:rPr>
              <w:t>June 9</w:t>
            </w:r>
            <w:r w:rsidR="00A507F5">
              <w:rPr>
                <w:rFonts w:cs="Arial"/>
              </w:rPr>
              <w:t>, 2015</w:t>
            </w:r>
            <w:r w:rsidRPr="006950DD">
              <w:rPr>
                <w:rFonts w:cs="Arial"/>
              </w:rPr>
              <w:t>, at EBMUD Plant Library</w:t>
            </w:r>
            <w:r w:rsidR="00A41406">
              <w:rPr>
                <w:rFonts w:cs="Arial"/>
              </w:rPr>
              <w:t>.</w:t>
            </w:r>
          </w:p>
        </w:tc>
      </w:tr>
    </w:tbl>
    <w:p w:rsidR="000E1846" w:rsidRPr="00265445" w:rsidRDefault="000E1846" w:rsidP="003A1C9C">
      <w:pPr>
        <w:ind w:left="0"/>
        <w:rPr>
          <w:rFonts w:cs="Arial"/>
        </w:rPr>
      </w:pPr>
    </w:p>
    <w:sectPr w:rsidR="000E1846" w:rsidRPr="00265445" w:rsidSect="004931F3">
      <w:footerReference w:type="even" r:id="rId13"/>
      <w:footerReference w:type="default" r:id="rId14"/>
      <w:headerReference w:type="first" r:id="rId15"/>
      <w:footerReference w:type="first" r:id="rId16"/>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15B" w:rsidRDefault="000D615B">
      <w:r>
        <w:separator/>
      </w:r>
    </w:p>
  </w:endnote>
  <w:endnote w:type="continuationSeparator" w:id="0">
    <w:p w:rsidR="000D615B" w:rsidRDefault="000D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Default="004216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164B" w:rsidRDefault="0042164B">
    <w:pPr>
      <w:ind w:left="-1080"/>
    </w:pPr>
  </w:p>
  <w:p w:rsidR="0042164B" w:rsidRDefault="004216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Pr="00944BEA" w:rsidRDefault="0042164B" w:rsidP="00944BEA">
    <w:pPr>
      <w:pStyle w:val="Footer"/>
      <w:jc w:val="center"/>
    </w:pPr>
    <w:r>
      <w:rPr>
        <w:rStyle w:val="PageNumber"/>
      </w:rPr>
      <w:fldChar w:fldCharType="begin"/>
    </w:r>
    <w:r>
      <w:rPr>
        <w:rStyle w:val="PageNumber"/>
      </w:rPr>
      <w:instrText xml:space="preserve"> PAGE </w:instrText>
    </w:r>
    <w:r>
      <w:rPr>
        <w:rStyle w:val="PageNumber"/>
      </w:rPr>
      <w:fldChar w:fldCharType="separate"/>
    </w:r>
    <w:r w:rsidR="005D7F22">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Default="0042164B">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15B" w:rsidRDefault="000D615B">
      <w:r>
        <w:separator/>
      </w:r>
    </w:p>
  </w:footnote>
  <w:footnote w:type="continuationSeparator" w:id="0">
    <w:p w:rsidR="000D615B" w:rsidRDefault="000D6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Default="0042164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98C5B2"/>
    <w:lvl w:ilvl="0">
      <w:numFmt w:val="decimal"/>
      <w:pStyle w:val="Caption"/>
      <w:lvlText w:val="*"/>
      <w:lvlJc w:val="left"/>
    </w:lvl>
  </w:abstractNum>
  <w:abstractNum w:abstractNumId="1">
    <w:nsid w:val="07144753"/>
    <w:multiLevelType w:val="hybridMultilevel"/>
    <w:tmpl w:val="E278DC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D37BE"/>
    <w:multiLevelType w:val="hybridMultilevel"/>
    <w:tmpl w:val="473E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4659A"/>
    <w:multiLevelType w:val="hybridMultilevel"/>
    <w:tmpl w:val="1A720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86CC2"/>
    <w:multiLevelType w:val="hybridMultilevel"/>
    <w:tmpl w:val="49A00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43077"/>
    <w:multiLevelType w:val="hybridMultilevel"/>
    <w:tmpl w:val="F3663D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1053B0"/>
    <w:multiLevelType w:val="hybridMultilevel"/>
    <w:tmpl w:val="DC241388"/>
    <w:lvl w:ilvl="0" w:tplc="B782824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C7827"/>
    <w:multiLevelType w:val="hybridMultilevel"/>
    <w:tmpl w:val="9D3C8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D08EC"/>
    <w:multiLevelType w:val="hybridMultilevel"/>
    <w:tmpl w:val="D22A3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74C42"/>
    <w:multiLevelType w:val="hybridMultilevel"/>
    <w:tmpl w:val="447A6B42"/>
    <w:lvl w:ilvl="0" w:tplc="25ACA1F8">
      <w:start w:val="1"/>
      <w:numFmt w:val="lowerLetter"/>
      <w:lvlText w:val="%1)"/>
      <w:lvlJc w:val="left"/>
      <w:pPr>
        <w:ind w:left="720" w:hanging="360"/>
      </w:pPr>
      <w:rPr>
        <w:rFonts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32463C"/>
    <w:multiLevelType w:val="hybridMultilevel"/>
    <w:tmpl w:val="675A5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350851"/>
    <w:multiLevelType w:val="hybridMultilevel"/>
    <w:tmpl w:val="7A7A1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2954F0"/>
    <w:multiLevelType w:val="hybridMultilevel"/>
    <w:tmpl w:val="E2DEE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D04A9"/>
    <w:multiLevelType w:val="hybridMultilevel"/>
    <w:tmpl w:val="009CB7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2191E"/>
    <w:multiLevelType w:val="hybridMultilevel"/>
    <w:tmpl w:val="4F087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D37C8C"/>
    <w:multiLevelType w:val="hybridMultilevel"/>
    <w:tmpl w:val="B12EC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41F23"/>
    <w:multiLevelType w:val="hybridMultilevel"/>
    <w:tmpl w:val="2E9444A8"/>
    <w:lvl w:ilvl="0" w:tplc="74B23EE6">
      <w:start w:val="1"/>
      <w:numFmt w:val="lowerLetter"/>
      <w:lvlText w:val="%1)"/>
      <w:lvlJc w:val="left"/>
      <w:pPr>
        <w:ind w:left="720" w:hanging="360"/>
      </w:pPr>
      <w:rPr>
        <w:rFonts w:cs="Times New Roman"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71A44"/>
    <w:multiLevelType w:val="hybridMultilevel"/>
    <w:tmpl w:val="B5B6AB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35851E9"/>
    <w:multiLevelType w:val="hybridMultilevel"/>
    <w:tmpl w:val="3AC06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7175B"/>
    <w:multiLevelType w:val="hybridMultilevel"/>
    <w:tmpl w:val="330CD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D74E4"/>
    <w:multiLevelType w:val="multilevel"/>
    <w:tmpl w:val="D04CB006"/>
    <w:lvl w:ilvl="0">
      <w:start w:val="1"/>
      <w:numFmt w:val="upperRoman"/>
      <w:lvlText w:val="%1."/>
      <w:lvlJc w:val="left"/>
      <w:pPr>
        <w:tabs>
          <w:tab w:val="num" w:pos="720"/>
        </w:tabs>
        <w:ind w:left="720" w:hanging="720"/>
      </w:pPr>
      <w:rPr>
        <w:rFonts w:ascii="Arial" w:hAnsi="Arial" w:cs="Arial" w:hint="default"/>
        <w:sz w:val="24"/>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2">
    <w:nsid w:val="4C9B1847"/>
    <w:multiLevelType w:val="hybridMultilevel"/>
    <w:tmpl w:val="01927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136569"/>
    <w:multiLevelType w:val="hybridMultilevel"/>
    <w:tmpl w:val="4E3A7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7732F4"/>
    <w:multiLevelType w:val="hybridMultilevel"/>
    <w:tmpl w:val="6866945E"/>
    <w:lvl w:ilvl="0" w:tplc="CA967276">
      <w:start w:val="1"/>
      <w:numFmt w:val="decimal"/>
      <w:lvlText w:val="%1)"/>
      <w:lvlJc w:val="left"/>
      <w:pPr>
        <w:tabs>
          <w:tab w:val="num" w:pos="735"/>
        </w:tabs>
        <w:ind w:left="735" w:hanging="375"/>
      </w:pPr>
      <w:rPr>
        <w:rFonts w:hint="default"/>
        <w:b/>
      </w:rPr>
    </w:lvl>
    <w:lvl w:ilvl="1" w:tplc="5BB6CEEC">
      <w:start w:val="1"/>
      <w:numFmt w:val="lowerLetter"/>
      <w:lvlText w:val="%2."/>
      <w:lvlJc w:val="left"/>
      <w:pPr>
        <w:tabs>
          <w:tab w:val="num" w:pos="1080"/>
        </w:tabs>
        <w:ind w:left="1080" w:hanging="360"/>
      </w:pPr>
      <w:rPr>
        <w:rFonts w:ascii="Tahoma" w:eastAsia="Batang" w:hAnsi="Tahoma" w:cs="Tahoma"/>
      </w:rPr>
    </w:lvl>
    <w:lvl w:ilvl="2" w:tplc="04021BE8">
      <w:start w:val="1"/>
      <w:numFmt w:val="lowerLetter"/>
      <w:lvlText w:val="%3."/>
      <w:lvlJc w:val="right"/>
      <w:pPr>
        <w:tabs>
          <w:tab w:val="num" w:pos="1800"/>
        </w:tabs>
        <w:ind w:left="1800" w:hanging="180"/>
      </w:pPr>
      <w:rPr>
        <w:rFonts w:ascii="Tahoma" w:eastAsia="Batang" w:hAnsi="Tahoma" w:cs="Tahoma"/>
      </w:rPr>
    </w:lvl>
    <w:lvl w:ilvl="3" w:tplc="6E3C759A">
      <w:start w:val="1"/>
      <w:numFmt w:val="lowerRoman"/>
      <w:lvlText w:val="%4."/>
      <w:lvlJc w:val="left"/>
      <w:pPr>
        <w:tabs>
          <w:tab w:val="num" w:pos="1440"/>
        </w:tabs>
        <w:ind w:left="1440" w:hanging="360"/>
      </w:pPr>
      <w:rPr>
        <w:rFonts w:ascii="Tahoma" w:eastAsia="Batang" w:hAnsi="Tahoma" w:cs="Tahoma"/>
        <w:b w:val="0"/>
      </w:rPr>
    </w:lvl>
    <w:lvl w:ilvl="4" w:tplc="DC44E008">
      <w:start w:val="2"/>
      <w:numFmt w:val="bullet"/>
      <w:lvlText w:val="-"/>
      <w:lvlJc w:val="left"/>
      <w:pPr>
        <w:ind w:left="3240" w:hanging="360"/>
      </w:pPr>
      <w:rPr>
        <w:rFonts w:ascii="Tahoma" w:eastAsia="Batang" w:hAnsi="Tahoma" w:cs="Tahoma" w:hint="default"/>
      </w:rPr>
    </w:lvl>
    <w:lvl w:ilvl="5" w:tplc="971C8B92">
      <w:start w:val="1"/>
      <w:numFmt w:val="lowerLetter"/>
      <w:lvlText w:val="(%6)"/>
      <w:lvlJc w:val="left"/>
      <w:pPr>
        <w:ind w:left="4140" w:hanging="360"/>
      </w:pPr>
      <w:rPr>
        <w:rFonts w:hint="default"/>
      </w:rPr>
    </w:lvl>
    <w:lvl w:ilvl="6" w:tplc="3FCAA17C">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6">
    <w:nsid w:val="566F2F6C"/>
    <w:multiLevelType w:val="hybridMultilevel"/>
    <w:tmpl w:val="E04C89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6A71D15"/>
    <w:multiLevelType w:val="hybridMultilevel"/>
    <w:tmpl w:val="E64C82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8458F7"/>
    <w:multiLevelType w:val="hybridMultilevel"/>
    <w:tmpl w:val="69CC4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FF022F"/>
    <w:multiLevelType w:val="hybridMultilevel"/>
    <w:tmpl w:val="15325F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3C1270"/>
    <w:multiLevelType w:val="hybridMultilevel"/>
    <w:tmpl w:val="18CA4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AF1D3D"/>
    <w:multiLevelType w:val="hybridMultilevel"/>
    <w:tmpl w:val="7212A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290F72"/>
    <w:multiLevelType w:val="hybridMultilevel"/>
    <w:tmpl w:val="890C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1"/>
  </w:num>
  <w:num w:numId="3">
    <w:abstractNumId w:val="25"/>
  </w:num>
  <w:num w:numId="4">
    <w:abstractNumId w:val="26"/>
  </w:num>
  <w:num w:numId="5">
    <w:abstractNumId w:val="31"/>
  </w:num>
  <w:num w:numId="6">
    <w:abstractNumId w:val="13"/>
  </w:num>
  <w:num w:numId="7">
    <w:abstractNumId w:val="5"/>
  </w:num>
  <w:num w:numId="8">
    <w:abstractNumId w:val="14"/>
  </w:num>
  <w:num w:numId="9">
    <w:abstractNumId w:val="30"/>
  </w:num>
  <w:num w:numId="10">
    <w:abstractNumId w:val="3"/>
  </w:num>
  <w:num w:numId="11">
    <w:abstractNumId w:val="27"/>
  </w:num>
  <w:num w:numId="12">
    <w:abstractNumId w:val="20"/>
  </w:num>
  <w:num w:numId="13">
    <w:abstractNumId w:val="32"/>
  </w:num>
  <w:num w:numId="14">
    <w:abstractNumId w:val="4"/>
  </w:num>
  <w:num w:numId="15">
    <w:abstractNumId w:val="24"/>
  </w:num>
  <w:num w:numId="16">
    <w:abstractNumId w:val="2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7"/>
  </w:num>
  <w:num w:numId="20">
    <w:abstractNumId w:val="1"/>
  </w:num>
  <w:num w:numId="21">
    <w:abstractNumId w:val="11"/>
  </w:num>
  <w:num w:numId="22">
    <w:abstractNumId w:val="15"/>
  </w:num>
  <w:num w:numId="23">
    <w:abstractNumId w:val="23"/>
  </w:num>
  <w:num w:numId="24">
    <w:abstractNumId w:val="6"/>
  </w:num>
  <w:num w:numId="25">
    <w:abstractNumId w:val="10"/>
  </w:num>
  <w:num w:numId="26">
    <w:abstractNumId w:val="2"/>
  </w:num>
  <w:num w:numId="27">
    <w:abstractNumId w:val="8"/>
  </w:num>
  <w:num w:numId="28">
    <w:abstractNumId w:val="18"/>
  </w:num>
  <w:num w:numId="29">
    <w:abstractNumId w:val="9"/>
  </w:num>
  <w:num w:numId="30">
    <w:abstractNumId w:val="16"/>
  </w:num>
  <w:num w:numId="31">
    <w:abstractNumId w:val="12"/>
  </w:num>
  <w:num w:numId="32">
    <w:abstractNumId w:val="22"/>
  </w:num>
  <w:num w:numId="33">
    <w:abstractNumId w:val="17"/>
  </w:num>
  <w:num w:numId="3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104AF"/>
    <w:rsid w:val="00011EC3"/>
    <w:rsid w:val="00012230"/>
    <w:rsid w:val="00012418"/>
    <w:rsid w:val="00014AB1"/>
    <w:rsid w:val="00017050"/>
    <w:rsid w:val="00021A24"/>
    <w:rsid w:val="000222CC"/>
    <w:rsid w:val="000249C3"/>
    <w:rsid w:val="00025300"/>
    <w:rsid w:val="00025EAB"/>
    <w:rsid w:val="00026734"/>
    <w:rsid w:val="00030578"/>
    <w:rsid w:val="00030B19"/>
    <w:rsid w:val="00031518"/>
    <w:rsid w:val="00031B33"/>
    <w:rsid w:val="00036F53"/>
    <w:rsid w:val="00040EDE"/>
    <w:rsid w:val="0004112E"/>
    <w:rsid w:val="00045EE8"/>
    <w:rsid w:val="000479E6"/>
    <w:rsid w:val="00055810"/>
    <w:rsid w:val="00057C38"/>
    <w:rsid w:val="00060652"/>
    <w:rsid w:val="00061BE5"/>
    <w:rsid w:val="000632E1"/>
    <w:rsid w:val="000637C6"/>
    <w:rsid w:val="00063B06"/>
    <w:rsid w:val="00064826"/>
    <w:rsid w:val="000668A8"/>
    <w:rsid w:val="00070A42"/>
    <w:rsid w:val="000719DD"/>
    <w:rsid w:val="00073087"/>
    <w:rsid w:val="00073780"/>
    <w:rsid w:val="0007541E"/>
    <w:rsid w:val="00080579"/>
    <w:rsid w:val="000841DB"/>
    <w:rsid w:val="00084B73"/>
    <w:rsid w:val="00086F94"/>
    <w:rsid w:val="0009037D"/>
    <w:rsid w:val="00091831"/>
    <w:rsid w:val="00091B3F"/>
    <w:rsid w:val="00095589"/>
    <w:rsid w:val="000969C9"/>
    <w:rsid w:val="000A3124"/>
    <w:rsid w:val="000A4A98"/>
    <w:rsid w:val="000A4C0B"/>
    <w:rsid w:val="000B1F9D"/>
    <w:rsid w:val="000B23BF"/>
    <w:rsid w:val="000B29CE"/>
    <w:rsid w:val="000B2A82"/>
    <w:rsid w:val="000B4209"/>
    <w:rsid w:val="000B4BDF"/>
    <w:rsid w:val="000B7801"/>
    <w:rsid w:val="000C32F3"/>
    <w:rsid w:val="000C4DF8"/>
    <w:rsid w:val="000C5A68"/>
    <w:rsid w:val="000C5E40"/>
    <w:rsid w:val="000C687B"/>
    <w:rsid w:val="000C6FE4"/>
    <w:rsid w:val="000D0243"/>
    <w:rsid w:val="000D1979"/>
    <w:rsid w:val="000D27CE"/>
    <w:rsid w:val="000D615B"/>
    <w:rsid w:val="000D61E2"/>
    <w:rsid w:val="000E1846"/>
    <w:rsid w:val="000E33E3"/>
    <w:rsid w:val="000E4FFE"/>
    <w:rsid w:val="000F07E5"/>
    <w:rsid w:val="000F31FA"/>
    <w:rsid w:val="000F4376"/>
    <w:rsid w:val="001005D3"/>
    <w:rsid w:val="001064BC"/>
    <w:rsid w:val="00106E74"/>
    <w:rsid w:val="00107980"/>
    <w:rsid w:val="00110F6D"/>
    <w:rsid w:val="00112156"/>
    <w:rsid w:val="001139F8"/>
    <w:rsid w:val="00115981"/>
    <w:rsid w:val="0011753C"/>
    <w:rsid w:val="00117C9B"/>
    <w:rsid w:val="0012410A"/>
    <w:rsid w:val="00124DC5"/>
    <w:rsid w:val="001272C2"/>
    <w:rsid w:val="0012748A"/>
    <w:rsid w:val="00127D7B"/>
    <w:rsid w:val="00130DBE"/>
    <w:rsid w:val="00132EE1"/>
    <w:rsid w:val="001429B8"/>
    <w:rsid w:val="0014579B"/>
    <w:rsid w:val="00151A50"/>
    <w:rsid w:val="00153F8F"/>
    <w:rsid w:val="0015521C"/>
    <w:rsid w:val="00157ECE"/>
    <w:rsid w:val="00165617"/>
    <w:rsid w:val="001657E7"/>
    <w:rsid w:val="00165CD9"/>
    <w:rsid w:val="00173EA8"/>
    <w:rsid w:val="001856DB"/>
    <w:rsid w:val="00192108"/>
    <w:rsid w:val="00193A1B"/>
    <w:rsid w:val="00195466"/>
    <w:rsid w:val="00196B79"/>
    <w:rsid w:val="00196EDF"/>
    <w:rsid w:val="001A0726"/>
    <w:rsid w:val="001A15D9"/>
    <w:rsid w:val="001A26B2"/>
    <w:rsid w:val="001A4B29"/>
    <w:rsid w:val="001A5713"/>
    <w:rsid w:val="001B2F9D"/>
    <w:rsid w:val="001B4372"/>
    <w:rsid w:val="001B62B9"/>
    <w:rsid w:val="001B7E50"/>
    <w:rsid w:val="001C696E"/>
    <w:rsid w:val="001D466B"/>
    <w:rsid w:val="001D79E2"/>
    <w:rsid w:val="001D7ED0"/>
    <w:rsid w:val="001E1E7E"/>
    <w:rsid w:val="001E314F"/>
    <w:rsid w:val="001E7159"/>
    <w:rsid w:val="001E7686"/>
    <w:rsid w:val="001F110B"/>
    <w:rsid w:val="001F134E"/>
    <w:rsid w:val="001F31B1"/>
    <w:rsid w:val="001F3DE3"/>
    <w:rsid w:val="001F4C4D"/>
    <w:rsid w:val="001F51FA"/>
    <w:rsid w:val="001F6439"/>
    <w:rsid w:val="002002AD"/>
    <w:rsid w:val="002010F8"/>
    <w:rsid w:val="002011E0"/>
    <w:rsid w:val="00204A00"/>
    <w:rsid w:val="0021235F"/>
    <w:rsid w:val="00212A54"/>
    <w:rsid w:val="0021419F"/>
    <w:rsid w:val="00215FF7"/>
    <w:rsid w:val="00216A5E"/>
    <w:rsid w:val="00217085"/>
    <w:rsid w:val="00217475"/>
    <w:rsid w:val="00220774"/>
    <w:rsid w:val="002219AC"/>
    <w:rsid w:val="002223B8"/>
    <w:rsid w:val="0022401C"/>
    <w:rsid w:val="00224EB4"/>
    <w:rsid w:val="00225CC0"/>
    <w:rsid w:val="002304ED"/>
    <w:rsid w:val="00232BC6"/>
    <w:rsid w:val="00233919"/>
    <w:rsid w:val="00233DEE"/>
    <w:rsid w:val="00234B68"/>
    <w:rsid w:val="0023730F"/>
    <w:rsid w:val="002414A2"/>
    <w:rsid w:val="00242DB2"/>
    <w:rsid w:val="002435A0"/>
    <w:rsid w:val="0024567B"/>
    <w:rsid w:val="002527C2"/>
    <w:rsid w:val="002535AF"/>
    <w:rsid w:val="00255802"/>
    <w:rsid w:val="00255CB3"/>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89D"/>
    <w:rsid w:val="002965F3"/>
    <w:rsid w:val="002A0BC4"/>
    <w:rsid w:val="002A0C5E"/>
    <w:rsid w:val="002A19FD"/>
    <w:rsid w:val="002A1A3B"/>
    <w:rsid w:val="002A2051"/>
    <w:rsid w:val="002A38F2"/>
    <w:rsid w:val="002B0E4F"/>
    <w:rsid w:val="002B0FD7"/>
    <w:rsid w:val="002B4CE2"/>
    <w:rsid w:val="002B5217"/>
    <w:rsid w:val="002B6989"/>
    <w:rsid w:val="002C2227"/>
    <w:rsid w:val="002C4BB9"/>
    <w:rsid w:val="002C52E5"/>
    <w:rsid w:val="002C53DA"/>
    <w:rsid w:val="002D0ECC"/>
    <w:rsid w:val="002D2055"/>
    <w:rsid w:val="002D22D6"/>
    <w:rsid w:val="002D4199"/>
    <w:rsid w:val="002D50B1"/>
    <w:rsid w:val="002D5688"/>
    <w:rsid w:val="002E0BA7"/>
    <w:rsid w:val="002E1A92"/>
    <w:rsid w:val="002E1E79"/>
    <w:rsid w:val="002E24AA"/>
    <w:rsid w:val="002E257A"/>
    <w:rsid w:val="002E2DB6"/>
    <w:rsid w:val="002E7F0B"/>
    <w:rsid w:val="002F17D0"/>
    <w:rsid w:val="002F1A9E"/>
    <w:rsid w:val="003001C2"/>
    <w:rsid w:val="00301CE0"/>
    <w:rsid w:val="00301E8E"/>
    <w:rsid w:val="003020E1"/>
    <w:rsid w:val="00303B02"/>
    <w:rsid w:val="00304516"/>
    <w:rsid w:val="003057CA"/>
    <w:rsid w:val="00307237"/>
    <w:rsid w:val="003113F1"/>
    <w:rsid w:val="003155C9"/>
    <w:rsid w:val="003208FD"/>
    <w:rsid w:val="003233DE"/>
    <w:rsid w:val="00324954"/>
    <w:rsid w:val="003266DE"/>
    <w:rsid w:val="003300B3"/>
    <w:rsid w:val="00332C2B"/>
    <w:rsid w:val="00333996"/>
    <w:rsid w:val="003373D7"/>
    <w:rsid w:val="00340EC8"/>
    <w:rsid w:val="00341C16"/>
    <w:rsid w:val="00341FD5"/>
    <w:rsid w:val="00342E1B"/>
    <w:rsid w:val="00345B92"/>
    <w:rsid w:val="003461B5"/>
    <w:rsid w:val="00351370"/>
    <w:rsid w:val="0035184E"/>
    <w:rsid w:val="0035448D"/>
    <w:rsid w:val="0035613D"/>
    <w:rsid w:val="00363B1D"/>
    <w:rsid w:val="003672B0"/>
    <w:rsid w:val="00370447"/>
    <w:rsid w:val="003709F3"/>
    <w:rsid w:val="00373DB3"/>
    <w:rsid w:val="003768B9"/>
    <w:rsid w:val="00380AD5"/>
    <w:rsid w:val="003821BD"/>
    <w:rsid w:val="00382CC9"/>
    <w:rsid w:val="00383FFE"/>
    <w:rsid w:val="00385D39"/>
    <w:rsid w:val="00386A75"/>
    <w:rsid w:val="003912FB"/>
    <w:rsid w:val="0039342C"/>
    <w:rsid w:val="00395530"/>
    <w:rsid w:val="003A191C"/>
    <w:rsid w:val="003A1A41"/>
    <w:rsid w:val="003A1AE5"/>
    <w:rsid w:val="003A1C9C"/>
    <w:rsid w:val="003B3513"/>
    <w:rsid w:val="003B3DF4"/>
    <w:rsid w:val="003B7B15"/>
    <w:rsid w:val="003C3654"/>
    <w:rsid w:val="003C6D0E"/>
    <w:rsid w:val="003D2D36"/>
    <w:rsid w:val="003D51FB"/>
    <w:rsid w:val="003E45C6"/>
    <w:rsid w:val="003E7490"/>
    <w:rsid w:val="003F1CA8"/>
    <w:rsid w:val="003F642C"/>
    <w:rsid w:val="004004C3"/>
    <w:rsid w:val="004005D5"/>
    <w:rsid w:val="00400F92"/>
    <w:rsid w:val="004024FC"/>
    <w:rsid w:val="004028F2"/>
    <w:rsid w:val="0041076B"/>
    <w:rsid w:val="00412415"/>
    <w:rsid w:val="00415DE4"/>
    <w:rsid w:val="00417368"/>
    <w:rsid w:val="00420244"/>
    <w:rsid w:val="0042164B"/>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6446"/>
    <w:rsid w:val="00466E7F"/>
    <w:rsid w:val="00473222"/>
    <w:rsid w:val="00473661"/>
    <w:rsid w:val="004765FC"/>
    <w:rsid w:val="0047728F"/>
    <w:rsid w:val="00480325"/>
    <w:rsid w:val="00481ADF"/>
    <w:rsid w:val="0048333C"/>
    <w:rsid w:val="004863E7"/>
    <w:rsid w:val="00487788"/>
    <w:rsid w:val="00492F8A"/>
    <w:rsid w:val="004931F3"/>
    <w:rsid w:val="004950EB"/>
    <w:rsid w:val="00495EC6"/>
    <w:rsid w:val="00495F42"/>
    <w:rsid w:val="004A000E"/>
    <w:rsid w:val="004A1867"/>
    <w:rsid w:val="004A602F"/>
    <w:rsid w:val="004B1A6A"/>
    <w:rsid w:val="004B1E43"/>
    <w:rsid w:val="004B2701"/>
    <w:rsid w:val="004B5618"/>
    <w:rsid w:val="004B6166"/>
    <w:rsid w:val="004C0E43"/>
    <w:rsid w:val="004C1869"/>
    <w:rsid w:val="004C1E25"/>
    <w:rsid w:val="004C1F9D"/>
    <w:rsid w:val="004C4BB2"/>
    <w:rsid w:val="004C7FBD"/>
    <w:rsid w:val="004D0A81"/>
    <w:rsid w:val="004D0E4D"/>
    <w:rsid w:val="004D1E6F"/>
    <w:rsid w:val="004D4350"/>
    <w:rsid w:val="004D51EE"/>
    <w:rsid w:val="004D5915"/>
    <w:rsid w:val="004D5E7F"/>
    <w:rsid w:val="004D62C2"/>
    <w:rsid w:val="004E0A58"/>
    <w:rsid w:val="004E0CBE"/>
    <w:rsid w:val="004E1F85"/>
    <w:rsid w:val="004E41D6"/>
    <w:rsid w:val="004E55FB"/>
    <w:rsid w:val="004F1DD8"/>
    <w:rsid w:val="004F493D"/>
    <w:rsid w:val="004F4CF9"/>
    <w:rsid w:val="004F7E04"/>
    <w:rsid w:val="00503374"/>
    <w:rsid w:val="005109D7"/>
    <w:rsid w:val="00512D0B"/>
    <w:rsid w:val="005142CA"/>
    <w:rsid w:val="00517408"/>
    <w:rsid w:val="00523E4C"/>
    <w:rsid w:val="00524A35"/>
    <w:rsid w:val="00527204"/>
    <w:rsid w:val="00527EE7"/>
    <w:rsid w:val="005302F1"/>
    <w:rsid w:val="005314DA"/>
    <w:rsid w:val="00534BF0"/>
    <w:rsid w:val="005360EA"/>
    <w:rsid w:val="00541789"/>
    <w:rsid w:val="00543508"/>
    <w:rsid w:val="005442F1"/>
    <w:rsid w:val="00546FF9"/>
    <w:rsid w:val="00547CD4"/>
    <w:rsid w:val="005508AC"/>
    <w:rsid w:val="005576E8"/>
    <w:rsid w:val="005621F0"/>
    <w:rsid w:val="005641B6"/>
    <w:rsid w:val="005657D0"/>
    <w:rsid w:val="00566256"/>
    <w:rsid w:val="00566882"/>
    <w:rsid w:val="00571DC9"/>
    <w:rsid w:val="00576538"/>
    <w:rsid w:val="00580A31"/>
    <w:rsid w:val="00582B87"/>
    <w:rsid w:val="00583FD4"/>
    <w:rsid w:val="0058477A"/>
    <w:rsid w:val="00585C3A"/>
    <w:rsid w:val="00592AE5"/>
    <w:rsid w:val="00596B0F"/>
    <w:rsid w:val="005A0C46"/>
    <w:rsid w:val="005A1048"/>
    <w:rsid w:val="005A127F"/>
    <w:rsid w:val="005A256A"/>
    <w:rsid w:val="005B1B30"/>
    <w:rsid w:val="005B35AA"/>
    <w:rsid w:val="005B477F"/>
    <w:rsid w:val="005C1CC1"/>
    <w:rsid w:val="005C50DB"/>
    <w:rsid w:val="005C73E7"/>
    <w:rsid w:val="005D3651"/>
    <w:rsid w:val="005D7F22"/>
    <w:rsid w:val="005E1E0C"/>
    <w:rsid w:val="005E1F7C"/>
    <w:rsid w:val="005E27C1"/>
    <w:rsid w:val="005E30B9"/>
    <w:rsid w:val="005E3FD9"/>
    <w:rsid w:val="005E45DA"/>
    <w:rsid w:val="005E4961"/>
    <w:rsid w:val="005E59F2"/>
    <w:rsid w:val="005E5BF7"/>
    <w:rsid w:val="005E5DE9"/>
    <w:rsid w:val="005E64DF"/>
    <w:rsid w:val="005E66D6"/>
    <w:rsid w:val="005E69AC"/>
    <w:rsid w:val="005E6DD6"/>
    <w:rsid w:val="005E7B57"/>
    <w:rsid w:val="005E7FB0"/>
    <w:rsid w:val="005F1FCD"/>
    <w:rsid w:val="005F23CC"/>
    <w:rsid w:val="005F2BB3"/>
    <w:rsid w:val="005F41FD"/>
    <w:rsid w:val="005F4503"/>
    <w:rsid w:val="005F48FE"/>
    <w:rsid w:val="005F510E"/>
    <w:rsid w:val="005F5251"/>
    <w:rsid w:val="005F527B"/>
    <w:rsid w:val="005F7135"/>
    <w:rsid w:val="006034C1"/>
    <w:rsid w:val="0060356C"/>
    <w:rsid w:val="006039DD"/>
    <w:rsid w:val="00603D6D"/>
    <w:rsid w:val="006135C8"/>
    <w:rsid w:val="00615A3D"/>
    <w:rsid w:val="00616CE0"/>
    <w:rsid w:val="006202EB"/>
    <w:rsid w:val="006245C6"/>
    <w:rsid w:val="00624970"/>
    <w:rsid w:val="006264EC"/>
    <w:rsid w:val="00626A45"/>
    <w:rsid w:val="006309A9"/>
    <w:rsid w:val="00635601"/>
    <w:rsid w:val="006379B9"/>
    <w:rsid w:val="00637E87"/>
    <w:rsid w:val="00641547"/>
    <w:rsid w:val="00642A64"/>
    <w:rsid w:val="00642BFE"/>
    <w:rsid w:val="00646B39"/>
    <w:rsid w:val="0065007C"/>
    <w:rsid w:val="0065582E"/>
    <w:rsid w:val="00655940"/>
    <w:rsid w:val="00655ED2"/>
    <w:rsid w:val="006576EF"/>
    <w:rsid w:val="00672467"/>
    <w:rsid w:val="006732E3"/>
    <w:rsid w:val="00673E1E"/>
    <w:rsid w:val="006746A8"/>
    <w:rsid w:val="006750EE"/>
    <w:rsid w:val="00682612"/>
    <w:rsid w:val="00685695"/>
    <w:rsid w:val="006863BE"/>
    <w:rsid w:val="00690BBD"/>
    <w:rsid w:val="00691376"/>
    <w:rsid w:val="006915C0"/>
    <w:rsid w:val="0069246E"/>
    <w:rsid w:val="006938B4"/>
    <w:rsid w:val="006944D8"/>
    <w:rsid w:val="006950DD"/>
    <w:rsid w:val="006957C8"/>
    <w:rsid w:val="006A4A5A"/>
    <w:rsid w:val="006A5FB5"/>
    <w:rsid w:val="006A7C51"/>
    <w:rsid w:val="006A7CE3"/>
    <w:rsid w:val="006B2CC8"/>
    <w:rsid w:val="006B4BA3"/>
    <w:rsid w:val="006B7B4B"/>
    <w:rsid w:val="006C0465"/>
    <w:rsid w:val="006C12D4"/>
    <w:rsid w:val="006C599A"/>
    <w:rsid w:val="006C64D2"/>
    <w:rsid w:val="006D0538"/>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36668"/>
    <w:rsid w:val="00742220"/>
    <w:rsid w:val="00742349"/>
    <w:rsid w:val="0074418E"/>
    <w:rsid w:val="00746583"/>
    <w:rsid w:val="007504C5"/>
    <w:rsid w:val="0075589F"/>
    <w:rsid w:val="00757E56"/>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C01E3"/>
    <w:rsid w:val="007C5AB6"/>
    <w:rsid w:val="007C7F37"/>
    <w:rsid w:val="007D00CA"/>
    <w:rsid w:val="007D2E91"/>
    <w:rsid w:val="007D4BA2"/>
    <w:rsid w:val="007D50D5"/>
    <w:rsid w:val="007D740C"/>
    <w:rsid w:val="007E0D51"/>
    <w:rsid w:val="007E1042"/>
    <w:rsid w:val="007E1EDD"/>
    <w:rsid w:val="007E2014"/>
    <w:rsid w:val="007E371A"/>
    <w:rsid w:val="007E475C"/>
    <w:rsid w:val="007E61BB"/>
    <w:rsid w:val="007E6F03"/>
    <w:rsid w:val="007E72CB"/>
    <w:rsid w:val="007F19BA"/>
    <w:rsid w:val="007F51DC"/>
    <w:rsid w:val="007F7364"/>
    <w:rsid w:val="00800485"/>
    <w:rsid w:val="00802AFC"/>
    <w:rsid w:val="00812EF4"/>
    <w:rsid w:val="008167FA"/>
    <w:rsid w:val="00822F39"/>
    <w:rsid w:val="00826820"/>
    <w:rsid w:val="00827717"/>
    <w:rsid w:val="008301B1"/>
    <w:rsid w:val="0083456D"/>
    <w:rsid w:val="00835C76"/>
    <w:rsid w:val="00842ED4"/>
    <w:rsid w:val="00844FB5"/>
    <w:rsid w:val="008456D8"/>
    <w:rsid w:val="008506D9"/>
    <w:rsid w:val="008514D4"/>
    <w:rsid w:val="00851C95"/>
    <w:rsid w:val="0085204D"/>
    <w:rsid w:val="0085248D"/>
    <w:rsid w:val="0085440E"/>
    <w:rsid w:val="008558BC"/>
    <w:rsid w:val="00856F06"/>
    <w:rsid w:val="008638A1"/>
    <w:rsid w:val="00863C92"/>
    <w:rsid w:val="008674EB"/>
    <w:rsid w:val="00872C6E"/>
    <w:rsid w:val="00877BD1"/>
    <w:rsid w:val="00881E46"/>
    <w:rsid w:val="00881FB1"/>
    <w:rsid w:val="0088323E"/>
    <w:rsid w:val="00885A41"/>
    <w:rsid w:val="00886A72"/>
    <w:rsid w:val="008902F4"/>
    <w:rsid w:val="00893499"/>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7995"/>
    <w:rsid w:val="008C13BD"/>
    <w:rsid w:val="008C5FA7"/>
    <w:rsid w:val="008C6453"/>
    <w:rsid w:val="008D1275"/>
    <w:rsid w:val="008D3129"/>
    <w:rsid w:val="008D3445"/>
    <w:rsid w:val="008D3AFF"/>
    <w:rsid w:val="008D3EAD"/>
    <w:rsid w:val="008D5C48"/>
    <w:rsid w:val="008E2C6D"/>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17119"/>
    <w:rsid w:val="00922ED3"/>
    <w:rsid w:val="009320EA"/>
    <w:rsid w:val="00933736"/>
    <w:rsid w:val="009379AC"/>
    <w:rsid w:val="00942223"/>
    <w:rsid w:val="009448A9"/>
    <w:rsid w:val="00944BEA"/>
    <w:rsid w:val="0094667D"/>
    <w:rsid w:val="00950EFC"/>
    <w:rsid w:val="0096016E"/>
    <w:rsid w:val="009608F3"/>
    <w:rsid w:val="0096120C"/>
    <w:rsid w:val="0096225C"/>
    <w:rsid w:val="009657A6"/>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864"/>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A82"/>
    <w:rsid w:val="00A112D0"/>
    <w:rsid w:val="00A11489"/>
    <w:rsid w:val="00A16789"/>
    <w:rsid w:val="00A20704"/>
    <w:rsid w:val="00A2522F"/>
    <w:rsid w:val="00A25871"/>
    <w:rsid w:val="00A25A3C"/>
    <w:rsid w:val="00A2713E"/>
    <w:rsid w:val="00A30F32"/>
    <w:rsid w:val="00A32C04"/>
    <w:rsid w:val="00A33774"/>
    <w:rsid w:val="00A34C2A"/>
    <w:rsid w:val="00A402F9"/>
    <w:rsid w:val="00A407DF"/>
    <w:rsid w:val="00A41406"/>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72E1"/>
    <w:rsid w:val="00A86401"/>
    <w:rsid w:val="00A92EF6"/>
    <w:rsid w:val="00A93DC7"/>
    <w:rsid w:val="00A95B06"/>
    <w:rsid w:val="00A96B57"/>
    <w:rsid w:val="00A97C85"/>
    <w:rsid w:val="00AA1337"/>
    <w:rsid w:val="00AA300D"/>
    <w:rsid w:val="00AA4E50"/>
    <w:rsid w:val="00AA7E94"/>
    <w:rsid w:val="00AB4614"/>
    <w:rsid w:val="00AB79A9"/>
    <w:rsid w:val="00AC148F"/>
    <w:rsid w:val="00AC16EE"/>
    <w:rsid w:val="00AC190E"/>
    <w:rsid w:val="00AC491E"/>
    <w:rsid w:val="00AC62E4"/>
    <w:rsid w:val="00AC7F92"/>
    <w:rsid w:val="00AD2131"/>
    <w:rsid w:val="00AD3EE0"/>
    <w:rsid w:val="00AD68B3"/>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17ABF"/>
    <w:rsid w:val="00B213DF"/>
    <w:rsid w:val="00B2595F"/>
    <w:rsid w:val="00B272BD"/>
    <w:rsid w:val="00B30739"/>
    <w:rsid w:val="00B3207A"/>
    <w:rsid w:val="00B32857"/>
    <w:rsid w:val="00B329B3"/>
    <w:rsid w:val="00B33704"/>
    <w:rsid w:val="00B3545E"/>
    <w:rsid w:val="00B36B62"/>
    <w:rsid w:val="00B411A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60CB"/>
    <w:rsid w:val="00B96907"/>
    <w:rsid w:val="00B96C70"/>
    <w:rsid w:val="00BA06B1"/>
    <w:rsid w:val="00BA1097"/>
    <w:rsid w:val="00BA6A95"/>
    <w:rsid w:val="00BB3194"/>
    <w:rsid w:val="00BB6884"/>
    <w:rsid w:val="00BB7215"/>
    <w:rsid w:val="00BC0FC4"/>
    <w:rsid w:val="00BC5D31"/>
    <w:rsid w:val="00BD4C6C"/>
    <w:rsid w:val="00BD5BDE"/>
    <w:rsid w:val="00BD7612"/>
    <w:rsid w:val="00BE475E"/>
    <w:rsid w:val="00BE6457"/>
    <w:rsid w:val="00BE6EF0"/>
    <w:rsid w:val="00BF2AA0"/>
    <w:rsid w:val="00BF458B"/>
    <w:rsid w:val="00BF5D5B"/>
    <w:rsid w:val="00C00E5B"/>
    <w:rsid w:val="00C02599"/>
    <w:rsid w:val="00C031F7"/>
    <w:rsid w:val="00C03EA6"/>
    <w:rsid w:val="00C10F86"/>
    <w:rsid w:val="00C139F5"/>
    <w:rsid w:val="00C146F1"/>
    <w:rsid w:val="00C15392"/>
    <w:rsid w:val="00C158E5"/>
    <w:rsid w:val="00C17B58"/>
    <w:rsid w:val="00C17CB2"/>
    <w:rsid w:val="00C20E53"/>
    <w:rsid w:val="00C21BEB"/>
    <w:rsid w:val="00C22782"/>
    <w:rsid w:val="00C22BC8"/>
    <w:rsid w:val="00C23E88"/>
    <w:rsid w:val="00C24E1F"/>
    <w:rsid w:val="00C26C17"/>
    <w:rsid w:val="00C31DDB"/>
    <w:rsid w:val="00C33B38"/>
    <w:rsid w:val="00C358A0"/>
    <w:rsid w:val="00C35DA0"/>
    <w:rsid w:val="00C40209"/>
    <w:rsid w:val="00C40AB6"/>
    <w:rsid w:val="00C46FCC"/>
    <w:rsid w:val="00C5139E"/>
    <w:rsid w:val="00C51890"/>
    <w:rsid w:val="00C52C69"/>
    <w:rsid w:val="00C57D4C"/>
    <w:rsid w:val="00C62331"/>
    <w:rsid w:val="00C6417D"/>
    <w:rsid w:val="00C6761A"/>
    <w:rsid w:val="00C71A73"/>
    <w:rsid w:val="00C75FDB"/>
    <w:rsid w:val="00C802D5"/>
    <w:rsid w:val="00C80CD2"/>
    <w:rsid w:val="00C81FC5"/>
    <w:rsid w:val="00C8481B"/>
    <w:rsid w:val="00C84F7B"/>
    <w:rsid w:val="00C853DC"/>
    <w:rsid w:val="00C876E8"/>
    <w:rsid w:val="00C87F71"/>
    <w:rsid w:val="00C92040"/>
    <w:rsid w:val="00C931B1"/>
    <w:rsid w:val="00C936BF"/>
    <w:rsid w:val="00C948C8"/>
    <w:rsid w:val="00CA2E28"/>
    <w:rsid w:val="00CA3EDC"/>
    <w:rsid w:val="00CA5267"/>
    <w:rsid w:val="00CA5FF5"/>
    <w:rsid w:val="00CA704C"/>
    <w:rsid w:val="00CA7DE4"/>
    <w:rsid w:val="00CB0042"/>
    <w:rsid w:val="00CB1948"/>
    <w:rsid w:val="00CB2E23"/>
    <w:rsid w:val="00CB335D"/>
    <w:rsid w:val="00CB3BBE"/>
    <w:rsid w:val="00CB5F6C"/>
    <w:rsid w:val="00CC2371"/>
    <w:rsid w:val="00CC28ED"/>
    <w:rsid w:val="00CC38E9"/>
    <w:rsid w:val="00CC576E"/>
    <w:rsid w:val="00CD032D"/>
    <w:rsid w:val="00CD46A4"/>
    <w:rsid w:val="00CD5522"/>
    <w:rsid w:val="00CD79FA"/>
    <w:rsid w:val="00CE2752"/>
    <w:rsid w:val="00CE2CE6"/>
    <w:rsid w:val="00CE620B"/>
    <w:rsid w:val="00CF3CD3"/>
    <w:rsid w:val="00CF6A90"/>
    <w:rsid w:val="00CF70C0"/>
    <w:rsid w:val="00CF7ACB"/>
    <w:rsid w:val="00D015F5"/>
    <w:rsid w:val="00D05953"/>
    <w:rsid w:val="00D05B81"/>
    <w:rsid w:val="00D0787F"/>
    <w:rsid w:val="00D13E32"/>
    <w:rsid w:val="00D1406E"/>
    <w:rsid w:val="00D17BAD"/>
    <w:rsid w:val="00D2170E"/>
    <w:rsid w:val="00D21AC6"/>
    <w:rsid w:val="00D24707"/>
    <w:rsid w:val="00D2563C"/>
    <w:rsid w:val="00D26E0F"/>
    <w:rsid w:val="00D26E98"/>
    <w:rsid w:val="00D3077F"/>
    <w:rsid w:val="00D30D08"/>
    <w:rsid w:val="00D32D24"/>
    <w:rsid w:val="00D338C8"/>
    <w:rsid w:val="00D339B2"/>
    <w:rsid w:val="00D340C4"/>
    <w:rsid w:val="00D358D7"/>
    <w:rsid w:val="00D3668A"/>
    <w:rsid w:val="00D404D6"/>
    <w:rsid w:val="00D421EF"/>
    <w:rsid w:val="00D42CAF"/>
    <w:rsid w:val="00D43C95"/>
    <w:rsid w:val="00D62F05"/>
    <w:rsid w:val="00D6793D"/>
    <w:rsid w:val="00D7525E"/>
    <w:rsid w:val="00D77071"/>
    <w:rsid w:val="00D809E7"/>
    <w:rsid w:val="00D81AE9"/>
    <w:rsid w:val="00D82B07"/>
    <w:rsid w:val="00D901CE"/>
    <w:rsid w:val="00D901DF"/>
    <w:rsid w:val="00D932B1"/>
    <w:rsid w:val="00D93E75"/>
    <w:rsid w:val="00DA13EE"/>
    <w:rsid w:val="00DA2A46"/>
    <w:rsid w:val="00DA2F8D"/>
    <w:rsid w:val="00DB504A"/>
    <w:rsid w:val="00DB724B"/>
    <w:rsid w:val="00DC07D9"/>
    <w:rsid w:val="00DC7092"/>
    <w:rsid w:val="00DD0B8A"/>
    <w:rsid w:val="00DD19BC"/>
    <w:rsid w:val="00DD1A9E"/>
    <w:rsid w:val="00DD3FBE"/>
    <w:rsid w:val="00DD5ACD"/>
    <w:rsid w:val="00DD75FC"/>
    <w:rsid w:val="00DD7CB4"/>
    <w:rsid w:val="00DE0063"/>
    <w:rsid w:val="00DE14B3"/>
    <w:rsid w:val="00DE29BF"/>
    <w:rsid w:val="00DE3991"/>
    <w:rsid w:val="00DE3A06"/>
    <w:rsid w:val="00DE5AB5"/>
    <w:rsid w:val="00DE5CEA"/>
    <w:rsid w:val="00DE602C"/>
    <w:rsid w:val="00DE7026"/>
    <w:rsid w:val="00DE7303"/>
    <w:rsid w:val="00DE77D1"/>
    <w:rsid w:val="00DE7E82"/>
    <w:rsid w:val="00DF1333"/>
    <w:rsid w:val="00DF17AE"/>
    <w:rsid w:val="00DF28F3"/>
    <w:rsid w:val="00E013C4"/>
    <w:rsid w:val="00E02BB9"/>
    <w:rsid w:val="00E039BE"/>
    <w:rsid w:val="00E0514F"/>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415A"/>
    <w:rsid w:val="00E27AA1"/>
    <w:rsid w:val="00E27C76"/>
    <w:rsid w:val="00E34042"/>
    <w:rsid w:val="00E347EB"/>
    <w:rsid w:val="00E40BE1"/>
    <w:rsid w:val="00E46084"/>
    <w:rsid w:val="00E460EB"/>
    <w:rsid w:val="00E4655F"/>
    <w:rsid w:val="00E50F4B"/>
    <w:rsid w:val="00E52703"/>
    <w:rsid w:val="00E52891"/>
    <w:rsid w:val="00E533F1"/>
    <w:rsid w:val="00E54123"/>
    <w:rsid w:val="00E544AA"/>
    <w:rsid w:val="00E60649"/>
    <w:rsid w:val="00E6264D"/>
    <w:rsid w:val="00E72686"/>
    <w:rsid w:val="00E75515"/>
    <w:rsid w:val="00E7567B"/>
    <w:rsid w:val="00E75B94"/>
    <w:rsid w:val="00E772E2"/>
    <w:rsid w:val="00E8358B"/>
    <w:rsid w:val="00E84BE1"/>
    <w:rsid w:val="00E86D00"/>
    <w:rsid w:val="00E92267"/>
    <w:rsid w:val="00EA08C2"/>
    <w:rsid w:val="00EA1AE7"/>
    <w:rsid w:val="00EA27FA"/>
    <w:rsid w:val="00EA4B93"/>
    <w:rsid w:val="00EA5B43"/>
    <w:rsid w:val="00EB01E9"/>
    <w:rsid w:val="00EB0CE4"/>
    <w:rsid w:val="00EB12D3"/>
    <w:rsid w:val="00EB1D3D"/>
    <w:rsid w:val="00EB3E47"/>
    <w:rsid w:val="00EB53C0"/>
    <w:rsid w:val="00EB5F5E"/>
    <w:rsid w:val="00EC0961"/>
    <w:rsid w:val="00EC105C"/>
    <w:rsid w:val="00EC16D0"/>
    <w:rsid w:val="00EC5C4C"/>
    <w:rsid w:val="00ED21AE"/>
    <w:rsid w:val="00ED2A02"/>
    <w:rsid w:val="00ED737D"/>
    <w:rsid w:val="00EE136F"/>
    <w:rsid w:val="00EE162A"/>
    <w:rsid w:val="00EE3517"/>
    <w:rsid w:val="00EE5DEB"/>
    <w:rsid w:val="00EE7E67"/>
    <w:rsid w:val="00EF1061"/>
    <w:rsid w:val="00EF112B"/>
    <w:rsid w:val="00EF4EC5"/>
    <w:rsid w:val="00EF74CD"/>
    <w:rsid w:val="00EF77C0"/>
    <w:rsid w:val="00F02BE0"/>
    <w:rsid w:val="00F07382"/>
    <w:rsid w:val="00F073A0"/>
    <w:rsid w:val="00F0742B"/>
    <w:rsid w:val="00F10702"/>
    <w:rsid w:val="00F12B44"/>
    <w:rsid w:val="00F139BE"/>
    <w:rsid w:val="00F1607D"/>
    <w:rsid w:val="00F162D8"/>
    <w:rsid w:val="00F16482"/>
    <w:rsid w:val="00F200A9"/>
    <w:rsid w:val="00F26205"/>
    <w:rsid w:val="00F264B0"/>
    <w:rsid w:val="00F32F78"/>
    <w:rsid w:val="00F33691"/>
    <w:rsid w:val="00F36975"/>
    <w:rsid w:val="00F375E1"/>
    <w:rsid w:val="00F4037B"/>
    <w:rsid w:val="00F418F1"/>
    <w:rsid w:val="00F45265"/>
    <w:rsid w:val="00F45AD8"/>
    <w:rsid w:val="00F47475"/>
    <w:rsid w:val="00F50E91"/>
    <w:rsid w:val="00F524BA"/>
    <w:rsid w:val="00F55824"/>
    <w:rsid w:val="00F6096E"/>
    <w:rsid w:val="00F60A9E"/>
    <w:rsid w:val="00F61DF5"/>
    <w:rsid w:val="00F64157"/>
    <w:rsid w:val="00F64EDE"/>
    <w:rsid w:val="00F6571D"/>
    <w:rsid w:val="00F67815"/>
    <w:rsid w:val="00F70495"/>
    <w:rsid w:val="00F70569"/>
    <w:rsid w:val="00F7166D"/>
    <w:rsid w:val="00F721AD"/>
    <w:rsid w:val="00F77BBA"/>
    <w:rsid w:val="00F8276D"/>
    <w:rsid w:val="00F82EAD"/>
    <w:rsid w:val="00F85D4E"/>
    <w:rsid w:val="00F86078"/>
    <w:rsid w:val="00F95183"/>
    <w:rsid w:val="00F95B4C"/>
    <w:rsid w:val="00FA6B57"/>
    <w:rsid w:val="00FA7B07"/>
    <w:rsid w:val="00FA7F6F"/>
    <w:rsid w:val="00FB338E"/>
    <w:rsid w:val="00FB3C86"/>
    <w:rsid w:val="00FB787E"/>
    <w:rsid w:val="00FC0BD5"/>
    <w:rsid w:val="00FD48DA"/>
    <w:rsid w:val="00FD5748"/>
    <w:rsid w:val="00FD6BD2"/>
    <w:rsid w:val="00FD7FAC"/>
    <w:rsid w:val="00FE020E"/>
    <w:rsid w:val="00FE089A"/>
    <w:rsid w:val="00FE0B5C"/>
    <w:rsid w:val="00FF1CCF"/>
    <w:rsid w:val="00FF3C4D"/>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8F0533-F6B2-411F-A4DF-BBC2FB9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E3"/>
    <w:pPr>
      <w:ind w:left="1080"/>
    </w:pPr>
    <w:rPr>
      <w:rFonts w:ascii="Arial" w:hAnsi="Arial"/>
      <w:spacing w:val="-5"/>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 w:val="24"/>
    </w:rPr>
  </w:style>
  <w:style w:type="paragraph" w:styleId="Heading2">
    <w:name w:val="heading 2"/>
    <w:basedOn w:val="Normal"/>
    <w:next w:val="BodyText"/>
    <w:qFormat/>
    <w:rsid w:val="007A05E3"/>
    <w:pPr>
      <w:keepNext/>
      <w:keepLines/>
      <w:spacing w:after="240" w:line="240" w:lineRule="atLeast"/>
      <w:ind w:left="0"/>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pacing w:val="0"/>
      <w:sz w:val="18"/>
    </w:rPr>
  </w:style>
  <w:style w:type="paragraph" w:customStyle="1" w:styleId="PartLabel">
    <w:name w:val="Part Label"/>
    <w:basedOn w:val="Normal"/>
    <w:rsid w:val="007A05E3"/>
    <w:pPr>
      <w:shd w:val="solid" w:color="auto" w:fill="auto"/>
      <w:spacing w:line="360" w:lineRule="exact"/>
      <w:ind w:left="0"/>
      <w:jc w:val="center"/>
    </w:pPr>
    <w:rPr>
      <w:color w:val="FFFFFF"/>
      <w:spacing w:val="-16"/>
      <w:sz w:val="26"/>
    </w:rPr>
  </w:style>
  <w:style w:type="paragraph" w:customStyle="1" w:styleId="PartTitle">
    <w:name w:val="Part Title"/>
    <w:basedOn w:val="Normal"/>
    <w:rsid w:val="007A05E3"/>
    <w:pPr>
      <w:shd w:val="solid" w:color="auto" w:fill="auto"/>
      <w:spacing w:line="660" w:lineRule="exact"/>
      <w:ind w:left="0"/>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ind w:left="0"/>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ind w:left="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ind w:left="0"/>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ind w:left="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ind w:left="0"/>
    </w:pPr>
    <w:rPr>
      <w:rFonts w:ascii="Arial Black" w:hAnsi="Arial Black"/>
      <w:sz w:val="24"/>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ind w:left="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pPr>
      <w:ind w:left="0"/>
    </w:pPr>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pPr>
      <w:ind w:left="0"/>
    </w:pPr>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pacing w:val="0"/>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ind w:left="0"/>
    </w:pPr>
    <w:rPr>
      <w:rFonts w:ascii="Times New Roman" w:hAnsi="Times New Roman"/>
      <w:spacing w:val="0"/>
      <w:sz w:val="24"/>
      <w:szCs w:val="24"/>
    </w:rPr>
  </w:style>
  <w:style w:type="character" w:customStyle="1" w:styleId="tx">
    <w:name w:val="tx"/>
    <w:basedOn w:val="DefaultParagraphFont"/>
    <w:rsid w:val="00EB01E9"/>
  </w:style>
  <w:style w:type="character" w:customStyle="1" w:styleId="highlight">
    <w:name w:val="highlight"/>
    <w:basedOn w:val="DefaultParagraphFont"/>
    <w:rsid w:val="006A5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955285624">
          <w:marLeft w:val="0"/>
          <w:marRight w:val="0"/>
          <w:marTop w:val="0"/>
          <w:marBottom w:val="0"/>
          <w:divBdr>
            <w:top w:val="none" w:sz="0" w:space="0" w:color="auto"/>
            <w:left w:val="none" w:sz="0" w:space="0" w:color="auto"/>
            <w:bottom w:val="none" w:sz="0" w:space="0" w:color="auto"/>
            <w:right w:val="none" w:sz="0" w:space="0" w:color="auto"/>
          </w:divBdr>
        </w:div>
        <w:div w:id="13115959">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543404566">
      <w:bodyDiv w:val="1"/>
      <w:marLeft w:val="0"/>
      <w:marRight w:val="0"/>
      <w:marTop w:val="0"/>
      <w:marBottom w:val="0"/>
      <w:divBdr>
        <w:top w:val="none" w:sz="0" w:space="0" w:color="auto"/>
        <w:left w:val="none" w:sz="0" w:space="0" w:color="auto"/>
        <w:bottom w:val="none" w:sz="0" w:space="0" w:color="auto"/>
        <w:right w:val="none" w:sz="0" w:space="0" w:color="auto"/>
      </w:divBdr>
      <w:divsChild>
        <w:div w:id="555973937">
          <w:marLeft w:val="0"/>
          <w:marRight w:val="0"/>
          <w:marTop w:val="0"/>
          <w:marBottom w:val="0"/>
          <w:divBdr>
            <w:top w:val="none" w:sz="0" w:space="0" w:color="auto"/>
            <w:left w:val="none" w:sz="0" w:space="0" w:color="auto"/>
            <w:bottom w:val="none" w:sz="0" w:space="0" w:color="auto"/>
            <w:right w:val="none" w:sz="0" w:space="0" w:color="auto"/>
          </w:divBdr>
        </w:div>
        <w:div w:id="2030176829">
          <w:marLeft w:val="0"/>
          <w:marRight w:val="0"/>
          <w:marTop w:val="0"/>
          <w:marBottom w:val="0"/>
          <w:divBdr>
            <w:top w:val="none" w:sz="0" w:space="0" w:color="auto"/>
            <w:left w:val="none" w:sz="0" w:space="0" w:color="auto"/>
            <w:bottom w:val="none" w:sz="0" w:space="0" w:color="auto"/>
            <w:right w:val="none" w:sz="0" w:space="0" w:color="auto"/>
          </w:divBdr>
        </w:div>
      </w:divsChild>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219247684">
          <w:marLeft w:val="0"/>
          <w:marRight w:val="0"/>
          <w:marTop w:val="0"/>
          <w:marBottom w:val="0"/>
          <w:divBdr>
            <w:top w:val="none" w:sz="0" w:space="0" w:color="auto"/>
            <w:left w:val="none" w:sz="0" w:space="0" w:color="auto"/>
            <w:bottom w:val="none" w:sz="0" w:space="0" w:color="auto"/>
            <w:right w:val="none" w:sz="0" w:space="0" w:color="auto"/>
          </w:divBdr>
        </w:div>
        <w:div w:id="53089693">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cwa.org/Portals/0/Committees/Permit/Library/BACWA%20Comment%20Letter%20to%20RWQCB%20-%20Las%20Gallinas%203-9-15.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f.org/Nutri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cwa.org/wp-content/uploads/2015/05/BACWA-Membership-Meeting-30-Jan-2015-20150109.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aterboards.ca.gov/sanfranciscobay/board_decisions/adopted_orders/2011/R2-2011-0009.pdf" TargetMode="External"/><Relationship Id="rId4" Type="http://schemas.openxmlformats.org/officeDocument/2006/relationships/settings" Target="settings.xml"/><Relationship Id="rId9" Type="http://schemas.openxmlformats.org/officeDocument/2006/relationships/hyperlink" Target="https://bacwa.box.com/s/ci056pm87s77a40nld1hw5rimc5dpfu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D3857-0B35-4DB6-B0EE-DAA95AE1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356</TotalTime>
  <Pages>2</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9</cp:revision>
  <cp:lastPrinted>2014-07-11T22:57:00Z</cp:lastPrinted>
  <dcterms:created xsi:type="dcterms:W3CDTF">2015-05-06T18:55:00Z</dcterms:created>
  <dcterms:modified xsi:type="dcterms:W3CDTF">2015-05-07T22:02:00Z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