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14:paraId="6D1A4B20" w14:textId="77777777">
        <w:trPr>
          <w:trHeight w:val="835"/>
        </w:trPr>
        <w:tc>
          <w:tcPr>
            <w:tcW w:w="3978" w:type="dxa"/>
          </w:tcPr>
          <w:p w14:paraId="42380E13" w14:textId="77777777"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 xml:space="preserve">Permits Committee – </w:t>
            </w:r>
          </w:p>
          <w:p w14:paraId="7B80CA3D" w14:textId="77777777"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14:paraId="16DB701D" w14:textId="77777777"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1246C4">
              <w:rPr>
                <w:rFonts w:cs="Arial"/>
                <w:sz w:val="22"/>
                <w:szCs w:val="22"/>
              </w:rPr>
              <w:t>10/13/15 and</w:t>
            </w:r>
            <w:r w:rsidR="003F413C">
              <w:rPr>
                <w:rFonts w:cs="Arial"/>
                <w:sz w:val="22"/>
                <w:szCs w:val="22"/>
              </w:rPr>
              <w:t xml:space="preserve"> </w:t>
            </w:r>
            <w:r w:rsidR="00E00A4C">
              <w:rPr>
                <w:rFonts w:cs="Arial"/>
                <w:sz w:val="22"/>
                <w:szCs w:val="22"/>
              </w:rPr>
              <w:t>11</w:t>
            </w:r>
            <w:r w:rsidR="00B34B6C">
              <w:rPr>
                <w:rFonts w:cs="Arial"/>
                <w:sz w:val="22"/>
                <w:szCs w:val="22"/>
              </w:rPr>
              <w:t>/</w:t>
            </w:r>
            <w:r w:rsidR="001246C4">
              <w:rPr>
                <w:rFonts w:cs="Arial"/>
                <w:sz w:val="22"/>
                <w:szCs w:val="22"/>
              </w:rPr>
              <w:t>10</w:t>
            </w:r>
            <w:r w:rsidR="00B34B6C">
              <w:rPr>
                <w:rFonts w:cs="Arial"/>
                <w:sz w:val="22"/>
                <w:szCs w:val="22"/>
              </w:rPr>
              <w:t>/15</w:t>
            </w:r>
          </w:p>
          <w:p w14:paraId="7B68B603" w14:textId="77777777"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1246C4">
              <w:rPr>
                <w:rFonts w:cs="Arial"/>
                <w:sz w:val="22"/>
                <w:szCs w:val="22"/>
              </w:rPr>
              <w:t>11</w:t>
            </w:r>
            <w:r w:rsidR="00DD0B8A">
              <w:rPr>
                <w:rFonts w:cs="Arial"/>
                <w:sz w:val="22"/>
                <w:szCs w:val="22"/>
              </w:rPr>
              <w:t>/</w:t>
            </w:r>
            <w:r w:rsidR="00B34B6C">
              <w:rPr>
                <w:rFonts w:cs="Arial"/>
                <w:sz w:val="22"/>
                <w:szCs w:val="22"/>
              </w:rPr>
              <w:t>2</w:t>
            </w:r>
            <w:r w:rsidR="001246C4">
              <w:rPr>
                <w:rFonts w:cs="Arial"/>
                <w:sz w:val="22"/>
                <w:szCs w:val="22"/>
              </w:rPr>
              <w:t>0</w:t>
            </w:r>
            <w:r w:rsidR="00893499" w:rsidRPr="00265445">
              <w:rPr>
                <w:rFonts w:cs="Arial"/>
                <w:sz w:val="22"/>
                <w:szCs w:val="22"/>
              </w:rPr>
              <w:t>/1</w:t>
            </w:r>
            <w:r w:rsidR="00B17789">
              <w:rPr>
                <w:rFonts w:cs="Arial"/>
                <w:sz w:val="22"/>
                <w:szCs w:val="22"/>
              </w:rPr>
              <w:t>5</w:t>
            </w:r>
          </w:p>
          <w:p w14:paraId="7B1B9B1B" w14:textId="77777777" w:rsidR="000E1846" w:rsidRPr="00265445" w:rsidRDefault="005302F1" w:rsidP="00E23C8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E23C8D">
              <w:rPr>
                <w:rFonts w:cs="Arial"/>
                <w:sz w:val="22"/>
                <w:szCs w:val="22"/>
              </w:rPr>
              <w:t xml:space="preserve"> Amanda Roa</w:t>
            </w:r>
            <w:r w:rsidR="000E1846" w:rsidRPr="00265445">
              <w:rPr>
                <w:rFonts w:cs="Arial"/>
                <w:sz w:val="22"/>
                <w:szCs w:val="22"/>
              </w:rPr>
              <w:tab/>
            </w:r>
          </w:p>
        </w:tc>
      </w:tr>
    </w:tbl>
    <w:p w14:paraId="24C0EF41" w14:textId="77777777" w:rsidR="00933736" w:rsidRDefault="000E1846" w:rsidP="00211E06">
      <w:pPr>
        <w:spacing w:before="120" w:after="120"/>
        <w:ind w:left="180"/>
        <w:rPr>
          <w:rFonts w:cs="Arial"/>
          <w:b/>
        </w:rPr>
      </w:pPr>
      <w:r w:rsidRPr="00265445">
        <w:rPr>
          <w:rFonts w:cs="Arial"/>
          <w:b/>
          <w:u w:val="single"/>
        </w:rPr>
        <w:t>Committee Request for Board Action</w:t>
      </w:r>
      <w:r w:rsidRPr="00265445">
        <w:rPr>
          <w:rFonts w:cs="Arial"/>
          <w:b/>
        </w:rPr>
        <w:t xml:space="preserve">: </w:t>
      </w:r>
      <w:r w:rsidR="001C5DB2">
        <w:rPr>
          <w:rFonts w:cs="Arial"/>
          <w:b/>
        </w:rPr>
        <w:t>None</w:t>
      </w:r>
    </w:p>
    <w:p w14:paraId="18A7685B" w14:textId="77777777" w:rsidR="006D1A87" w:rsidRDefault="00E23C8D" w:rsidP="006D1A87">
      <w:pPr>
        <w:ind w:left="187"/>
        <w:rPr>
          <w:rFonts w:cs="Arial"/>
          <w:b/>
        </w:rPr>
      </w:pPr>
      <w:r>
        <w:rPr>
          <w:rFonts w:cs="Arial"/>
          <w:b/>
        </w:rPr>
        <w:t>Attendees:</w:t>
      </w:r>
      <w:r w:rsidR="00E951CA">
        <w:rPr>
          <w:rFonts w:cs="Arial"/>
          <w:b/>
        </w:rPr>
        <w:tab/>
      </w:r>
    </w:p>
    <w:p w14:paraId="695B396E" w14:textId="77777777" w:rsidR="00E23C8D" w:rsidRDefault="00E951CA" w:rsidP="00D25BC0">
      <w:pPr>
        <w:ind w:left="187"/>
        <w:rPr>
          <w:rFonts w:cs="Arial"/>
          <w:b/>
        </w:rPr>
      </w:pPr>
      <w:r>
        <w:rPr>
          <w:rFonts w:cs="Arial"/>
          <w:b/>
        </w:rPr>
        <w:t>2</w:t>
      </w:r>
      <w:r w:rsidR="001246C4">
        <w:rPr>
          <w:rFonts w:cs="Arial"/>
          <w:b/>
        </w:rPr>
        <w:t>1</w:t>
      </w:r>
      <w:r>
        <w:rPr>
          <w:rFonts w:cs="Arial"/>
          <w:b/>
        </w:rPr>
        <w:t xml:space="preserve"> attendees representing 1</w:t>
      </w:r>
      <w:r w:rsidR="00D25BC0">
        <w:rPr>
          <w:rFonts w:cs="Arial"/>
          <w:b/>
        </w:rPr>
        <w:t>5</w:t>
      </w:r>
      <w:r>
        <w:rPr>
          <w:rFonts w:cs="Arial"/>
          <w:b/>
        </w:rPr>
        <w:t xml:space="preserve"> member agencies</w:t>
      </w:r>
      <w:r w:rsidR="006D1A87">
        <w:rPr>
          <w:rFonts w:cs="Arial"/>
          <w:b/>
        </w:rPr>
        <w:t xml:space="preserve"> </w:t>
      </w:r>
    </w:p>
    <w:p w14:paraId="6BB73103" w14:textId="77777777" w:rsidR="001246C4" w:rsidRPr="00E23C8D" w:rsidRDefault="001246C4" w:rsidP="00D25BC0">
      <w:pPr>
        <w:ind w:left="187"/>
        <w:rPr>
          <w:rFonts w:cs="Arial"/>
          <w:b/>
        </w:rPr>
      </w:pPr>
      <w:r>
        <w:rPr>
          <w:rFonts w:cs="Arial"/>
          <w:b/>
        </w:rPr>
        <w:t>16 attendees representing 12 member agencies</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924E89" w14:paraId="189DC53E" w14:textId="77777777" w:rsidTr="004243F0">
        <w:trPr>
          <w:cantSplit/>
          <w:trHeight w:val="161"/>
        </w:trPr>
        <w:tc>
          <w:tcPr>
            <w:tcW w:w="10530" w:type="dxa"/>
          </w:tcPr>
          <w:p w14:paraId="6DE02A30" w14:textId="77777777" w:rsidR="009E70B4" w:rsidRPr="00924E89" w:rsidRDefault="009E70B4" w:rsidP="004243F0">
            <w:pPr>
              <w:rPr>
                <w:rFonts w:ascii="Arial" w:hAnsi="Arial" w:cs="Arial"/>
                <w:b/>
                <w:sz w:val="20"/>
                <w:szCs w:val="20"/>
              </w:rPr>
            </w:pPr>
            <w:r w:rsidRPr="00924E89">
              <w:rPr>
                <w:rFonts w:ascii="Arial" w:hAnsi="Arial" w:cs="Arial"/>
                <w:b/>
                <w:sz w:val="20"/>
                <w:szCs w:val="20"/>
              </w:rPr>
              <w:t xml:space="preserve">Adoption of Permits/Permit Amendments:  </w:t>
            </w:r>
          </w:p>
          <w:p w14:paraId="4BBF5512" w14:textId="77777777" w:rsidR="00847335" w:rsidRPr="00924E89" w:rsidRDefault="00847335" w:rsidP="00D25BC0">
            <w:pPr>
              <w:ind w:left="769" w:hanging="769"/>
              <w:rPr>
                <w:rFonts w:ascii="Arial" w:hAnsi="Arial" w:cs="Arial"/>
                <w:sz w:val="20"/>
                <w:szCs w:val="20"/>
              </w:rPr>
            </w:pPr>
            <w:r w:rsidRPr="00924E89">
              <w:rPr>
                <w:rFonts w:ascii="Arial" w:hAnsi="Arial" w:cs="Arial"/>
                <w:b/>
                <w:sz w:val="20"/>
                <w:szCs w:val="20"/>
              </w:rPr>
              <w:t xml:space="preserve">November – </w:t>
            </w:r>
            <w:r w:rsidRPr="00924E89">
              <w:rPr>
                <w:rFonts w:ascii="Arial" w:hAnsi="Arial" w:cs="Arial"/>
                <w:i/>
                <w:sz w:val="20"/>
                <w:szCs w:val="20"/>
              </w:rPr>
              <w:t xml:space="preserve">Union City Wet Weather Discharge – </w:t>
            </w:r>
            <w:r w:rsidRPr="00924E89">
              <w:rPr>
                <w:rFonts w:ascii="Arial" w:hAnsi="Arial" w:cs="Arial"/>
                <w:sz w:val="20"/>
                <w:szCs w:val="20"/>
              </w:rPr>
              <w:t>No issues.</w:t>
            </w:r>
          </w:p>
          <w:p w14:paraId="062F6118" w14:textId="77777777" w:rsidR="00E951CA" w:rsidRPr="00924E89" w:rsidRDefault="00CA7BDA" w:rsidP="00D25BC0">
            <w:pPr>
              <w:ind w:left="769" w:hanging="769"/>
              <w:rPr>
                <w:rFonts w:ascii="Arial" w:hAnsi="Arial" w:cs="Arial"/>
                <w:sz w:val="20"/>
                <w:szCs w:val="20"/>
              </w:rPr>
            </w:pPr>
            <w:r w:rsidRPr="00924E89">
              <w:rPr>
                <w:rFonts w:ascii="Arial" w:hAnsi="Arial" w:cs="Arial"/>
                <w:b/>
                <w:sz w:val="20"/>
                <w:szCs w:val="20"/>
              </w:rPr>
              <w:t>January</w:t>
            </w:r>
            <w:r w:rsidR="00E951CA" w:rsidRPr="00924E89">
              <w:rPr>
                <w:rFonts w:ascii="Arial" w:hAnsi="Arial" w:cs="Arial"/>
                <w:b/>
                <w:sz w:val="20"/>
                <w:szCs w:val="20"/>
              </w:rPr>
              <w:t xml:space="preserve"> </w:t>
            </w:r>
            <w:r w:rsidR="00E951CA" w:rsidRPr="00924E89">
              <w:rPr>
                <w:rFonts w:ascii="Arial" w:hAnsi="Arial" w:cs="Arial"/>
                <w:sz w:val="20"/>
                <w:szCs w:val="20"/>
              </w:rPr>
              <w:t xml:space="preserve">– </w:t>
            </w:r>
            <w:r w:rsidR="00893957" w:rsidRPr="00924E89">
              <w:rPr>
                <w:rFonts w:ascii="Arial" w:hAnsi="Arial" w:cs="Arial"/>
                <w:i/>
                <w:sz w:val="20"/>
                <w:szCs w:val="20"/>
              </w:rPr>
              <w:t xml:space="preserve">St. </w:t>
            </w:r>
            <w:r w:rsidR="00E951CA" w:rsidRPr="00924E89">
              <w:rPr>
                <w:rFonts w:ascii="Arial" w:hAnsi="Arial" w:cs="Arial"/>
                <w:i/>
                <w:sz w:val="20"/>
                <w:szCs w:val="20"/>
              </w:rPr>
              <w:t xml:space="preserve">Helena – </w:t>
            </w:r>
            <w:r w:rsidR="00AB5AAF">
              <w:rPr>
                <w:rFonts w:ascii="Arial" w:hAnsi="Arial" w:cs="Arial"/>
                <w:sz w:val="20"/>
                <w:szCs w:val="20"/>
              </w:rPr>
              <w:t>St. Helena’s</w:t>
            </w:r>
            <w:r w:rsidR="00D25BC0" w:rsidRPr="00924E89">
              <w:rPr>
                <w:rFonts w:ascii="Arial" w:hAnsi="Arial" w:cs="Arial"/>
                <w:sz w:val="20"/>
                <w:szCs w:val="20"/>
              </w:rPr>
              <w:t xml:space="preserve"> permit adoption got pushed from October to </w:t>
            </w:r>
            <w:r w:rsidR="00AB5AAF">
              <w:rPr>
                <w:rFonts w:ascii="Arial" w:hAnsi="Arial" w:cs="Arial"/>
                <w:sz w:val="20"/>
                <w:szCs w:val="20"/>
              </w:rPr>
              <w:t>January</w:t>
            </w:r>
            <w:r w:rsidR="00D25BC0" w:rsidRPr="00924E89">
              <w:rPr>
                <w:rFonts w:ascii="Arial" w:hAnsi="Arial" w:cs="Arial"/>
                <w:sz w:val="20"/>
                <w:szCs w:val="20"/>
              </w:rPr>
              <w:t>.  They are reportedly happy with their Administrative Draft.</w:t>
            </w:r>
            <w:r w:rsidRPr="00924E89">
              <w:rPr>
                <w:rFonts w:ascii="Arial" w:hAnsi="Arial" w:cs="Arial"/>
                <w:sz w:val="20"/>
                <w:szCs w:val="20"/>
              </w:rPr>
              <w:t xml:space="preserve"> The</w:t>
            </w:r>
            <w:r w:rsidR="00AB5AAF">
              <w:rPr>
                <w:rFonts w:ascii="Arial" w:hAnsi="Arial" w:cs="Arial"/>
                <w:sz w:val="20"/>
                <w:szCs w:val="20"/>
              </w:rPr>
              <w:t>y</w:t>
            </w:r>
            <w:r w:rsidRPr="00924E89">
              <w:rPr>
                <w:rFonts w:ascii="Arial" w:hAnsi="Arial" w:cs="Arial"/>
                <w:sz w:val="20"/>
                <w:szCs w:val="20"/>
              </w:rPr>
              <w:t xml:space="preserve"> will need to do a plant upgrade to </w:t>
            </w:r>
            <w:r w:rsidR="00AB5AAF">
              <w:rPr>
                <w:rFonts w:ascii="Arial" w:hAnsi="Arial" w:cs="Arial"/>
                <w:sz w:val="20"/>
                <w:szCs w:val="20"/>
              </w:rPr>
              <w:t xml:space="preserve">achieve </w:t>
            </w:r>
            <w:r w:rsidRPr="00924E89">
              <w:rPr>
                <w:rFonts w:ascii="Arial" w:hAnsi="Arial" w:cs="Arial"/>
                <w:sz w:val="20"/>
                <w:szCs w:val="20"/>
              </w:rPr>
              <w:t>advance</w:t>
            </w:r>
            <w:r w:rsidR="00AB5AAF">
              <w:rPr>
                <w:rFonts w:ascii="Arial" w:hAnsi="Arial" w:cs="Arial"/>
                <w:sz w:val="20"/>
                <w:szCs w:val="20"/>
              </w:rPr>
              <w:t>d</w:t>
            </w:r>
            <w:r w:rsidRPr="00924E89">
              <w:rPr>
                <w:rFonts w:ascii="Arial" w:hAnsi="Arial" w:cs="Arial"/>
                <w:sz w:val="20"/>
                <w:szCs w:val="20"/>
              </w:rPr>
              <w:t xml:space="preserve"> secondary</w:t>
            </w:r>
            <w:r w:rsidR="00AB5AAF">
              <w:rPr>
                <w:rFonts w:ascii="Arial" w:hAnsi="Arial" w:cs="Arial"/>
                <w:sz w:val="20"/>
                <w:szCs w:val="20"/>
              </w:rPr>
              <w:t xml:space="preserve"> standards, for the purposes of the discharge prohibition exception, and</w:t>
            </w:r>
            <w:r w:rsidRPr="00924E89">
              <w:rPr>
                <w:rFonts w:ascii="Arial" w:hAnsi="Arial" w:cs="Arial"/>
                <w:sz w:val="20"/>
                <w:szCs w:val="20"/>
              </w:rPr>
              <w:t xml:space="preserve"> to allow them to develop a recycled water program, rather than continuing their practice of irrigating onsite.</w:t>
            </w:r>
          </w:p>
          <w:p w14:paraId="62AC891E" w14:textId="77777777" w:rsidR="001246C4" w:rsidRPr="00924E89" w:rsidRDefault="00847335" w:rsidP="00847335">
            <w:pPr>
              <w:ind w:left="769" w:hanging="769"/>
              <w:rPr>
                <w:rFonts w:ascii="Arial" w:hAnsi="Arial" w:cs="Arial"/>
                <w:sz w:val="20"/>
                <w:szCs w:val="20"/>
              </w:rPr>
            </w:pPr>
            <w:r w:rsidRPr="00924E89">
              <w:rPr>
                <w:rFonts w:ascii="Arial" w:hAnsi="Arial" w:cs="Arial"/>
                <w:b/>
                <w:sz w:val="20"/>
                <w:szCs w:val="20"/>
              </w:rPr>
              <w:t xml:space="preserve">February - </w:t>
            </w:r>
            <w:r w:rsidR="00CA7BDA" w:rsidRPr="00924E89">
              <w:rPr>
                <w:rFonts w:ascii="Arial" w:hAnsi="Arial" w:cs="Arial"/>
                <w:i/>
                <w:sz w:val="20"/>
                <w:szCs w:val="20"/>
              </w:rPr>
              <w:t>Calistoga –</w:t>
            </w:r>
            <w:r w:rsidR="00CA7BDA" w:rsidRPr="00924E89">
              <w:rPr>
                <w:rFonts w:ascii="Arial" w:hAnsi="Arial" w:cs="Arial"/>
                <w:sz w:val="20"/>
                <w:szCs w:val="20"/>
              </w:rPr>
              <w:t xml:space="preserve"> </w:t>
            </w:r>
            <w:r w:rsidR="00AB5AAF">
              <w:rPr>
                <w:rFonts w:ascii="Arial" w:hAnsi="Arial" w:cs="Arial"/>
                <w:sz w:val="20"/>
                <w:szCs w:val="20"/>
              </w:rPr>
              <w:t xml:space="preserve">Calistoga has </w:t>
            </w:r>
            <w:r w:rsidR="00CA7BDA" w:rsidRPr="00924E89">
              <w:rPr>
                <w:rFonts w:ascii="Arial" w:hAnsi="Arial" w:cs="Arial"/>
                <w:sz w:val="20"/>
                <w:szCs w:val="20"/>
              </w:rPr>
              <w:t>high boron, arsenic and antimony</w:t>
            </w:r>
            <w:r w:rsidR="00AB5AAF">
              <w:rPr>
                <w:rFonts w:ascii="Arial" w:hAnsi="Arial" w:cs="Arial"/>
                <w:sz w:val="20"/>
                <w:szCs w:val="20"/>
              </w:rPr>
              <w:t xml:space="preserve"> concentrations</w:t>
            </w:r>
            <w:r w:rsidR="00CA7BDA" w:rsidRPr="00924E89">
              <w:rPr>
                <w:rFonts w:ascii="Arial" w:hAnsi="Arial" w:cs="Arial"/>
                <w:sz w:val="20"/>
                <w:szCs w:val="20"/>
              </w:rPr>
              <w:t>, which limits their ability to deliver recycled water.  Their administrative draft order contains n</w:t>
            </w:r>
            <w:r w:rsidRPr="00924E89">
              <w:rPr>
                <w:rFonts w:ascii="Arial" w:hAnsi="Arial" w:cs="Arial"/>
                <w:sz w:val="20"/>
                <w:szCs w:val="20"/>
              </w:rPr>
              <w:t>umeric chronic toxicity limits since the permit writer did not use dilution to calculate reasonable potential.  Their highest chronic toxicity value in the past four years was 4 TUc, and they are not permitted to discharge</w:t>
            </w:r>
            <w:r w:rsidR="00953DFE">
              <w:rPr>
                <w:rFonts w:ascii="Arial" w:hAnsi="Arial" w:cs="Arial"/>
                <w:sz w:val="20"/>
                <w:szCs w:val="20"/>
              </w:rPr>
              <w:t xml:space="preserve"> unless the Napa River </w:t>
            </w:r>
            <w:r w:rsidR="005D5D4E">
              <w:rPr>
                <w:rFonts w:ascii="Arial" w:hAnsi="Arial" w:cs="Arial"/>
                <w:sz w:val="20"/>
                <w:szCs w:val="20"/>
              </w:rPr>
              <w:t>flow is high enough to receive a 10:1 dilution</w:t>
            </w:r>
            <w:r w:rsidR="00953DFE">
              <w:rPr>
                <w:rFonts w:ascii="Arial" w:hAnsi="Arial" w:cs="Arial"/>
                <w:sz w:val="20"/>
                <w:szCs w:val="20"/>
              </w:rPr>
              <w:t>.</w:t>
            </w:r>
          </w:p>
          <w:p w14:paraId="101534F8" w14:textId="77777777" w:rsidR="00847335" w:rsidRPr="00924E89" w:rsidRDefault="00847335" w:rsidP="00847335">
            <w:pPr>
              <w:ind w:left="769" w:hanging="769"/>
              <w:rPr>
                <w:rFonts w:ascii="Arial" w:hAnsi="Arial" w:cs="Arial"/>
                <w:sz w:val="20"/>
                <w:szCs w:val="20"/>
              </w:rPr>
            </w:pPr>
            <w:r w:rsidRPr="00924E89">
              <w:rPr>
                <w:rFonts w:ascii="Arial" w:hAnsi="Arial" w:cs="Arial"/>
                <w:sz w:val="20"/>
                <w:szCs w:val="20"/>
              </w:rPr>
              <w:t>SFPUC’s Oceanside</w:t>
            </w:r>
            <w:r w:rsidR="00AB5AAF">
              <w:rPr>
                <w:rFonts w:ascii="Arial" w:hAnsi="Arial" w:cs="Arial"/>
                <w:sz w:val="20"/>
                <w:szCs w:val="20"/>
              </w:rPr>
              <w:t>’s permit</w:t>
            </w:r>
            <w:r w:rsidRPr="00924E89">
              <w:rPr>
                <w:rFonts w:ascii="Arial" w:hAnsi="Arial" w:cs="Arial"/>
                <w:sz w:val="20"/>
                <w:szCs w:val="20"/>
              </w:rPr>
              <w:t xml:space="preserve"> is b</w:t>
            </w:r>
            <w:r w:rsidR="003F413C" w:rsidRPr="00924E89">
              <w:rPr>
                <w:rFonts w:ascii="Arial" w:hAnsi="Arial" w:cs="Arial"/>
                <w:sz w:val="20"/>
                <w:szCs w:val="20"/>
              </w:rPr>
              <w:t>eing held up indefinitely due to EPA Work Load.</w:t>
            </w:r>
          </w:p>
        </w:tc>
      </w:tr>
      <w:tr w:rsidR="00E951CA" w:rsidRPr="00924E89" w14:paraId="22100DB8" w14:textId="77777777" w:rsidTr="004243F0">
        <w:trPr>
          <w:cantSplit/>
          <w:trHeight w:val="161"/>
        </w:trPr>
        <w:tc>
          <w:tcPr>
            <w:tcW w:w="10530" w:type="dxa"/>
          </w:tcPr>
          <w:p w14:paraId="77A4A95F" w14:textId="77777777" w:rsidR="00E951CA" w:rsidRPr="00924E89" w:rsidRDefault="003F413C" w:rsidP="004243F0">
            <w:pPr>
              <w:rPr>
                <w:rFonts w:ascii="Arial" w:hAnsi="Arial" w:cs="Arial"/>
                <w:b/>
                <w:sz w:val="20"/>
                <w:szCs w:val="20"/>
              </w:rPr>
            </w:pPr>
            <w:r w:rsidRPr="00924E89">
              <w:rPr>
                <w:rFonts w:ascii="Arial" w:hAnsi="Arial" w:cs="Arial"/>
                <w:b/>
                <w:sz w:val="20"/>
                <w:szCs w:val="20"/>
              </w:rPr>
              <w:t>Microplastics</w:t>
            </w:r>
          </w:p>
          <w:p w14:paraId="03029727" w14:textId="77777777" w:rsidR="0049235A" w:rsidRPr="00924E89" w:rsidRDefault="003F413C" w:rsidP="003F413C">
            <w:pPr>
              <w:pStyle w:val="ListParagraph"/>
              <w:numPr>
                <w:ilvl w:val="0"/>
                <w:numId w:val="6"/>
              </w:numPr>
              <w:ind w:left="409" w:hanging="180"/>
              <w:rPr>
                <w:rFonts w:ascii="Arial" w:hAnsi="Arial" w:cs="Arial"/>
                <w:b/>
                <w:sz w:val="20"/>
                <w:szCs w:val="20"/>
              </w:rPr>
            </w:pPr>
            <w:r w:rsidRPr="00924E89">
              <w:rPr>
                <w:rFonts w:ascii="Arial" w:hAnsi="Arial" w:cs="Arial"/>
                <w:sz w:val="20"/>
                <w:szCs w:val="20"/>
              </w:rPr>
              <w:t xml:space="preserve">Following SFEI’s </w:t>
            </w:r>
            <w:hyperlink r:id="rId8" w:history="1">
              <w:r w:rsidRPr="00924E89">
                <w:rPr>
                  <w:rStyle w:val="Hyperlink"/>
                  <w:rFonts w:ascii="Arial" w:hAnsi="Arial" w:cs="Arial"/>
                  <w:sz w:val="20"/>
                  <w:szCs w:val="20"/>
                </w:rPr>
                <w:t>poster</w:t>
              </w:r>
            </w:hyperlink>
            <w:r w:rsidRPr="00924E89">
              <w:rPr>
                <w:rFonts w:ascii="Arial" w:hAnsi="Arial" w:cs="Arial"/>
                <w:sz w:val="20"/>
                <w:szCs w:val="20"/>
              </w:rPr>
              <w:t xml:space="preserve"> at the State of the Estuary meeting, the issue of microplastics has gained a lot of attention. The poster showed large loads of microplastics in POTW effluent, and high concentrations in the San Francisco Bay.  This was a $10K preliminary study, and has raised more questions that need further study. BACWA managers have met with Diane Feinstein’s staff to educate them about the meaning of the </w:t>
            </w:r>
            <w:r w:rsidR="00AB5AAF">
              <w:rPr>
                <w:rFonts w:ascii="Arial" w:hAnsi="Arial" w:cs="Arial"/>
                <w:sz w:val="20"/>
                <w:szCs w:val="20"/>
              </w:rPr>
              <w:t>results</w:t>
            </w:r>
            <w:r w:rsidRPr="00924E89">
              <w:rPr>
                <w:rFonts w:ascii="Arial" w:hAnsi="Arial" w:cs="Arial"/>
                <w:sz w:val="20"/>
                <w:szCs w:val="20"/>
              </w:rPr>
              <w:t xml:space="preserve"> and how there are still many questions that need to be addressed.</w:t>
            </w:r>
          </w:p>
          <w:p w14:paraId="156D6D8A" w14:textId="77777777" w:rsidR="003F413C" w:rsidRPr="00924E89" w:rsidRDefault="003F413C" w:rsidP="003F413C">
            <w:pPr>
              <w:pStyle w:val="ListParagraph"/>
              <w:numPr>
                <w:ilvl w:val="0"/>
                <w:numId w:val="6"/>
              </w:numPr>
              <w:ind w:left="409" w:hanging="180"/>
              <w:rPr>
                <w:rFonts w:ascii="Arial" w:hAnsi="Arial" w:cs="Arial"/>
                <w:b/>
                <w:sz w:val="20"/>
                <w:szCs w:val="20"/>
              </w:rPr>
            </w:pPr>
            <w:r w:rsidRPr="00924E89">
              <w:rPr>
                <w:rFonts w:ascii="Arial" w:hAnsi="Arial" w:cs="Arial"/>
                <w:sz w:val="20"/>
                <w:szCs w:val="20"/>
              </w:rPr>
              <w:t>BACWA managers are interested in pursuing an in-house study to verify the results of the SFEI report, and to better understand the loads and types of microplastics in wastewater effluent.  They are asking the laboratory committee to form a workgroup to lay out a work plan for this study.</w:t>
            </w:r>
            <w:r w:rsidR="004B6C02" w:rsidRPr="00924E89">
              <w:rPr>
                <w:rFonts w:ascii="Arial" w:hAnsi="Arial" w:cs="Arial"/>
                <w:sz w:val="20"/>
                <w:szCs w:val="20"/>
              </w:rPr>
              <w:t xml:space="preserve"> Lorien Fono will work with Nirmela Arsem (EBMUD) to recruit lab committee members to the workgroup.</w:t>
            </w:r>
          </w:p>
        </w:tc>
      </w:tr>
      <w:tr w:rsidR="001106F3" w:rsidRPr="00924E89" w14:paraId="2D6F6167" w14:textId="77777777" w:rsidTr="004243F0">
        <w:trPr>
          <w:cantSplit/>
          <w:trHeight w:val="161"/>
        </w:trPr>
        <w:tc>
          <w:tcPr>
            <w:tcW w:w="10530" w:type="dxa"/>
          </w:tcPr>
          <w:p w14:paraId="5CEB1A5E" w14:textId="77777777" w:rsidR="001106F3" w:rsidRPr="00924E89" w:rsidRDefault="003F413C" w:rsidP="004243F0">
            <w:pPr>
              <w:rPr>
                <w:rFonts w:ascii="Arial" w:hAnsi="Arial" w:cs="Arial"/>
                <w:b/>
                <w:sz w:val="20"/>
                <w:szCs w:val="20"/>
              </w:rPr>
            </w:pPr>
            <w:r w:rsidRPr="00924E89">
              <w:rPr>
                <w:rFonts w:ascii="Arial" w:hAnsi="Arial" w:cs="Arial"/>
                <w:b/>
                <w:sz w:val="20"/>
                <w:szCs w:val="20"/>
              </w:rPr>
              <w:t>Chlorine Compliance</w:t>
            </w:r>
          </w:p>
          <w:p w14:paraId="425F6FC6" w14:textId="77777777" w:rsidR="003F413C" w:rsidRPr="00924E89" w:rsidRDefault="003F413C" w:rsidP="003F413C">
            <w:pPr>
              <w:rPr>
                <w:rFonts w:ascii="Arial" w:hAnsi="Arial" w:cs="Arial"/>
                <w:sz w:val="20"/>
                <w:szCs w:val="20"/>
              </w:rPr>
            </w:pPr>
            <w:r w:rsidRPr="00924E89">
              <w:rPr>
                <w:rFonts w:ascii="Arial" w:hAnsi="Arial" w:cs="Arial"/>
                <w:sz w:val="20"/>
                <w:szCs w:val="20"/>
              </w:rPr>
              <w:t>The Basin Plan contains a maximum instantaneous effluent limit of 0.0 mg/L for chlorine residual. Chlorine is measured continuously by most agencies, and readings at the top of each hour are used for compliance. Any exceedance during the remainder of the hour is reported to the Regional Water Board for informational purposes. Chlorine violations are the single most common cause of violations for BACWA member agencies, making up approximately a quarter of all violations.  Between May 2011 and May 2015 there were 32 chlorine residual violations.</w:t>
            </w:r>
          </w:p>
          <w:p w14:paraId="624FE0C9" w14:textId="695DE43E" w:rsidR="00FB4685" w:rsidRPr="00924E89" w:rsidRDefault="003F413C" w:rsidP="00953DFE">
            <w:pPr>
              <w:rPr>
                <w:rFonts w:ascii="Arial" w:hAnsi="Arial" w:cs="Arial"/>
                <w:sz w:val="20"/>
                <w:szCs w:val="20"/>
              </w:rPr>
            </w:pPr>
            <w:r w:rsidRPr="00924E89">
              <w:rPr>
                <w:rFonts w:ascii="Arial" w:hAnsi="Arial" w:cs="Arial"/>
                <w:sz w:val="20"/>
                <w:szCs w:val="20"/>
              </w:rPr>
              <w:t>Agencies that chlorinate their effluent significantly overdose with the dechlorination agent, sodium bisulfite, in order to avoid chlorine residual violations.  This practice wastes millions of dollars each year in our Region. The Regional Water Board may be open to an alternative implementation of the 0.0 mg/L limit, if BACWA can correlate concentrations at the plant to those at the outfall accounting for chlorine decay.  At the BACWA Operations and Maintenance Infoshare Group</w:t>
            </w:r>
            <w:r w:rsidR="00AB5AAF">
              <w:rPr>
                <w:rFonts w:ascii="Arial" w:hAnsi="Arial" w:cs="Arial"/>
                <w:sz w:val="20"/>
                <w:szCs w:val="20"/>
              </w:rPr>
              <w:t xml:space="preserve"> meeting</w:t>
            </w:r>
            <w:r w:rsidRPr="00924E89">
              <w:rPr>
                <w:rFonts w:ascii="Arial" w:hAnsi="Arial" w:cs="Arial"/>
                <w:sz w:val="20"/>
                <w:szCs w:val="20"/>
              </w:rPr>
              <w:t xml:space="preserve">, </w:t>
            </w:r>
            <w:r w:rsidR="004B6C02" w:rsidRPr="00924E89">
              <w:rPr>
                <w:rFonts w:ascii="Arial" w:hAnsi="Arial" w:cs="Arial"/>
                <w:sz w:val="20"/>
                <w:szCs w:val="20"/>
              </w:rPr>
              <w:t xml:space="preserve">operators </w:t>
            </w:r>
            <w:r w:rsidR="00AB5AAF">
              <w:rPr>
                <w:rFonts w:ascii="Arial" w:hAnsi="Arial" w:cs="Arial"/>
                <w:sz w:val="20"/>
                <w:szCs w:val="20"/>
              </w:rPr>
              <w:t xml:space="preserve">reported </w:t>
            </w:r>
            <w:r w:rsidR="004B6C02" w:rsidRPr="00924E89">
              <w:rPr>
                <w:rFonts w:ascii="Arial" w:hAnsi="Arial" w:cs="Arial"/>
                <w:sz w:val="20"/>
                <w:szCs w:val="20"/>
              </w:rPr>
              <w:t xml:space="preserve">that a higher limit at the plant would allow them to reduce </w:t>
            </w:r>
            <w:r w:rsidR="00953DFE">
              <w:rPr>
                <w:rFonts w:ascii="Arial" w:hAnsi="Arial" w:cs="Arial"/>
                <w:sz w:val="20"/>
                <w:szCs w:val="20"/>
              </w:rPr>
              <w:t>sodium</w:t>
            </w:r>
            <w:r w:rsidR="00953DFE" w:rsidRPr="00924E89">
              <w:rPr>
                <w:rFonts w:ascii="Arial" w:hAnsi="Arial" w:cs="Arial"/>
                <w:sz w:val="20"/>
                <w:szCs w:val="20"/>
              </w:rPr>
              <w:t xml:space="preserve"> </w:t>
            </w:r>
            <w:r w:rsidR="004B6C02" w:rsidRPr="00924E89">
              <w:rPr>
                <w:rFonts w:ascii="Arial" w:hAnsi="Arial" w:cs="Arial"/>
                <w:sz w:val="20"/>
                <w:szCs w:val="20"/>
              </w:rPr>
              <w:t>bisulfite dosing, but a longer compliance period (i.e. hourly, rather than instantaneous</w:t>
            </w:r>
            <w:r w:rsidR="00A063E5">
              <w:rPr>
                <w:rFonts w:ascii="Arial" w:hAnsi="Arial" w:cs="Arial"/>
                <w:sz w:val="20"/>
                <w:szCs w:val="20"/>
              </w:rPr>
              <w:t>)</w:t>
            </w:r>
            <w:r w:rsidR="004B6C02" w:rsidRPr="00924E89">
              <w:rPr>
                <w:rFonts w:ascii="Arial" w:hAnsi="Arial" w:cs="Arial"/>
                <w:sz w:val="20"/>
                <w:szCs w:val="20"/>
              </w:rPr>
              <w:t>, woul</w:t>
            </w:r>
            <w:r w:rsidR="00A063E5">
              <w:rPr>
                <w:rFonts w:ascii="Arial" w:hAnsi="Arial" w:cs="Arial"/>
                <w:sz w:val="20"/>
                <w:szCs w:val="20"/>
              </w:rPr>
              <w:t>d be helpful as well.</w:t>
            </w:r>
            <w:r w:rsidR="004B6C02" w:rsidRPr="00924E89">
              <w:rPr>
                <w:rFonts w:ascii="Arial" w:hAnsi="Arial" w:cs="Arial"/>
                <w:sz w:val="20"/>
                <w:szCs w:val="20"/>
              </w:rPr>
              <w:t xml:space="preserve"> BACWA will also solicit input from BayKeeper.</w:t>
            </w:r>
          </w:p>
        </w:tc>
      </w:tr>
      <w:tr w:rsidR="00016F2C" w:rsidRPr="00924E89" w14:paraId="3C158F03" w14:textId="77777777" w:rsidTr="004243F0">
        <w:trPr>
          <w:cantSplit/>
          <w:trHeight w:val="161"/>
        </w:trPr>
        <w:tc>
          <w:tcPr>
            <w:tcW w:w="10530" w:type="dxa"/>
          </w:tcPr>
          <w:p w14:paraId="24F872DA" w14:textId="77777777" w:rsidR="00016F2C" w:rsidRPr="00924E89" w:rsidRDefault="00016F2C" w:rsidP="00016F2C">
            <w:pPr>
              <w:rPr>
                <w:rFonts w:ascii="Arial" w:hAnsi="Arial" w:cs="Arial"/>
                <w:sz w:val="20"/>
                <w:szCs w:val="20"/>
              </w:rPr>
            </w:pPr>
            <w:r w:rsidRPr="00924E89">
              <w:rPr>
                <w:rFonts w:ascii="Arial" w:hAnsi="Arial" w:cs="Arial"/>
                <w:b/>
                <w:sz w:val="20"/>
                <w:szCs w:val="20"/>
              </w:rPr>
              <w:t>Significant Noncompliance List</w:t>
            </w:r>
          </w:p>
          <w:p w14:paraId="6A5AE524" w14:textId="77777777" w:rsidR="00016F2C" w:rsidRPr="00924E89" w:rsidRDefault="00016F2C" w:rsidP="00A063E5">
            <w:pPr>
              <w:rPr>
                <w:rFonts w:ascii="Arial" w:hAnsi="Arial" w:cs="Arial"/>
                <w:b/>
                <w:sz w:val="20"/>
                <w:szCs w:val="20"/>
              </w:rPr>
            </w:pPr>
            <w:r w:rsidRPr="00924E89">
              <w:rPr>
                <w:rFonts w:ascii="Arial" w:hAnsi="Arial" w:cs="Arial"/>
                <w:sz w:val="20"/>
                <w:szCs w:val="20"/>
              </w:rPr>
              <w:t xml:space="preserve">A review of the ECHO database showed several agencies in “significant noncompliance” although the records do not match CIWQS violations reports.  Additionally, the ECHO database does not give a </w:t>
            </w:r>
            <w:r w:rsidR="00A063E5" w:rsidRPr="00924E89">
              <w:rPr>
                <w:rFonts w:ascii="Arial" w:hAnsi="Arial" w:cs="Arial"/>
                <w:sz w:val="20"/>
                <w:szCs w:val="20"/>
              </w:rPr>
              <w:t>definition</w:t>
            </w:r>
            <w:r w:rsidRPr="00924E89">
              <w:rPr>
                <w:rFonts w:ascii="Arial" w:hAnsi="Arial" w:cs="Arial"/>
                <w:sz w:val="20"/>
                <w:szCs w:val="20"/>
              </w:rPr>
              <w:t xml:space="preserve"> for significant noncompliance other than “Vi</w:t>
            </w:r>
            <w:r w:rsidRPr="00924E89">
              <w:rPr>
                <w:rFonts w:ascii="Arial" w:hAnsi="Arial" w:cs="Arial"/>
                <w:i/>
                <w:iCs/>
                <w:sz w:val="20"/>
                <w:szCs w:val="20"/>
              </w:rPr>
              <w:t xml:space="preserve">olation, noncompliance, significant noncompliance, high priority violation, and serious violator are all terms used by the ECHO site to describe the facility status in regard to compliance with the law. In many cases, these terms reflect determinations made by EPA or states when conducting inspections or reviewing facility self-reports. These determinations assist the government in tracking resolution of violations through the enforcement process and do not necessarily represent a final adjudication by a judicial or administrative body. In such cases, these characterizations should be considered alleged violations.” </w:t>
            </w:r>
            <w:r w:rsidRPr="00924E89">
              <w:rPr>
                <w:rFonts w:ascii="Arial" w:hAnsi="Arial" w:cs="Arial"/>
                <w:sz w:val="20"/>
                <w:szCs w:val="20"/>
              </w:rPr>
              <w:t xml:space="preserve">If the Regional Board is instructed by EPA to pursue </w:t>
            </w:r>
            <w:r w:rsidR="00A063E5">
              <w:rPr>
                <w:rFonts w:ascii="Arial" w:hAnsi="Arial" w:cs="Arial"/>
                <w:sz w:val="20"/>
                <w:szCs w:val="20"/>
              </w:rPr>
              <w:t>enforcement</w:t>
            </w:r>
            <w:r w:rsidRPr="00924E89">
              <w:rPr>
                <w:rFonts w:ascii="Arial" w:hAnsi="Arial" w:cs="Arial"/>
                <w:sz w:val="20"/>
                <w:szCs w:val="20"/>
              </w:rPr>
              <w:t xml:space="preserve"> actions on agencies in significant noncompliance, then they will first contact the agencies to ensure that the ECHO database is correct.</w:t>
            </w:r>
          </w:p>
        </w:tc>
      </w:tr>
      <w:tr w:rsidR="00885175" w:rsidRPr="00924E89" w14:paraId="576F8CC5" w14:textId="77777777" w:rsidTr="004243F0">
        <w:trPr>
          <w:cantSplit/>
          <w:trHeight w:val="161"/>
        </w:trPr>
        <w:tc>
          <w:tcPr>
            <w:tcW w:w="10530" w:type="dxa"/>
          </w:tcPr>
          <w:p w14:paraId="221C4660" w14:textId="77777777" w:rsidR="00885175" w:rsidRPr="00924E89" w:rsidRDefault="00885175" w:rsidP="00B24434">
            <w:pPr>
              <w:rPr>
                <w:rFonts w:ascii="Arial" w:hAnsi="Arial" w:cs="Arial"/>
                <w:b/>
                <w:sz w:val="20"/>
                <w:szCs w:val="20"/>
              </w:rPr>
            </w:pPr>
            <w:r w:rsidRPr="00924E89">
              <w:rPr>
                <w:rFonts w:ascii="Arial" w:hAnsi="Arial" w:cs="Arial"/>
                <w:b/>
                <w:sz w:val="20"/>
                <w:szCs w:val="20"/>
              </w:rPr>
              <w:lastRenderedPageBreak/>
              <w:t>Triennial Review</w:t>
            </w:r>
          </w:p>
          <w:p w14:paraId="31C49403" w14:textId="77777777" w:rsidR="00885175" w:rsidRPr="00885175" w:rsidRDefault="00885175" w:rsidP="00B24434">
            <w:pPr>
              <w:rPr>
                <w:rFonts w:ascii="Arial" w:hAnsi="Arial" w:cs="Arial"/>
                <w:sz w:val="20"/>
                <w:szCs w:val="20"/>
              </w:rPr>
            </w:pPr>
            <w:r w:rsidRPr="00885175">
              <w:rPr>
                <w:rFonts w:ascii="Arial" w:hAnsi="Arial" w:cs="Arial"/>
                <w:sz w:val="20"/>
                <w:szCs w:val="20"/>
              </w:rPr>
              <w:t xml:space="preserve">A </w:t>
            </w:r>
            <w:hyperlink r:id="rId9" w:tgtFrame="_blank" w:history="1">
              <w:r w:rsidRPr="00F919FB">
                <w:rPr>
                  <w:rFonts w:ascii="Arial" w:hAnsi="Arial" w:cs="Arial"/>
                  <w:bCs/>
                  <w:color w:val="039571"/>
                  <w:sz w:val="20"/>
                  <w:szCs w:val="20"/>
                  <w:u w:val="single"/>
                </w:rPr>
                <w:t>Triennial Review Staff Report</w:t>
              </w:r>
            </w:hyperlink>
            <w:r w:rsidRPr="00885175">
              <w:rPr>
                <w:rFonts w:ascii="Arial" w:hAnsi="Arial" w:cs="Arial"/>
                <w:sz w:val="20"/>
                <w:szCs w:val="20"/>
              </w:rPr>
              <w:t xml:space="preserve"> has been issued.  The projects that are highly ranked and will be allocated resources are as follows: </w:t>
            </w:r>
          </w:p>
          <w:p w14:paraId="5D6F0756" w14:textId="77777777" w:rsidR="00885175" w:rsidRPr="00885175" w:rsidRDefault="00885175" w:rsidP="00B24434">
            <w:pPr>
              <w:numPr>
                <w:ilvl w:val="0"/>
                <w:numId w:val="11"/>
              </w:numPr>
              <w:rPr>
                <w:rFonts w:ascii="Arial" w:hAnsi="Arial" w:cs="Arial"/>
                <w:sz w:val="20"/>
                <w:szCs w:val="20"/>
              </w:rPr>
            </w:pPr>
            <w:r w:rsidRPr="00885175">
              <w:rPr>
                <w:rFonts w:ascii="Arial" w:hAnsi="Arial" w:cs="Arial"/>
                <w:sz w:val="20"/>
                <w:szCs w:val="20"/>
              </w:rPr>
              <w:t>Review and Refine Dissolved Oxygen Objectives for San Francisco Bay</w:t>
            </w:r>
          </w:p>
          <w:p w14:paraId="07795CB1" w14:textId="77777777" w:rsidR="00885175" w:rsidRPr="00885175" w:rsidRDefault="00885175" w:rsidP="00B24434">
            <w:pPr>
              <w:numPr>
                <w:ilvl w:val="0"/>
                <w:numId w:val="11"/>
              </w:numPr>
              <w:rPr>
                <w:rFonts w:ascii="Arial" w:hAnsi="Arial" w:cs="Arial"/>
                <w:sz w:val="20"/>
                <w:szCs w:val="20"/>
              </w:rPr>
            </w:pPr>
            <w:r w:rsidRPr="00885175">
              <w:rPr>
                <w:rFonts w:ascii="Arial" w:hAnsi="Arial" w:cs="Arial"/>
                <w:sz w:val="20"/>
                <w:szCs w:val="20"/>
              </w:rPr>
              <w:t>Climate Change and Water Resources Policy</w:t>
            </w:r>
          </w:p>
          <w:p w14:paraId="55E59BBC" w14:textId="77777777" w:rsidR="00885175" w:rsidRPr="00885175" w:rsidRDefault="00885175" w:rsidP="00B24434">
            <w:pPr>
              <w:numPr>
                <w:ilvl w:val="0"/>
                <w:numId w:val="11"/>
              </w:numPr>
              <w:rPr>
                <w:rFonts w:ascii="Arial" w:hAnsi="Arial" w:cs="Arial"/>
                <w:sz w:val="20"/>
                <w:szCs w:val="20"/>
              </w:rPr>
            </w:pPr>
            <w:r w:rsidRPr="00885175">
              <w:rPr>
                <w:rFonts w:ascii="Arial" w:hAnsi="Arial" w:cs="Arial"/>
                <w:sz w:val="20"/>
                <w:szCs w:val="20"/>
              </w:rPr>
              <w:t xml:space="preserve">Develop Numeric </w:t>
            </w:r>
            <w:r w:rsidRPr="00924E89">
              <w:rPr>
                <w:rFonts w:ascii="Arial" w:hAnsi="Arial" w:cs="Arial"/>
                <w:sz w:val="20"/>
                <w:szCs w:val="20"/>
              </w:rPr>
              <w:t>Nutrient</w:t>
            </w:r>
            <w:r w:rsidRPr="00885175">
              <w:rPr>
                <w:rFonts w:ascii="Arial" w:hAnsi="Arial" w:cs="Arial"/>
                <w:sz w:val="20"/>
                <w:szCs w:val="20"/>
              </w:rPr>
              <w:t xml:space="preserve"> Endpoints (NNEs) in Freshwater Streams and Estuaries</w:t>
            </w:r>
          </w:p>
          <w:p w14:paraId="6494664B" w14:textId="77777777" w:rsidR="00885175" w:rsidRPr="00885175" w:rsidRDefault="00885175" w:rsidP="00B24434">
            <w:pPr>
              <w:numPr>
                <w:ilvl w:val="0"/>
                <w:numId w:val="11"/>
              </w:numPr>
              <w:rPr>
                <w:rFonts w:ascii="Arial" w:hAnsi="Arial" w:cs="Arial"/>
                <w:sz w:val="20"/>
                <w:szCs w:val="20"/>
              </w:rPr>
            </w:pPr>
            <w:r w:rsidRPr="00885175">
              <w:rPr>
                <w:rFonts w:ascii="Arial" w:hAnsi="Arial" w:cs="Arial"/>
                <w:sz w:val="20"/>
                <w:szCs w:val="20"/>
              </w:rPr>
              <w:t xml:space="preserve">Develop </w:t>
            </w:r>
            <w:r w:rsidRPr="00924E89">
              <w:rPr>
                <w:rFonts w:ascii="Arial" w:hAnsi="Arial" w:cs="Arial"/>
                <w:sz w:val="20"/>
                <w:szCs w:val="20"/>
              </w:rPr>
              <w:t>Nutrient</w:t>
            </w:r>
            <w:r w:rsidRPr="00885175">
              <w:rPr>
                <w:rFonts w:ascii="Arial" w:hAnsi="Arial" w:cs="Arial"/>
                <w:sz w:val="20"/>
                <w:szCs w:val="20"/>
              </w:rPr>
              <w:t xml:space="preserve"> Water Quality Objectives for San Francisco Bay Estuaries</w:t>
            </w:r>
          </w:p>
          <w:p w14:paraId="2C2533C6" w14:textId="77777777" w:rsidR="00885175" w:rsidRPr="00885175" w:rsidRDefault="00885175" w:rsidP="00B24434">
            <w:pPr>
              <w:numPr>
                <w:ilvl w:val="0"/>
                <w:numId w:val="11"/>
              </w:numPr>
              <w:rPr>
                <w:rFonts w:ascii="Arial" w:hAnsi="Arial" w:cs="Arial"/>
                <w:sz w:val="20"/>
                <w:szCs w:val="20"/>
              </w:rPr>
            </w:pPr>
            <w:r w:rsidRPr="00885175">
              <w:rPr>
                <w:rFonts w:ascii="Arial" w:hAnsi="Arial" w:cs="Arial"/>
                <w:sz w:val="20"/>
                <w:szCs w:val="20"/>
              </w:rPr>
              <w:t>Usi</w:t>
            </w:r>
            <w:r w:rsidRPr="00924E89">
              <w:rPr>
                <w:rFonts w:ascii="Arial" w:hAnsi="Arial" w:cs="Arial"/>
                <w:sz w:val="20"/>
                <w:szCs w:val="20"/>
              </w:rPr>
              <w:t>ng Wastewat</w:t>
            </w:r>
            <w:r w:rsidRPr="00885175">
              <w:rPr>
                <w:rFonts w:ascii="Arial" w:hAnsi="Arial" w:cs="Arial"/>
                <w:sz w:val="20"/>
                <w:szCs w:val="20"/>
              </w:rPr>
              <w:t>er to Create, Restore, and Enhance Wetlands</w:t>
            </w:r>
          </w:p>
          <w:p w14:paraId="2A3FF551" w14:textId="77777777" w:rsidR="00885175" w:rsidRPr="00885175" w:rsidRDefault="00885175" w:rsidP="00B24434">
            <w:pPr>
              <w:numPr>
                <w:ilvl w:val="0"/>
                <w:numId w:val="11"/>
              </w:numPr>
              <w:rPr>
                <w:rFonts w:ascii="Arial" w:hAnsi="Arial" w:cs="Arial"/>
                <w:sz w:val="20"/>
                <w:szCs w:val="20"/>
              </w:rPr>
            </w:pPr>
            <w:r w:rsidRPr="00885175">
              <w:rPr>
                <w:rFonts w:ascii="Arial" w:hAnsi="Arial" w:cs="Arial"/>
                <w:sz w:val="20"/>
                <w:szCs w:val="20"/>
              </w:rPr>
              <w:t>Lake Merced Dissolved Oxygen and pH Objectives (this project can only be accomplished with additional resources).</w:t>
            </w:r>
          </w:p>
          <w:p w14:paraId="72B2FBB7" w14:textId="77777777" w:rsidR="00885175" w:rsidRPr="00924E89" w:rsidRDefault="00885175" w:rsidP="00B24434">
            <w:pPr>
              <w:rPr>
                <w:rFonts w:ascii="Arial" w:hAnsi="Arial" w:cs="Arial"/>
                <w:b/>
                <w:sz w:val="20"/>
                <w:szCs w:val="20"/>
              </w:rPr>
            </w:pPr>
            <w:r w:rsidRPr="00924E89">
              <w:rPr>
                <w:rFonts w:ascii="Arial" w:hAnsi="Arial" w:cs="Arial"/>
                <w:sz w:val="20"/>
                <w:szCs w:val="20"/>
              </w:rPr>
              <w:t>Comments on the Staff Report are due by November 23. The</w:t>
            </w:r>
            <w:r w:rsidRPr="00F919FB">
              <w:rPr>
                <w:rFonts w:ascii="Arial" w:hAnsi="Arial" w:cs="Arial"/>
                <w:sz w:val="20"/>
                <w:szCs w:val="20"/>
              </w:rPr>
              <w:t xml:space="preserve"> </w:t>
            </w:r>
            <w:hyperlink r:id="rId10" w:tgtFrame="_blank" w:history="1">
              <w:r w:rsidRPr="00F919FB">
                <w:rPr>
                  <w:rFonts w:ascii="Arial" w:hAnsi="Arial" w:cs="Arial"/>
                  <w:bCs/>
                  <w:color w:val="039571"/>
                  <w:sz w:val="20"/>
                  <w:szCs w:val="20"/>
                  <w:u w:val="single"/>
                </w:rPr>
                <w:t>public hearing</w:t>
              </w:r>
            </w:hyperlink>
            <w:r w:rsidRPr="00924E89">
              <w:rPr>
                <w:rFonts w:ascii="Arial" w:hAnsi="Arial" w:cs="Arial"/>
                <w:sz w:val="20"/>
                <w:szCs w:val="20"/>
              </w:rPr>
              <w:t xml:space="preserve"> on the Triennial Review will be held on December 16.</w:t>
            </w:r>
          </w:p>
        </w:tc>
      </w:tr>
      <w:tr w:rsidR="00827DC6" w:rsidRPr="00924E89" w14:paraId="1DE1E1E4" w14:textId="77777777" w:rsidTr="004243F0">
        <w:trPr>
          <w:cantSplit/>
          <w:trHeight w:val="161"/>
        </w:trPr>
        <w:tc>
          <w:tcPr>
            <w:tcW w:w="10530" w:type="dxa"/>
          </w:tcPr>
          <w:p w14:paraId="6D7853FB" w14:textId="77777777" w:rsidR="00827DC6" w:rsidRPr="00924E89" w:rsidRDefault="004B6C02" w:rsidP="004243F0">
            <w:pPr>
              <w:rPr>
                <w:rFonts w:ascii="Arial" w:hAnsi="Arial" w:cs="Arial"/>
                <w:b/>
                <w:sz w:val="20"/>
                <w:szCs w:val="20"/>
              </w:rPr>
            </w:pPr>
            <w:r w:rsidRPr="00924E89">
              <w:rPr>
                <w:rFonts w:ascii="Arial" w:hAnsi="Arial" w:cs="Arial"/>
                <w:b/>
                <w:sz w:val="20"/>
                <w:szCs w:val="20"/>
              </w:rPr>
              <w:t xml:space="preserve">Monitoring Reductions </w:t>
            </w:r>
          </w:p>
          <w:p w14:paraId="3C3AAC09" w14:textId="77777777" w:rsidR="00827DC6" w:rsidRPr="00924E89" w:rsidRDefault="004B6C02" w:rsidP="004B6C02">
            <w:pPr>
              <w:rPr>
                <w:rFonts w:ascii="Arial" w:hAnsi="Arial" w:cs="Arial"/>
                <w:sz w:val="20"/>
                <w:szCs w:val="20"/>
              </w:rPr>
            </w:pPr>
            <w:r w:rsidRPr="00924E89">
              <w:rPr>
                <w:rFonts w:ascii="Arial" w:hAnsi="Arial" w:cs="Arial"/>
                <w:sz w:val="20"/>
                <w:szCs w:val="20"/>
              </w:rPr>
              <w:t xml:space="preserve">Effluent Monitoring Reductions are being explored as an alternative for </w:t>
            </w:r>
            <w:r w:rsidR="00E74483" w:rsidRPr="00924E89">
              <w:rPr>
                <w:rFonts w:ascii="Arial" w:hAnsi="Arial" w:cs="Arial"/>
                <w:sz w:val="20"/>
                <w:szCs w:val="20"/>
              </w:rPr>
              <w:t>offsetting increased funding to the RMP</w:t>
            </w:r>
          </w:p>
          <w:p w14:paraId="31E6A5D2" w14:textId="77777777" w:rsidR="00E74483" w:rsidRPr="00924E89" w:rsidRDefault="00E74483" w:rsidP="00E74483">
            <w:pPr>
              <w:rPr>
                <w:rFonts w:ascii="Arial" w:hAnsi="Arial" w:cs="Arial"/>
                <w:sz w:val="20"/>
                <w:szCs w:val="20"/>
              </w:rPr>
            </w:pPr>
            <w:r w:rsidRPr="00924E89">
              <w:rPr>
                <w:rFonts w:ascii="Arial" w:hAnsi="Arial" w:cs="Arial"/>
                <w:sz w:val="20"/>
                <w:szCs w:val="20"/>
              </w:rPr>
              <w:t xml:space="preserve">There are seven tests that have been identified for monitoring reductions.  The final three tests in </w:t>
            </w:r>
            <w:r w:rsidRPr="00924E89">
              <w:rPr>
                <w:rFonts w:ascii="Arial" w:hAnsi="Arial" w:cs="Arial"/>
                <w:b/>
                <w:sz w:val="20"/>
                <w:szCs w:val="20"/>
              </w:rPr>
              <w:t xml:space="preserve">bold </w:t>
            </w:r>
            <w:r w:rsidRPr="00924E89">
              <w:rPr>
                <w:rFonts w:ascii="Arial" w:hAnsi="Arial" w:cs="Arial"/>
                <w:sz w:val="20"/>
                <w:szCs w:val="20"/>
              </w:rPr>
              <w:t>are sent out to contract labs by all agencies.</w:t>
            </w:r>
          </w:p>
          <w:p w14:paraId="787426E1" w14:textId="77777777" w:rsidR="00E74483" w:rsidRPr="00924E89" w:rsidRDefault="00E74483" w:rsidP="00E74483">
            <w:pPr>
              <w:pStyle w:val="ListParagraph"/>
              <w:numPr>
                <w:ilvl w:val="0"/>
                <w:numId w:val="9"/>
              </w:numPr>
              <w:spacing w:after="160" w:line="259" w:lineRule="auto"/>
              <w:contextualSpacing/>
              <w:rPr>
                <w:rFonts w:ascii="Arial" w:hAnsi="Arial" w:cs="Arial"/>
                <w:sz w:val="20"/>
                <w:szCs w:val="20"/>
              </w:rPr>
            </w:pPr>
            <w:r w:rsidRPr="00924E89">
              <w:rPr>
                <w:rFonts w:ascii="Arial" w:hAnsi="Arial" w:cs="Arial"/>
                <w:sz w:val="20"/>
                <w:szCs w:val="20"/>
              </w:rPr>
              <w:t>EPA 624 (VOCs)</w:t>
            </w:r>
          </w:p>
          <w:p w14:paraId="1B046B6B" w14:textId="77777777" w:rsidR="00E74483" w:rsidRPr="00924E89" w:rsidRDefault="00E74483" w:rsidP="00E74483">
            <w:pPr>
              <w:pStyle w:val="ListParagraph"/>
              <w:numPr>
                <w:ilvl w:val="0"/>
                <w:numId w:val="9"/>
              </w:numPr>
              <w:spacing w:after="160" w:line="259" w:lineRule="auto"/>
              <w:contextualSpacing/>
              <w:rPr>
                <w:rFonts w:ascii="Arial" w:hAnsi="Arial" w:cs="Arial"/>
                <w:sz w:val="20"/>
                <w:szCs w:val="20"/>
              </w:rPr>
            </w:pPr>
            <w:r w:rsidRPr="00924E89">
              <w:rPr>
                <w:rFonts w:ascii="Arial" w:hAnsi="Arial" w:cs="Arial"/>
                <w:sz w:val="20"/>
                <w:szCs w:val="20"/>
              </w:rPr>
              <w:t>EPA 625 (BNAs)</w:t>
            </w:r>
          </w:p>
          <w:p w14:paraId="1399AE15" w14:textId="77777777" w:rsidR="00E74483" w:rsidRPr="00924E89" w:rsidRDefault="00E74483" w:rsidP="00E74483">
            <w:pPr>
              <w:pStyle w:val="ListParagraph"/>
              <w:numPr>
                <w:ilvl w:val="0"/>
                <w:numId w:val="9"/>
              </w:numPr>
              <w:spacing w:after="160" w:line="259" w:lineRule="auto"/>
              <w:contextualSpacing/>
              <w:rPr>
                <w:rFonts w:ascii="Arial" w:hAnsi="Arial" w:cs="Arial"/>
                <w:sz w:val="20"/>
                <w:szCs w:val="20"/>
              </w:rPr>
            </w:pPr>
            <w:r w:rsidRPr="00924E89">
              <w:rPr>
                <w:rFonts w:ascii="Arial" w:hAnsi="Arial" w:cs="Arial"/>
                <w:sz w:val="20"/>
                <w:szCs w:val="20"/>
              </w:rPr>
              <w:t>EPA 608 (PCBs and Pesticides)</w:t>
            </w:r>
          </w:p>
          <w:p w14:paraId="09B816AD" w14:textId="77777777" w:rsidR="00E74483" w:rsidRPr="00924E89" w:rsidRDefault="00E74483" w:rsidP="00E74483">
            <w:pPr>
              <w:pStyle w:val="ListParagraph"/>
              <w:numPr>
                <w:ilvl w:val="0"/>
                <w:numId w:val="9"/>
              </w:numPr>
              <w:spacing w:after="160" w:line="259" w:lineRule="auto"/>
              <w:contextualSpacing/>
              <w:rPr>
                <w:rFonts w:ascii="Arial" w:hAnsi="Arial" w:cs="Arial"/>
                <w:sz w:val="20"/>
                <w:szCs w:val="20"/>
              </w:rPr>
            </w:pPr>
            <w:r w:rsidRPr="00924E89">
              <w:rPr>
                <w:rFonts w:ascii="Arial" w:hAnsi="Arial" w:cs="Arial"/>
                <w:sz w:val="20"/>
                <w:szCs w:val="20"/>
              </w:rPr>
              <w:t>Acute Toxicity</w:t>
            </w:r>
          </w:p>
          <w:p w14:paraId="764AA36A" w14:textId="77777777" w:rsidR="00E74483" w:rsidRPr="00924E89" w:rsidRDefault="00E74483" w:rsidP="00E74483">
            <w:pPr>
              <w:pStyle w:val="ListParagraph"/>
              <w:numPr>
                <w:ilvl w:val="0"/>
                <w:numId w:val="9"/>
              </w:numPr>
              <w:spacing w:after="160" w:line="259" w:lineRule="auto"/>
              <w:contextualSpacing/>
              <w:rPr>
                <w:rFonts w:ascii="Arial" w:hAnsi="Arial" w:cs="Arial"/>
                <w:b/>
                <w:sz w:val="20"/>
                <w:szCs w:val="20"/>
              </w:rPr>
            </w:pPr>
            <w:r w:rsidRPr="00924E89">
              <w:rPr>
                <w:rFonts w:ascii="Arial" w:hAnsi="Arial" w:cs="Arial"/>
                <w:b/>
                <w:sz w:val="20"/>
                <w:szCs w:val="20"/>
              </w:rPr>
              <w:t>EPA 1613 (Dioxins)</w:t>
            </w:r>
          </w:p>
          <w:p w14:paraId="286C1F08" w14:textId="77777777" w:rsidR="00E74483" w:rsidRPr="00924E89" w:rsidRDefault="00E74483" w:rsidP="00A063E5">
            <w:pPr>
              <w:pStyle w:val="ListParagraph"/>
              <w:numPr>
                <w:ilvl w:val="0"/>
                <w:numId w:val="9"/>
              </w:numPr>
              <w:spacing w:line="259" w:lineRule="auto"/>
              <w:contextualSpacing/>
              <w:rPr>
                <w:rFonts w:ascii="Arial" w:hAnsi="Arial" w:cs="Arial"/>
                <w:b/>
                <w:sz w:val="20"/>
                <w:szCs w:val="20"/>
              </w:rPr>
            </w:pPr>
            <w:r w:rsidRPr="00924E89">
              <w:rPr>
                <w:rFonts w:ascii="Arial" w:hAnsi="Arial" w:cs="Arial"/>
                <w:b/>
                <w:sz w:val="20"/>
                <w:szCs w:val="20"/>
              </w:rPr>
              <w:t>1668C (PCB Congeners)</w:t>
            </w:r>
          </w:p>
          <w:p w14:paraId="56EF43C1" w14:textId="77777777" w:rsidR="00E74483" w:rsidRPr="00924E89" w:rsidRDefault="00E74483" w:rsidP="00A063E5">
            <w:pPr>
              <w:pStyle w:val="ListParagraph"/>
              <w:numPr>
                <w:ilvl w:val="0"/>
                <w:numId w:val="9"/>
              </w:numPr>
              <w:spacing w:line="259" w:lineRule="auto"/>
              <w:contextualSpacing/>
              <w:rPr>
                <w:rFonts w:ascii="Arial" w:hAnsi="Arial" w:cs="Arial"/>
                <w:b/>
                <w:sz w:val="20"/>
                <w:szCs w:val="20"/>
              </w:rPr>
            </w:pPr>
            <w:r w:rsidRPr="00924E89">
              <w:rPr>
                <w:rFonts w:ascii="Arial" w:hAnsi="Arial" w:cs="Arial"/>
                <w:b/>
                <w:sz w:val="20"/>
                <w:szCs w:val="20"/>
              </w:rPr>
              <w:t>Sensitive Species Screening</w:t>
            </w:r>
          </w:p>
          <w:p w14:paraId="340738C0" w14:textId="77777777" w:rsidR="00E74483" w:rsidRPr="00924E89" w:rsidRDefault="00E74483" w:rsidP="00A063E5">
            <w:pPr>
              <w:rPr>
                <w:rFonts w:ascii="Arial" w:hAnsi="Arial" w:cs="Arial"/>
                <w:sz w:val="20"/>
                <w:szCs w:val="20"/>
              </w:rPr>
            </w:pPr>
            <w:r w:rsidRPr="00924E89">
              <w:rPr>
                <w:rFonts w:ascii="Arial" w:hAnsi="Arial" w:cs="Arial"/>
                <w:sz w:val="20"/>
                <w:szCs w:val="20"/>
              </w:rPr>
              <w:t>The cost saving associated with reducing monitoring for the last three tests range from $270-390K per year for all agencies in aggregate (the range reflects variability in costs charged by the lab performing the analysis, and uncertainty in the final number of samples required). These estimates do not include staff time for sampling or data management.  The remaining four tests are performed in-house by many agencies, so the real cost savings are more difficult to quantify. As such, funding offsets will be calculated based on the tests that are contracted out.</w:t>
            </w:r>
          </w:p>
          <w:p w14:paraId="1418FE56" w14:textId="77777777" w:rsidR="00E74483" w:rsidRPr="00924E89" w:rsidRDefault="00E74483" w:rsidP="004B6C02">
            <w:pPr>
              <w:rPr>
                <w:rFonts w:ascii="Arial" w:hAnsi="Arial" w:cs="Arial"/>
                <w:sz w:val="20"/>
                <w:szCs w:val="20"/>
              </w:rPr>
            </w:pPr>
            <w:r w:rsidRPr="00924E89">
              <w:rPr>
                <w:rFonts w:ascii="Arial" w:hAnsi="Arial" w:cs="Arial"/>
                <w:sz w:val="20"/>
                <w:szCs w:val="20"/>
              </w:rPr>
              <w:t>The Regional Water Board seems to be serious about pursuing this route and has stated they are willing to go to their Board to implement these monitoring reductions.  Lorien Fono will work with Regional Water Board staff to develop a joint proposal for monitoring reductions.</w:t>
            </w:r>
          </w:p>
        </w:tc>
      </w:tr>
      <w:tr w:rsidR="00BA06B1" w:rsidRPr="00924E89" w14:paraId="1D0F5AF0" w14:textId="77777777" w:rsidTr="004243F0">
        <w:trPr>
          <w:cantSplit/>
          <w:trHeight w:val="161"/>
        </w:trPr>
        <w:tc>
          <w:tcPr>
            <w:tcW w:w="10530" w:type="dxa"/>
          </w:tcPr>
          <w:p w14:paraId="7DA3A797" w14:textId="77777777" w:rsidR="004A602F" w:rsidRPr="00924E89" w:rsidRDefault="00E74483" w:rsidP="004A602F">
            <w:pPr>
              <w:rPr>
                <w:rFonts w:ascii="Arial" w:hAnsi="Arial" w:cs="Arial"/>
                <w:b/>
                <w:sz w:val="20"/>
                <w:szCs w:val="20"/>
              </w:rPr>
            </w:pPr>
            <w:r w:rsidRPr="00924E89">
              <w:rPr>
                <w:rFonts w:ascii="Arial" w:hAnsi="Arial" w:cs="Arial"/>
                <w:b/>
                <w:sz w:val="20"/>
                <w:szCs w:val="20"/>
              </w:rPr>
              <w:t>Nutrients</w:t>
            </w:r>
          </w:p>
          <w:p w14:paraId="0A613BCD" w14:textId="60105BBE" w:rsidR="00E74483" w:rsidRPr="00924E89" w:rsidRDefault="00F919FB" w:rsidP="00E74483">
            <w:pPr>
              <w:numPr>
                <w:ilvl w:val="1"/>
                <w:numId w:val="5"/>
              </w:numPr>
              <w:ind w:left="409" w:hanging="180"/>
              <w:rPr>
                <w:rFonts w:ascii="Arial" w:hAnsi="Arial" w:cs="Arial"/>
                <w:i/>
                <w:sz w:val="20"/>
                <w:szCs w:val="20"/>
              </w:rPr>
            </w:pPr>
            <w:r>
              <w:rPr>
                <w:rFonts w:ascii="Arial" w:hAnsi="Arial" w:cs="Arial"/>
                <w:i/>
                <w:sz w:val="20"/>
                <w:szCs w:val="20"/>
              </w:rPr>
              <w:t xml:space="preserve">Nutrient Group </w:t>
            </w:r>
            <w:r w:rsidR="00E74483" w:rsidRPr="00924E89">
              <w:rPr>
                <w:rFonts w:ascii="Arial" w:hAnsi="Arial" w:cs="Arial"/>
                <w:i/>
                <w:sz w:val="20"/>
                <w:szCs w:val="20"/>
              </w:rPr>
              <w:t xml:space="preserve">Annual Report – </w:t>
            </w:r>
            <w:r w:rsidR="00E74483" w:rsidRPr="00924E89">
              <w:rPr>
                <w:rFonts w:ascii="Arial" w:hAnsi="Arial" w:cs="Arial"/>
                <w:sz w:val="20"/>
                <w:szCs w:val="20"/>
              </w:rPr>
              <w:t xml:space="preserve">A Draft Group Annual Report for the Nutrient Watershed permit was circulated to agency points of contact.  The </w:t>
            </w:r>
            <w:hyperlink r:id="rId11" w:history="1">
              <w:r w:rsidR="00E74483" w:rsidRPr="00EC24E8">
                <w:rPr>
                  <w:rStyle w:val="Hyperlink"/>
                  <w:rFonts w:ascii="Arial" w:hAnsi="Arial" w:cs="Arial"/>
                  <w:sz w:val="20"/>
                  <w:szCs w:val="20"/>
                </w:rPr>
                <w:t>Annual Report</w:t>
              </w:r>
            </w:hyperlink>
            <w:bookmarkStart w:id="0" w:name="_GoBack"/>
            <w:bookmarkEnd w:id="0"/>
            <w:r w:rsidR="00E74483" w:rsidRPr="00924E89">
              <w:rPr>
                <w:rFonts w:ascii="Arial" w:hAnsi="Arial" w:cs="Arial"/>
                <w:sz w:val="20"/>
                <w:szCs w:val="20"/>
              </w:rPr>
              <w:t xml:space="preserve"> will be submitted November 12.</w:t>
            </w:r>
          </w:p>
          <w:p w14:paraId="4F3FE956" w14:textId="77777777" w:rsidR="00465601" w:rsidRPr="00924E89" w:rsidRDefault="00E74483" w:rsidP="00E74483">
            <w:pPr>
              <w:numPr>
                <w:ilvl w:val="1"/>
                <w:numId w:val="5"/>
              </w:numPr>
              <w:ind w:left="409" w:hanging="180"/>
              <w:rPr>
                <w:rFonts w:ascii="Arial" w:hAnsi="Arial" w:cs="Arial"/>
                <w:i/>
                <w:sz w:val="20"/>
                <w:szCs w:val="20"/>
              </w:rPr>
            </w:pPr>
            <w:r w:rsidRPr="00924E89">
              <w:rPr>
                <w:rFonts w:ascii="Arial" w:hAnsi="Arial" w:cs="Arial"/>
                <w:i/>
                <w:sz w:val="20"/>
                <w:szCs w:val="20"/>
              </w:rPr>
              <w:t xml:space="preserve">Optimization/Upgrade Studies – </w:t>
            </w:r>
            <w:r w:rsidRPr="00924E89">
              <w:rPr>
                <w:rFonts w:ascii="Arial" w:hAnsi="Arial" w:cs="Arial"/>
                <w:sz w:val="20"/>
                <w:szCs w:val="20"/>
              </w:rPr>
              <w:t>At Pardee, HDR did a presentation showing how the range of existing facilities and other constraints at different plants leads to different optimization alternatives.</w:t>
            </w:r>
          </w:p>
          <w:p w14:paraId="61E7551E" w14:textId="77777777" w:rsidR="00E74483" w:rsidRPr="00924E89" w:rsidRDefault="00E74483" w:rsidP="00E74483">
            <w:pPr>
              <w:numPr>
                <w:ilvl w:val="1"/>
                <w:numId w:val="5"/>
              </w:numPr>
              <w:ind w:left="409" w:hanging="180"/>
              <w:rPr>
                <w:rFonts w:ascii="Arial" w:hAnsi="Arial" w:cs="Arial"/>
                <w:i/>
                <w:sz w:val="20"/>
                <w:szCs w:val="20"/>
              </w:rPr>
            </w:pPr>
            <w:r w:rsidRPr="00924E89">
              <w:rPr>
                <w:rFonts w:ascii="Arial" w:hAnsi="Arial" w:cs="Arial"/>
                <w:i/>
                <w:sz w:val="20"/>
                <w:szCs w:val="20"/>
              </w:rPr>
              <w:t xml:space="preserve">Discussions for next Nutrient Watershed Permit – </w:t>
            </w:r>
            <w:r w:rsidRPr="00924E89">
              <w:rPr>
                <w:rFonts w:ascii="Arial" w:hAnsi="Arial" w:cs="Arial"/>
                <w:sz w:val="20"/>
                <w:szCs w:val="20"/>
              </w:rPr>
              <w:t>At Pardee, Regional Water Board staff indicated that they may be willing to forgo the no net loading increase in exchange for early actions to remove nutrients and a modest increase in funding for science.  Several facilities are already pursuing early actions</w:t>
            </w:r>
            <w:r w:rsidR="00016F2C" w:rsidRPr="00924E89">
              <w:rPr>
                <w:rFonts w:ascii="Arial" w:hAnsi="Arial" w:cs="Arial"/>
                <w:sz w:val="20"/>
                <w:szCs w:val="20"/>
              </w:rPr>
              <w:t>, such as San Mateo</w:t>
            </w:r>
            <w:r w:rsidR="00F919FB">
              <w:rPr>
                <w:rFonts w:ascii="Arial" w:hAnsi="Arial" w:cs="Arial"/>
                <w:sz w:val="20"/>
                <w:szCs w:val="20"/>
              </w:rPr>
              <w:t>. I</w:t>
            </w:r>
            <w:r w:rsidRPr="00924E89">
              <w:rPr>
                <w:rFonts w:ascii="Arial" w:hAnsi="Arial" w:cs="Arial"/>
                <w:sz w:val="20"/>
                <w:szCs w:val="20"/>
              </w:rPr>
              <w:t>t will be a challenge to figure out how to ensure that a few agencies are not shouldering the</w:t>
            </w:r>
            <w:r w:rsidR="00F919FB">
              <w:rPr>
                <w:rFonts w:ascii="Arial" w:hAnsi="Arial" w:cs="Arial"/>
                <w:sz w:val="20"/>
                <w:szCs w:val="20"/>
              </w:rPr>
              <w:t xml:space="preserve"> “early action”</w:t>
            </w:r>
            <w:r w:rsidRPr="00924E89">
              <w:rPr>
                <w:rFonts w:ascii="Arial" w:hAnsi="Arial" w:cs="Arial"/>
                <w:sz w:val="20"/>
                <w:szCs w:val="20"/>
              </w:rPr>
              <w:t xml:space="preserve"> burden for the entire POTW community</w:t>
            </w:r>
            <w:r w:rsidR="00F919FB">
              <w:rPr>
                <w:rFonts w:ascii="Arial" w:hAnsi="Arial" w:cs="Arial"/>
                <w:sz w:val="20"/>
                <w:szCs w:val="20"/>
              </w:rPr>
              <w:t xml:space="preserve"> and that these agencies see a regulatory or financial benefit for their actions</w:t>
            </w:r>
            <w:r w:rsidRPr="00924E89">
              <w:rPr>
                <w:rFonts w:ascii="Arial" w:hAnsi="Arial" w:cs="Arial"/>
                <w:sz w:val="20"/>
                <w:szCs w:val="20"/>
              </w:rPr>
              <w:t>.</w:t>
            </w:r>
          </w:p>
          <w:p w14:paraId="02B947AE" w14:textId="08B4BE77" w:rsidR="002956CD" w:rsidRPr="00924E89" w:rsidRDefault="00E74483" w:rsidP="002956CD">
            <w:pPr>
              <w:numPr>
                <w:ilvl w:val="1"/>
                <w:numId w:val="5"/>
              </w:numPr>
              <w:ind w:left="409" w:hanging="180"/>
              <w:rPr>
                <w:rFonts w:ascii="Arial" w:hAnsi="Arial" w:cs="Arial"/>
                <w:i/>
                <w:sz w:val="20"/>
                <w:szCs w:val="20"/>
              </w:rPr>
            </w:pPr>
            <w:r w:rsidRPr="00924E89">
              <w:rPr>
                <w:rFonts w:ascii="Arial" w:hAnsi="Arial" w:cs="Arial"/>
                <w:i/>
                <w:sz w:val="20"/>
                <w:szCs w:val="20"/>
              </w:rPr>
              <w:t xml:space="preserve">Nutrient Technical Workgroup </w:t>
            </w:r>
            <w:r w:rsidR="002956CD" w:rsidRPr="00924E89">
              <w:rPr>
                <w:rFonts w:ascii="Arial" w:hAnsi="Arial" w:cs="Arial"/>
                <w:i/>
                <w:sz w:val="20"/>
                <w:szCs w:val="20"/>
              </w:rPr>
              <w:t>–</w:t>
            </w:r>
            <w:r w:rsidRPr="00924E89">
              <w:rPr>
                <w:rFonts w:ascii="Arial" w:hAnsi="Arial" w:cs="Arial"/>
                <w:i/>
                <w:sz w:val="20"/>
                <w:szCs w:val="20"/>
              </w:rPr>
              <w:t xml:space="preserve"> </w:t>
            </w:r>
            <w:r w:rsidR="002956CD" w:rsidRPr="00924E89">
              <w:rPr>
                <w:rFonts w:ascii="Arial" w:hAnsi="Arial" w:cs="Arial"/>
                <w:sz w:val="20"/>
                <w:szCs w:val="20"/>
              </w:rPr>
              <w:t xml:space="preserve">The </w:t>
            </w:r>
            <w:hyperlink r:id="rId12" w:history="1">
              <w:r w:rsidR="002956CD" w:rsidRPr="00692501">
                <w:rPr>
                  <w:rStyle w:val="Hyperlink"/>
                  <w:rFonts w:ascii="Arial" w:hAnsi="Arial" w:cs="Arial"/>
                  <w:sz w:val="20"/>
                  <w:szCs w:val="20"/>
                </w:rPr>
                <w:t>nutrient technical workgroup</w:t>
              </w:r>
            </w:hyperlink>
            <w:r w:rsidR="002956CD" w:rsidRPr="00924E89">
              <w:rPr>
                <w:rFonts w:ascii="Arial" w:hAnsi="Arial" w:cs="Arial"/>
                <w:sz w:val="20"/>
                <w:szCs w:val="20"/>
              </w:rPr>
              <w:t xml:space="preserve"> met on November 5. An Execut</w:t>
            </w:r>
            <w:r w:rsidR="00F919FB">
              <w:rPr>
                <w:rFonts w:ascii="Arial" w:hAnsi="Arial" w:cs="Arial"/>
                <w:sz w:val="20"/>
                <w:szCs w:val="20"/>
              </w:rPr>
              <w:t>ive</w:t>
            </w:r>
            <w:r w:rsidR="002956CD" w:rsidRPr="00924E89">
              <w:rPr>
                <w:rFonts w:ascii="Arial" w:hAnsi="Arial" w:cs="Arial"/>
                <w:sz w:val="20"/>
                <w:szCs w:val="20"/>
              </w:rPr>
              <w:t xml:space="preserve"> Summary of the</w:t>
            </w:r>
            <w:r w:rsidR="00692501">
              <w:rPr>
                <w:rFonts w:ascii="Arial" w:hAnsi="Arial" w:cs="Arial"/>
                <w:sz w:val="20"/>
                <w:szCs w:val="20"/>
              </w:rPr>
              <w:t xml:space="preserve"> </w:t>
            </w:r>
            <w:hyperlink r:id="rId13" w:history="1">
              <w:r w:rsidR="00692501" w:rsidRPr="00EC24E8">
                <w:rPr>
                  <w:rStyle w:val="Hyperlink"/>
                  <w:rFonts w:ascii="Arial" w:hAnsi="Arial" w:cs="Arial"/>
                  <w:sz w:val="20"/>
                  <w:szCs w:val="20"/>
                </w:rPr>
                <w:t>Lower South Bay Synthesis</w:t>
              </w:r>
            </w:hyperlink>
            <w:r w:rsidR="00692501">
              <w:rPr>
                <w:rFonts w:ascii="Arial" w:hAnsi="Arial" w:cs="Arial"/>
                <w:sz w:val="20"/>
                <w:szCs w:val="20"/>
              </w:rPr>
              <w:t xml:space="preserve"> was d</w:t>
            </w:r>
            <w:r w:rsidR="002956CD" w:rsidRPr="00924E89">
              <w:rPr>
                <w:rFonts w:ascii="Arial" w:hAnsi="Arial" w:cs="Arial"/>
                <w:sz w:val="20"/>
                <w:szCs w:val="20"/>
              </w:rPr>
              <w:t>istributed. One key finding was M</w:t>
            </w:r>
            <w:r w:rsidR="00F919FB">
              <w:rPr>
                <w:rFonts w:ascii="Arial" w:hAnsi="Arial" w:cs="Arial"/>
                <w:sz w:val="20"/>
                <w:szCs w:val="20"/>
              </w:rPr>
              <w:t>i</w:t>
            </w:r>
            <w:r w:rsidR="002956CD" w:rsidRPr="00924E89">
              <w:rPr>
                <w:rFonts w:ascii="Arial" w:hAnsi="Arial" w:cs="Arial"/>
                <w:sz w:val="20"/>
                <w:szCs w:val="20"/>
              </w:rPr>
              <w:t>ne Berg’s studies on the “ammonia paradox” do not show that ammonia is significantly inhibiting to ocean phytoplankton species, and that light limitation is 7-8 times as important as ammonia.</w:t>
            </w:r>
          </w:p>
          <w:p w14:paraId="18FF8148" w14:textId="77777777" w:rsidR="002956CD" w:rsidRPr="00924E89" w:rsidRDefault="00F919FB" w:rsidP="002956CD">
            <w:pPr>
              <w:numPr>
                <w:ilvl w:val="1"/>
                <w:numId w:val="5"/>
              </w:numPr>
              <w:ind w:left="409" w:hanging="180"/>
              <w:rPr>
                <w:rFonts w:ascii="Arial" w:hAnsi="Arial" w:cs="Arial"/>
                <w:i/>
                <w:sz w:val="20"/>
                <w:szCs w:val="20"/>
              </w:rPr>
            </w:pPr>
            <w:r>
              <w:rPr>
                <w:rFonts w:ascii="Arial" w:hAnsi="Arial" w:cs="Arial"/>
                <w:i/>
                <w:sz w:val="20"/>
                <w:szCs w:val="20"/>
              </w:rPr>
              <w:t>Other</w:t>
            </w:r>
            <w:r w:rsidR="002956CD" w:rsidRPr="00924E89">
              <w:rPr>
                <w:rFonts w:ascii="Arial" w:hAnsi="Arial" w:cs="Arial"/>
                <w:i/>
                <w:sz w:val="20"/>
                <w:szCs w:val="20"/>
              </w:rPr>
              <w:t xml:space="preserve"> Nutrient Studies -</w:t>
            </w:r>
            <w:r w:rsidR="002956CD" w:rsidRPr="00924E89">
              <w:rPr>
                <w:rFonts w:ascii="Arial" w:hAnsi="Arial" w:cs="Arial"/>
                <w:sz w:val="20"/>
                <w:szCs w:val="20"/>
              </w:rPr>
              <w:t xml:space="preserve"> The Bay Delta Workshop, which will look at important outstanding questions has been pushed back to March 2016. SFEI will be purchasing a boat for samp</w:t>
            </w:r>
            <w:r>
              <w:rPr>
                <w:rFonts w:ascii="Arial" w:hAnsi="Arial" w:cs="Arial"/>
                <w:sz w:val="20"/>
                <w:szCs w:val="20"/>
              </w:rPr>
              <w:t xml:space="preserve">ling to replace the USGS boat. </w:t>
            </w:r>
            <w:r w:rsidR="002956CD" w:rsidRPr="00924E89">
              <w:rPr>
                <w:rFonts w:ascii="Arial" w:hAnsi="Arial" w:cs="Arial"/>
                <w:sz w:val="20"/>
                <w:szCs w:val="20"/>
              </w:rPr>
              <w:t xml:space="preserve">This means that $200K of </w:t>
            </w:r>
            <w:r w:rsidR="00016F2C" w:rsidRPr="00924E89">
              <w:rPr>
                <w:rFonts w:ascii="Arial" w:hAnsi="Arial" w:cs="Arial"/>
                <w:sz w:val="20"/>
                <w:szCs w:val="20"/>
              </w:rPr>
              <w:t>studies will need to be deferred.</w:t>
            </w:r>
          </w:p>
        </w:tc>
      </w:tr>
      <w:tr w:rsidR="002E24AA" w:rsidRPr="00924E89" w14:paraId="6C8B1734" w14:textId="77777777" w:rsidTr="004243F0">
        <w:trPr>
          <w:cantSplit/>
          <w:trHeight w:val="161"/>
        </w:trPr>
        <w:tc>
          <w:tcPr>
            <w:tcW w:w="10530" w:type="dxa"/>
          </w:tcPr>
          <w:p w14:paraId="71206102" w14:textId="77777777" w:rsidR="005A1048" w:rsidRPr="00924E89" w:rsidRDefault="003E33D2" w:rsidP="005A1048">
            <w:pPr>
              <w:rPr>
                <w:rFonts w:ascii="Arial" w:hAnsi="Arial" w:cs="Arial"/>
                <w:b/>
                <w:sz w:val="20"/>
                <w:szCs w:val="20"/>
              </w:rPr>
            </w:pPr>
            <w:r w:rsidRPr="00924E89">
              <w:rPr>
                <w:rFonts w:ascii="Arial" w:hAnsi="Arial" w:cs="Arial"/>
                <w:b/>
                <w:sz w:val="20"/>
                <w:szCs w:val="20"/>
              </w:rPr>
              <w:t xml:space="preserve">Report-out from </w:t>
            </w:r>
            <w:r w:rsidR="002956CD" w:rsidRPr="00924E89">
              <w:rPr>
                <w:rFonts w:ascii="Arial" w:hAnsi="Arial" w:cs="Arial"/>
                <w:b/>
                <w:sz w:val="20"/>
                <w:szCs w:val="20"/>
              </w:rPr>
              <w:t xml:space="preserve">Pardee Technical Retreat - </w:t>
            </w:r>
          </w:p>
          <w:p w14:paraId="02366FEF" w14:textId="77777777" w:rsidR="00885175" w:rsidRPr="00924E89" w:rsidRDefault="00885175" w:rsidP="00885175">
            <w:pPr>
              <w:rPr>
                <w:rFonts w:ascii="Arial" w:hAnsi="Arial" w:cs="Arial"/>
                <w:sz w:val="20"/>
                <w:szCs w:val="20"/>
              </w:rPr>
            </w:pPr>
            <w:r w:rsidRPr="00924E89">
              <w:rPr>
                <w:rFonts w:ascii="Arial" w:hAnsi="Arial" w:cs="Arial"/>
                <w:sz w:val="20"/>
                <w:szCs w:val="20"/>
              </w:rPr>
              <w:t>Most of the meeting was covered elsewhere in the agenda, except the following items:</w:t>
            </w:r>
          </w:p>
          <w:p w14:paraId="7D70CE01" w14:textId="77777777" w:rsidR="003E33D2" w:rsidRPr="00924E89" w:rsidRDefault="00885175" w:rsidP="000773D0">
            <w:pPr>
              <w:pStyle w:val="ListParagraph"/>
              <w:numPr>
                <w:ilvl w:val="0"/>
                <w:numId w:val="4"/>
              </w:numPr>
              <w:ind w:left="319" w:hanging="180"/>
              <w:rPr>
                <w:rFonts w:ascii="Arial" w:hAnsi="Arial" w:cs="Arial"/>
                <w:sz w:val="20"/>
                <w:szCs w:val="20"/>
              </w:rPr>
            </w:pPr>
            <w:r w:rsidRPr="00924E89">
              <w:rPr>
                <w:rFonts w:ascii="Arial" w:hAnsi="Arial" w:cs="Arial"/>
                <w:sz w:val="20"/>
                <w:szCs w:val="20"/>
              </w:rPr>
              <w:t xml:space="preserve">The </w:t>
            </w:r>
            <w:r w:rsidR="00F919FB" w:rsidRPr="00924E89">
              <w:rPr>
                <w:rFonts w:ascii="Arial" w:hAnsi="Arial" w:cs="Arial"/>
                <w:sz w:val="20"/>
                <w:szCs w:val="20"/>
              </w:rPr>
              <w:t>Regional</w:t>
            </w:r>
            <w:r w:rsidRPr="00924E89">
              <w:rPr>
                <w:rFonts w:ascii="Arial" w:hAnsi="Arial" w:cs="Arial"/>
                <w:sz w:val="20"/>
                <w:szCs w:val="20"/>
              </w:rPr>
              <w:t xml:space="preserve"> Water Board is interested in revisiting MMPs for SSO to provide some protection against third party lawsuits. They would like BACWA’s help in developing criteria for what constitutes a well-functioning collection system</w:t>
            </w:r>
          </w:p>
          <w:p w14:paraId="6B9C06AE" w14:textId="77777777" w:rsidR="00EC0B56" w:rsidRPr="00924E89" w:rsidRDefault="00B34B6C" w:rsidP="000773D0">
            <w:pPr>
              <w:pStyle w:val="ListParagraph"/>
              <w:numPr>
                <w:ilvl w:val="0"/>
                <w:numId w:val="4"/>
              </w:numPr>
              <w:ind w:left="319" w:hanging="180"/>
              <w:rPr>
                <w:rFonts w:ascii="Arial" w:hAnsi="Arial" w:cs="Arial"/>
                <w:sz w:val="20"/>
                <w:szCs w:val="20"/>
              </w:rPr>
            </w:pPr>
            <w:r w:rsidRPr="00924E89">
              <w:rPr>
                <w:rFonts w:ascii="Arial" w:hAnsi="Arial" w:cs="Arial"/>
                <w:sz w:val="20"/>
                <w:szCs w:val="20"/>
              </w:rPr>
              <w:t>.</w:t>
            </w:r>
            <w:r w:rsidR="00885175" w:rsidRPr="00924E89">
              <w:rPr>
                <w:rFonts w:ascii="Arial" w:hAnsi="Arial" w:cs="Arial"/>
                <w:sz w:val="20"/>
                <w:szCs w:val="20"/>
              </w:rPr>
              <w:t>The Regional Water Board is interested in developing fact sheets for CEC monitoring with POTW participation</w:t>
            </w:r>
          </w:p>
          <w:p w14:paraId="5BB93DF7" w14:textId="77777777" w:rsidR="00885175" w:rsidRPr="00924E89" w:rsidRDefault="00885175" w:rsidP="000773D0">
            <w:pPr>
              <w:pStyle w:val="ListParagraph"/>
              <w:numPr>
                <w:ilvl w:val="0"/>
                <w:numId w:val="4"/>
              </w:numPr>
              <w:ind w:left="319" w:hanging="180"/>
              <w:rPr>
                <w:rFonts w:ascii="Arial" w:hAnsi="Arial" w:cs="Arial"/>
                <w:sz w:val="20"/>
                <w:szCs w:val="20"/>
              </w:rPr>
            </w:pPr>
            <w:r w:rsidRPr="00924E89">
              <w:rPr>
                <w:rFonts w:ascii="Arial" w:hAnsi="Arial" w:cs="Arial"/>
                <w:sz w:val="20"/>
                <w:szCs w:val="20"/>
              </w:rPr>
              <w:t>The Regional Water Board will be meeting with staff from EPA and DPR headquarters.  They will look for constructive ways to engage them on issues of pesticide impacts on POTWs and receiving waters.</w:t>
            </w:r>
          </w:p>
        </w:tc>
      </w:tr>
      <w:tr w:rsidR="009E70B4" w:rsidRPr="00924E89" w14:paraId="16565D5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2F060400" w14:textId="77777777" w:rsidR="009E70B4" w:rsidRPr="00924E89" w:rsidRDefault="003E33D2" w:rsidP="004243F0">
            <w:pPr>
              <w:rPr>
                <w:rFonts w:ascii="Arial" w:hAnsi="Arial" w:cs="Arial"/>
                <w:b/>
                <w:sz w:val="20"/>
                <w:szCs w:val="20"/>
              </w:rPr>
            </w:pPr>
            <w:r w:rsidRPr="00924E89">
              <w:rPr>
                <w:rFonts w:ascii="Arial" w:hAnsi="Arial" w:cs="Arial"/>
                <w:b/>
                <w:sz w:val="20"/>
                <w:szCs w:val="20"/>
              </w:rPr>
              <w:lastRenderedPageBreak/>
              <w:t>Announcements</w:t>
            </w:r>
          </w:p>
          <w:p w14:paraId="14D4533D" w14:textId="77777777" w:rsidR="00893957" w:rsidRPr="00924E89" w:rsidRDefault="00B34B6C" w:rsidP="00885175">
            <w:pPr>
              <w:pStyle w:val="ListParagraph"/>
              <w:numPr>
                <w:ilvl w:val="0"/>
                <w:numId w:val="7"/>
              </w:numPr>
              <w:ind w:left="319"/>
              <w:rPr>
                <w:rFonts w:ascii="Arial" w:hAnsi="Arial" w:cs="Arial"/>
                <w:sz w:val="20"/>
                <w:szCs w:val="20"/>
              </w:rPr>
            </w:pPr>
            <w:r w:rsidRPr="00924E89">
              <w:rPr>
                <w:rFonts w:ascii="Arial" w:hAnsi="Arial" w:cs="Arial"/>
                <w:sz w:val="20"/>
                <w:szCs w:val="20"/>
              </w:rPr>
              <w:t>BACWA Annual Members Meeting, January 15</w:t>
            </w:r>
          </w:p>
          <w:p w14:paraId="3089F978" w14:textId="77777777" w:rsidR="00885175" w:rsidRPr="00924E89" w:rsidRDefault="00FB77D0" w:rsidP="00885175">
            <w:pPr>
              <w:pStyle w:val="ListParagraph"/>
              <w:numPr>
                <w:ilvl w:val="0"/>
                <w:numId w:val="7"/>
              </w:numPr>
              <w:ind w:left="319"/>
              <w:rPr>
                <w:rFonts w:ascii="Arial" w:hAnsi="Arial" w:cs="Arial"/>
                <w:sz w:val="20"/>
                <w:szCs w:val="20"/>
              </w:rPr>
            </w:pPr>
            <w:hyperlink r:id="rId14" w:history="1">
              <w:r w:rsidR="00B34B6C" w:rsidRPr="00924E89">
                <w:rPr>
                  <w:rStyle w:val="Hyperlink"/>
                  <w:rFonts w:ascii="Arial" w:hAnsi="Arial" w:cs="Arial"/>
                  <w:sz w:val="20"/>
                  <w:szCs w:val="20"/>
                </w:rPr>
                <w:t>Nominations</w:t>
              </w:r>
            </w:hyperlink>
            <w:r w:rsidR="00B34B6C" w:rsidRPr="00924E89">
              <w:rPr>
                <w:rFonts w:ascii="Arial" w:hAnsi="Arial" w:cs="Arial"/>
                <w:sz w:val="20"/>
                <w:szCs w:val="20"/>
              </w:rPr>
              <w:t xml:space="preserve"> for Arleen Navarret Award due November 13</w:t>
            </w:r>
          </w:p>
          <w:p w14:paraId="38342DD0" w14:textId="77777777" w:rsidR="00885175" w:rsidRPr="00924E89" w:rsidRDefault="00885175" w:rsidP="00885175">
            <w:pPr>
              <w:pStyle w:val="ListParagraph"/>
              <w:numPr>
                <w:ilvl w:val="0"/>
                <w:numId w:val="7"/>
              </w:numPr>
              <w:ind w:left="319"/>
              <w:rPr>
                <w:rStyle w:val="Hyperlink"/>
                <w:rFonts w:ascii="Arial" w:hAnsi="Arial" w:cs="Arial"/>
                <w:color w:val="auto"/>
                <w:sz w:val="20"/>
                <w:szCs w:val="20"/>
                <w:u w:val="none"/>
              </w:rPr>
            </w:pPr>
            <w:r w:rsidRPr="00924E89">
              <w:rPr>
                <w:rFonts w:ascii="Arial" w:hAnsi="Arial" w:cs="Arial"/>
                <w:sz w:val="20"/>
                <w:szCs w:val="20"/>
              </w:rPr>
              <w:t xml:space="preserve">Member Agency </w:t>
            </w:r>
            <w:hyperlink r:id="rId15" w:history="1">
              <w:r w:rsidRPr="00924E89">
                <w:rPr>
                  <w:rStyle w:val="Hyperlink"/>
                  <w:rFonts w:ascii="Arial" w:hAnsi="Arial" w:cs="Arial"/>
                  <w:sz w:val="20"/>
                  <w:szCs w:val="20"/>
                </w:rPr>
                <w:t>Budget Survey</w:t>
              </w:r>
            </w:hyperlink>
            <w:r w:rsidR="00F919FB">
              <w:rPr>
                <w:rStyle w:val="Hyperlink"/>
                <w:rFonts w:ascii="Arial" w:hAnsi="Arial" w:cs="Arial"/>
                <w:sz w:val="20"/>
                <w:szCs w:val="20"/>
              </w:rPr>
              <w:t xml:space="preserve"> </w:t>
            </w:r>
            <w:r w:rsidR="00F919FB" w:rsidRPr="00F919FB">
              <w:rPr>
                <w:rStyle w:val="Hyperlink"/>
                <w:rFonts w:ascii="Arial" w:hAnsi="Arial" w:cs="Arial"/>
                <w:color w:val="auto"/>
                <w:sz w:val="20"/>
                <w:szCs w:val="20"/>
                <w:u w:val="none"/>
              </w:rPr>
              <w:t>results</w:t>
            </w:r>
            <w:r w:rsidR="00F919FB">
              <w:rPr>
                <w:rStyle w:val="Hyperlink"/>
                <w:rFonts w:ascii="Arial" w:hAnsi="Arial" w:cs="Arial"/>
                <w:color w:val="auto"/>
                <w:sz w:val="20"/>
                <w:szCs w:val="20"/>
                <w:u w:val="none"/>
              </w:rPr>
              <w:t xml:space="preserve"> – Regionally, wastewater agencies spend $2B annually for operations and have a 5-year capital budget of $7.5B.</w:t>
            </w:r>
          </w:p>
          <w:p w14:paraId="44CE4766" w14:textId="77777777" w:rsidR="00924E89" w:rsidRPr="00924E89" w:rsidRDefault="00924E89" w:rsidP="00885175">
            <w:pPr>
              <w:pStyle w:val="ListParagraph"/>
              <w:numPr>
                <w:ilvl w:val="0"/>
                <w:numId w:val="7"/>
              </w:numPr>
              <w:ind w:left="319"/>
              <w:rPr>
                <w:rStyle w:val="Hyperlink"/>
                <w:rFonts w:ascii="Arial" w:hAnsi="Arial" w:cs="Arial"/>
                <w:color w:val="auto"/>
                <w:sz w:val="20"/>
                <w:szCs w:val="20"/>
                <w:u w:val="none"/>
              </w:rPr>
            </w:pPr>
            <w:r>
              <w:rPr>
                <w:rStyle w:val="Hyperlink"/>
                <w:rFonts w:ascii="Arial" w:hAnsi="Arial" w:cs="Arial"/>
                <w:color w:val="auto"/>
                <w:sz w:val="20"/>
                <w:szCs w:val="20"/>
                <w:u w:val="none"/>
              </w:rPr>
              <w:t>The Regional Water Board is collecting information on which agencies have sewer lateral ordinances with point of sale or major remodel triggers for inspection and repair.</w:t>
            </w:r>
          </w:p>
          <w:p w14:paraId="3895EECB" w14:textId="667537D5" w:rsidR="00885175" w:rsidRPr="00924E89" w:rsidRDefault="00FB77D0" w:rsidP="00885175">
            <w:pPr>
              <w:pStyle w:val="ListParagraph"/>
              <w:numPr>
                <w:ilvl w:val="0"/>
                <w:numId w:val="7"/>
              </w:numPr>
              <w:ind w:left="319"/>
              <w:rPr>
                <w:rStyle w:val="Hyperlink"/>
                <w:rFonts w:ascii="Arial" w:hAnsi="Arial" w:cs="Arial"/>
                <w:color w:val="auto"/>
                <w:sz w:val="20"/>
                <w:szCs w:val="20"/>
                <w:u w:val="none"/>
              </w:rPr>
            </w:pPr>
            <w:hyperlink r:id="rId16" w:history="1">
              <w:r w:rsidR="00885175" w:rsidRPr="00F919FB">
                <w:rPr>
                  <w:rStyle w:val="Hyperlink"/>
                  <w:rFonts w:ascii="Arial" w:hAnsi="Arial" w:cs="Arial"/>
                  <w:sz w:val="20"/>
                  <w:szCs w:val="20"/>
                </w:rPr>
                <w:t>Selenium TMDL Adoption 11/18</w:t>
              </w:r>
            </w:hyperlink>
            <w:r w:rsidR="00885175" w:rsidRPr="00924E89">
              <w:rPr>
                <w:rStyle w:val="Hyperlink"/>
                <w:rFonts w:ascii="Arial" w:hAnsi="Arial" w:cs="Arial"/>
                <w:color w:val="auto"/>
                <w:sz w:val="20"/>
                <w:szCs w:val="20"/>
                <w:u w:val="none"/>
              </w:rPr>
              <w:t xml:space="preserve"> – Regional Water Board proposed change in wording on meeting wastewater allocations to “</w:t>
            </w:r>
            <w:r w:rsidR="00953DFE" w:rsidRPr="00924E89">
              <w:rPr>
                <w:rStyle w:val="Hyperlink"/>
                <w:rFonts w:ascii="Arial" w:hAnsi="Arial" w:cs="Arial"/>
                <w:color w:val="auto"/>
                <w:sz w:val="20"/>
                <w:szCs w:val="20"/>
                <w:u w:val="none"/>
              </w:rPr>
              <w:t>consistent</w:t>
            </w:r>
            <w:r w:rsidR="00885175" w:rsidRPr="00924E89">
              <w:rPr>
                <w:rStyle w:val="Hyperlink"/>
                <w:rFonts w:ascii="Arial" w:hAnsi="Arial" w:cs="Arial"/>
                <w:color w:val="auto"/>
                <w:sz w:val="20"/>
                <w:szCs w:val="20"/>
                <w:u w:val="none"/>
              </w:rPr>
              <w:t xml:space="preserve"> with wasteload allocations”</w:t>
            </w:r>
            <w:r w:rsidR="00F919FB">
              <w:rPr>
                <w:rStyle w:val="Hyperlink"/>
                <w:rFonts w:ascii="Arial" w:hAnsi="Arial" w:cs="Arial"/>
                <w:color w:val="auto"/>
                <w:sz w:val="20"/>
                <w:szCs w:val="20"/>
                <w:u w:val="none"/>
              </w:rPr>
              <w:t>.  This change means t</w:t>
            </w:r>
            <w:r w:rsidR="00885175" w:rsidRPr="00924E89">
              <w:rPr>
                <w:rStyle w:val="Hyperlink"/>
                <w:rFonts w:ascii="Arial" w:hAnsi="Arial" w:cs="Arial"/>
                <w:color w:val="auto"/>
                <w:sz w:val="20"/>
                <w:szCs w:val="20"/>
                <w:u w:val="none"/>
              </w:rPr>
              <w:t xml:space="preserve">hat </w:t>
            </w:r>
            <w:r w:rsidR="00F919FB">
              <w:rPr>
                <w:rStyle w:val="Hyperlink"/>
                <w:rFonts w:ascii="Arial" w:hAnsi="Arial" w:cs="Arial"/>
                <w:color w:val="auto"/>
                <w:sz w:val="20"/>
                <w:szCs w:val="20"/>
                <w:u w:val="none"/>
              </w:rPr>
              <w:t>loads</w:t>
            </w:r>
            <w:r w:rsidR="00885175" w:rsidRPr="00924E89">
              <w:rPr>
                <w:rStyle w:val="Hyperlink"/>
                <w:rFonts w:ascii="Arial" w:hAnsi="Arial" w:cs="Arial"/>
                <w:color w:val="auto"/>
                <w:sz w:val="20"/>
                <w:szCs w:val="20"/>
                <w:u w:val="none"/>
              </w:rPr>
              <w:t xml:space="preserve"> don’t need to be below the number in the TMDL as long as the data continues to be at about the same level</w:t>
            </w:r>
            <w:r w:rsidR="00F919FB">
              <w:rPr>
                <w:rStyle w:val="Hyperlink"/>
                <w:rFonts w:ascii="Arial" w:hAnsi="Arial" w:cs="Arial"/>
                <w:color w:val="auto"/>
                <w:sz w:val="20"/>
                <w:szCs w:val="20"/>
                <w:u w:val="none"/>
              </w:rPr>
              <w:t xml:space="preserve"> as in the 2010-2014 time period that was used to develop the TMDL</w:t>
            </w:r>
            <w:r w:rsidR="00885175" w:rsidRPr="00924E89">
              <w:rPr>
                <w:rStyle w:val="Hyperlink"/>
                <w:rFonts w:ascii="Arial" w:hAnsi="Arial" w:cs="Arial"/>
                <w:color w:val="auto"/>
                <w:sz w:val="20"/>
                <w:szCs w:val="20"/>
                <w:u w:val="none"/>
              </w:rPr>
              <w:t xml:space="preserve">. CCCSD switched </w:t>
            </w:r>
            <w:r w:rsidR="00953DFE">
              <w:rPr>
                <w:rStyle w:val="Hyperlink"/>
                <w:rFonts w:ascii="Arial" w:hAnsi="Arial" w:cs="Arial"/>
                <w:color w:val="auto"/>
                <w:sz w:val="20"/>
                <w:szCs w:val="20"/>
                <w:u w:val="none"/>
              </w:rPr>
              <w:t xml:space="preserve">analytical </w:t>
            </w:r>
            <w:r w:rsidR="00885175" w:rsidRPr="00924E89">
              <w:rPr>
                <w:rStyle w:val="Hyperlink"/>
                <w:rFonts w:ascii="Arial" w:hAnsi="Arial" w:cs="Arial"/>
                <w:color w:val="auto"/>
                <w:sz w:val="20"/>
                <w:szCs w:val="20"/>
                <w:u w:val="none"/>
              </w:rPr>
              <w:t>methods and their apparent Selenium is thus twice as high</w:t>
            </w:r>
            <w:r w:rsidR="00F919FB">
              <w:rPr>
                <w:rStyle w:val="Hyperlink"/>
                <w:rFonts w:ascii="Arial" w:hAnsi="Arial" w:cs="Arial"/>
                <w:color w:val="auto"/>
                <w:sz w:val="20"/>
                <w:szCs w:val="20"/>
                <w:u w:val="none"/>
              </w:rPr>
              <w:t xml:space="preserve"> as in 2010-2014</w:t>
            </w:r>
            <w:r w:rsidR="00885175" w:rsidRPr="00924E89">
              <w:rPr>
                <w:rStyle w:val="Hyperlink"/>
                <w:rFonts w:ascii="Arial" w:hAnsi="Arial" w:cs="Arial"/>
                <w:color w:val="auto"/>
                <w:sz w:val="20"/>
                <w:szCs w:val="20"/>
                <w:u w:val="none"/>
              </w:rPr>
              <w:t>.  They will be allowed to develop a translator for their Selenium data</w:t>
            </w:r>
            <w:r w:rsidR="00F919FB">
              <w:rPr>
                <w:rStyle w:val="Hyperlink"/>
                <w:rFonts w:ascii="Arial" w:hAnsi="Arial" w:cs="Arial"/>
                <w:color w:val="auto"/>
                <w:sz w:val="20"/>
                <w:szCs w:val="20"/>
                <w:u w:val="none"/>
              </w:rPr>
              <w:t xml:space="preserve"> to demonstrate the new data is equivalent to their previous data</w:t>
            </w:r>
            <w:r w:rsidR="00885175" w:rsidRPr="00924E89">
              <w:rPr>
                <w:rStyle w:val="Hyperlink"/>
                <w:rFonts w:ascii="Arial" w:hAnsi="Arial" w:cs="Arial"/>
                <w:color w:val="auto"/>
                <w:sz w:val="20"/>
                <w:szCs w:val="20"/>
                <w:u w:val="none"/>
              </w:rPr>
              <w:t>.</w:t>
            </w:r>
          </w:p>
          <w:p w14:paraId="6AF6BA4F" w14:textId="77777777" w:rsidR="00316300" w:rsidRPr="00924E89" w:rsidRDefault="00885175" w:rsidP="00885175">
            <w:pPr>
              <w:numPr>
                <w:ilvl w:val="0"/>
                <w:numId w:val="7"/>
              </w:numPr>
              <w:ind w:left="319"/>
              <w:rPr>
                <w:rFonts w:ascii="Arial" w:hAnsi="Arial" w:cs="Arial"/>
                <w:sz w:val="20"/>
                <w:szCs w:val="20"/>
              </w:rPr>
            </w:pPr>
            <w:r w:rsidRPr="00924E89">
              <w:rPr>
                <w:rStyle w:val="Hyperlink"/>
                <w:rFonts w:ascii="Arial" w:hAnsi="Arial" w:cs="Arial"/>
                <w:color w:val="auto"/>
                <w:sz w:val="20"/>
                <w:szCs w:val="20"/>
                <w:u w:val="none"/>
              </w:rPr>
              <w:t>Stormwater MRP Set for adoption 11/18</w:t>
            </w:r>
          </w:p>
        </w:tc>
      </w:tr>
      <w:tr w:rsidR="009E70B4" w:rsidRPr="00924E89" w14:paraId="1C1FA1F5"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0A488B96" w14:textId="77777777" w:rsidR="004B2C47" w:rsidRPr="00924E89" w:rsidRDefault="009E70B4" w:rsidP="00016F2C">
            <w:pPr>
              <w:spacing w:before="60"/>
              <w:rPr>
                <w:rFonts w:ascii="Arial" w:hAnsi="Arial" w:cs="Arial"/>
                <w:sz w:val="20"/>
                <w:szCs w:val="20"/>
              </w:rPr>
            </w:pPr>
            <w:r w:rsidRPr="00924E89">
              <w:rPr>
                <w:rFonts w:ascii="Arial" w:hAnsi="Arial" w:cs="Arial"/>
                <w:b/>
                <w:sz w:val="20"/>
                <w:szCs w:val="20"/>
              </w:rPr>
              <w:t xml:space="preserve">Next BACWA Permits Committee Meeting:  </w:t>
            </w:r>
            <w:r w:rsidRPr="00924E89">
              <w:rPr>
                <w:rFonts w:ascii="Arial" w:hAnsi="Arial" w:cs="Arial"/>
                <w:sz w:val="20"/>
                <w:szCs w:val="20"/>
              </w:rPr>
              <w:t xml:space="preserve">Tuesday, </w:t>
            </w:r>
            <w:r w:rsidR="00016F2C" w:rsidRPr="00924E89">
              <w:rPr>
                <w:rFonts w:ascii="Arial" w:hAnsi="Arial" w:cs="Arial"/>
                <w:sz w:val="20"/>
                <w:szCs w:val="20"/>
              </w:rPr>
              <w:t>December 15, 11-2pm</w:t>
            </w:r>
            <w:r w:rsidRPr="00924E89">
              <w:rPr>
                <w:rFonts w:ascii="Arial" w:hAnsi="Arial" w:cs="Arial"/>
                <w:sz w:val="20"/>
                <w:szCs w:val="20"/>
              </w:rPr>
              <w:t>, at EBMUD Plant Library</w:t>
            </w:r>
            <w:r w:rsidR="00A41406" w:rsidRPr="00924E89">
              <w:rPr>
                <w:rFonts w:ascii="Arial" w:hAnsi="Arial" w:cs="Arial"/>
                <w:sz w:val="20"/>
                <w:szCs w:val="20"/>
              </w:rPr>
              <w:t>.</w:t>
            </w:r>
            <w:r w:rsidR="00316300" w:rsidRPr="00924E89">
              <w:rPr>
                <w:rFonts w:ascii="Arial" w:hAnsi="Arial" w:cs="Arial"/>
                <w:sz w:val="20"/>
                <w:szCs w:val="20"/>
              </w:rPr>
              <w:t xml:space="preserve"> </w:t>
            </w:r>
            <w:r w:rsidR="00016F2C" w:rsidRPr="00924E89">
              <w:rPr>
                <w:rFonts w:ascii="Arial" w:hAnsi="Arial" w:cs="Arial"/>
                <w:sz w:val="20"/>
                <w:szCs w:val="20"/>
              </w:rPr>
              <w:t>Holiday Luncheon and Regional Water Board Staff to attend</w:t>
            </w:r>
            <w:r w:rsidR="004E6DCD">
              <w:rPr>
                <w:rFonts w:ascii="Arial" w:hAnsi="Arial" w:cs="Arial"/>
                <w:sz w:val="20"/>
                <w:szCs w:val="20"/>
              </w:rPr>
              <w:t xml:space="preserve">.  </w:t>
            </w:r>
          </w:p>
        </w:tc>
      </w:tr>
    </w:tbl>
    <w:p w14:paraId="0494EAC8" w14:textId="77777777" w:rsidR="000E1846" w:rsidRPr="00265445" w:rsidRDefault="000E1846" w:rsidP="003A1C9C">
      <w:pPr>
        <w:rPr>
          <w:rFonts w:cs="Arial"/>
        </w:rPr>
      </w:pPr>
    </w:p>
    <w:sectPr w:rsidR="000E1846" w:rsidRPr="00265445" w:rsidSect="004931F3">
      <w:footerReference w:type="even" r:id="rId17"/>
      <w:footerReference w:type="default" r:id="rId18"/>
      <w:headerReference w:type="first" r:id="rId19"/>
      <w:footerReference w:type="first" r:id="rId20"/>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0832" w14:textId="77777777" w:rsidR="00FB77D0" w:rsidRDefault="00FB77D0">
      <w:r>
        <w:separator/>
      </w:r>
    </w:p>
  </w:endnote>
  <w:endnote w:type="continuationSeparator" w:id="0">
    <w:p w14:paraId="606FEB3F" w14:textId="77777777" w:rsidR="00FB77D0" w:rsidRDefault="00FB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591" w14:textId="77777777" w:rsidR="00E00A4C" w:rsidRDefault="00E00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96712B" w14:textId="77777777" w:rsidR="00E00A4C" w:rsidRDefault="00E00A4C">
    <w:pPr>
      <w:ind w:left="-1080"/>
    </w:pPr>
  </w:p>
  <w:p w14:paraId="27806221" w14:textId="77777777" w:rsidR="00E00A4C" w:rsidRDefault="00E00A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7B6A" w14:textId="77777777" w:rsidR="00E00A4C" w:rsidRPr="00944BEA" w:rsidRDefault="00E00A4C"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622284">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3C00" w14:textId="77777777" w:rsidR="00E00A4C" w:rsidRDefault="00E00A4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D259" w14:textId="77777777" w:rsidR="00FB77D0" w:rsidRDefault="00FB77D0">
      <w:r>
        <w:separator/>
      </w:r>
    </w:p>
  </w:footnote>
  <w:footnote w:type="continuationSeparator" w:id="0">
    <w:p w14:paraId="3BDBB573" w14:textId="77777777" w:rsidR="00FB77D0" w:rsidRDefault="00FB7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9EA3" w14:textId="77777777" w:rsidR="00E00A4C" w:rsidRDefault="00E00A4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37544"/>
    <w:multiLevelType w:val="hybridMultilevel"/>
    <w:tmpl w:val="F6BC23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3B91"/>
    <w:multiLevelType w:val="hybridMultilevel"/>
    <w:tmpl w:val="F818525A"/>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8"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0"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7"/>
  </w:num>
  <w:num w:numId="3">
    <w:abstractNumId w:val="9"/>
  </w:num>
  <w:num w:numId="4">
    <w:abstractNumId w:val="10"/>
  </w:num>
  <w:num w:numId="5">
    <w:abstractNumId w:val="5"/>
  </w:num>
  <w:num w:numId="6">
    <w:abstractNumId w:val="1"/>
  </w:num>
  <w:num w:numId="7">
    <w:abstractNumId w:val="2"/>
  </w:num>
  <w:num w:numId="8">
    <w:abstractNumId w:val="4"/>
  </w:num>
  <w:num w:numId="9">
    <w:abstractNumId w:val="3"/>
  </w:num>
  <w:num w:numId="10">
    <w:abstractNumId w:val="6"/>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4A98"/>
    <w:rsid w:val="000A4C0B"/>
    <w:rsid w:val="000B1F33"/>
    <w:rsid w:val="000B1F9D"/>
    <w:rsid w:val="000B23BF"/>
    <w:rsid w:val="000B29CE"/>
    <w:rsid w:val="000B2A82"/>
    <w:rsid w:val="000B4209"/>
    <w:rsid w:val="000B4BDF"/>
    <w:rsid w:val="000B54B2"/>
    <w:rsid w:val="000B7801"/>
    <w:rsid w:val="000C32F3"/>
    <w:rsid w:val="000C4DF8"/>
    <w:rsid w:val="000C5A68"/>
    <w:rsid w:val="000C5E40"/>
    <w:rsid w:val="000C687B"/>
    <w:rsid w:val="000C6FE4"/>
    <w:rsid w:val="000D0243"/>
    <w:rsid w:val="000D1979"/>
    <w:rsid w:val="000D27CE"/>
    <w:rsid w:val="000D40DF"/>
    <w:rsid w:val="000D615B"/>
    <w:rsid w:val="000D61E2"/>
    <w:rsid w:val="000E1846"/>
    <w:rsid w:val="000E33E3"/>
    <w:rsid w:val="000E4FFE"/>
    <w:rsid w:val="000F07E5"/>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61B5"/>
    <w:rsid w:val="00351370"/>
    <w:rsid w:val="0035184E"/>
    <w:rsid w:val="0035448D"/>
    <w:rsid w:val="0035613D"/>
    <w:rsid w:val="00356612"/>
    <w:rsid w:val="00363B1D"/>
    <w:rsid w:val="003672B0"/>
    <w:rsid w:val="00370447"/>
    <w:rsid w:val="003709F3"/>
    <w:rsid w:val="00373DB3"/>
    <w:rsid w:val="003768B9"/>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B3513"/>
    <w:rsid w:val="003B3DF4"/>
    <w:rsid w:val="003B7B15"/>
    <w:rsid w:val="003C3654"/>
    <w:rsid w:val="003C6D0E"/>
    <w:rsid w:val="003D2D36"/>
    <w:rsid w:val="003D51FB"/>
    <w:rsid w:val="003E33D2"/>
    <w:rsid w:val="003E45C6"/>
    <w:rsid w:val="003E7490"/>
    <w:rsid w:val="003F1CA8"/>
    <w:rsid w:val="003F413C"/>
    <w:rsid w:val="003F642C"/>
    <w:rsid w:val="004004C3"/>
    <w:rsid w:val="004005D5"/>
    <w:rsid w:val="00400F92"/>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63E7"/>
    <w:rsid w:val="00487788"/>
    <w:rsid w:val="0049235A"/>
    <w:rsid w:val="00492F8A"/>
    <w:rsid w:val="004931F3"/>
    <w:rsid w:val="004950EB"/>
    <w:rsid w:val="00495EC6"/>
    <w:rsid w:val="00495F42"/>
    <w:rsid w:val="0049664C"/>
    <w:rsid w:val="004A000E"/>
    <w:rsid w:val="004A1867"/>
    <w:rsid w:val="004A602F"/>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3E4C"/>
    <w:rsid w:val="00524A35"/>
    <w:rsid w:val="00527204"/>
    <w:rsid w:val="00527EE7"/>
    <w:rsid w:val="005302F1"/>
    <w:rsid w:val="005314DA"/>
    <w:rsid w:val="00534BF0"/>
    <w:rsid w:val="00535E9D"/>
    <w:rsid w:val="005360EA"/>
    <w:rsid w:val="00541789"/>
    <w:rsid w:val="00543508"/>
    <w:rsid w:val="005442F1"/>
    <w:rsid w:val="00546FF9"/>
    <w:rsid w:val="0054789A"/>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9B9"/>
    <w:rsid w:val="00637E87"/>
    <w:rsid w:val="00641547"/>
    <w:rsid w:val="00642A64"/>
    <w:rsid w:val="00642BFE"/>
    <w:rsid w:val="006463F6"/>
    <w:rsid w:val="00646B39"/>
    <w:rsid w:val="0065007C"/>
    <w:rsid w:val="0065582E"/>
    <w:rsid w:val="00655940"/>
    <w:rsid w:val="00655ED2"/>
    <w:rsid w:val="006576EF"/>
    <w:rsid w:val="00672467"/>
    <w:rsid w:val="006732E3"/>
    <w:rsid w:val="00673E1E"/>
    <w:rsid w:val="006746A8"/>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117B"/>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2ED4"/>
    <w:rsid w:val="00844FB5"/>
    <w:rsid w:val="008456D8"/>
    <w:rsid w:val="00847335"/>
    <w:rsid w:val="008506D9"/>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175"/>
    <w:rsid w:val="00885A41"/>
    <w:rsid w:val="00886A72"/>
    <w:rsid w:val="008902F4"/>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79AC"/>
    <w:rsid w:val="00942223"/>
    <w:rsid w:val="009448A9"/>
    <w:rsid w:val="00944BEA"/>
    <w:rsid w:val="0094667D"/>
    <w:rsid w:val="00947421"/>
    <w:rsid w:val="00950EFC"/>
    <w:rsid w:val="00953DFE"/>
    <w:rsid w:val="0096016E"/>
    <w:rsid w:val="009608F3"/>
    <w:rsid w:val="0096120C"/>
    <w:rsid w:val="0096225C"/>
    <w:rsid w:val="009657A6"/>
    <w:rsid w:val="009721D4"/>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5AAF"/>
    <w:rsid w:val="00AB79A9"/>
    <w:rsid w:val="00AC148F"/>
    <w:rsid w:val="00AC16EE"/>
    <w:rsid w:val="00AC190E"/>
    <w:rsid w:val="00AC491E"/>
    <w:rsid w:val="00AC62E4"/>
    <w:rsid w:val="00AC7F92"/>
    <w:rsid w:val="00AD1B01"/>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20F4"/>
    <w:rsid w:val="00BA6A95"/>
    <w:rsid w:val="00BB0E29"/>
    <w:rsid w:val="00BB3194"/>
    <w:rsid w:val="00BB6884"/>
    <w:rsid w:val="00BB7215"/>
    <w:rsid w:val="00BC0FC4"/>
    <w:rsid w:val="00BC5D31"/>
    <w:rsid w:val="00BD4C6C"/>
    <w:rsid w:val="00BD5BDE"/>
    <w:rsid w:val="00BD7612"/>
    <w:rsid w:val="00BE4692"/>
    <w:rsid w:val="00BE475E"/>
    <w:rsid w:val="00BE6457"/>
    <w:rsid w:val="00BE6EF0"/>
    <w:rsid w:val="00BF2AA0"/>
    <w:rsid w:val="00BF458B"/>
    <w:rsid w:val="00BF5D5B"/>
    <w:rsid w:val="00BF7BF6"/>
    <w:rsid w:val="00C00E5B"/>
    <w:rsid w:val="00C02599"/>
    <w:rsid w:val="00C031F7"/>
    <w:rsid w:val="00C03EA6"/>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96D89"/>
    <w:rsid w:val="00CA2E28"/>
    <w:rsid w:val="00CA3EDC"/>
    <w:rsid w:val="00CA5267"/>
    <w:rsid w:val="00CA5FF5"/>
    <w:rsid w:val="00CA704C"/>
    <w:rsid w:val="00CA7BDA"/>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0A4C"/>
    <w:rsid w:val="00E013C4"/>
    <w:rsid w:val="00E02BB9"/>
    <w:rsid w:val="00E039BE"/>
    <w:rsid w:val="00E0514F"/>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4483"/>
    <w:rsid w:val="00E75515"/>
    <w:rsid w:val="00E7567B"/>
    <w:rsid w:val="00E75B94"/>
    <w:rsid w:val="00E772E2"/>
    <w:rsid w:val="00E8358B"/>
    <w:rsid w:val="00E84BE1"/>
    <w:rsid w:val="00E86D00"/>
    <w:rsid w:val="00E92267"/>
    <w:rsid w:val="00E951CA"/>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24E8"/>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311D"/>
    <w:rsid w:val="00F64157"/>
    <w:rsid w:val="00F64EDE"/>
    <w:rsid w:val="00F6571D"/>
    <w:rsid w:val="00F67815"/>
    <w:rsid w:val="00F70495"/>
    <w:rsid w:val="00F70569"/>
    <w:rsid w:val="00F7166D"/>
    <w:rsid w:val="00F721AD"/>
    <w:rsid w:val="00F77BBA"/>
    <w:rsid w:val="00F8276D"/>
    <w:rsid w:val="00F82EAD"/>
    <w:rsid w:val="00F85D4E"/>
    <w:rsid w:val="00F86078"/>
    <w:rsid w:val="00F919FB"/>
    <w:rsid w:val="00F95183"/>
    <w:rsid w:val="00F95B4C"/>
    <w:rsid w:val="00FA01E8"/>
    <w:rsid w:val="00FA6B57"/>
    <w:rsid w:val="00FA7B07"/>
    <w:rsid w:val="00FA7F6F"/>
    <w:rsid w:val="00FB338E"/>
    <w:rsid w:val="00FB3C86"/>
    <w:rsid w:val="00FB4685"/>
    <w:rsid w:val="00FB77D0"/>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8215A"/>
  <w15:docId w15:val="{CE0B56B0-D3AA-41E8-B9AE-FB8EB37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uiPriority w:val="99"/>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ei.org/documents/microplastic-contamination-san-francisco-bay" TargetMode="External"/><Relationship Id="rId13" Type="http://schemas.openxmlformats.org/officeDocument/2006/relationships/hyperlink" Target="http://sfbaynutrients.sfei.org/sites/default/files/LSB_Synthesis_Draft_June%202015.b.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olderview?id=0B1g4fIYKHETSTEpxQWc0VkVkZjQ&amp;usp=drive_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aterboards.ca.gov/sanfranciscobay/water_issues/programs/TMDLs/seleniumtmdl.s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wp-content/uploads/2015/11/Group-Annual-Report-2015_FINAL_20151111.pdf" TargetMode="External"/><Relationship Id="rId5" Type="http://schemas.openxmlformats.org/officeDocument/2006/relationships/webSettings" Target="webSettings.xml"/><Relationship Id="rId15" Type="http://schemas.openxmlformats.org/officeDocument/2006/relationships/hyperlink" Target="https://docs.google.com/forms/d/1Oe86DYqEcAHpulHAVR6cABaG8Q-8mnRPTgC8LYAbsac/viewform" TargetMode="External"/><Relationship Id="rId10" Type="http://schemas.openxmlformats.org/officeDocument/2006/relationships/hyperlink" Target="http://bacwa.us9.list-manage.com/track/click?u=abb45826af7a505f03d266885&amp;id=9fdc9207ea&amp;e=ccef66879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cwa.us9.list-manage2.com/track/click?u=abb45826af7a505f03d266885&amp;id=2fc90b2fec&amp;e=ccef66879d" TargetMode="External"/><Relationship Id="rId14" Type="http://schemas.openxmlformats.org/officeDocument/2006/relationships/hyperlink" Target="http://bacwa.org/wp-content/uploads/2015/08/Arleen-Navarret-Biennial-Award-Nomination-Form-2016-Award.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5DEE6-2740-4B75-AC6B-6313AFA9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TotalTime>
  <Pages>3</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2015-11-17T18:02:00Z</dcterms:created>
  <dcterms:modified xsi:type="dcterms:W3CDTF">2015-11-17T18:02:00Z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