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492"/>
        <w:tblW w:w="11088" w:type="dxa"/>
        <w:tblLook w:val="0000" w:firstRow="0" w:lastRow="0" w:firstColumn="0" w:lastColumn="0" w:noHBand="0" w:noVBand="0"/>
      </w:tblPr>
      <w:tblGrid>
        <w:gridCol w:w="4218"/>
        <w:gridCol w:w="6870"/>
      </w:tblGrid>
      <w:tr w:rsidR="000E1846" w:rsidRPr="00A25D7A">
        <w:trPr>
          <w:trHeight w:val="835"/>
        </w:trPr>
        <w:tc>
          <w:tcPr>
            <w:tcW w:w="3978" w:type="dxa"/>
          </w:tcPr>
          <w:p w:rsidR="000E1846" w:rsidRPr="00A25D7A" w:rsidRDefault="000E1846" w:rsidP="00C57D4C">
            <w:pPr>
              <w:pStyle w:val="CompanyName"/>
              <w:spacing w:line="240" w:lineRule="auto"/>
              <w:ind w:left="180"/>
              <w:rPr>
                <w:rFonts w:ascii="Arial" w:hAnsi="Arial" w:cs="Arial"/>
                <w:szCs w:val="32"/>
              </w:rPr>
            </w:pPr>
            <w:bookmarkStart w:id="0" w:name="_GoBack"/>
            <w:bookmarkEnd w:id="0"/>
            <w:r w:rsidRPr="00A25D7A">
              <w:rPr>
                <w:rFonts w:ascii="Arial" w:hAnsi="Arial" w:cs="Arial"/>
                <w:szCs w:val="32"/>
              </w:rPr>
              <w:t xml:space="preserve">Permits Committee – </w:t>
            </w:r>
          </w:p>
          <w:p w:rsidR="000E1846" w:rsidRPr="00A25D7A" w:rsidRDefault="000E1846" w:rsidP="00C57D4C">
            <w:pPr>
              <w:pStyle w:val="CompanyName"/>
              <w:spacing w:line="240" w:lineRule="auto"/>
              <w:ind w:left="180"/>
              <w:rPr>
                <w:rFonts w:ascii="Arial" w:hAnsi="Arial" w:cs="Arial"/>
                <w:szCs w:val="32"/>
              </w:rPr>
            </w:pPr>
            <w:r w:rsidRPr="00A25D7A">
              <w:rPr>
                <w:rFonts w:ascii="Arial" w:hAnsi="Arial" w:cs="Arial"/>
                <w:szCs w:val="32"/>
              </w:rPr>
              <w:t>Report to BACWA Board</w:t>
            </w:r>
          </w:p>
        </w:tc>
        <w:tc>
          <w:tcPr>
            <w:tcW w:w="6480" w:type="dxa"/>
          </w:tcPr>
          <w:p w:rsidR="000E1846" w:rsidRPr="00A25D7A" w:rsidRDefault="00DB504A" w:rsidP="00C57D4C">
            <w:pPr>
              <w:pStyle w:val="ReturnAddress"/>
              <w:framePr w:w="0" w:hRule="auto" w:wrap="auto" w:vAnchor="margin" w:hAnchor="text" w:xAlign="left" w:yAlign="inline" w:anchorLock="0"/>
              <w:spacing w:line="240" w:lineRule="auto"/>
              <w:ind w:left="180"/>
              <w:rPr>
                <w:rFonts w:ascii="Arial" w:hAnsi="Arial" w:cs="Arial"/>
                <w:sz w:val="22"/>
                <w:szCs w:val="22"/>
              </w:rPr>
            </w:pPr>
            <w:r w:rsidRPr="00A25D7A">
              <w:rPr>
                <w:rFonts w:ascii="Arial" w:hAnsi="Arial" w:cs="Arial"/>
                <w:sz w:val="22"/>
                <w:szCs w:val="22"/>
              </w:rPr>
              <w:t>Permits Committee Meeting on</w:t>
            </w:r>
            <w:r w:rsidR="000E1846" w:rsidRPr="00A25D7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C1809">
              <w:rPr>
                <w:rFonts w:ascii="Arial" w:hAnsi="Arial" w:cs="Arial"/>
                <w:sz w:val="22"/>
                <w:szCs w:val="22"/>
              </w:rPr>
              <w:t>6/14</w:t>
            </w:r>
            <w:r w:rsidR="008675FA" w:rsidRPr="00A25D7A">
              <w:rPr>
                <w:rFonts w:ascii="Arial" w:hAnsi="Arial" w:cs="Arial"/>
                <w:sz w:val="22"/>
                <w:szCs w:val="22"/>
              </w:rPr>
              <w:t>/1</w:t>
            </w:r>
            <w:r w:rsidR="00544C3C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8946B7" w:rsidRPr="00A25D7A" w:rsidRDefault="000E1846" w:rsidP="00C57D4C">
            <w:pPr>
              <w:pStyle w:val="ReturnAddress"/>
              <w:framePr w:w="0" w:hRule="auto" w:wrap="auto" w:vAnchor="margin" w:hAnchor="text" w:xAlign="left" w:yAlign="inline" w:anchorLock="0"/>
              <w:spacing w:line="240" w:lineRule="auto"/>
              <w:ind w:left="180"/>
              <w:rPr>
                <w:rFonts w:ascii="Arial" w:hAnsi="Arial" w:cs="Arial"/>
                <w:sz w:val="22"/>
                <w:szCs w:val="22"/>
              </w:rPr>
            </w:pPr>
            <w:r w:rsidRPr="00A25D7A">
              <w:rPr>
                <w:rFonts w:ascii="Arial" w:hAnsi="Arial" w:cs="Arial"/>
                <w:sz w:val="22"/>
                <w:szCs w:val="22"/>
              </w:rPr>
              <w:t xml:space="preserve">Executive Board Meeting Date: </w:t>
            </w:r>
            <w:r w:rsidR="00EC1809">
              <w:rPr>
                <w:rFonts w:ascii="Arial" w:hAnsi="Arial" w:cs="Arial"/>
                <w:sz w:val="22"/>
                <w:szCs w:val="22"/>
              </w:rPr>
              <w:t>6</w:t>
            </w:r>
            <w:r w:rsidR="008675FA" w:rsidRPr="00A25D7A">
              <w:rPr>
                <w:rFonts w:ascii="Arial" w:hAnsi="Arial" w:cs="Arial"/>
                <w:sz w:val="22"/>
                <w:szCs w:val="22"/>
              </w:rPr>
              <w:t>/</w:t>
            </w:r>
            <w:r w:rsidR="00EC1809">
              <w:rPr>
                <w:rFonts w:ascii="Arial" w:hAnsi="Arial" w:cs="Arial"/>
                <w:sz w:val="22"/>
                <w:szCs w:val="22"/>
              </w:rPr>
              <w:t>17</w:t>
            </w:r>
            <w:r w:rsidR="00893499" w:rsidRPr="00A25D7A">
              <w:rPr>
                <w:rFonts w:ascii="Arial" w:hAnsi="Arial" w:cs="Arial"/>
                <w:sz w:val="22"/>
                <w:szCs w:val="22"/>
              </w:rPr>
              <w:t>/1</w:t>
            </w:r>
            <w:r w:rsidR="00544C3C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0E1846" w:rsidRPr="00A25D7A" w:rsidRDefault="005302F1" w:rsidP="00E23C8D">
            <w:pPr>
              <w:pStyle w:val="ReturnAddress"/>
              <w:framePr w:w="0" w:hRule="auto" w:wrap="auto" w:vAnchor="margin" w:hAnchor="text" w:xAlign="left" w:yAlign="inline" w:anchorLock="0"/>
              <w:spacing w:line="240" w:lineRule="auto"/>
              <w:ind w:left="180"/>
              <w:rPr>
                <w:rFonts w:ascii="Arial" w:hAnsi="Arial" w:cs="Arial"/>
                <w:sz w:val="22"/>
                <w:szCs w:val="22"/>
              </w:rPr>
            </w:pPr>
            <w:r w:rsidRPr="00A25D7A">
              <w:rPr>
                <w:rFonts w:ascii="Arial" w:hAnsi="Arial" w:cs="Arial"/>
                <w:sz w:val="22"/>
                <w:szCs w:val="22"/>
              </w:rPr>
              <w:t xml:space="preserve">Committee Chair:  </w:t>
            </w:r>
            <w:r w:rsidR="00E23C8D" w:rsidRPr="00A25D7A">
              <w:rPr>
                <w:rFonts w:ascii="Arial" w:hAnsi="Arial" w:cs="Arial"/>
                <w:sz w:val="22"/>
                <w:szCs w:val="22"/>
              </w:rPr>
              <w:t xml:space="preserve"> Amanda Roa</w:t>
            </w:r>
            <w:r w:rsidR="000E1846" w:rsidRPr="00A25D7A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933736" w:rsidRPr="00A25D7A" w:rsidRDefault="000E1846" w:rsidP="00211E06">
      <w:pPr>
        <w:spacing w:before="120" w:after="120"/>
        <w:ind w:left="180"/>
        <w:rPr>
          <w:rFonts w:ascii="Arial" w:hAnsi="Arial" w:cs="Arial"/>
          <w:b/>
        </w:rPr>
      </w:pPr>
      <w:r w:rsidRPr="00A25D7A">
        <w:rPr>
          <w:rFonts w:ascii="Arial" w:hAnsi="Arial" w:cs="Arial"/>
          <w:b/>
          <w:u w:val="single"/>
        </w:rPr>
        <w:t>Committee Request for Board Action</w:t>
      </w:r>
      <w:r w:rsidRPr="00A25D7A">
        <w:rPr>
          <w:rFonts w:ascii="Arial" w:hAnsi="Arial" w:cs="Arial"/>
          <w:b/>
        </w:rPr>
        <w:t xml:space="preserve">: </w:t>
      </w:r>
      <w:r w:rsidR="001C5DB2" w:rsidRPr="00A25D7A">
        <w:rPr>
          <w:rFonts w:ascii="Arial" w:hAnsi="Arial" w:cs="Arial"/>
          <w:b/>
        </w:rPr>
        <w:t>None</w:t>
      </w:r>
    </w:p>
    <w:p w:rsidR="006D1A87" w:rsidRPr="00A25D7A" w:rsidRDefault="00FD362A" w:rsidP="006D1A87">
      <w:pPr>
        <w:ind w:left="187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21</w:t>
      </w:r>
      <w:proofErr w:type="gramEnd"/>
      <w:r w:rsidR="00CC0AFA">
        <w:rPr>
          <w:rFonts w:ascii="Arial" w:hAnsi="Arial" w:cs="Arial"/>
          <w:b/>
        </w:rPr>
        <w:t xml:space="preserve"> </w:t>
      </w:r>
      <w:r w:rsidR="008675FA" w:rsidRPr="00A25D7A">
        <w:rPr>
          <w:rFonts w:ascii="Arial" w:hAnsi="Arial" w:cs="Arial"/>
          <w:b/>
        </w:rPr>
        <w:t>attendees, representing 1</w:t>
      </w:r>
      <w:r w:rsidR="00581D94">
        <w:rPr>
          <w:rFonts w:ascii="Arial" w:hAnsi="Arial" w:cs="Arial"/>
          <w:b/>
        </w:rPr>
        <w:t>2</w:t>
      </w:r>
      <w:r w:rsidR="008675FA" w:rsidRPr="00A25D7A">
        <w:rPr>
          <w:rFonts w:ascii="Arial" w:hAnsi="Arial" w:cs="Arial"/>
          <w:b/>
        </w:rPr>
        <w:t xml:space="preserve"> member agencies</w:t>
      </w:r>
    </w:p>
    <w:tbl>
      <w:tblPr>
        <w:tblW w:w="105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30"/>
      </w:tblGrid>
      <w:tr w:rsidR="009E70B4" w:rsidRPr="00A25D7A" w:rsidTr="004243F0">
        <w:trPr>
          <w:cantSplit/>
          <w:trHeight w:val="161"/>
        </w:trPr>
        <w:tc>
          <w:tcPr>
            <w:tcW w:w="10530" w:type="dxa"/>
          </w:tcPr>
          <w:p w:rsidR="009E70B4" w:rsidRPr="00A25D7A" w:rsidRDefault="009E70B4" w:rsidP="004243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5D7A">
              <w:rPr>
                <w:rFonts w:ascii="Arial" w:hAnsi="Arial" w:cs="Arial"/>
                <w:b/>
                <w:sz w:val="20"/>
                <w:szCs w:val="20"/>
              </w:rPr>
              <w:t xml:space="preserve">Adoption of Permits/Permit Amendments:  </w:t>
            </w:r>
          </w:p>
          <w:p w:rsidR="00E43D49" w:rsidRPr="00E11165" w:rsidRDefault="00E43D49" w:rsidP="00AE21E4">
            <w:pPr>
              <w:ind w:left="769" w:hanging="7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July </w:t>
            </w:r>
            <w:r w:rsidR="00E11165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1165">
              <w:rPr>
                <w:rFonts w:ascii="Arial" w:hAnsi="Arial" w:cs="Arial"/>
                <w:i/>
                <w:sz w:val="20"/>
                <w:szCs w:val="20"/>
              </w:rPr>
              <w:t xml:space="preserve">Napa </w:t>
            </w:r>
            <w:r w:rsidR="00891714">
              <w:rPr>
                <w:rFonts w:ascii="Arial" w:hAnsi="Arial" w:cs="Arial"/>
                <w:sz w:val="20"/>
                <w:szCs w:val="20"/>
              </w:rPr>
              <w:t>– Napa is fine with their TO, which includes an updated discharge prohibition period</w:t>
            </w:r>
            <w:r w:rsidR="00E111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51FE8" w:rsidRPr="00A25D7A" w:rsidTr="004243F0">
        <w:trPr>
          <w:cantSplit/>
          <w:trHeight w:val="161"/>
        </w:trPr>
        <w:tc>
          <w:tcPr>
            <w:tcW w:w="10530" w:type="dxa"/>
          </w:tcPr>
          <w:p w:rsidR="00851FE8" w:rsidRDefault="00851FE8" w:rsidP="004243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Regional Water Board Report-out</w:t>
            </w:r>
          </w:p>
          <w:p w:rsidR="00851FE8" w:rsidRDefault="00851FE8" w:rsidP="00851FE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851FE8">
              <w:rPr>
                <w:rFonts w:ascii="Arial" w:hAnsi="Arial" w:cs="Arial"/>
                <w:sz w:val="20"/>
                <w:szCs w:val="20"/>
              </w:rPr>
              <w:t xml:space="preserve">There are several staff </w:t>
            </w:r>
            <w:r w:rsidR="00B0585F" w:rsidRPr="00851FE8">
              <w:rPr>
                <w:rFonts w:ascii="Arial" w:hAnsi="Arial" w:cs="Arial"/>
                <w:sz w:val="20"/>
                <w:szCs w:val="20"/>
              </w:rPr>
              <w:t>retirements</w:t>
            </w:r>
            <w:r w:rsidRPr="00851FE8">
              <w:rPr>
                <w:rFonts w:ascii="Arial" w:hAnsi="Arial" w:cs="Arial"/>
                <w:sz w:val="20"/>
                <w:szCs w:val="20"/>
              </w:rPr>
              <w:t xml:space="preserve"> on the horizon</w:t>
            </w:r>
          </w:p>
          <w:p w:rsidR="00851FE8" w:rsidRPr="00851FE8" w:rsidRDefault="00851FE8" w:rsidP="00851FE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Diane Feinstein’s </w:t>
            </w:r>
            <w:r w:rsidR="00E83311">
              <w:rPr>
                <w:rFonts w:ascii="Arial" w:hAnsi="Arial" w:cs="Arial"/>
                <w:sz w:val="20"/>
                <w:szCs w:val="20"/>
              </w:rPr>
              <w:t xml:space="preserve">office contacted Region 2 </w:t>
            </w:r>
            <w:r w:rsidR="00B02176">
              <w:rPr>
                <w:rFonts w:ascii="Arial" w:hAnsi="Arial" w:cs="Arial"/>
                <w:sz w:val="20"/>
                <w:szCs w:val="20"/>
              </w:rPr>
              <w:t xml:space="preserve">and Region 5 </w:t>
            </w:r>
            <w:r w:rsidR="00E83311">
              <w:rPr>
                <w:rFonts w:ascii="Arial" w:hAnsi="Arial" w:cs="Arial"/>
                <w:sz w:val="20"/>
                <w:szCs w:val="20"/>
              </w:rPr>
              <w:t>to ask about ammonia loading to Suisun Bay.</w:t>
            </w:r>
          </w:p>
        </w:tc>
      </w:tr>
      <w:tr w:rsidR="00AE21E4" w:rsidRPr="00A25D7A" w:rsidTr="004243F0">
        <w:trPr>
          <w:cantSplit/>
          <w:trHeight w:val="161"/>
        </w:trPr>
        <w:tc>
          <w:tcPr>
            <w:tcW w:w="10530" w:type="dxa"/>
          </w:tcPr>
          <w:p w:rsidR="00AE21E4" w:rsidRPr="00260C4E" w:rsidRDefault="00AE21E4" w:rsidP="004243F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0C4E">
              <w:rPr>
                <w:rFonts w:ascii="Arial" w:hAnsi="Arial" w:cs="Arial"/>
                <w:b/>
                <w:sz w:val="20"/>
                <w:szCs w:val="20"/>
              </w:rPr>
              <w:t>Microplastics</w:t>
            </w:r>
            <w:proofErr w:type="spellEnd"/>
            <w:r w:rsidRPr="00260C4E">
              <w:rPr>
                <w:rFonts w:ascii="Arial" w:hAnsi="Arial" w:cs="Arial"/>
                <w:b/>
                <w:sz w:val="20"/>
                <w:szCs w:val="20"/>
              </w:rPr>
              <w:t xml:space="preserve"> and CECs</w:t>
            </w:r>
          </w:p>
          <w:p w:rsidR="00851FE8" w:rsidRPr="00260C4E" w:rsidRDefault="00FD362A" w:rsidP="00851FE8">
            <w:pPr>
              <w:pStyle w:val="ListParagraph"/>
              <w:numPr>
                <w:ilvl w:val="0"/>
                <w:numId w:val="16"/>
              </w:num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260C4E">
              <w:rPr>
                <w:rFonts w:ascii="Arial" w:hAnsi="Arial" w:cs="Arial"/>
                <w:i/>
                <w:sz w:val="20"/>
                <w:szCs w:val="20"/>
              </w:rPr>
              <w:t xml:space="preserve">CEC monitoring </w:t>
            </w:r>
            <w:r w:rsidRPr="00260C4E">
              <w:rPr>
                <w:rFonts w:ascii="Arial" w:hAnsi="Arial" w:cs="Arial"/>
                <w:sz w:val="20"/>
                <w:szCs w:val="20"/>
              </w:rPr>
              <w:t>- Staff from SFEI attended</w:t>
            </w:r>
            <w:r w:rsidR="00F636BE">
              <w:rPr>
                <w:rFonts w:ascii="Arial" w:hAnsi="Arial" w:cs="Arial"/>
                <w:sz w:val="20"/>
                <w:szCs w:val="20"/>
              </w:rPr>
              <w:t xml:space="preserve"> the committee meeting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 to describe their offer of assistance in pooling resources to do CECs analyses, and</w:t>
            </w:r>
            <w:r w:rsidR="00D36CF3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 provide study design and analyses as needed.</w:t>
            </w:r>
            <w:r w:rsidR="00D36CF3" w:rsidRPr="00260C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D36CF3" w:rsidRPr="00260C4E">
              <w:rPr>
                <w:rFonts w:ascii="Arial" w:hAnsi="Arial" w:cs="Arial"/>
                <w:sz w:val="20"/>
                <w:szCs w:val="20"/>
              </w:rPr>
              <w:t>Analyses will be done by Axis Analytical</w:t>
            </w:r>
            <w:proofErr w:type="gramEnd"/>
            <w:r w:rsidR="00D36CF3" w:rsidRPr="00260C4E">
              <w:rPr>
                <w:rFonts w:ascii="Arial" w:hAnsi="Arial" w:cs="Arial"/>
                <w:sz w:val="20"/>
                <w:szCs w:val="20"/>
              </w:rPr>
              <w:t xml:space="preserve">, although SFEI offered to explore options in the US.  BACWA may serve as a contracting agency if procurement is a problem to send funds to a Canadian company. 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 Agencies that participate</w:t>
            </w:r>
            <w:r w:rsidR="00D36CF3">
              <w:rPr>
                <w:rFonts w:ascii="Arial" w:hAnsi="Arial" w:cs="Arial"/>
                <w:sz w:val="20"/>
                <w:szCs w:val="20"/>
              </w:rPr>
              <w:t xml:space="preserve"> in this sampling effort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 may elect not to share their data.</w:t>
            </w:r>
            <w:r w:rsidR="00D36CF3">
              <w:rPr>
                <w:rFonts w:ascii="Arial" w:hAnsi="Arial" w:cs="Arial"/>
                <w:sz w:val="20"/>
                <w:szCs w:val="20"/>
              </w:rPr>
              <w:t xml:space="preserve"> Data from agencies that do elect to share it </w:t>
            </w:r>
            <w:proofErr w:type="gramStart"/>
            <w:r w:rsidR="00D36CF3">
              <w:rPr>
                <w:rFonts w:ascii="Arial" w:hAnsi="Arial" w:cs="Arial"/>
                <w:sz w:val="20"/>
                <w:szCs w:val="20"/>
              </w:rPr>
              <w:t>may be used</w:t>
            </w:r>
            <w:proofErr w:type="gramEnd"/>
            <w:r w:rsidR="00D36CF3">
              <w:rPr>
                <w:rFonts w:ascii="Arial" w:hAnsi="Arial" w:cs="Arial"/>
                <w:sz w:val="20"/>
                <w:szCs w:val="20"/>
              </w:rPr>
              <w:t xml:space="preserve"> in a poster presentation or Fact Sheet, but not a press release.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1FE8" w:rsidRPr="00260C4E">
              <w:rPr>
                <w:rFonts w:ascii="Arial" w:hAnsi="Arial" w:cs="Arial"/>
                <w:sz w:val="20"/>
                <w:szCs w:val="20"/>
              </w:rPr>
              <w:t xml:space="preserve">There was a discussion about the value of this data in terms of bolstering Region 2’s CECs management strategy. SFEI will send BACWA data from previous CECs studies of the SF Bay. 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Interested agencies </w:t>
            </w:r>
            <w:r w:rsidR="00D36CF3">
              <w:rPr>
                <w:rFonts w:ascii="Arial" w:hAnsi="Arial" w:cs="Arial"/>
                <w:sz w:val="20"/>
                <w:szCs w:val="20"/>
              </w:rPr>
              <w:t xml:space="preserve">should respond 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D36CF3">
              <w:rPr>
                <w:rFonts w:ascii="Arial" w:hAnsi="Arial" w:cs="Arial"/>
                <w:sz w:val="20"/>
                <w:szCs w:val="20"/>
              </w:rPr>
              <w:t xml:space="preserve">SFEI’s </w:t>
            </w:r>
            <w:hyperlink r:id="rId8" w:history="1">
              <w:r w:rsidRPr="00260C4E">
                <w:rPr>
                  <w:rStyle w:val="Hyperlink"/>
                  <w:rFonts w:ascii="Arial" w:hAnsi="Arial" w:cs="Arial"/>
                  <w:sz w:val="20"/>
                  <w:szCs w:val="20"/>
                </w:rPr>
                <w:t>survey</w:t>
              </w:r>
            </w:hyperlink>
            <w:r w:rsidR="00D36CF3">
              <w:rPr>
                <w:rStyle w:val="Hyperlink"/>
                <w:rFonts w:ascii="Arial" w:hAnsi="Arial" w:cs="Arial"/>
                <w:sz w:val="20"/>
                <w:szCs w:val="20"/>
              </w:rPr>
              <w:t>.</w:t>
            </w:r>
          </w:p>
          <w:p w:rsidR="00851FE8" w:rsidRPr="00D36CF3" w:rsidRDefault="000C4B44" w:rsidP="00851FE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0C4E">
              <w:rPr>
                <w:rFonts w:ascii="Arial" w:hAnsi="Arial" w:cs="Arial"/>
                <w:i/>
                <w:sz w:val="20"/>
                <w:szCs w:val="20"/>
              </w:rPr>
              <w:t>Microplastics</w:t>
            </w:r>
            <w:proofErr w:type="spellEnd"/>
            <w:r w:rsidRPr="00260C4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51FE8" w:rsidRPr="00260C4E">
              <w:rPr>
                <w:rFonts w:ascii="Arial" w:hAnsi="Arial" w:cs="Arial"/>
                <w:i/>
                <w:sz w:val="20"/>
                <w:szCs w:val="20"/>
              </w:rPr>
              <w:t>Workshop</w:t>
            </w:r>
            <w:r w:rsidRPr="00260C4E">
              <w:rPr>
                <w:rFonts w:ascii="Arial" w:hAnsi="Arial" w:cs="Arial"/>
                <w:i/>
                <w:sz w:val="20"/>
                <w:szCs w:val="20"/>
              </w:rPr>
              <w:t xml:space="preserve"> – </w:t>
            </w:r>
            <w:r w:rsidR="00260C4E" w:rsidRPr="00260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51FE8" w:rsidRPr="00260C4E">
              <w:rPr>
                <w:rFonts w:ascii="Arial" w:hAnsi="Arial" w:cs="Arial"/>
                <w:sz w:val="20"/>
                <w:szCs w:val="20"/>
              </w:rPr>
              <w:t xml:space="preserve">meeting </w:t>
            </w:r>
            <w:proofErr w:type="gramStart"/>
            <w:r w:rsidR="00260C4E" w:rsidRPr="00260C4E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851FE8" w:rsidRPr="00260C4E">
              <w:rPr>
                <w:rFonts w:ascii="Arial" w:hAnsi="Arial" w:cs="Arial"/>
                <w:sz w:val="20"/>
                <w:szCs w:val="20"/>
              </w:rPr>
              <w:t>scheduled</w:t>
            </w:r>
            <w:proofErr w:type="gramEnd"/>
            <w:r w:rsidR="00851FE8" w:rsidRPr="00260C4E">
              <w:rPr>
                <w:rFonts w:ascii="Arial" w:hAnsi="Arial" w:cs="Arial"/>
                <w:sz w:val="20"/>
                <w:szCs w:val="20"/>
              </w:rPr>
              <w:t xml:space="preserve"> for 6/29. The agenda </w:t>
            </w:r>
            <w:proofErr w:type="gramStart"/>
            <w:r w:rsidR="00851FE8" w:rsidRPr="00260C4E">
              <w:rPr>
                <w:rFonts w:ascii="Arial" w:hAnsi="Arial" w:cs="Arial"/>
                <w:sz w:val="20"/>
                <w:szCs w:val="20"/>
              </w:rPr>
              <w:t xml:space="preserve">is now </w:t>
            </w:r>
            <w:hyperlink r:id="rId9" w:anchor="sthash.jwj7dFpk.dpbs" w:history="1">
              <w:r w:rsidR="00851FE8" w:rsidRPr="00260C4E">
                <w:rPr>
                  <w:rStyle w:val="Hyperlink"/>
                  <w:rFonts w:ascii="Arial" w:hAnsi="Arial" w:cs="Arial"/>
                  <w:sz w:val="20"/>
                  <w:szCs w:val="20"/>
                </w:rPr>
                <w:t>posted</w:t>
              </w:r>
              <w:proofErr w:type="gramEnd"/>
            </w:hyperlink>
            <w:r w:rsidR="00851FE8" w:rsidRPr="00260C4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851FE8" w:rsidRPr="00D36CF3">
              <w:rPr>
                <w:rFonts w:ascii="Arial" w:hAnsi="Arial" w:cs="Arial"/>
                <w:sz w:val="20"/>
                <w:szCs w:val="20"/>
              </w:rPr>
              <w:t>Nirmela</w:t>
            </w:r>
            <w:proofErr w:type="spellEnd"/>
            <w:r w:rsidR="00851FE8" w:rsidRPr="00D36CF3">
              <w:rPr>
                <w:rFonts w:ascii="Arial" w:hAnsi="Arial" w:cs="Arial"/>
                <w:sz w:val="20"/>
                <w:szCs w:val="20"/>
              </w:rPr>
              <w:t xml:space="preserve"> will be presenting results from the BACWA workgroup.</w:t>
            </w:r>
          </w:p>
          <w:p w:rsidR="000C4B44" w:rsidRPr="00260C4E" w:rsidRDefault="000C4B44" w:rsidP="00D36CF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60C4E">
              <w:rPr>
                <w:rFonts w:ascii="Arial" w:hAnsi="Arial" w:cs="Arial"/>
                <w:i/>
                <w:sz w:val="20"/>
                <w:szCs w:val="20"/>
              </w:rPr>
              <w:t xml:space="preserve">RMP </w:t>
            </w:r>
            <w:r w:rsidR="00851FE8" w:rsidRPr="00260C4E">
              <w:rPr>
                <w:rFonts w:ascii="Arial" w:hAnsi="Arial" w:cs="Arial"/>
                <w:i/>
                <w:sz w:val="20"/>
                <w:szCs w:val="20"/>
              </w:rPr>
              <w:t>Technical Review Committee</w:t>
            </w:r>
            <w:r w:rsidRPr="00260C4E">
              <w:rPr>
                <w:rFonts w:ascii="Arial" w:hAnsi="Arial" w:cs="Arial"/>
                <w:i/>
                <w:sz w:val="20"/>
                <w:szCs w:val="20"/>
              </w:rPr>
              <w:t xml:space="preserve"> –</w:t>
            </w:r>
            <w:r w:rsidRPr="00260C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36CF3">
              <w:rPr>
                <w:rFonts w:ascii="Arial" w:hAnsi="Arial" w:cs="Arial"/>
                <w:sz w:val="20"/>
                <w:szCs w:val="20"/>
              </w:rPr>
              <w:t xml:space="preserve">The TRC discussed projects throughout the RMP program. </w:t>
            </w:r>
            <w:r w:rsidR="00851FE8" w:rsidRPr="00260C4E">
              <w:rPr>
                <w:rFonts w:ascii="Arial" w:hAnsi="Arial" w:cs="Arial"/>
                <w:sz w:val="20"/>
                <w:szCs w:val="20"/>
              </w:rPr>
              <w:t xml:space="preserve">The committee </w:t>
            </w:r>
            <w:r w:rsidRPr="00260C4E">
              <w:rPr>
                <w:rFonts w:ascii="Arial" w:hAnsi="Arial" w:cs="Arial"/>
                <w:sz w:val="20"/>
                <w:szCs w:val="20"/>
              </w:rPr>
              <w:t>ranked potential</w:t>
            </w:r>
            <w:r w:rsidR="00851FE8" w:rsidRPr="00260C4E">
              <w:rPr>
                <w:rFonts w:ascii="Arial" w:hAnsi="Arial" w:cs="Arial"/>
                <w:sz w:val="20"/>
                <w:szCs w:val="20"/>
              </w:rPr>
              <w:t xml:space="preserve"> CECs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 projects as follows: 1) CEC strategy and continuation of baseline tracking; 2) PFAS synthesis; 3) </w:t>
            </w:r>
            <w:proofErr w:type="spellStart"/>
            <w:r w:rsidRPr="00260C4E">
              <w:rPr>
                <w:rFonts w:ascii="Arial" w:hAnsi="Arial" w:cs="Arial"/>
                <w:sz w:val="20"/>
                <w:szCs w:val="20"/>
              </w:rPr>
              <w:t>imidacloprid</w:t>
            </w:r>
            <w:proofErr w:type="spellEnd"/>
            <w:r w:rsidRPr="00260C4E">
              <w:rPr>
                <w:rFonts w:ascii="Arial" w:hAnsi="Arial" w:cs="Arial"/>
                <w:sz w:val="20"/>
                <w:szCs w:val="20"/>
              </w:rPr>
              <w:t xml:space="preserve"> study; 4) phosphate flame retardant study; 5) bisphenol study; 6) </w:t>
            </w:r>
            <w:proofErr w:type="spellStart"/>
            <w:r w:rsidRPr="00260C4E">
              <w:rPr>
                <w:rFonts w:ascii="Arial" w:hAnsi="Arial" w:cs="Arial"/>
                <w:sz w:val="20"/>
                <w:szCs w:val="20"/>
              </w:rPr>
              <w:t>triclosan</w:t>
            </w:r>
            <w:proofErr w:type="spellEnd"/>
            <w:r w:rsidRPr="00260C4E">
              <w:rPr>
                <w:rFonts w:ascii="Arial" w:hAnsi="Arial" w:cs="Arial"/>
                <w:sz w:val="20"/>
                <w:szCs w:val="20"/>
              </w:rPr>
              <w:t xml:space="preserve"> in small fish study. </w:t>
            </w:r>
            <w:proofErr w:type="gramStart"/>
            <w:r w:rsidR="00D36CF3">
              <w:rPr>
                <w:rFonts w:ascii="Arial" w:hAnsi="Arial" w:cs="Arial"/>
                <w:sz w:val="20"/>
                <w:szCs w:val="20"/>
              </w:rPr>
              <w:t>Funding for these projects</w:t>
            </w:r>
            <w:r w:rsidR="00851FE8" w:rsidRPr="00260C4E">
              <w:rPr>
                <w:rFonts w:ascii="Arial" w:hAnsi="Arial" w:cs="Arial"/>
                <w:sz w:val="20"/>
                <w:szCs w:val="20"/>
              </w:rPr>
              <w:t xml:space="preserve"> has been bolstered by the Alternate Monitoring Plan</w:t>
            </w:r>
            <w:proofErr w:type="gramEnd"/>
            <w:r w:rsidRPr="00260C4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51FE8" w:rsidRPr="00260C4E">
              <w:rPr>
                <w:rFonts w:ascii="Arial" w:hAnsi="Arial" w:cs="Arial"/>
                <w:sz w:val="20"/>
                <w:szCs w:val="20"/>
              </w:rPr>
              <w:t>They will also be funding an estrogenic bioassay study</w:t>
            </w:r>
            <w:r w:rsidRPr="00260C4E">
              <w:rPr>
                <w:rFonts w:ascii="Arial" w:hAnsi="Arial" w:cs="Arial"/>
                <w:sz w:val="20"/>
                <w:szCs w:val="20"/>
              </w:rPr>
              <w:t>.</w:t>
            </w:r>
            <w:r w:rsidR="00851FE8" w:rsidRPr="00260C4E">
              <w:rPr>
                <w:rFonts w:ascii="Arial" w:hAnsi="Arial" w:cs="Arial"/>
                <w:sz w:val="20"/>
                <w:szCs w:val="20"/>
              </w:rPr>
              <w:t xml:space="preserve"> The RMP will also be funding the nutrient science strategy,</w:t>
            </w:r>
            <w:r w:rsidR="00D36CF3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851FE8" w:rsidRPr="00260C4E">
              <w:rPr>
                <w:rFonts w:ascii="Arial" w:hAnsi="Arial" w:cs="Arial"/>
                <w:sz w:val="20"/>
                <w:szCs w:val="20"/>
              </w:rPr>
              <w:t xml:space="preserve"> sources, pathways, and tributaries ongoing research, ambient monitoring, as well as a selenium strategy, which includes the sturgeon derby </w:t>
            </w:r>
            <w:r w:rsidR="00D36CF3">
              <w:rPr>
                <w:rFonts w:ascii="Arial" w:hAnsi="Arial" w:cs="Arial"/>
                <w:sz w:val="20"/>
                <w:szCs w:val="20"/>
              </w:rPr>
              <w:t xml:space="preserve">next year </w:t>
            </w:r>
            <w:r w:rsidR="00851FE8" w:rsidRPr="00260C4E">
              <w:rPr>
                <w:rFonts w:ascii="Arial" w:hAnsi="Arial" w:cs="Arial"/>
                <w:sz w:val="20"/>
                <w:szCs w:val="20"/>
              </w:rPr>
              <w:t>and an “early warning” monitoring workgroup</w:t>
            </w:r>
            <w:r w:rsidR="00D36CF3">
              <w:rPr>
                <w:rFonts w:ascii="Arial" w:hAnsi="Arial" w:cs="Arial"/>
                <w:sz w:val="20"/>
                <w:szCs w:val="20"/>
              </w:rPr>
              <w:t xml:space="preserve"> meeting</w:t>
            </w:r>
            <w:r w:rsidR="00E83311" w:rsidRPr="00260C4E">
              <w:rPr>
                <w:rFonts w:ascii="Arial" w:hAnsi="Arial" w:cs="Arial"/>
                <w:sz w:val="20"/>
                <w:szCs w:val="20"/>
              </w:rPr>
              <w:t xml:space="preserve"> in July</w:t>
            </w:r>
            <w:r w:rsidR="00851FE8" w:rsidRPr="00260C4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3311" w:rsidRPr="00A25D7A" w:rsidTr="004243F0">
        <w:trPr>
          <w:cantSplit/>
          <w:trHeight w:val="161"/>
        </w:trPr>
        <w:tc>
          <w:tcPr>
            <w:tcW w:w="10530" w:type="dxa"/>
          </w:tcPr>
          <w:p w:rsidR="00E83311" w:rsidRPr="00260C4E" w:rsidRDefault="00E83311" w:rsidP="004243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C4E">
              <w:rPr>
                <w:rFonts w:ascii="Arial" w:hAnsi="Arial" w:cs="Arial"/>
                <w:b/>
                <w:sz w:val="20"/>
                <w:szCs w:val="20"/>
              </w:rPr>
              <w:t>Shallow Water Discharge Prohibition</w:t>
            </w:r>
          </w:p>
          <w:p w:rsidR="00E83311" w:rsidRPr="00260C4E" w:rsidRDefault="00E83311" w:rsidP="00D36CF3">
            <w:pPr>
              <w:pStyle w:val="ListParagraph"/>
              <w:numPr>
                <w:ilvl w:val="0"/>
                <w:numId w:val="22"/>
              </w:numPr>
              <w:ind w:left="589"/>
              <w:rPr>
                <w:rFonts w:ascii="Arial" w:hAnsi="Arial" w:cs="Arial"/>
                <w:sz w:val="20"/>
                <w:szCs w:val="20"/>
              </w:rPr>
            </w:pPr>
            <w:r w:rsidRPr="00260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36CF3">
              <w:rPr>
                <w:rFonts w:ascii="Arial" w:hAnsi="Arial" w:cs="Arial"/>
                <w:sz w:val="20"/>
                <w:szCs w:val="20"/>
              </w:rPr>
              <w:t>role of the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 Shallow Water Discharge prohibition</w:t>
            </w:r>
            <w:r w:rsidR="00D36CF3">
              <w:rPr>
                <w:rFonts w:ascii="Arial" w:hAnsi="Arial" w:cs="Arial"/>
                <w:sz w:val="20"/>
                <w:szCs w:val="20"/>
              </w:rPr>
              <w:t xml:space="preserve"> in p</w:t>
            </w:r>
            <w:r w:rsidRPr="00260C4E">
              <w:rPr>
                <w:rFonts w:ascii="Arial" w:hAnsi="Arial" w:cs="Arial"/>
                <w:sz w:val="20"/>
                <w:szCs w:val="20"/>
              </w:rPr>
              <w:t>ermitting</w:t>
            </w:r>
            <w:r w:rsidR="00D36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wetlands supported by wastewater </w:t>
            </w:r>
            <w:proofErr w:type="gramStart"/>
            <w:r w:rsidRPr="00260C4E">
              <w:rPr>
                <w:rFonts w:ascii="Arial" w:hAnsi="Arial" w:cs="Arial"/>
                <w:sz w:val="20"/>
                <w:szCs w:val="20"/>
              </w:rPr>
              <w:t>was raised</w:t>
            </w:r>
            <w:proofErr w:type="gramEnd"/>
            <w:r w:rsidR="00D36CF3">
              <w:rPr>
                <w:rFonts w:ascii="Arial" w:hAnsi="Arial" w:cs="Arial"/>
                <w:sz w:val="20"/>
                <w:szCs w:val="20"/>
              </w:rPr>
              <w:t>.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 Regional Water Board staff </w:t>
            </w:r>
            <w:proofErr w:type="gramStart"/>
            <w:r w:rsidRPr="00260C4E">
              <w:rPr>
                <w:rFonts w:ascii="Arial" w:hAnsi="Arial" w:cs="Arial"/>
                <w:sz w:val="20"/>
                <w:szCs w:val="20"/>
              </w:rPr>
              <w:t>w</w:t>
            </w:r>
            <w:r w:rsidR="00D36CF3">
              <w:rPr>
                <w:rFonts w:ascii="Arial" w:hAnsi="Arial" w:cs="Arial"/>
                <w:sz w:val="20"/>
                <w:szCs w:val="20"/>
              </w:rPr>
              <w:t>ere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 asked</w:t>
            </w:r>
            <w:proofErr w:type="gramEnd"/>
            <w:r w:rsidRPr="00260C4E">
              <w:rPr>
                <w:rFonts w:ascii="Arial" w:hAnsi="Arial" w:cs="Arial"/>
                <w:sz w:val="20"/>
                <w:szCs w:val="20"/>
              </w:rPr>
              <w:t xml:space="preserve"> what members could do to assuage concerns about near shore discharges.  This item will be on the BACWA/RWB Joint Meeting agenda for July. Lorien will work with Robert</w:t>
            </w:r>
            <w:r w:rsidR="00D36C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36CF3">
              <w:rPr>
                <w:rFonts w:ascii="Arial" w:hAnsi="Arial" w:cs="Arial"/>
                <w:sz w:val="20"/>
                <w:szCs w:val="20"/>
              </w:rPr>
              <w:t>Schlipf</w:t>
            </w:r>
            <w:proofErr w:type="spellEnd"/>
            <w:r w:rsidRPr="00260C4E">
              <w:rPr>
                <w:rFonts w:ascii="Arial" w:hAnsi="Arial" w:cs="Arial"/>
                <w:sz w:val="20"/>
                <w:szCs w:val="20"/>
              </w:rPr>
              <w:t xml:space="preserve"> to develop a list of issues</w:t>
            </w:r>
            <w:r w:rsidR="00D36CF3">
              <w:rPr>
                <w:rFonts w:ascii="Arial" w:hAnsi="Arial" w:cs="Arial"/>
                <w:sz w:val="20"/>
                <w:szCs w:val="20"/>
              </w:rPr>
              <w:t xml:space="preserve"> for the meeting</w:t>
            </w:r>
            <w:r w:rsidRPr="00260C4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06B1" w:rsidRPr="003A54C1" w:rsidTr="004243F0">
        <w:trPr>
          <w:cantSplit/>
          <w:trHeight w:val="161"/>
        </w:trPr>
        <w:tc>
          <w:tcPr>
            <w:tcW w:w="10530" w:type="dxa"/>
          </w:tcPr>
          <w:p w:rsidR="004A602F" w:rsidRPr="00260C4E" w:rsidRDefault="00E74483" w:rsidP="004A60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C4E">
              <w:rPr>
                <w:rFonts w:ascii="Arial" w:hAnsi="Arial" w:cs="Arial"/>
                <w:b/>
                <w:sz w:val="20"/>
                <w:szCs w:val="20"/>
              </w:rPr>
              <w:t>Nutrients</w:t>
            </w:r>
          </w:p>
          <w:p w:rsidR="00A86ADC" w:rsidRPr="00260C4E" w:rsidRDefault="00A86ADC" w:rsidP="00F541EE">
            <w:pPr>
              <w:numPr>
                <w:ilvl w:val="1"/>
                <w:numId w:val="15"/>
              </w:numPr>
              <w:ind w:left="499" w:hanging="270"/>
              <w:rPr>
                <w:rFonts w:ascii="Arial" w:hAnsi="Arial" w:cs="Arial"/>
                <w:i/>
                <w:sz w:val="20"/>
                <w:szCs w:val="20"/>
              </w:rPr>
            </w:pPr>
            <w:r w:rsidRPr="00260C4E">
              <w:rPr>
                <w:rFonts w:ascii="Arial" w:hAnsi="Arial" w:cs="Arial"/>
                <w:i/>
                <w:sz w:val="20"/>
                <w:szCs w:val="20"/>
              </w:rPr>
              <w:t xml:space="preserve">Optimization/Upgrade Studies – </w:t>
            </w:r>
            <w:r w:rsidR="00E11165" w:rsidRPr="00260C4E">
              <w:rPr>
                <w:rFonts w:ascii="Arial" w:hAnsi="Arial" w:cs="Arial"/>
                <w:sz w:val="20"/>
                <w:szCs w:val="20"/>
              </w:rPr>
              <w:t>Th</w:t>
            </w:r>
            <w:r w:rsidR="00006FCB" w:rsidRPr="00260C4E">
              <w:rPr>
                <w:rFonts w:ascii="Arial" w:hAnsi="Arial" w:cs="Arial"/>
                <w:sz w:val="20"/>
                <w:szCs w:val="20"/>
              </w:rPr>
              <w:t xml:space="preserve">e consultant team </w:t>
            </w:r>
            <w:r w:rsidR="00E11165" w:rsidRPr="00260C4E">
              <w:rPr>
                <w:rFonts w:ascii="Arial" w:hAnsi="Arial" w:cs="Arial"/>
                <w:sz w:val="20"/>
                <w:szCs w:val="20"/>
              </w:rPr>
              <w:t>release</w:t>
            </w:r>
            <w:r w:rsidR="00006FCB" w:rsidRPr="00260C4E">
              <w:rPr>
                <w:rFonts w:ascii="Arial" w:hAnsi="Arial" w:cs="Arial"/>
                <w:sz w:val="20"/>
                <w:szCs w:val="20"/>
              </w:rPr>
              <w:t>d</w:t>
            </w:r>
            <w:r w:rsidR="00E11165" w:rsidRPr="00260C4E">
              <w:rPr>
                <w:rFonts w:ascii="Arial" w:hAnsi="Arial" w:cs="Arial"/>
                <w:sz w:val="20"/>
                <w:szCs w:val="20"/>
              </w:rPr>
              <w:t xml:space="preserve"> the first wave of facility reports </w:t>
            </w:r>
            <w:r w:rsidR="000C4B44" w:rsidRPr="00260C4E">
              <w:rPr>
                <w:rFonts w:ascii="Arial" w:hAnsi="Arial" w:cs="Arial"/>
                <w:sz w:val="20"/>
                <w:szCs w:val="20"/>
              </w:rPr>
              <w:t>on May 9 (</w:t>
            </w:r>
            <w:hyperlink r:id="rId10" w:history="1">
              <w:r w:rsidR="000C4B44" w:rsidRPr="00260C4E">
                <w:rPr>
                  <w:rStyle w:val="Hyperlink"/>
                  <w:rFonts w:ascii="Arial" w:hAnsi="Arial" w:cs="Arial"/>
                  <w:sz w:val="20"/>
                  <w:szCs w:val="20"/>
                </w:rPr>
                <w:t>see schedule</w:t>
              </w:r>
            </w:hyperlink>
            <w:r w:rsidR="000C4B44" w:rsidRPr="00260C4E">
              <w:rPr>
                <w:rFonts w:ascii="Arial" w:hAnsi="Arial" w:cs="Arial"/>
                <w:sz w:val="20"/>
                <w:szCs w:val="20"/>
              </w:rPr>
              <w:t>).</w:t>
            </w:r>
            <w:r w:rsidR="005F7ED5" w:rsidRPr="00260C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311" w:rsidRPr="00260C4E">
              <w:rPr>
                <w:rFonts w:ascii="Arial" w:hAnsi="Arial" w:cs="Arial"/>
                <w:sz w:val="20"/>
                <w:szCs w:val="20"/>
              </w:rPr>
              <w:t>BACWA will host a workshop on July 27 to discuss the facility reports with its members.  BACWA will look into options for allowing agencies to join the meeting remotely.</w:t>
            </w:r>
            <w:r w:rsidR="00D36CF3">
              <w:rPr>
                <w:rFonts w:ascii="Arial" w:hAnsi="Arial" w:cs="Arial"/>
                <w:sz w:val="20"/>
                <w:szCs w:val="20"/>
              </w:rPr>
              <w:t xml:space="preserve"> A second workshop will be held in late summer/early fall and will include Regional Water Board staff.</w:t>
            </w:r>
          </w:p>
          <w:p w:rsidR="00CC27DE" w:rsidRPr="00260C4E" w:rsidRDefault="00E83311" w:rsidP="00F541EE">
            <w:pPr>
              <w:numPr>
                <w:ilvl w:val="1"/>
                <w:numId w:val="15"/>
              </w:numPr>
              <w:ind w:left="499" w:hanging="270"/>
              <w:rPr>
                <w:rFonts w:ascii="Arial" w:hAnsi="Arial" w:cs="Arial"/>
                <w:i/>
                <w:sz w:val="20"/>
                <w:szCs w:val="20"/>
              </w:rPr>
            </w:pPr>
            <w:r w:rsidRPr="00260C4E">
              <w:rPr>
                <w:rFonts w:ascii="Arial" w:hAnsi="Arial" w:cs="Arial"/>
                <w:i/>
                <w:sz w:val="20"/>
                <w:szCs w:val="20"/>
              </w:rPr>
              <w:t xml:space="preserve">NTW Meeting and Steering Committee – 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D12D6">
              <w:rPr>
                <w:rFonts w:ascii="Arial" w:hAnsi="Arial" w:cs="Arial"/>
                <w:sz w:val="20"/>
                <w:szCs w:val="20"/>
              </w:rPr>
              <w:t xml:space="preserve">6/3 </w:t>
            </w:r>
            <w:r w:rsidRPr="00260C4E">
              <w:rPr>
                <w:rFonts w:ascii="Arial" w:hAnsi="Arial" w:cs="Arial"/>
                <w:sz w:val="20"/>
                <w:szCs w:val="20"/>
              </w:rPr>
              <w:t>NTW meeting’s purpose was to describe the list of projects and</w:t>
            </w:r>
            <w:r w:rsidR="00D36CF3">
              <w:rPr>
                <w:rFonts w:ascii="Arial" w:hAnsi="Arial" w:cs="Arial"/>
                <w:sz w:val="20"/>
                <w:szCs w:val="20"/>
              </w:rPr>
              <w:t xml:space="preserve"> their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 prioritization. </w:t>
            </w:r>
            <w:r w:rsidR="002D12D6">
              <w:rPr>
                <w:rFonts w:ascii="Arial" w:hAnsi="Arial" w:cs="Arial"/>
                <w:sz w:val="20"/>
                <w:szCs w:val="20"/>
              </w:rPr>
              <w:t>On 6/10, t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D36CF3">
              <w:rPr>
                <w:rFonts w:ascii="Arial" w:hAnsi="Arial" w:cs="Arial"/>
                <w:sz w:val="20"/>
                <w:szCs w:val="20"/>
              </w:rPr>
              <w:t>S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teering </w:t>
            </w:r>
            <w:r w:rsidR="00D36CF3">
              <w:rPr>
                <w:rFonts w:ascii="Arial" w:hAnsi="Arial" w:cs="Arial"/>
                <w:sz w:val="20"/>
                <w:szCs w:val="20"/>
              </w:rPr>
              <w:t>C</w:t>
            </w:r>
            <w:r w:rsidRPr="00260C4E">
              <w:rPr>
                <w:rFonts w:ascii="Arial" w:hAnsi="Arial" w:cs="Arial"/>
                <w:sz w:val="20"/>
                <w:szCs w:val="20"/>
              </w:rPr>
              <w:t>ommittee approved a Fiscal Year 2017 budget</w:t>
            </w:r>
            <w:r w:rsidR="002D12D6">
              <w:rPr>
                <w:rFonts w:ascii="Arial" w:hAnsi="Arial" w:cs="Arial"/>
                <w:sz w:val="20"/>
                <w:szCs w:val="20"/>
              </w:rPr>
              <w:t>,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 and list of </w:t>
            </w:r>
            <w:proofErr w:type="gramStart"/>
            <w:r w:rsidRPr="00260C4E">
              <w:rPr>
                <w:rFonts w:ascii="Arial" w:hAnsi="Arial" w:cs="Arial"/>
                <w:sz w:val="20"/>
                <w:szCs w:val="20"/>
              </w:rPr>
              <w:t>projects which is greater than</w:t>
            </w:r>
            <w:proofErr w:type="gramEnd"/>
            <w:r w:rsidRPr="00260C4E">
              <w:rPr>
                <w:rFonts w:ascii="Arial" w:hAnsi="Arial" w:cs="Arial"/>
                <w:sz w:val="20"/>
                <w:szCs w:val="20"/>
              </w:rPr>
              <w:t xml:space="preserve"> can be funded with available </w:t>
            </w:r>
            <w:r w:rsidR="00D36CF3" w:rsidRPr="00260C4E">
              <w:rPr>
                <w:rFonts w:ascii="Arial" w:hAnsi="Arial" w:cs="Arial"/>
                <w:sz w:val="20"/>
                <w:szCs w:val="20"/>
              </w:rPr>
              <w:t>budget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02176">
              <w:rPr>
                <w:rFonts w:ascii="Arial" w:hAnsi="Arial" w:cs="Arial"/>
                <w:sz w:val="20"/>
                <w:szCs w:val="20"/>
              </w:rPr>
              <w:t xml:space="preserve">SFEI is soliciting additional funding from interested/affected agencies.  </w:t>
            </w:r>
            <w:r w:rsidRPr="00260C4E">
              <w:rPr>
                <w:rFonts w:ascii="Arial" w:hAnsi="Arial" w:cs="Arial"/>
                <w:sz w:val="20"/>
                <w:szCs w:val="20"/>
              </w:rPr>
              <w:t>The budget covers a core program of modeling. SFEI is looking to hire an additional modeler who will spend half their time focusing on the Lower South Bay, and half on Suisun Bay.</w:t>
            </w:r>
          </w:p>
          <w:p w:rsidR="004D5455" w:rsidRPr="00260C4E" w:rsidRDefault="005F7ED5" w:rsidP="00196901">
            <w:pPr>
              <w:numPr>
                <w:ilvl w:val="1"/>
                <w:numId w:val="15"/>
              </w:numPr>
              <w:ind w:left="499" w:hanging="270"/>
              <w:rPr>
                <w:rFonts w:ascii="Arial" w:hAnsi="Arial" w:cs="Arial"/>
                <w:i/>
                <w:sz w:val="20"/>
                <w:szCs w:val="20"/>
              </w:rPr>
            </w:pPr>
            <w:r w:rsidRPr="00260C4E">
              <w:rPr>
                <w:rFonts w:ascii="Arial" w:hAnsi="Arial" w:cs="Arial"/>
                <w:i/>
                <w:sz w:val="20"/>
                <w:szCs w:val="20"/>
              </w:rPr>
              <w:t>Annual Reporting</w:t>
            </w:r>
            <w:r w:rsidR="00F541EE" w:rsidRPr="00260C4E">
              <w:rPr>
                <w:rFonts w:ascii="Arial" w:hAnsi="Arial" w:cs="Arial"/>
                <w:i/>
                <w:sz w:val="20"/>
                <w:szCs w:val="20"/>
              </w:rPr>
              <w:t xml:space="preserve"> – 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HDR provided a </w:t>
            </w:r>
            <w:hyperlink r:id="rId11" w:history="1">
              <w:r w:rsidRPr="00260C4E">
                <w:rPr>
                  <w:rStyle w:val="Hyperlink"/>
                  <w:rFonts w:ascii="Arial" w:hAnsi="Arial" w:cs="Arial"/>
                  <w:sz w:val="20"/>
                  <w:szCs w:val="20"/>
                </w:rPr>
                <w:t>data worksheet</w:t>
              </w:r>
            </w:hyperlink>
            <w:r w:rsidRPr="00260C4E">
              <w:rPr>
                <w:rFonts w:ascii="Arial" w:hAnsi="Arial" w:cs="Arial"/>
                <w:sz w:val="20"/>
                <w:szCs w:val="20"/>
              </w:rPr>
              <w:t xml:space="preserve"> for agencies to input their data for the Nutrient Annual Report. </w:t>
            </w:r>
            <w:r w:rsidR="00196901" w:rsidRPr="00260C4E">
              <w:rPr>
                <w:rFonts w:ascii="Arial" w:hAnsi="Arial" w:cs="Arial"/>
                <w:sz w:val="20"/>
                <w:szCs w:val="20"/>
              </w:rPr>
              <w:t xml:space="preserve">They plan to issue a revised worksheet that accounts for data points that are DNQ, as well as MDLs. This </w:t>
            </w:r>
            <w:proofErr w:type="gramStart"/>
            <w:r w:rsidR="00196901" w:rsidRPr="00260C4E">
              <w:rPr>
                <w:rFonts w:ascii="Arial" w:hAnsi="Arial" w:cs="Arial"/>
                <w:sz w:val="20"/>
                <w:szCs w:val="20"/>
              </w:rPr>
              <w:t>will be discussed</w:t>
            </w:r>
            <w:proofErr w:type="gramEnd"/>
            <w:r w:rsidR="00196901" w:rsidRPr="00260C4E">
              <w:rPr>
                <w:rFonts w:ascii="Arial" w:hAnsi="Arial" w:cs="Arial"/>
                <w:sz w:val="20"/>
                <w:szCs w:val="20"/>
              </w:rPr>
              <w:t xml:space="preserve"> at the next CMG meeting. Lab committee members are reviewing the latest data sheet.  Data are due to HDR on July 31.</w:t>
            </w:r>
          </w:p>
        </w:tc>
      </w:tr>
      <w:tr w:rsidR="00A906CC" w:rsidRPr="003A54C1" w:rsidTr="004243F0">
        <w:trPr>
          <w:cantSplit/>
          <w:trHeight w:val="161"/>
        </w:trPr>
        <w:tc>
          <w:tcPr>
            <w:tcW w:w="10530" w:type="dxa"/>
          </w:tcPr>
          <w:p w:rsidR="00A906CC" w:rsidRPr="00260C4E" w:rsidRDefault="00A906CC" w:rsidP="004A60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C4E">
              <w:rPr>
                <w:rFonts w:ascii="Arial" w:hAnsi="Arial" w:cs="Arial"/>
                <w:b/>
                <w:sz w:val="20"/>
                <w:szCs w:val="20"/>
              </w:rPr>
              <w:lastRenderedPageBreak/>
              <w:t>Drought/Recycling</w:t>
            </w:r>
          </w:p>
          <w:p w:rsidR="004D5455" w:rsidRPr="00260C4E" w:rsidRDefault="00483797" w:rsidP="00230ED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60C4E">
              <w:rPr>
                <w:rFonts w:ascii="Arial" w:hAnsi="Arial" w:cs="Arial"/>
                <w:i/>
                <w:sz w:val="20"/>
                <w:szCs w:val="20"/>
              </w:rPr>
              <w:t>State General Order for Recycled Water –</w:t>
            </w:r>
            <w:r w:rsidRPr="00260C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E4558" w:rsidRPr="00260C4E">
              <w:rPr>
                <w:rFonts w:ascii="Arial" w:hAnsi="Arial" w:cs="Arial"/>
                <w:sz w:val="20"/>
                <w:szCs w:val="20"/>
              </w:rPr>
              <w:t xml:space="preserve">The State Water Board proposed an addition to the General Order for Recycled Water that would require Regional permittees, such as those covered by 96-011 </w:t>
            </w:r>
            <w:r w:rsidR="00E966CB" w:rsidRPr="00260C4E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0E4558" w:rsidRPr="00260C4E">
              <w:rPr>
                <w:rFonts w:ascii="Arial" w:hAnsi="Arial" w:cs="Arial"/>
                <w:sz w:val="20"/>
                <w:szCs w:val="20"/>
              </w:rPr>
              <w:t>be enrolled in the State General Order within three years of adoption</w:t>
            </w:r>
            <w:r w:rsidR="00230ED2" w:rsidRPr="00260C4E">
              <w:rPr>
                <w:rFonts w:ascii="Arial" w:hAnsi="Arial" w:cs="Arial"/>
                <w:sz w:val="20"/>
                <w:szCs w:val="20"/>
              </w:rPr>
              <w:t xml:space="preserve"> (Finding 34)</w:t>
            </w:r>
            <w:r w:rsidR="000E4558" w:rsidRPr="00260C4E">
              <w:rPr>
                <w:rFonts w:ascii="Arial" w:hAnsi="Arial" w:cs="Arial"/>
                <w:sz w:val="20"/>
                <w:szCs w:val="20"/>
              </w:rPr>
              <w:t>.</w:t>
            </w:r>
            <w:r w:rsidR="00230ED2" w:rsidRPr="00260C4E">
              <w:rPr>
                <w:rFonts w:ascii="Arial" w:hAnsi="Arial" w:cs="Arial"/>
                <w:sz w:val="20"/>
                <w:szCs w:val="20"/>
              </w:rPr>
              <w:t xml:space="preserve"> The State Water Board adopted the General Order on 6/7, </w:t>
            </w:r>
            <w:proofErr w:type="gramStart"/>
            <w:r w:rsidR="00230ED2" w:rsidRPr="00260C4E">
              <w:rPr>
                <w:rFonts w:ascii="Arial" w:hAnsi="Arial" w:cs="Arial"/>
                <w:sz w:val="20"/>
                <w:szCs w:val="20"/>
              </w:rPr>
              <w:t xml:space="preserve">and considered </w:t>
            </w:r>
            <w:hyperlink r:id="rId12" w:history="1">
              <w:r w:rsidR="00230ED2" w:rsidRPr="00260C4E">
                <w:rPr>
                  <w:rStyle w:val="Hyperlink"/>
                  <w:rFonts w:ascii="Arial" w:hAnsi="Arial" w:cs="Arial"/>
                  <w:sz w:val="20"/>
                  <w:szCs w:val="20"/>
                </w:rPr>
                <w:t>three options</w:t>
              </w:r>
            </w:hyperlink>
            <w:proofErr w:type="gramEnd"/>
            <w:r w:rsidR="00230ED2" w:rsidRPr="00260C4E">
              <w:rPr>
                <w:rFonts w:ascii="Arial" w:hAnsi="Arial" w:cs="Arial"/>
                <w:sz w:val="20"/>
                <w:szCs w:val="20"/>
              </w:rPr>
              <w:t xml:space="preserve"> for Finding 34, and decided to require enrollment of Regional Permittees within three years, but to not address individual permittees until the next reopener.</w:t>
            </w:r>
            <w:r w:rsidR="000E4558" w:rsidRPr="00260C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6901" w:rsidRPr="00260C4E">
              <w:rPr>
                <w:rFonts w:ascii="Arial" w:hAnsi="Arial" w:cs="Arial"/>
                <w:sz w:val="20"/>
                <w:szCs w:val="20"/>
              </w:rPr>
              <w:t xml:space="preserve">The BACWA testified at the adoption hearing. View </w:t>
            </w:r>
            <w:r w:rsidR="00B02176">
              <w:rPr>
                <w:rFonts w:ascii="Arial" w:hAnsi="Arial" w:cs="Arial"/>
                <w:sz w:val="20"/>
                <w:szCs w:val="20"/>
              </w:rPr>
              <w:t xml:space="preserve">the </w:t>
            </w:r>
            <w:hyperlink r:id="rId13" w:history="1">
              <w:r w:rsidR="00196901" w:rsidRPr="00260C4E">
                <w:rPr>
                  <w:rStyle w:val="Hyperlink"/>
                  <w:rFonts w:ascii="Arial" w:hAnsi="Arial" w:cs="Arial"/>
                  <w:sz w:val="20"/>
                  <w:szCs w:val="20"/>
                </w:rPr>
                <w:t>outcome of BACWA talking points</w:t>
              </w:r>
            </w:hyperlink>
            <w:r w:rsidR="00230ED2" w:rsidRPr="00260C4E">
              <w:rPr>
                <w:rFonts w:ascii="Arial" w:hAnsi="Arial" w:cs="Arial"/>
                <w:sz w:val="20"/>
                <w:szCs w:val="20"/>
              </w:rPr>
              <w:t xml:space="preserve">. BACWA will work with the Regional Water Board to determine how Regional permittees </w:t>
            </w:r>
            <w:proofErr w:type="gramStart"/>
            <w:r w:rsidR="00230ED2" w:rsidRPr="00260C4E">
              <w:rPr>
                <w:rFonts w:ascii="Arial" w:hAnsi="Arial" w:cs="Arial"/>
                <w:sz w:val="20"/>
                <w:szCs w:val="20"/>
              </w:rPr>
              <w:t>will be transferred</w:t>
            </w:r>
            <w:proofErr w:type="gramEnd"/>
            <w:r w:rsidR="00230ED2" w:rsidRPr="00260C4E">
              <w:rPr>
                <w:rFonts w:ascii="Arial" w:hAnsi="Arial" w:cs="Arial"/>
                <w:sz w:val="20"/>
                <w:szCs w:val="20"/>
              </w:rPr>
              <w:t xml:space="preserve"> to the State General Order</w:t>
            </w:r>
            <w:r w:rsidR="00B0217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30ED2" w:rsidRPr="00260C4E" w:rsidRDefault="00230ED2" w:rsidP="00230ED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60C4E">
              <w:rPr>
                <w:rFonts w:ascii="Arial" w:hAnsi="Arial" w:cs="Arial"/>
                <w:i/>
                <w:sz w:val="20"/>
                <w:szCs w:val="20"/>
              </w:rPr>
              <w:t>SB163(</w:t>
            </w:r>
            <w:proofErr w:type="gramEnd"/>
            <w:r w:rsidRPr="00260C4E">
              <w:rPr>
                <w:rFonts w:ascii="Arial" w:hAnsi="Arial" w:cs="Arial"/>
                <w:i/>
                <w:sz w:val="20"/>
                <w:szCs w:val="20"/>
              </w:rPr>
              <w:t xml:space="preserve">Hertzberg) – 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An amended Bill was released that requires 50% water reuse by 2033 (see </w:t>
            </w:r>
            <w:hyperlink r:id="rId14" w:history="1">
              <w:r w:rsidRPr="00260C4E">
                <w:rPr>
                  <w:rStyle w:val="Hyperlink"/>
                  <w:rFonts w:ascii="Arial" w:hAnsi="Arial" w:cs="Arial"/>
                  <w:sz w:val="20"/>
                  <w:szCs w:val="20"/>
                </w:rPr>
                <w:t>CASA notice</w:t>
              </w:r>
            </w:hyperlink>
            <w:r w:rsidRPr="00260C4E">
              <w:rPr>
                <w:rFonts w:ascii="Arial" w:hAnsi="Arial" w:cs="Arial"/>
                <w:sz w:val="20"/>
                <w:szCs w:val="20"/>
              </w:rPr>
              <w:t xml:space="preserve">).  CASA and </w:t>
            </w:r>
            <w:proofErr w:type="spellStart"/>
            <w:r w:rsidRPr="00260C4E">
              <w:rPr>
                <w:rFonts w:ascii="Arial" w:hAnsi="Arial" w:cs="Arial"/>
                <w:sz w:val="20"/>
                <w:szCs w:val="20"/>
              </w:rPr>
              <w:t>WateReuse</w:t>
            </w:r>
            <w:proofErr w:type="spellEnd"/>
            <w:r w:rsidRPr="00260C4E">
              <w:rPr>
                <w:rFonts w:ascii="Arial" w:hAnsi="Arial" w:cs="Arial"/>
                <w:sz w:val="20"/>
                <w:szCs w:val="20"/>
              </w:rPr>
              <w:t xml:space="preserve"> oppose the Bill.  BACWA does not comment on legislation, so member agencies are </w:t>
            </w:r>
            <w:r w:rsidR="002D12D6">
              <w:rPr>
                <w:rFonts w:ascii="Arial" w:hAnsi="Arial" w:cs="Arial"/>
                <w:sz w:val="20"/>
                <w:szCs w:val="20"/>
              </w:rPr>
              <w:t xml:space="preserve">encouraged </w:t>
            </w:r>
            <w:r w:rsidRPr="00260C4E">
              <w:rPr>
                <w:rFonts w:ascii="Arial" w:hAnsi="Arial" w:cs="Arial"/>
                <w:sz w:val="20"/>
                <w:szCs w:val="20"/>
              </w:rPr>
              <w:t>to send in letters to their Senators.</w:t>
            </w:r>
            <w:r w:rsidRPr="00260C4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230ED2" w:rsidRPr="00260C4E" w:rsidRDefault="009B66EE" w:rsidP="002D12D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60C4E">
              <w:rPr>
                <w:rFonts w:ascii="Arial" w:hAnsi="Arial" w:cs="Arial"/>
                <w:i/>
                <w:sz w:val="20"/>
                <w:szCs w:val="20"/>
              </w:rPr>
              <w:t xml:space="preserve">Recycled Water Survey 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– BACWA is issuing </w:t>
            </w:r>
            <w:hyperlink r:id="rId15" w:history="1">
              <w:r w:rsidRPr="00260C4E">
                <w:rPr>
                  <w:rStyle w:val="Hyperlink"/>
                  <w:rFonts w:ascii="Arial" w:hAnsi="Arial" w:cs="Arial"/>
                  <w:sz w:val="20"/>
                  <w:szCs w:val="20"/>
                </w:rPr>
                <w:t>surveys</w:t>
              </w:r>
            </w:hyperlink>
            <w:r w:rsidRPr="00260C4E">
              <w:rPr>
                <w:rFonts w:ascii="Arial" w:hAnsi="Arial" w:cs="Arial"/>
                <w:sz w:val="20"/>
                <w:szCs w:val="20"/>
              </w:rPr>
              <w:t xml:space="preserve"> with Optimization/Upgrade facility reports so that the consultant can calculate loads removed through water recycled.  BACWA worked to make sure that the </w:t>
            </w:r>
            <w:r w:rsidR="002D12D6">
              <w:rPr>
                <w:rFonts w:ascii="Arial" w:hAnsi="Arial" w:cs="Arial"/>
                <w:sz w:val="20"/>
                <w:szCs w:val="20"/>
              </w:rPr>
              <w:t>data requested is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 convergent with that which </w:t>
            </w:r>
            <w:proofErr w:type="gramStart"/>
            <w:r w:rsidRPr="00260C4E">
              <w:rPr>
                <w:rFonts w:ascii="Arial" w:hAnsi="Arial" w:cs="Arial"/>
                <w:sz w:val="20"/>
                <w:szCs w:val="20"/>
              </w:rPr>
              <w:t>will be requested</w:t>
            </w:r>
            <w:proofErr w:type="gramEnd"/>
            <w:r w:rsidRPr="00260C4E">
              <w:rPr>
                <w:rFonts w:ascii="Arial" w:hAnsi="Arial" w:cs="Arial"/>
                <w:sz w:val="20"/>
                <w:szCs w:val="20"/>
              </w:rPr>
              <w:t xml:space="preserve"> by DWR in a survey </w:t>
            </w:r>
            <w:r w:rsidR="002D12D6">
              <w:rPr>
                <w:rFonts w:ascii="Arial" w:hAnsi="Arial" w:cs="Arial"/>
                <w:sz w:val="20"/>
                <w:szCs w:val="20"/>
              </w:rPr>
              <w:t>that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 they plan to issue </w:t>
            </w:r>
            <w:r w:rsidR="002D12D6">
              <w:rPr>
                <w:rFonts w:ascii="Arial" w:hAnsi="Arial" w:cs="Arial"/>
                <w:sz w:val="20"/>
                <w:szCs w:val="20"/>
              </w:rPr>
              <w:t>later this month</w:t>
            </w:r>
            <w:r w:rsidRPr="00260C4E">
              <w:rPr>
                <w:rFonts w:ascii="Arial" w:hAnsi="Arial" w:cs="Arial"/>
                <w:sz w:val="20"/>
                <w:szCs w:val="20"/>
              </w:rPr>
              <w:t>, so agencies will not have to generate two sets of numbers.</w:t>
            </w:r>
          </w:p>
        </w:tc>
      </w:tr>
      <w:tr w:rsidR="00EF2A9B" w:rsidRPr="003A54C1" w:rsidTr="004243F0">
        <w:trPr>
          <w:cantSplit/>
          <w:trHeight w:val="161"/>
        </w:trPr>
        <w:tc>
          <w:tcPr>
            <w:tcW w:w="10530" w:type="dxa"/>
          </w:tcPr>
          <w:p w:rsidR="00EF2A9B" w:rsidRPr="00260C4E" w:rsidRDefault="009B66EE" w:rsidP="004A60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C4E">
              <w:rPr>
                <w:rFonts w:ascii="Arial" w:hAnsi="Arial" w:cs="Arial"/>
                <w:b/>
                <w:sz w:val="20"/>
                <w:szCs w:val="20"/>
              </w:rPr>
              <w:t>NPDES Update</w:t>
            </w:r>
          </w:p>
          <w:p w:rsidR="00EF2A9B" w:rsidRPr="00260C4E" w:rsidRDefault="00EF2A9B" w:rsidP="009B66E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260C4E">
              <w:rPr>
                <w:rFonts w:ascii="Arial" w:hAnsi="Arial" w:cs="Arial"/>
                <w:sz w:val="20"/>
                <w:szCs w:val="20"/>
              </w:rPr>
              <w:t xml:space="preserve">EPA </w:t>
            </w:r>
            <w:r w:rsidR="009B66EE" w:rsidRPr="00260C4E">
              <w:rPr>
                <w:rFonts w:ascii="Arial" w:hAnsi="Arial" w:cs="Arial"/>
                <w:sz w:val="20"/>
                <w:szCs w:val="20"/>
              </w:rPr>
              <w:t>has</w:t>
            </w:r>
            <w:r w:rsidR="002D12D6">
              <w:rPr>
                <w:rFonts w:ascii="Arial" w:hAnsi="Arial" w:cs="Arial"/>
                <w:sz w:val="20"/>
                <w:szCs w:val="20"/>
              </w:rPr>
              <w:t xml:space="preserve"> issued</w:t>
            </w:r>
            <w:r w:rsidR="009B66EE" w:rsidRPr="00260C4E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6" w:history="1">
              <w:r w:rsidR="009B66EE" w:rsidRPr="00260C4E">
                <w:rPr>
                  <w:rStyle w:val="Hyperlink"/>
                  <w:rFonts w:ascii="Arial" w:hAnsi="Arial" w:cs="Arial"/>
                  <w:sz w:val="20"/>
                  <w:szCs w:val="20"/>
                </w:rPr>
                <w:t>Proposed Updates</w:t>
              </w:r>
            </w:hyperlink>
            <w:r w:rsidR="009B66EE" w:rsidRPr="00260C4E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="009B66EE" w:rsidRPr="00260C4E">
              <w:rPr>
                <w:rFonts w:ascii="Arial" w:hAnsi="Arial" w:cs="Arial"/>
                <w:sz w:val="20"/>
                <w:szCs w:val="20"/>
              </w:rPr>
              <w:t xml:space="preserve">to the NPDES rule, </w:t>
            </w:r>
            <w:proofErr w:type="gramStart"/>
            <w:r w:rsidR="009B66EE" w:rsidRPr="00260C4E">
              <w:rPr>
                <w:rFonts w:ascii="Arial" w:hAnsi="Arial" w:cs="Arial"/>
                <w:sz w:val="20"/>
                <w:szCs w:val="20"/>
              </w:rPr>
              <w:t>impacting</w:t>
            </w:r>
            <w:proofErr w:type="gramEnd"/>
            <w:r w:rsidR="009B66EE" w:rsidRPr="00260C4E">
              <w:rPr>
                <w:rFonts w:ascii="Arial" w:hAnsi="Arial" w:cs="Arial"/>
                <w:sz w:val="20"/>
                <w:szCs w:val="20"/>
              </w:rPr>
              <w:t xml:space="preserve"> items such as toxicity, </w:t>
            </w:r>
            <w:proofErr w:type="spellStart"/>
            <w:r w:rsidR="009B66EE" w:rsidRPr="00260C4E">
              <w:rPr>
                <w:rFonts w:ascii="Arial" w:hAnsi="Arial" w:cs="Arial"/>
                <w:sz w:val="20"/>
                <w:szCs w:val="20"/>
              </w:rPr>
              <w:t>antidegradation</w:t>
            </w:r>
            <w:proofErr w:type="spellEnd"/>
            <w:r w:rsidR="009B66EE" w:rsidRPr="00260C4E">
              <w:rPr>
                <w:rFonts w:ascii="Arial" w:hAnsi="Arial" w:cs="Arial"/>
                <w:sz w:val="20"/>
                <w:szCs w:val="20"/>
              </w:rPr>
              <w:t xml:space="preserve">, and dilution.  In general, these changes reflect standard practice in Region 2, so no impacts </w:t>
            </w:r>
            <w:proofErr w:type="gramStart"/>
            <w:r w:rsidR="009B66EE" w:rsidRPr="00260C4E">
              <w:rPr>
                <w:rFonts w:ascii="Arial" w:hAnsi="Arial" w:cs="Arial"/>
                <w:sz w:val="20"/>
                <w:szCs w:val="20"/>
              </w:rPr>
              <w:t>are anticipated</w:t>
            </w:r>
            <w:proofErr w:type="gramEnd"/>
            <w:r w:rsidR="009B66EE" w:rsidRPr="00260C4E">
              <w:rPr>
                <w:rFonts w:ascii="Arial" w:hAnsi="Arial" w:cs="Arial"/>
                <w:sz w:val="20"/>
                <w:szCs w:val="20"/>
              </w:rPr>
              <w:t>.  The main item that causes concern amongst agencies and regulators in other States is a provision that will allow EPA to veto permits that have expired and reissue them on their own. This should not have an impact in our Region.</w:t>
            </w:r>
          </w:p>
        </w:tc>
      </w:tr>
      <w:tr w:rsidR="009E70B4" w:rsidRPr="003A54C1" w:rsidTr="004243F0">
        <w:trPr>
          <w:cantSplit/>
          <w:trHeight w:val="16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B4" w:rsidRPr="00260C4E" w:rsidRDefault="003E33D2" w:rsidP="004243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C4E">
              <w:rPr>
                <w:rFonts w:ascii="Arial" w:hAnsi="Arial" w:cs="Arial"/>
                <w:b/>
                <w:sz w:val="20"/>
                <w:szCs w:val="20"/>
              </w:rPr>
              <w:t>Announcements</w:t>
            </w:r>
          </w:p>
          <w:p w:rsidR="009B66EE" w:rsidRPr="00260C4E" w:rsidRDefault="009B66EE" w:rsidP="009B66EE">
            <w:pPr>
              <w:numPr>
                <w:ilvl w:val="1"/>
                <w:numId w:val="7"/>
              </w:numPr>
              <w:ind w:left="679"/>
              <w:rPr>
                <w:rFonts w:ascii="Arial" w:hAnsi="Arial" w:cs="Arial"/>
                <w:sz w:val="20"/>
                <w:szCs w:val="20"/>
              </w:rPr>
            </w:pPr>
            <w:r w:rsidRPr="00260C4E">
              <w:rPr>
                <w:rFonts w:ascii="Arial" w:hAnsi="Arial" w:cs="Arial"/>
                <w:sz w:val="20"/>
                <w:szCs w:val="20"/>
              </w:rPr>
              <w:t>EPA expected to issue draft selenium criteria by end of June</w:t>
            </w:r>
            <w:r w:rsidR="002D12D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B66EE" w:rsidRPr="00260C4E" w:rsidRDefault="009B66EE" w:rsidP="009B66EE">
            <w:pPr>
              <w:numPr>
                <w:ilvl w:val="1"/>
                <w:numId w:val="7"/>
              </w:numPr>
              <w:ind w:left="679"/>
              <w:rPr>
                <w:rFonts w:ascii="Arial" w:hAnsi="Arial" w:cs="Arial"/>
                <w:sz w:val="20"/>
                <w:szCs w:val="20"/>
              </w:rPr>
            </w:pPr>
            <w:r w:rsidRPr="00260C4E">
              <w:rPr>
                <w:rFonts w:ascii="Arial" w:hAnsi="Arial" w:cs="Arial"/>
                <w:sz w:val="20"/>
                <w:szCs w:val="20"/>
              </w:rPr>
              <w:t>Toxicity – State Water Board still targeting July for new draft of Toxicity Plan</w:t>
            </w:r>
            <w:r w:rsidR="002D12D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B66EE" w:rsidRPr="00260C4E" w:rsidRDefault="00B92F7F" w:rsidP="009B66EE">
            <w:pPr>
              <w:numPr>
                <w:ilvl w:val="1"/>
                <w:numId w:val="7"/>
              </w:numPr>
              <w:ind w:left="679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7" w:history="1">
              <w:r w:rsidR="009B66EE" w:rsidRPr="00260C4E">
                <w:rPr>
                  <w:rStyle w:val="Hyperlink"/>
                  <w:rFonts w:ascii="Arial" w:hAnsi="Arial" w:cs="Arial"/>
                  <w:sz w:val="20"/>
                  <w:szCs w:val="20"/>
                </w:rPr>
                <w:t>FWQC Issues Matrix Update</w:t>
              </w:r>
            </w:hyperlink>
            <w:r w:rsidR="009B66EE" w:rsidRPr="00260C4E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="009B66EE" w:rsidRPr="00260C4E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- list of ongoing regulatory issues at the Federal Level. </w:t>
            </w:r>
            <w:r w:rsidR="002D12D6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For access to the </w:t>
            </w:r>
            <w:r w:rsidR="002D12D6" w:rsidRPr="00260C4E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Federal Water Quality Coalition (FWQC) Website</w:t>
            </w:r>
            <w:r w:rsidR="002D12D6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, c</w:t>
            </w:r>
            <w:r w:rsidR="009B66EE" w:rsidRPr="00260C4E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ont</w:t>
            </w:r>
            <w:r w:rsidR="002D12D6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act Lorien for a password</w:t>
            </w:r>
            <w:r w:rsidR="009B66EE" w:rsidRPr="00260C4E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, since BACWA is a dues-paying member.</w:t>
            </w:r>
          </w:p>
          <w:p w:rsidR="009B66EE" w:rsidRPr="00260C4E" w:rsidRDefault="009B66EE" w:rsidP="009B66EE">
            <w:pPr>
              <w:numPr>
                <w:ilvl w:val="1"/>
                <w:numId w:val="7"/>
              </w:numPr>
              <w:ind w:left="679"/>
              <w:rPr>
                <w:rFonts w:ascii="Arial" w:hAnsi="Arial" w:cs="Arial"/>
                <w:sz w:val="20"/>
                <w:szCs w:val="20"/>
              </w:rPr>
            </w:pPr>
            <w:r w:rsidRPr="00260C4E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Alternate MRP Invoices sent out by SFEI</w:t>
            </w:r>
            <w:r w:rsidR="002D12D6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so agencies can pay surcharge with FY16 funds.</w:t>
            </w:r>
          </w:p>
          <w:p w:rsidR="008B6C6C" w:rsidRPr="00260C4E" w:rsidRDefault="008B6C6C" w:rsidP="009B66EE">
            <w:pPr>
              <w:numPr>
                <w:ilvl w:val="1"/>
                <w:numId w:val="7"/>
              </w:numPr>
              <w:ind w:left="679"/>
              <w:rPr>
                <w:rFonts w:ascii="Arial" w:hAnsi="Arial" w:cs="Arial"/>
                <w:sz w:val="20"/>
                <w:szCs w:val="20"/>
              </w:rPr>
            </w:pPr>
            <w:r w:rsidRPr="00260C4E">
              <w:rPr>
                <w:rFonts w:ascii="Arial" w:hAnsi="Arial" w:cs="Arial"/>
                <w:sz w:val="20"/>
                <w:szCs w:val="20"/>
              </w:rPr>
              <w:t xml:space="preserve">The AIR committee will be </w:t>
            </w:r>
            <w:r w:rsidR="00891602" w:rsidRPr="00260C4E">
              <w:rPr>
                <w:rFonts w:ascii="Arial" w:hAnsi="Arial" w:cs="Arial"/>
                <w:sz w:val="20"/>
                <w:szCs w:val="20"/>
              </w:rPr>
              <w:t>hosting their annual meeting with the Air District on June 1</w:t>
            </w:r>
            <w:r w:rsidR="0076221B" w:rsidRPr="00260C4E">
              <w:rPr>
                <w:rFonts w:ascii="Arial" w:hAnsi="Arial" w:cs="Arial"/>
                <w:sz w:val="20"/>
                <w:szCs w:val="20"/>
              </w:rPr>
              <w:t>5</w:t>
            </w:r>
            <w:r w:rsidR="00891602" w:rsidRPr="00260C4E">
              <w:rPr>
                <w:rFonts w:ascii="Arial" w:hAnsi="Arial" w:cs="Arial"/>
                <w:sz w:val="20"/>
                <w:szCs w:val="20"/>
              </w:rPr>
              <w:t>.  All BACWA members are welcome to attend.</w:t>
            </w:r>
          </w:p>
        </w:tc>
      </w:tr>
      <w:tr w:rsidR="00D41C67" w:rsidRPr="003A54C1" w:rsidTr="004243F0">
        <w:trPr>
          <w:cantSplit/>
          <w:trHeight w:val="16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CC" w:rsidRPr="00260C4E" w:rsidRDefault="00D41C67" w:rsidP="00A906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C4E">
              <w:rPr>
                <w:rFonts w:ascii="Arial" w:hAnsi="Arial" w:cs="Arial"/>
                <w:b/>
                <w:sz w:val="20"/>
                <w:szCs w:val="20"/>
              </w:rPr>
              <w:t xml:space="preserve">Report out from the </w:t>
            </w:r>
            <w:r w:rsidR="000E4558" w:rsidRPr="00260C4E">
              <w:rPr>
                <w:rFonts w:ascii="Arial" w:hAnsi="Arial" w:cs="Arial"/>
                <w:b/>
                <w:sz w:val="20"/>
                <w:szCs w:val="20"/>
              </w:rPr>
              <w:t>4/15</w:t>
            </w:r>
            <w:r w:rsidRPr="00260C4E">
              <w:rPr>
                <w:rFonts w:ascii="Arial" w:hAnsi="Arial" w:cs="Arial"/>
                <w:b/>
                <w:sz w:val="20"/>
                <w:szCs w:val="20"/>
              </w:rPr>
              <w:t xml:space="preserve"> Executive Board meeting</w:t>
            </w:r>
            <w:r w:rsidR="00891602" w:rsidRPr="00260C4E">
              <w:rPr>
                <w:rFonts w:ascii="Arial" w:hAnsi="Arial" w:cs="Arial"/>
                <w:b/>
                <w:sz w:val="20"/>
                <w:szCs w:val="20"/>
              </w:rPr>
              <w:t xml:space="preserve"> and 5/3 Joint</w:t>
            </w:r>
            <w:r w:rsidR="000E4558" w:rsidRPr="00260C4E">
              <w:rPr>
                <w:rFonts w:ascii="Arial" w:hAnsi="Arial" w:cs="Arial"/>
                <w:b/>
                <w:sz w:val="20"/>
                <w:szCs w:val="20"/>
              </w:rPr>
              <w:t xml:space="preserve"> meeting with the Regional Water Board</w:t>
            </w:r>
          </w:p>
          <w:p w:rsidR="00AB2C3F" w:rsidRPr="00260C4E" w:rsidRDefault="00AB2C3F" w:rsidP="000E455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60C4E">
              <w:rPr>
                <w:rFonts w:ascii="Arial" w:hAnsi="Arial" w:cs="Arial"/>
                <w:sz w:val="20"/>
                <w:szCs w:val="20"/>
              </w:rPr>
              <w:t>Most items covered previously in the agenda.</w:t>
            </w:r>
          </w:p>
          <w:p w:rsidR="00196901" w:rsidRPr="00260C4E" w:rsidRDefault="00196901" w:rsidP="000E455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60C4E">
              <w:rPr>
                <w:rFonts w:ascii="Arial" w:hAnsi="Arial" w:cs="Arial"/>
                <w:i/>
                <w:sz w:val="20"/>
                <w:szCs w:val="20"/>
              </w:rPr>
              <w:t xml:space="preserve">Technical Review of Scientific Documents – 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BACWA has contracted with </w:t>
            </w:r>
            <w:proofErr w:type="spellStart"/>
            <w:r w:rsidRPr="00260C4E">
              <w:rPr>
                <w:rFonts w:ascii="Arial" w:hAnsi="Arial" w:cs="Arial"/>
                <w:sz w:val="20"/>
                <w:szCs w:val="20"/>
              </w:rPr>
              <w:t>LimnoTech</w:t>
            </w:r>
            <w:proofErr w:type="spellEnd"/>
            <w:r w:rsidRPr="00260C4E">
              <w:rPr>
                <w:rFonts w:ascii="Arial" w:hAnsi="Arial" w:cs="Arial"/>
                <w:sz w:val="20"/>
                <w:szCs w:val="20"/>
              </w:rPr>
              <w:t xml:space="preserve"> to provide review of the data related to the Assessment Framework and associated documents</w:t>
            </w:r>
            <w:r w:rsidR="002D12D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B66EE" w:rsidRPr="00260C4E" w:rsidRDefault="009B66EE" w:rsidP="009B66E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60C4E">
              <w:rPr>
                <w:rFonts w:ascii="Arial" w:hAnsi="Arial" w:cs="Arial"/>
                <w:sz w:val="20"/>
                <w:szCs w:val="20"/>
              </w:rPr>
              <w:t xml:space="preserve">Sarah Deslauriers gave </w:t>
            </w:r>
            <w:r w:rsidR="00B02176">
              <w:rPr>
                <w:rFonts w:ascii="Arial" w:hAnsi="Arial" w:cs="Arial"/>
                <w:sz w:val="20"/>
                <w:szCs w:val="20"/>
              </w:rPr>
              <w:t xml:space="preserve">a CWCCG </w:t>
            </w:r>
            <w:r w:rsidRPr="00260C4E">
              <w:rPr>
                <w:rFonts w:ascii="Arial" w:hAnsi="Arial" w:cs="Arial"/>
                <w:sz w:val="20"/>
                <w:szCs w:val="20"/>
              </w:rPr>
              <w:t>update.</w:t>
            </w:r>
          </w:p>
          <w:p w:rsidR="000E4558" w:rsidRPr="00260C4E" w:rsidRDefault="009B66EE" w:rsidP="009B66E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60C4E">
              <w:rPr>
                <w:rFonts w:ascii="Arial" w:hAnsi="Arial" w:cs="Arial"/>
                <w:sz w:val="20"/>
                <w:szCs w:val="20"/>
              </w:rPr>
              <w:t xml:space="preserve">The Biosolids Committee will be developing a survey that </w:t>
            </w:r>
            <w:proofErr w:type="gramStart"/>
            <w:r w:rsidRPr="00260C4E">
              <w:rPr>
                <w:rFonts w:ascii="Arial" w:hAnsi="Arial" w:cs="Arial"/>
                <w:sz w:val="20"/>
                <w:szCs w:val="20"/>
              </w:rPr>
              <w:t>will be distributed</w:t>
            </w:r>
            <w:proofErr w:type="gramEnd"/>
            <w:r w:rsidRPr="00260C4E">
              <w:rPr>
                <w:rFonts w:ascii="Arial" w:hAnsi="Arial" w:cs="Arial"/>
                <w:sz w:val="20"/>
                <w:szCs w:val="20"/>
              </w:rPr>
              <w:t xml:space="preserve"> this summer</w:t>
            </w:r>
            <w:r w:rsidR="008B6C6C" w:rsidRPr="00260C4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0C4E" w:rsidRPr="003A54C1" w:rsidTr="004243F0">
        <w:trPr>
          <w:cantSplit/>
          <w:trHeight w:val="16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E" w:rsidRPr="00260C4E" w:rsidRDefault="00260C4E" w:rsidP="00A906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C4E">
              <w:rPr>
                <w:rFonts w:ascii="Arial" w:hAnsi="Arial" w:cs="Arial"/>
                <w:b/>
                <w:sz w:val="20"/>
                <w:szCs w:val="20"/>
              </w:rPr>
              <w:t>Committee Succession</w:t>
            </w:r>
          </w:p>
          <w:p w:rsidR="00260C4E" w:rsidRPr="00260C4E" w:rsidRDefault="00260C4E" w:rsidP="00A906CC">
            <w:pPr>
              <w:rPr>
                <w:rFonts w:ascii="Arial" w:hAnsi="Arial" w:cs="Arial"/>
                <w:sz w:val="20"/>
                <w:szCs w:val="20"/>
              </w:rPr>
            </w:pPr>
            <w:r w:rsidRPr="00260C4E">
              <w:rPr>
                <w:rFonts w:ascii="Arial" w:hAnsi="Arial" w:cs="Arial"/>
                <w:sz w:val="20"/>
                <w:szCs w:val="20"/>
              </w:rPr>
              <w:t xml:space="preserve">Amanda Roa (Delta Diablo) will be stepping down and Eric Dunleavy will assume the role of Committee Chair.  Chris </w:t>
            </w:r>
            <w:proofErr w:type="spellStart"/>
            <w:r w:rsidRPr="00260C4E">
              <w:rPr>
                <w:rFonts w:ascii="Arial" w:hAnsi="Arial" w:cs="Arial"/>
                <w:sz w:val="20"/>
                <w:szCs w:val="20"/>
              </w:rPr>
              <w:t>Dembiczak</w:t>
            </w:r>
            <w:proofErr w:type="spellEnd"/>
            <w:r w:rsidRPr="00260C4E">
              <w:rPr>
                <w:rFonts w:ascii="Arial" w:hAnsi="Arial" w:cs="Arial"/>
                <w:sz w:val="20"/>
                <w:szCs w:val="20"/>
              </w:rPr>
              <w:t xml:space="preserve"> (EBMUD) will be Vice-chair.</w:t>
            </w:r>
          </w:p>
        </w:tc>
      </w:tr>
      <w:tr w:rsidR="009E70B4" w:rsidRPr="003A54C1" w:rsidTr="009B66EE">
        <w:trPr>
          <w:cantSplit/>
          <w:trHeight w:val="278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47" w:rsidRPr="00260C4E" w:rsidRDefault="009E70B4" w:rsidP="009B66E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60C4E">
              <w:rPr>
                <w:rFonts w:ascii="Arial" w:hAnsi="Arial" w:cs="Arial"/>
                <w:b/>
                <w:sz w:val="20"/>
                <w:szCs w:val="20"/>
              </w:rPr>
              <w:t xml:space="preserve">Next BACWA Permits Committee </w:t>
            </w:r>
            <w:proofErr w:type="gramStart"/>
            <w:r w:rsidRPr="00260C4E">
              <w:rPr>
                <w:rFonts w:ascii="Arial" w:hAnsi="Arial" w:cs="Arial"/>
                <w:b/>
                <w:sz w:val="20"/>
                <w:szCs w:val="20"/>
              </w:rPr>
              <w:t>Meeting:</w:t>
            </w:r>
            <w:proofErr w:type="gramEnd"/>
            <w:r w:rsidRPr="00260C4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260C4E">
              <w:rPr>
                <w:rFonts w:ascii="Arial" w:hAnsi="Arial" w:cs="Arial"/>
                <w:sz w:val="20"/>
                <w:szCs w:val="20"/>
              </w:rPr>
              <w:t xml:space="preserve">Tuesday, </w:t>
            </w:r>
            <w:r w:rsidR="009B66EE" w:rsidRPr="00260C4E">
              <w:rPr>
                <w:rFonts w:ascii="Arial" w:hAnsi="Arial" w:cs="Arial"/>
                <w:sz w:val="20"/>
                <w:szCs w:val="20"/>
              </w:rPr>
              <w:t>July 12</w:t>
            </w:r>
            <w:r w:rsidR="002D12D6">
              <w:rPr>
                <w:rFonts w:ascii="Arial" w:hAnsi="Arial" w:cs="Arial"/>
                <w:sz w:val="20"/>
                <w:szCs w:val="20"/>
              </w:rPr>
              <w:t>, EBMUD</w:t>
            </w:r>
            <w:r w:rsidR="008B6C6C" w:rsidRPr="00260C4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0E1846" w:rsidRPr="003A54C1" w:rsidRDefault="000E1846" w:rsidP="003A1C9C">
      <w:pPr>
        <w:rPr>
          <w:rFonts w:ascii="Arial" w:hAnsi="Arial" w:cs="Arial"/>
          <w:sz w:val="20"/>
          <w:szCs w:val="20"/>
        </w:rPr>
      </w:pPr>
    </w:p>
    <w:sectPr w:rsidR="000E1846" w:rsidRPr="003A54C1" w:rsidSect="004931F3"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720" w:right="720" w:bottom="245" w:left="720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F7F" w:rsidRDefault="00B92F7F">
      <w:r>
        <w:separator/>
      </w:r>
    </w:p>
  </w:endnote>
  <w:endnote w:type="continuationSeparator" w:id="0">
    <w:p w:rsidR="00B92F7F" w:rsidRDefault="00B9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6CC" w:rsidRDefault="005923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06C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06CC">
      <w:rPr>
        <w:rStyle w:val="PageNumber"/>
        <w:noProof/>
      </w:rPr>
      <w:t>2</w:t>
    </w:r>
    <w:r>
      <w:rPr>
        <w:rStyle w:val="PageNumber"/>
      </w:rPr>
      <w:fldChar w:fldCharType="end"/>
    </w:r>
  </w:p>
  <w:p w:rsidR="00A906CC" w:rsidRDefault="00A906CC">
    <w:pPr>
      <w:ind w:left="-1080"/>
    </w:pPr>
  </w:p>
  <w:p w:rsidR="00A906CC" w:rsidRDefault="00A906C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6CC" w:rsidRPr="00944BEA" w:rsidRDefault="0059234A" w:rsidP="00944BEA">
    <w:pPr>
      <w:pStyle w:val="Footer"/>
      <w:jc w:val="center"/>
    </w:pPr>
    <w:r>
      <w:rPr>
        <w:rStyle w:val="PageNumber"/>
      </w:rPr>
      <w:fldChar w:fldCharType="begin"/>
    </w:r>
    <w:r w:rsidR="00A906C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A471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6CC" w:rsidRDefault="00A906CC">
    <w:pPr>
      <w:pStyle w:val="Footer"/>
      <w:spacing w:after="600"/>
      <w:ind w:left="-840" w:right="-84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F7F" w:rsidRDefault="00B92F7F">
      <w:r>
        <w:separator/>
      </w:r>
    </w:p>
  </w:footnote>
  <w:footnote w:type="continuationSeparator" w:id="0">
    <w:p w:rsidR="00B92F7F" w:rsidRDefault="00B92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6CC" w:rsidRDefault="00A906C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C41DF1"/>
    <w:multiLevelType w:val="hybridMultilevel"/>
    <w:tmpl w:val="E176171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8C2BD78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F0DA6"/>
    <w:multiLevelType w:val="hybridMultilevel"/>
    <w:tmpl w:val="A08EE2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1495"/>
    <w:multiLevelType w:val="hybridMultilevel"/>
    <w:tmpl w:val="A66E5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B3FA9"/>
    <w:multiLevelType w:val="hybridMultilevel"/>
    <w:tmpl w:val="06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95B66"/>
    <w:multiLevelType w:val="hybridMultilevel"/>
    <w:tmpl w:val="4BD8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37544"/>
    <w:multiLevelType w:val="hybridMultilevel"/>
    <w:tmpl w:val="517A41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EF50A18"/>
    <w:multiLevelType w:val="hybridMultilevel"/>
    <w:tmpl w:val="DBDC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55051"/>
    <w:multiLevelType w:val="hybridMultilevel"/>
    <w:tmpl w:val="DD80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83B91"/>
    <w:multiLevelType w:val="hybridMultilevel"/>
    <w:tmpl w:val="4E72E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128B7"/>
    <w:multiLevelType w:val="hybridMultilevel"/>
    <w:tmpl w:val="572A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D74E4"/>
    <w:multiLevelType w:val="multilevel"/>
    <w:tmpl w:val="BF1C1A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97560F4"/>
    <w:multiLevelType w:val="hybridMultilevel"/>
    <w:tmpl w:val="753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4FF65C95"/>
    <w:multiLevelType w:val="multilevel"/>
    <w:tmpl w:val="03206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6" w15:restartNumberingAfterBreak="0">
    <w:nsid w:val="56525F6A"/>
    <w:multiLevelType w:val="hybridMultilevel"/>
    <w:tmpl w:val="67906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90D12"/>
    <w:multiLevelType w:val="hybridMultilevel"/>
    <w:tmpl w:val="210C5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43AEA"/>
    <w:multiLevelType w:val="hybridMultilevel"/>
    <w:tmpl w:val="C99A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9180F"/>
    <w:multiLevelType w:val="hybridMultilevel"/>
    <w:tmpl w:val="7996E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00D94"/>
    <w:multiLevelType w:val="hybridMultilevel"/>
    <w:tmpl w:val="4F3AE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13"/>
  </w:num>
  <w:num w:numId="3">
    <w:abstractNumId w:val="15"/>
  </w:num>
  <w:num w:numId="4">
    <w:abstractNumId w:val="19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11"/>
  </w:num>
  <w:num w:numId="11">
    <w:abstractNumId w:val="1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17"/>
  </w:num>
  <w:num w:numId="16">
    <w:abstractNumId w:val="5"/>
  </w:num>
  <w:num w:numId="17">
    <w:abstractNumId w:val="18"/>
  </w:num>
  <w:num w:numId="18">
    <w:abstractNumId w:val="1"/>
  </w:num>
  <w:num w:numId="19">
    <w:abstractNumId w:val="3"/>
  </w:num>
  <w:num w:numId="20">
    <w:abstractNumId w:val="12"/>
  </w:num>
  <w:num w:numId="21">
    <w:abstractNumId w:val="16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3E"/>
    <w:rsid w:val="00000500"/>
    <w:rsid w:val="00000F9F"/>
    <w:rsid w:val="00003853"/>
    <w:rsid w:val="00004DAC"/>
    <w:rsid w:val="00005B4D"/>
    <w:rsid w:val="00006FCB"/>
    <w:rsid w:val="000104AF"/>
    <w:rsid w:val="00011EC3"/>
    <w:rsid w:val="00012230"/>
    <w:rsid w:val="00012418"/>
    <w:rsid w:val="00014AB1"/>
    <w:rsid w:val="00016189"/>
    <w:rsid w:val="00016F2C"/>
    <w:rsid w:val="00017050"/>
    <w:rsid w:val="00021A24"/>
    <w:rsid w:val="000222CC"/>
    <w:rsid w:val="000249C3"/>
    <w:rsid w:val="00025300"/>
    <w:rsid w:val="00025EAB"/>
    <w:rsid w:val="00026734"/>
    <w:rsid w:val="00030578"/>
    <w:rsid w:val="00030B19"/>
    <w:rsid w:val="00031518"/>
    <w:rsid w:val="00031B33"/>
    <w:rsid w:val="00036F53"/>
    <w:rsid w:val="00040EDE"/>
    <w:rsid w:val="0004112E"/>
    <w:rsid w:val="0004301C"/>
    <w:rsid w:val="00045EE8"/>
    <w:rsid w:val="000479E6"/>
    <w:rsid w:val="00055810"/>
    <w:rsid w:val="00057C38"/>
    <w:rsid w:val="00060212"/>
    <w:rsid w:val="00060652"/>
    <w:rsid w:val="00061BE5"/>
    <w:rsid w:val="000632E1"/>
    <w:rsid w:val="000637C6"/>
    <w:rsid w:val="00063B06"/>
    <w:rsid w:val="00064826"/>
    <w:rsid w:val="000668A8"/>
    <w:rsid w:val="00070A42"/>
    <w:rsid w:val="000719DD"/>
    <w:rsid w:val="00073087"/>
    <w:rsid w:val="00073780"/>
    <w:rsid w:val="0007541E"/>
    <w:rsid w:val="000773D0"/>
    <w:rsid w:val="00080579"/>
    <w:rsid w:val="000841DB"/>
    <w:rsid w:val="00084B73"/>
    <w:rsid w:val="00086F94"/>
    <w:rsid w:val="0009037D"/>
    <w:rsid w:val="00091831"/>
    <w:rsid w:val="00091B3F"/>
    <w:rsid w:val="00095589"/>
    <w:rsid w:val="000969C9"/>
    <w:rsid w:val="000A3124"/>
    <w:rsid w:val="000A39A7"/>
    <w:rsid w:val="000A4A98"/>
    <w:rsid w:val="000A4C0B"/>
    <w:rsid w:val="000B1F33"/>
    <w:rsid w:val="000B1F9D"/>
    <w:rsid w:val="000B23BF"/>
    <w:rsid w:val="000B29CE"/>
    <w:rsid w:val="000B2A82"/>
    <w:rsid w:val="000B4209"/>
    <w:rsid w:val="000B4BDF"/>
    <w:rsid w:val="000B54B2"/>
    <w:rsid w:val="000B7801"/>
    <w:rsid w:val="000C32F3"/>
    <w:rsid w:val="000C4B44"/>
    <w:rsid w:val="000C4DF8"/>
    <w:rsid w:val="000C5A68"/>
    <w:rsid w:val="000C5E40"/>
    <w:rsid w:val="000C687B"/>
    <w:rsid w:val="000C6FE4"/>
    <w:rsid w:val="000D0243"/>
    <w:rsid w:val="000D1979"/>
    <w:rsid w:val="000D27CE"/>
    <w:rsid w:val="000D40DF"/>
    <w:rsid w:val="000D615B"/>
    <w:rsid w:val="000D61E2"/>
    <w:rsid w:val="000E1846"/>
    <w:rsid w:val="000E33E3"/>
    <w:rsid w:val="000E4558"/>
    <w:rsid w:val="000E4FFE"/>
    <w:rsid w:val="000F07E5"/>
    <w:rsid w:val="000F0F6A"/>
    <w:rsid w:val="000F31FA"/>
    <w:rsid w:val="000F4376"/>
    <w:rsid w:val="001005D3"/>
    <w:rsid w:val="001064BC"/>
    <w:rsid w:val="00106E74"/>
    <w:rsid w:val="00107980"/>
    <w:rsid w:val="001106F3"/>
    <w:rsid w:val="00110F6D"/>
    <w:rsid w:val="00112156"/>
    <w:rsid w:val="001139F8"/>
    <w:rsid w:val="00115981"/>
    <w:rsid w:val="0011753C"/>
    <w:rsid w:val="00117C9B"/>
    <w:rsid w:val="0012410A"/>
    <w:rsid w:val="001246C4"/>
    <w:rsid w:val="00124DC5"/>
    <w:rsid w:val="001272C2"/>
    <w:rsid w:val="0012748A"/>
    <w:rsid w:val="00127D7B"/>
    <w:rsid w:val="00130DBE"/>
    <w:rsid w:val="00132EE1"/>
    <w:rsid w:val="001429B8"/>
    <w:rsid w:val="0014579B"/>
    <w:rsid w:val="00146741"/>
    <w:rsid w:val="00151A50"/>
    <w:rsid w:val="00152380"/>
    <w:rsid w:val="00153F8F"/>
    <w:rsid w:val="0015521C"/>
    <w:rsid w:val="00157ECE"/>
    <w:rsid w:val="00165617"/>
    <w:rsid w:val="001657E7"/>
    <w:rsid w:val="00165CD9"/>
    <w:rsid w:val="0017280B"/>
    <w:rsid w:val="00173EA8"/>
    <w:rsid w:val="00177A28"/>
    <w:rsid w:val="001856DB"/>
    <w:rsid w:val="0018789A"/>
    <w:rsid w:val="00192108"/>
    <w:rsid w:val="00193A1B"/>
    <w:rsid w:val="00195466"/>
    <w:rsid w:val="00196901"/>
    <w:rsid w:val="00196B79"/>
    <w:rsid w:val="00196EDF"/>
    <w:rsid w:val="001A0726"/>
    <w:rsid w:val="001A15D9"/>
    <w:rsid w:val="001A26B2"/>
    <w:rsid w:val="001A4B29"/>
    <w:rsid w:val="001A5713"/>
    <w:rsid w:val="001B258F"/>
    <w:rsid w:val="001B2F9D"/>
    <w:rsid w:val="001B4372"/>
    <w:rsid w:val="001B62B9"/>
    <w:rsid w:val="001B7E50"/>
    <w:rsid w:val="001C5DB2"/>
    <w:rsid w:val="001C696E"/>
    <w:rsid w:val="001D1CF8"/>
    <w:rsid w:val="001D466B"/>
    <w:rsid w:val="001D79E2"/>
    <w:rsid w:val="001D7ED0"/>
    <w:rsid w:val="001E1E7E"/>
    <w:rsid w:val="001E314F"/>
    <w:rsid w:val="001E7159"/>
    <w:rsid w:val="001E7686"/>
    <w:rsid w:val="001F0D0A"/>
    <w:rsid w:val="001F110B"/>
    <w:rsid w:val="001F134E"/>
    <w:rsid w:val="001F31B1"/>
    <w:rsid w:val="001F3DE3"/>
    <w:rsid w:val="001F4C4D"/>
    <w:rsid w:val="001F51FA"/>
    <w:rsid w:val="001F6439"/>
    <w:rsid w:val="002002AD"/>
    <w:rsid w:val="002010F8"/>
    <w:rsid w:val="002011E0"/>
    <w:rsid w:val="00204A00"/>
    <w:rsid w:val="00211509"/>
    <w:rsid w:val="00211E06"/>
    <w:rsid w:val="0021235F"/>
    <w:rsid w:val="00212A54"/>
    <w:rsid w:val="0021419F"/>
    <w:rsid w:val="00215FF7"/>
    <w:rsid w:val="00216A5E"/>
    <w:rsid w:val="00217085"/>
    <w:rsid w:val="00217475"/>
    <w:rsid w:val="00220774"/>
    <w:rsid w:val="002219AC"/>
    <w:rsid w:val="002223B8"/>
    <w:rsid w:val="0022401C"/>
    <w:rsid w:val="00224EB4"/>
    <w:rsid w:val="00225CC0"/>
    <w:rsid w:val="002304ED"/>
    <w:rsid w:val="00230ED2"/>
    <w:rsid w:val="00232BC6"/>
    <w:rsid w:val="00233919"/>
    <w:rsid w:val="00233DEE"/>
    <w:rsid w:val="00234B68"/>
    <w:rsid w:val="00235C0E"/>
    <w:rsid w:val="0023730F"/>
    <w:rsid w:val="002414A2"/>
    <w:rsid w:val="00242DB2"/>
    <w:rsid w:val="002435A0"/>
    <w:rsid w:val="0024567B"/>
    <w:rsid w:val="00246166"/>
    <w:rsid w:val="002527C2"/>
    <w:rsid w:val="002535AF"/>
    <w:rsid w:val="00255802"/>
    <w:rsid w:val="00255CB3"/>
    <w:rsid w:val="00256E04"/>
    <w:rsid w:val="002570D5"/>
    <w:rsid w:val="00260C4E"/>
    <w:rsid w:val="002645B6"/>
    <w:rsid w:val="00265445"/>
    <w:rsid w:val="00266E6C"/>
    <w:rsid w:val="0026756F"/>
    <w:rsid w:val="00273931"/>
    <w:rsid w:val="00277E29"/>
    <w:rsid w:val="0028153B"/>
    <w:rsid w:val="0028175D"/>
    <w:rsid w:val="00282BF0"/>
    <w:rsid w:val="00285634"/>
    <w:rsid w:val="002857B6"/>
    <w:rsid w:val="00293D2F"/>
    <w:rsid w:val="00294B87"/>
    <w:rsid w:val="002952A1"/>
    <w:rsid w:val="002956CD"/>
    <w:rsid w:val="0029589D"/>
    <w:rsid w:val="002965F3"/>
    <w:rsid w:val="002A0BC4"/>
    <w:rsid w:val="002A0C5E"/>
    <w:rsid w:val="002A19FD"/>
    <w:rsid w:val="002A1A3B"/>
    <w:rsid w:val="002A2051"/>
    <w:rsid w:val="002A38F2"/>
    <w:rsid w:val="002A6097"/>
    <w:rsid w:val="002B0E4F"/>
    <w:rsid w:val="002B0FD7"/>
    <w:rsid w:val="002B4CE2"/>
    <w:rsid w:val="002B5217"/>
    <w:rsid w:val="002B6989"/>
    <w:rsid w:val="002C2227"/>
    <w:rsid w:val="002C4BB9"/>
    <w:rsid w:val="002C52E5"/>
    <w:rsid w:val="002C53DA"/>
    <w:rsid w:val="002D0ECC"/>
    <w:rsid w:val="002D12D6"/>
    <w:rsid w:val="002D2055"/>
    <w:rsid w:val="002D22D6"/>
    <w:rsid w:val="002D4199"/>
    <w:rsid w:val="002D50B1"/>
    <w:rsid w:val="002D5688"/>
    <w:rsid w:val="002D684D"/>
    <w:rsid w:val="002E0BA7"/>
    <w:rsid w:val="002E1A92"/>
    <w:rsid w:val="002E1E79"/>
    <w:rsid w:val="002E24AA"/>
    <w:rsid w:val="002E257A"/>
    <w:rsid w:val="002E2DB6"/>
    <w:rsid w:val="002E6767"/>
    <w:rsid w:val="002E7F0B"/>
    <w:rsid w:val="002F17D0"/>
    <w:rsid w:val="002F1A9E"/>
    <w:rsid w:val="003001C2"/>
    <w:rsid w:val="00301CE0"/>
    <w:rsid w:val="00301E8E"/>
    <w:rsid w:val="003020E1"/>
    <w:rsid w:val="00303B02"/>
    <w:rsid w:val="00304516"/>
    <w:rsid w:val="003057CA"/>
    <w:rsid w:val="00307237"/>
    <w:rsid w:val="003113F1"/>
    <w:rsid w:val="003155C9"/>
    <w:rsid w:val="00316300"/>
    <w:rsid w:val="003208FD"/>
    <w:rsid w:val="003233DE"/>
    <w:rsid w:val="00324954"/>
    <w:rsid w:val="003266DE"/>
    <w:rsid w:val="003300B3"/>
    <w:rsid w:val="00332C2B"/>
    <w:rsid w:val="00333996"/>
    <w:rsid w:val="003373D7"/>
    <w:rsid w:val="00340EC8"/>
    <w:rsid w:val="00341C16"/>
    <w:rsid w:val="00341FD5"/>
    <w:rsid w:val="00342E1B"/>
    <w:rsid w:val="00343C46"/>
    <w:rsid w:val="00345B92"/>
    <w:rsid w:val="00345D92"/>
    <w:rsid w:val="003461B5"/>
    <w:rsid w:val="00351370"/>
    <w:rsid w:val="0035184E"/>
    <w:rsid w:val="0035448D"/>
    <w:rsid w:val="00354DA3"/>
    <w:rsid w:val="0035613D"/>
    <w:rsid w:val="00356612"/>
    <w:rsid w:val="00363B1D"/>
    <w:rsid w:val="003672B0"/>
    <w:rsid w:val="00370447"/>
    <w:rsid w:val="003709F3"/>
    <w:rsid w:val="00373DB3"/>
    <w:rsid w:val="003768B9"/>
    <w:rsid w:val="00377CCE"/>
    <w:rsid w:val="00380AD5"/>
    <w:rsid w:val="003821BD"/>
    <w:rsid w:val="00382CC9"/>
    <w:rsid w:val="00383FFE"/>
    <w:rsid w:val="00385D39"/>
    <w:rsid w:val="00386A75"/>
    <w:rsid w:val="003912FB"/>
    <w:rsid w:val="003925B5"/>
    <w:rsid w:val="0039342C"/>
    <w:rsid w:val="00395530"/>
    <w:rsid w:val="003A191C"/>
    <w:rsid w:val="003A1A41"/>
    <w:rsid w:val="003A1AE5"/>
    <w:rsid w:val="003A1C9C"/>
    <w:rsid w:val="003A54C1"/>
    <w:rsid w:val="003B3513"/>
    <w:rsid w:val="003B3DF4"/>
    <w:rsid w:val="003B7B15"/>
    <w:rsid w:val="003C3654"/>
    <w:rsid w:val="003C6D0E"/>
    <w:rsid w:val="003D1172"/>
    <w:rsid w:val="003D2D36"/>
    <w:rsid w:val="003D51FB"/>
    <w:rsid w:val="003E33D2"/>
    <w:rsid w:val="003E45C6"/>
    <w:rsid w:val="003E7490"/>
    <w:rsid w:val="003F1CA8"/>
    <w:rsid w:val="003F413C"/>
    <w:rsid w:val="003F5349"/>
    <w:rsid w:val="003F642C"/>
    <w:rsid w:val="004004C3"/>
    <w:rsid w:val="004005D5"/>
    <w:rsid w:val="00400F92"/>
    <w:rsid w:val="004016D0"/>
    <w:rsid w:val="004024FC"/>
    <w:rsid w:val="004028F2"/>
    <w:rsid w:val="0041076B"/>
    <w:rsid w:val="00412415"/>
    <w:rsid w:val="00415DE4"/>
    <w:rsid w:val="00417368"/>
    <w:rsid w:val="00420244"/>
    <w:rsid w:val="0042164B"/>
    <w:rsid w:val="0042165C"/>
    <w:rsid w:val="004243F0"/>
    <w:rsid w:val="00426511"/>
    <w:rsid w:val="004268B9"/>
    <w:rsid w:val="00430290"/>
    <w:rsid w:val="004312BF"/>
    <w:rsid w:val="00433182"/>
    <w:rsid w:val="00434388"/>
    <w:rsid w:val="00434D38"/>
    <w:rsid w:val="00442B93"/>
    <w:rsid w:val="00450C14"/>
    <w:rsid w:val="00453DEA"/>
    <w:rsid w:val="00453FF6"/>
    <w:rsid w:val="004544D9"/>
    <w:rsid w:val="00454DCA"/>
    <w:rsid w:val="00455D95"/>
    <w:rsid w:val="00456331"/>
    <w:rsid w:val="004564F8"/>
    <w:rsid w:val="00456860"/>
    <w:rsid w:val="00461D95"/>
    <w:rsid w:val="00462E5A"/>
    <w:rsid w:val="00463911"/>
    <w:rsid w:val="00463D9C"/>
    <w:rsid w:val="004652E5"/>
    <w:rsid w:val="00465601"/>
    <w:rsid w:val="00466446"/>
    <w:rsid w:val="00466E7F"/>
    <w:rsid w:val="00473222"/>
    <w:rsid w:val="00473661"/>
    <w:rsid w:val="004765FC"/>
    <w:rsid w:val="0047728F"/>
    <w:rsid w:val="00480325"/>
    <w:rsid w:val="00481ADF"/>
    <w:rsid w:val="0048333C"/>
    <w:rsid w:val="00483797"/>
    <w:rsid w:val="004863E7"/>
    <w:rsid w:val="00487788"/>
    <w:rsid w:val="0049235A"/>
    <w:rsid w:val="00492F8A"/>
    <w:rsid w:val="004931F3"/>
    <w:rsid w:val="004950EB"/>
    <w:rsid w:val="00495EC6"/>
    <w:rsid w:val="00495F42"/>
    <w:rsid w:val="0049664C"/>
    <w:rsid w:val="004A000E"/>
    <w:rsid w:val="004A1867"/>
    <w:rsid w:val="004A471D"/>
    <w:rsid w:val="004A602F"/>
    <w:rsid w:val="004B0501"/>
    <w:rsid w:val="004B1A6A"/>
    <w:rsid w:val="004B1E43"/>
    <w:rsid w:val="004B2701"/>
    <w:rsid w:val="004B2C47"/>
    <w:rsid w:val="004B5618"/>
    <w:rsid w:val="004B6166"/>
    <w:rsid w:val="004B6C02"/>
    <w:rsid w:val="004C0E43"/>
    <w:rsid w:val="004C1869"/>
    <w:rsid w:val="004C1E25"/>
    <w:rsid w:val="004C1F9D"/>
    <w:rsid w:val="004C4BB2"/>
    <w:rsid w:val="004C7FBD"/>
    <w:rsid w:val="004D0A81"/>
    <w:rsid w:val="004D0E4D"/>
    <w:rsid w:val="004D1E6F"/>
    <w:rsid w:val="004D3139"/>
    <w:rsid w:val="004D4350"/>
    <w:rsid w:val="004D51EE"/>
    <w:rsid w:val="004D5455"/>
    <w:rsid w:val="004D5915"/>
    <w:rsid w:val="004D5E7F"/>
    <w:rsid w:val="004D62C2"/>
    <w:rsid w:val="004E0A58"/>
    <w:rsid w:val="004E0CBE"/>
    <w:rsid w:val="004E1F85"/>
    <w:rsid w:val="004E41D6"/>
    <w:rsid w:val="004E55FB"/>
    <w:rsid w:val="004E6DCD"/>
    <w:rsid w:val="004F1DD8"/>
    <w:rsid w:val="004F493D"/>
    <w:rsid w:val="004F4CF9"/>
    <w:rsid w:val="004F7E04"/>
    <w:rsid w:val="005013C8"/>
    <w:rsid w:val="00503374"/>
    <w:rsid w:val="005109D7"/>
    <w:rsid w:val="00512D0B"/>
    <w:rsid w:val="005142CA"/>
    <w:rsid w:val="00517408"/>
    <w:rsid w:val="00521C98"/>
    <w:rsid w:val="00523E4C"/>
    <w:rsid w:val="00524A35"/>
    <w:rsid w:val="00527204"/>
    <w:rsid w:val="00527EE7"/>
    <w:rsid w:val="005302F1"/>
    <w:rsid w:val="005314DA"/>
    <w:rsid w:val="00534BF0"/>
    <w:rsid w:val="00535E9D"/>
    <w:rsid w:val="005360EA"/>
    <w:rsid w:val="00541789"/>
    <w:rsid w:val="00543508"/>
    <w:rsid w:val="005442F1"/>
    <w:rsid w:val="00544C3C"/>
    <w:rsid w:val="00546FF9"/>
    <w:rsid w:val="0054789A"/>
    <w:rsid w:val="00547CD4"/>
    <w:rsid w:val="005508AC"/>
    <w:rsid w:val="005576E8"/>
    <w:rsid w:val="005621F0"/>
    <w:rsid w:val="005641B6"/>
    <w:rsid w:val="005657D0"/>
    <w:rsid w:val="00566256"/>
    <w:rsid w:val="00566882"/>
    <w:rsid w:val="00567D27"/>
    <w:rsid w:val="00571DC9"/>
    <w:rsid w:val="00576538"/>
    <w:rsid w:val="00580A31"/>
    <w:rsid w:val="00581D94"/>
    <w:rsid w:val="00582B87"/>
    <w:rsid w:val="00583FD4"/>
    <w:rsid w:val="0058477A"/>
    <w:rsid w:val="00585C3A"/>
    <w:rsid w:val="0059234A"/>
    <w:rsid w:val="00592AE5"/>
    <w:rsid w:val="00596B0F"/>
    <w:rsid w:val="005A0C46"/>
    <w:rsid w:val="005A1048"/>
    <w:rsid w:val="005A127F"/>
    <w:rsid w:val="005A256A"/>
    <w:rsid w:val="005B1B30"/>
    <w:rsid w:val="005B2683"/>
    <w:rsid w:val="005B35AA"/>
    <w:rsid w:val="005B477F"/>
    <w:rsid w:val="005C1CC1"/>
    <w:rsid w:val="005C50DB"/>
    <w:rsid w:val="005C6429"/>
    <w:rsid w:val="005C73E7"/>
    <w:rsid w:val="005D3651"/>
    <w:rsid w:val="005D5D4E"/>
    <w:rsid w:val="005D7F22"/>
    <w:rsid w:val="005E1E0C"/>
    <w:rsid w:val="005E1F7C"/>
    <w:rsid w:val="005E27A9"/>
    <w:rsid w:val="005E27C1"/>
    <w:rsid w:val="005E30B9"/>
    <w:rsid w:val="005E3FD9"/>
    <w:rsid w:val="005E45DA"/>
    <w:rsid w:val="005E4961"/>
    <w:rsid w:val="005E4E6A"/>
    <w:rsid w:val="005E59F2"/>
    <w:rsid w:val="005E5BF7"/>
    <w:rsid w:val="005E5DE9"/>
    <w:rsid w:val="005E64DF"/>
    <w:rsid w:val="005E66D6"/>
    <w:rsid w:val="005E69AC"/>
    <w:rsid w:val="005E6DD6"/>
    <w:rsid w:val="005E7B57"/>
    <w:rsid w:val="005E7FB0"/>
    <w:rsid w:val="005F1FCD"/>
    <w:rsid w:val="005F23CC"/>
    <w:rsid w:val="005F2BB3"/>
    <w:rsid w:val="005F328D"/>
    <w:rsid w:val="005F41FD"/>
    <w:rsid w:val="005F4503"/>
    <w:rsid w:val="005F48FE"/>
    <w:rsid w:val="005F510E"/>
    <w:rsid w:val="005F5251"/>
    <w:rsid w:val="005F527B"/>
    <w:rsid w:val="005F7135"/>
    <w:rsid w:val="005F7ED5"/>
    <w:rsid w:val="006034C1"/>
    <w:rsid w:val="0060356C"/>
    <w:rsid w:val="006039DD"/>
    <w:rsid w:val="00603D6D"/>
    <w:rsid w:val="006135C8"/>
    <w:rsid w:val="00615A3D"/>
    <w:rsid w:val="00616CE0"/>
    <w:rsid w:val="006202EB"/>
    <w:rsid w:val="00622284"/>
    <w:rsid w:val="006245C6"/>
    <w:rsid w:val="00624970"/>
    <w:rsid w:val="006264EC"/>
    <w:rsid w:val="00626A45"/>
    <w:rsid w:val="006309A9"/>
    <w:rsid w:val="00635601"/>
    <w:rsid w:val="00637372"/>
    <w:rsid w:val="006379B9"/>
    <w:rsid w:val="00637E87"/>
    <w:rsid w:val="00640B0A"/>
    <w:rsid w:val="00641547"/>
    <w:rsid w:val="00642A64"/>
    <w:rsid w:val="00642BFE"/>
    <w:rsid w:val="006463F6"/>
    <w:rsid w:val="00646B39"/>
    <w:rsid w:val="0065007C"/>
    <w:rsid w:val="006512D6"/>
    <w:rsid w:val="0065582E"/>
    <w:rsid w:val="00655940"/>
    <w:rsid w:val="00655ED2"/>
    <w:rsid w:val="006576EF"/>
    <w:rsid w:val="00664FAD"/>
    <w:rsid w:val="00672467"/>
    <w:rsid w:val="006732E3"/>
    <w:rsid w:val="00673E1E"/>
    <w:rsid w:val="006746A8"/>
    <w:rsid w:val="00674D8D"/>
    <w:rsid w:val="006750EE"/>
    <w:rsid w:val="00682612"/>
    <w:rsid w:val="00685695"/>
    <w:rsid w:val="006863BE"/>
    <w:rsid w:val="00690BBD"/>
    <w:rsid w:val="00691376"/>
    <w:rsid w:val="006915C0"/>
    <w:rsid w:val="0069246E"/>
    <w:rsid w:val="00692501"/>
    <w:rsid w:val="006938B4"/>
    <w:rsid w:val="006944D8"/>
    <w:rsid w:val="006950DD"/>
    <w:rsid w:val="006957C8"/>
    <w:rsid w:val="006A4A5A"/>
    <w:rsid w:val="006A5FB5"/>
    <w:rsid w:val="006A60A2"/>
    <w:rsid w:val="006A68F5"/>
    <w:rsid w:val="006A7C51"/>
    <w:rsid w:val="006A7CE3"/>
    <w:rsid w:val="006B2CC8"/>
    <w:rsid w:val="006B4BA3"/>
    <w:rsid w:val="006B7B4B"/>
    <w:rsid w:val="006C0465"/>
    <w:rsid w:val="006C12D4"/>
    <w:rsid w:val="006C599A"/>
    <w:rsid w:val="006C64D2"/>
    <w:rsid w:val="006D0538"/>
    <w:rsid w:val="006D1A87"/>
    <w:rsid w:val="006D5A8F"/>
    <w:rsid w:val="006D6858"/>
    <w:rsid w:val="006E0365"/>
    <w:rsid w:val="006E4230"/>
    <w:rsid w:val="006E4568"/>
    <w:rsid w:val="006F58B5"/>
    <w:rsid w:val="006F71E0"/>
    <w:rsid w:val="00700A3B"/>
    <w:rsid w:val="00701939"/>
    <w:rsid w:val="007111D3"/>
    <w:rsid w:val="00711D63"/>
    <w:rsid w:val="00712C8B"/>
    <w:rsid w:val="007160C1"/>
    <w:rsid w:val="007167B6"/>
    <w:rsid w:val="007207A7"/>
    <w:rsid w:val="007231EF"/>
    <w:rsid w:val="00732E26"/>
    <w:rsid w:val="00733D6B"/>
    <w:rsid w:val="00736668"/>
    <w:rsid w:val="00742220"/>
    <w:rsid w:val="00742349"/>
    <w:rsid w:val="007439C3"/>
    <w:rsid w:val="0074418E"/>
    <w:rsid w:val="00746583"/>
    <w:rsid w:val="007504C5"/>
    <w:rsid w:val="007516AE"/>
    <w:rsid w:val="0075589F"/>
    <w:rsid w:val="00757E56"/>
    <w:rsid w:val="00760CEB"/>
    <w:rsid w:val="0076221B"/>
    <w:rsid w:val="00767072"/>
    <w:rsid w:val="007754FA"/>
    <w:rsid w:val="00775905"/>
    <w:rsid w:val="0078077D"/>
    <w:rsid w:val="007858D1"/>
    <w:rsid w:val="0078771C"/>
    <w:rsid w:val="007910FF"/>
    <w:rsid w:val="00791D6C"/>
    <w:rsid w:val="00792A4D"/>
    <w:rsid w:val="0079357A"/>
    <w:rsid w:val="00794F8E"/>
    <w:rsid w:val="00794FD0"/>
    <w:rsid w:val="007A0202"/>
    <w:rsid w:val="007A0531"/>
    <w:rsid w:val="007A05E3"/>
    <w:rsid w:val="007A2C38"/>
    <w:rsid w:val="007A6626"/>
    <w:rsid w:val="007B3450"/>
    <w:rsid w:val="007B41FE"/>
    <w:rsid w:val="007B4200"/>
    <w:rsid w:val="007C01E3"/>
    <w:rsid w:val="007C117B"/>
    <w:rsid w:val="007C5AB6"/>
    <w:rsid w:val="007C7F37"/>
    <w:rsid w:val="007D00CA"/>
    <w:rsid w:val="007D2E91"/>
    <w:rsid w:val="007D4BA2"/>
    <w:rsid w:val="007D50D5"/>
    <w:rsid w:val="007D740C"/>
    <w:rsid w:val="007E0643"/>
    <w:rsid w:val="007E0D51"/>
    <w:rsid w:val="007E1042"/>
    <w:rsid w:val="007E1EDD"/>
    <w:rsid w:val="007E2014"/>
    <w:rsid w:val="007E371A"/>
    <w:rsid w:val="007E475C"/>
    <w:rsid w:val="007E61BB"/>
    <w:rsid w:val="007E6F03"/>
    <w:rsid w:val="007E72CB"/>
    <w:rsid w:val="007F19BA"/>
    <w:rsid w:val="007F2BA8"/>
    <w:rsid w:val="007F51DC"/>
    <w:rsid w:val="007F7364"/>
    <w:rsid w:val="00800485"/>
    <w:rsid w:val="00802AFC"/>
    <w:rsid w:val="00812EF4"/>
    <w:rsid w:val="008167FA"/>
    <w:rsid w:val="00821084"/>
    <w:rsid w:val="00822F39"/>
    <w:rsid w:val="00826820"/>
    <w:rsid w:val="00827717"/>
    <w:rsid w:val="00827DC6"/>
    <w:rsid w:val="008301B1"/>
    <w:rsid w:val="0083456D"/>
    <w:rsid w:val="00835C76"/>
    <w:rsid w:val="0084190B"/>
    <w:rsid w:val="00842ED4"/>
    <w:rsid w:val="00844FB5"/>
    <w:rsid w:val="008456D8"/>
    <w:rsid w:val="00847335"/>
    <w:rsid w:val="008506D9"/>
    <w:rsid w:val="008514D4"/>
    <w:rsid w:val="00851C95"/>
    <w:rsid w:val="00851FE8"/>
    <w:rsid w:val="0085204D"/>
    <w:rsid w:val="0085248D"/>
    <w:rsid w:val="0085440E"/>
    <w:rsid w:val="008558BC"/>
    <w:rsid w:val="00856F06"/>
    <w:rsid w:val="008638A1"/>
    <w:rsid w:val="00863C92"/>
    <w:rsid w:val="008674EB"/>
    <w:rsid w:val="008675FA"/>
    <w:rsid w:val="00872C6E"/>
    <w:rsid w:val="00877BD1"/>
    <w:rsid w:val="00881E46"/>
    <w:rsid w:val="00881FB1"/>
    <w:rsid w:val="0088323E"/>
    <w:rsid w:val="00885175"/>
    <w:rsid w:val="00885A41"/>
    <w:rsid w:val="00886A72"/>
    <w:rsid w:val="008902F4"/>
    <w:rsid w:val="00891602"/>
    <w:rsid w:val="00891714"/>
    <w:rsid w:val="00892006"/>
    <w:rsid w:val="0089297C"/>
    <w:rsid w:val="00893499"/>
    <w:rsid w:val="00893957"/>
    <w:rsid w:val="00893B8E"/>
    <w:rsid w:val="0089449E"/>
    <w:rsid w:val="008946B7"/>
    <w:rsid w:val="00895365"/>
    <w:rsid w:val="00897328"/>
    <w:rsid w:val="008A0246"/>
    <w:rsid w:val="008A1DF6"/>
    <w:rsid w:val="008A339C"/>
    <w:rsid w:val="008A3465"/>
    <w:rsid w:val="008A465C"/>
    <w:rsid w:val="008A51E0"/>
    <w:rsid w:val="008A65D3"/>
    <w:rsid w:val="008B464E"/>
    <w:rsid w:val="008B497D"/>
    <w:rsid w:val="008B60B7"/>
    <w:rsid w:val="008B6C6C"/>
    <w:rsid w:val="008B7995"/>
    <w:rsid w:val="008C13BD"/>
    <w:rsid w:val="008C47FB"/>
    <w:rsid w:val="008C5FA7"/>
    <w:rsid w:val="008C6453"/>
    <w:rsid w:val="008D1275"/>
    <w:rsid w:val="008D3129"/>
    <w:rsid w:val="008D3445"/>
    <w:rsid w:val="008D3AFF"/>
    <w:rsid w:val="008D3EAD"/>
    <w:rsid w:val="008D5C48"/>
    <w:rsid w:val="008E2C6D"/>
    <w:rsid w:val="008E4AA3"/>
    <w:rsid w:val="008E7960"/>
    <w:rsid w:val="008F130F"/>
    <w:rsid w:val="008F4042"/>
    <w:rsid w:val="008F4FC2"/>
    <w:rsid w:val="008F6DC7"/>
    <w:rsid w:val="00901866"/>
    <w:rsid w:val="00902FAD"/>
    <w:rsid w:val="0090305B"/>
    <w:rsid w:val="00905965"/>
    <w:rsid w:val="00906CAB"/>
    <w:rsid w:val="00907240"/>
    <w:rsid w:val="00907B17"/>
    <w:rsid w:val="00910DB0"/>
    <w:rsid w:val="00911C8B"/>
    <w:rsid w:val="00914E1A"/>
    <w:rsid w:val="00915A1F"/>
    <w:rsid w:val="00917099"/>
    <w:rsid w:val="00917119"/>
    <w:rsid w:val="00922ED3"/>
    <w:rsid w:val="00924E89"/>
    <w:rsid w:val="009320EA"/>
    <w:rsid w:val="00933736"/>
    <w:rsid w:val="00935994"/>
    <w:rsid w:val="009379AC"/>
    <w:rsid w:val="00942223"/>
    <w:rsid w:val="009448A9"/>
    <w:rsid w:val="00944BEA"/>
    <w:rsid w:val="0094667D"/>
    <w:rsid w:val="00947421"/>
    <w:rsid w:val="00950EFC"/>
    <w:rsid w:val="00953DFE"/>
    <w:rsid w:val="0096016E"/>
    <w:rsid w:val="009608F3"/>
    <w:rsid w:val="0096120C"/>
    <w:rsid w:val="0096225C"/>
    <w:rsid w:val="00965094"/>
    <w:rsid w:val="009657A6"/>
    <w:rsid w:val="009721D4"/>
    <w:rsid w:val="009746F8"/>
    <w:rsid w:val="0097482B"/>
    <w:rsid w:val="00980CE1"/>
    <w:rsid w:val="00986BA3"/>
    <w:rsid w:val="00986F38"/>
    <w:rsid w:val="009900CD"/>
    <w:rsid w:val="009904E7"/>
    <w:rsid w:val="00990888"/>
    <w:rsid w:val="00990A3D"/>
    <w:rsid w:val="009A1A49"/>
    <w:rsid w:val="009A344D"/>
    <w:rsid w:val="009A780D"/>
    <w:rsid w:val="009A78B6"/>
    <w:rsid w:val="009A7DA8"/>
    <w:rsid w:val="009B0BBB"/>
    <w:rsid w:val="009B209E"/>
    <w:rsid w:val="009B22F7"/>
    <w:rsid w:val="009B4D3E"/>
    <w:rsid w:val="009B5864"/>
    <w:rsid w:val="009B5946"/>
    <w:rsid w:val="009B66EE"/>
    <w:rsid w:val="009C2599"/>
    <w:rsid w:val="009C279E"/>
    <w:rsid w:val="009C2D18"/>
    <w:rsid w:val="009C39FC"/>
    <w:rsid w:val="009C47CD"/>
    <w:rsid w:val="009C7625"/>
    <w:rsid w:val="009D0EF7"/>
    <w:rsid w:val="009D1267"/>
    <w:rsid w:val="009D43B7"/>
    <w:rsid w:val="009D5079"/>
    <w:rsid w:val="009E0994"/>
    <w:rsid w:val="009E0EF3"/>
    <w:rsid w:val="009E2375"/>
    <w:rsid w:val="009E70B4"/>
    <w:rsid w:val="009E7EAC"/>
    <w:rsid w:val="009F1741"/>
    <w:rsid w:val="009F334A"/>
    <w:rsid w:val="009F3E47"/>
    <w:rsid w:val="009F51B8"/>
    <w:rsid w:val="009F73D7"/>
    <w:rsid w:val="00A02482"/>
    <w:rsid w:val="00A052C7"/>
    <w:rsid w:val="00A05A97"/>
    <w:rsid w:val="00A05D4F"/>
    <w:rsid w:val="00A063E5"/>
    <w:rsid w:val="00A06A82"/>
    <w:rsid w:val="00A112D0"/>
    <w:rsid w:val="00A11489"/>
    <w:rsid w:val="00A12E8A"/>
    <w:rsid w:val="00A16789"/>
    <w:rsid w:val="00A20704"/>
    <w:rsid w:val="00A2522F"/>
    <w:rsid w:val="00A25871"/>
    <w:rsid w:val="00A25A3C"/>
    <w:rsid w:val="00A25D7A"/>
    <w:rsid w:val="00A2713E"/>
    <w:rsid w:val="00A30F32"/>
    <w:rsid w:val="00A3156E"/>
    <w:rsid w:val="00A322F3"/>
    <w:rsid w:val="00A32C04"/>
    <w:rsid w:val="00A33774"/>
    <w:rsid w:val="00A34C2A"/>
    <w:rsid w:val="00A402F9"/>
    <w:rsid w:val="00A407DF"/>
    <w:rsid w:val="00A41406"/>
    <w:rsid w:val="00A41A26"/>
    <w:rsid w:val="00A4265F"/>
    <w:rsid w:val="00A445F5"/>
    <w:rsid w:val="00A507F5"/>
    <w:rsid w:val="00A50ACC"/>
    <w:rsid w:val="00A5259B"/>
    <w:rsid w:val="00A557B0"/>
    <w:rsid w:val="00A56450"/>
    <w:rsid w:val="00A602B2"/>
    <w:rsid w:val="00A6155E"/>
    <w:rsid w:val="00A62D64"/>
    <w:rsid w:val="00A6716E"/>
    <w:rsid w:val="00A70655"/>
    <w:rsid w:val="00A70A33"/>
    <w:rsid w:val="00A715C3"/>
    <w:rsid w:val="00A71A72"/>
    <w:rsid w:val="00A735A4"/>
    <w:rsid w:val="00A74679"/>
    <w:rsid w:val="00A75112"/>
    <w:rsid w:val="00A7591D"/>
    <w:rsid w:val="00A772E1"/>
    <w:rsid w:val="00A86401"/>
    <w:rsid w:val="00A86ADC"/>
    <w:rsid w:val="00A906CC"/>
    <w:rsid w:val="00A92EF6"/>
    <w:rsid w:val="00A93DC7"/>
    <w:rsid w:val="00A95B06"/>
    <w:rsid w:val="00A96B57"/>
    <w:rsid w:val="00A97C85"/>
    <w:rsid w:val="00AA1337"/>
    <w:rsid w:val="00AA24DA"/>
    <w:rsid w:val="00AA300D"/>
    <w:rsid w:val="00AA4E50"/>
    <w:rsid w:val="00AA7E94"/>
    <w:rsid w:val="00AB2C3F"/>
    <w:rsid w:val="00AB4614"/>
    <w:rsid w:val="00AB5AAF"/>
    <w:rsid w:val="00AB79A9"/>
    <w:rsid w:val="00AC148F"/>
    <w:rsid w:val="00AC16EE"/>
    <w:rsid w:val="00AC190E"/>
    <w:rsid w:val="00AC491E"/>
    <w:rsid w:val="00AC62E4"/>
    <w:rsid w:val="00AC7F92"/>
    <w:rsid w:val="00AD1B01"/>
    <w:rsid w:val="00AD2131"/>
    <w:rsid w:val="00AD3EE0"/>
    <w:rsid w:val="00AD68B3"/>
    <w:rsid w:val="00AE073B"/>
    <w:rsid w:val="00AE21E4"/>
    <w:rsid w:val="00AE4935"/>
    <w:rsid w:val="00AE5C75"/>
    <w:rsid w:val="00AE78B7"/>
    <w:rsid w:val="00AF3DAA"/>
    <w:rsid w:val="00AF614A"/>
    <w:rsid w:val="00AF7D58"/>
    <w:rsid w:val="00B00E5B"/>
    <w:rsid w:val="00B01E62"/>
    <w:rsid w:val="00B02176"/>
    <w:rsid w:val="00B022A4"/>
    <w:rsid w:val="00B029F4"/>
    <w:rsid w:val="00B02AEB"/>
    <w:rsid w:val="00B032E3"/>
    <w:rsid w:val="00B0585F"/>
    <w:rsid w:val="00B146A1"/>
    <w:rsid w:val="00B17789"/>
    <w:rsid w:val="00B17ABF"/>
    <w:rsid w:val="00B213DF"/>
    <w:rsid w:val="00B24434"/>
    <w:rsid w:val="00B2595F"/>
    <w:rsid w:val="00B272BD"/>
    <w:rsid w:val="00B30739"/>
    <w:rsid w:val="00B3207A"/>
    <w:rsid w:val="00B32857"/>
    <w:rsid w:val="00B329B3"/>
    <w:rsid w:val="00B33704"/>
    <w:rsid w:val="00B34B6C"/>
    <w:rsid w:val="00B3545E"/>
    <w:rsid w:val="00B36B62"/>
    <w:rsid w:val="00B411A2"/>
    <w:rsid w:val="00B51372"/>
    <w:rsid w:val="00B51F50"/>
    <w:rsid w:val="00B6078C"/>
    <w:rsid w:val="00B60B2A"/>
    <w:rsid w:val="00B61CDE"/>
    <w:rsid w:val="00B65851"/>
    <w:rsid w:val="00B66FC0"/>
    <w:rsid w:val="00B708F5"/>
    <w:rsid w:val="00B72B61"/>
    <w:rsid w:val="00B75699"/>
    <w:rsid w:val="00B84153"/>
    <w:rsid w:val="00B8447C"/>
    <w:rsid w:val="00B84BA8"/>
    <w:rsid w:val="00B85908"/>
    <w:rsid w:val="00B86875"/>
    <w:rsid w:val="00B9150D"/>
    <w:rsid w:val="00B925F5"/>
    <w:rsid w:val="00B92F7F"/>
    <w:rsid w:val="00B960CB"/>
    <w:rsid w:val="00B96907"/>
    <w:rsid w:val="00B96C70"/>
    <w:rsid w:val="00BA06B1"/>
    <w:rsid w:val="00BA1097"/>
    <w:rsid w:val="00BA20F4"/>
    <w:rsid w:val="00BA6A95"/>
    <w:rsid w:val="00BB0E29"/>
    <w:rsid w:val="00BB3194"/>
    <w:rsid w:val="00BB6884"/>
    <w:rsid w:val="00BB7215"/>
    <w:rsid w:val="00BC0FC4"/>
    <w:rsid w:val="00BC5D31"/>
    <w:rsid w:val="00BD4C6C"/>
    <w:rsid w:val="00BD5BDE"/>
    <w:rsid w:val="00BD7612"/>
    <w:rsid w:val="00BE4692"/>
    <w:rsid w:val="00BE475E"/>
    <w:rsid w:val="00BE6457"/>
    <w:rsid w:val="00BE6EF0"/>
    <w:rsid w:val="00BF2AA0"/>
    <w:rsid w:val="00BF458B"/>
    <w:rsid w:val="00BF5D5B"/>
    <w:rsid w:val="00BF7B7D"/>
    <w:rsid w:val="00BF7BF6"/>
    <w:rsid w:val="00C00E5B"/>
    <w:rsid w:val="00C02599"/>
    <w:rsid w:val="00C031F7"/>
    <w:rsid w:val="00C03EA6"/>
    <w:rsid w:val="00C05B47"/>
    <w:rsid w:val="00C05EB1"/>
    <w:rsid w:val="00C10F86"/>
    <w:rsid w:val="00C139F5"/>
    <w:rsid w:val="00C146F1"/>
    <w:rsid w:val="00C15392"/>
    <w:rsid w:val="00C158E5"/>
    <w:rsid w:val="00C17B58"/>
    <w:rsid w:val="00C17CB2"/>
    <w:rsid w:val="00C20E53"/>
    <w:rsid w:val="00C21BEB"/>
    <w:rsid w:val="00C221AA"/>
    <w:rsid w:val="00C22782"/>
    <w:rsid w:val="00C22BC8"/>
    <w:rsid w:val="00C23E88"/>
    <w:rsid w:val="00C24E1F"/>
    <w:rsid w:val="00C26C17"/>
    <w:rsid w:val="00C31DDB"/>
    <w:rsid w:val="00C33B38"/>
    <w:rsid w:val="00C358A0"/>
    <w:rsid w:val="00C35DA0"/>
    <w:rsid w:val="00C40209"/>
    <w:rsid w:val="00C40AB6"/>
    <w:rsid w:val="00C43E61"/>
    <w:rsid w:val="00C46FCC"/>
    <w:rsid w:val="00C5139E"/>
    <w:rsid w:val="00C51890"/>
    <w:rsid w:val="00C52C69"/>
    <w:rsid w:val="00C57D4C"/>
    <w:rsid w:val="00C62331"/>
    <w:rsid w:val="00C6417D"/>
    <w:rsid w:val="00C6761A"/>
    <w:rsid w:val="00C71A73"/>
    <w:rsid w:val="00C74500"/>
    <w:rsid w:val="00C75FDB"/>
    <w:rsid w:val="00C802D5"/>
    <w:rsid w:val="00C80CD2"/>
    <w:rsid w:val="00C81FC5"/>
    <w:rsid w:val="00C8481B"/>
    <w:rsid w:val="00C84F7B"/>
    <w:rsid w:val="00C853DC"/>
    <w:rsid w:val="00C876E8"/>
    <w:rsid w:val="00C87F71"/>
    <w:rsid w:val="00C92040"/>
    <w:rsid w:val="00C931B1"/>
    <w:rsid w:val="00C936BF"/>
    <w:rsid w:val="00C948C8"/>
    <w:rsid w:val="00C94F9E"/>
    <w:rsid w:val="00C96D89"/>
    <w:rsid w:val="00CA2E28"/>
    <w:rsid w:val="00CA3EDC"/>
    <w:rsid w:val="00CA5267"/>
    <w:rsid w:val="00CA5FF5"/>
    <w:rsid w:val="00CA704C"/>
    <w:rsid w:val="00CA7BDA"/>
    <w:rsid w:val="00CA7DE4"/>
    <w:rsid w:val="00CB0042"/>
    <w:rsid w:val="00CB1948"/>
    <w:rsid w:val="00CB2E23"/>
    <w:rsid w:val="00CB335D"/>
    <w:rsid w:val="00CB3BBE"/>
    <w:rsid w:val="00CB5F6C"/>
    <w:rsid w:val="00CC0AFA"/>
    <w:rsid w:val="00CC2371"/>
    <w:rsid w:val="00CC27DE"/>
    <w:rsid w:val="00CC28ED"/>
    <w:rsid w:val="00CC38E9"/>
    <w:rsid w:val="00CC576E"/>
    <w:rsid w:val="00CD032D"/>
    <w:rsid w:val="00CD46A4"/>
    <w:rsid w:val="00CD5522"/>
    <w:rsid w:val="00CD79FA"/>
    <w:rsid w:val="00CE2752"/>
    <w:rsid w:val="00CE2CE6"/>
    <w:rsid w:val="00CE620B"/>
    <w:rsid w:val="00CF3CD3"/>
    <w:rsid w:val="00CF50BD"/>
    <w:rsid w:val="00CF6A90"/>
    <w:rsid w:val="00CF70C0"/>
    <w:rsid w:val="00CF7ACB"/>
    <w:rsid w:val="00D015F5"/>
    <w:rsid w:val="00D05953"/>
    <w:rsid w:val="00D05B81"/>
    <w:rsid w:val="00D0787F"/>
    <w:rsid w:val="00D10D73"/>
    <w:rsid w:val="00D13E32"/>
    <w:rsid w:val="00D1406E"/>
    <w:rsid w:val="00D17BAD"/>
    <w:rsid w:val="00D2170E"/>
    <w:rsid w:val="00D21AC6"/>
    <w:rsid w:val="00D24707"/>
    <w:rsid w:val="00D2563C"/>
    <w:rsid w:val="00D25BC0"/>
    <w:rsid w:val="00D26E0F"/>
    <w:rsid w:val="00D26E98"/>
    <w:rsid w:val="00D3077F"/>
    <w:rsid w:val="00D30D08"/>
    <w:rsid w:val="00D32D24"/>
    <w:rsid w:val="00D338C8"/>
    <w:rsid w:val="00D339B2"/>
    <w:rsid w:val="00D340C4"/>
    <w:rsid w:val="00D358D7"/>
    <w:rsid w:val="00D3668A"/>
    <w:rsid w:val="00D36CF3"/>
    <w:rsid w:val="00D404D6"/>
    <w:rsid w:val="00D41C67"/>
    <w:rsid w:val="00D421EF"/>
    <w:rsid w:val="00D42CAF"/>
    <w:rsid w:val="00D43C95"/>
    <w:rsid w:val="00D62F05"/>
    <w:rsid w:val="00D6793D"/>
    <w:rsid w:val="00D7525E"/>
    <w:rsid w:val="00D77071"/>
    <w:rsid w:val="00D809E7"/>
    <w:rsid w:val="00D81AE9"/>
    <w:rsid w:val="00D82B07"/>
    <w:rsid w:val="00D82BEB"/>
    <w:rsid w:val="00D901CE"/>
    <w:rsid w:val="00D901DF"/>
    <w:rsid w:val="00D932B1"/>
    <w:rsid w:val="00D93E75"/>
    <w:rsid w:val="00DA13EE"/>
    <w:rsid w:val="00DA18A0"/>
    <w:rsid w:val="00DA2A46"/>
    <w:rsid w:val="00DA2F8D"/>
    <w:rsid w:val="00DB504A"/>
    <w:rsid w:val="00DB724B"/>
    <w:rsid w:val="00DC07D9"/>
    <w:rsid w:val="00DC7092"/>
    <w:rsid w:val="00DD0B8A"/>
    <w:rsid w:val="00DD19BC"/>
    <w:rsid w:val="00DD1A9E"/>
    <w:rsid w:val="00DD3FBE"/>
    <w:rsid w:val="00DD5A0A"/>
    <w:rsid w:val="00DD5ACD"/>
    <w:rsid w:val="00DD75FC"/>
    <w:rsid w:val="00DD7CB4"/>
    <w:rsid w:val="00DE0063"/>
    <w:rsid w:val="00DE0F5B"/>
    <w:rsid w:val="00DE14B3"/>
    <w:rsid w:val="00DE29BF"/>
    <w:rsid w:val="00DE3991"/>
    <w:rsid w:val="00DE3A06"/>
    <w:rsid w:val="00DE5AB5"/>
    <w:rsid w:val="00DE5CEA"/>
    <w:rsid w:val="00DE602C"/>
    <w:rsid w:val="00DE7026"/>
    <w:rsid w:val="00DE7303"/>
    <w:rsid w:val="00DE77D1"/>
    <w:rsid w:val="00DE7E82"/>
    <w:rsid w:val="00DF1333"/>
    <w:rsid w:val="00DF1646"/>
    <w:rsid w:val="00DF17AE"/>
    <w:rsid w:val="00DF28F3"/>
    <w:rsid w:val="00E00A4C"/>
    <w:rsid w:val="00E013C4"/>
    <w:rsid w:val="00E02BB9"/>
    <w:rsid w:val="00E039BE"/>
    <w:rsid w:val="00E0514F"/>
    <w:rsid w:val="00E1064C"/>
    <w:rsid w:val="00E11165"/>
    <w:rsid w:val="00E114A3"/>
    <w:rsid w:val="00E1286E"/>
    <w:rsid w:val="00E133EC"/>
    <w:rsid w:val="00E134F8"/>
    <w:rsid w:val="00E146D9"/>
    <w:rsid w:val="00E1478F"/>
    <w:rsid w:val="00E169DE"/>
    <w:rsid w:val="00E16A54"/>
    <w:rsid w:val="00E20790"/>
    <w:rsid w:val="00E21819"/>
    <w:rsid w:val="00E218CF"/>
    <w:rsid w:val="00E2195B"/>
    <w:rsid w:val="00E21DD8"/>
    <w:rsid w:val="00E2214F"/>
    <w:rsid w:val="00E238A2"/>
    <w:rsid w:val="00E23C8D"/>
    <w:rsid w:val="00E2415A"/>
    <w:rsid w:val="00E24F4C"/>
    <w:rsid w:val="00E27AA1"/>
    <w:rsid w:val="00E27C76"/>
    <w:rsid w:val="00E34042"/>
    <w:rsid w:val="00E347EB"/>
    <w:rsid w:val="00E40BE1"/>
    <w:rsid w:val="00E43D49"/>
    <w:rsid w:val="00E46084"/>
    <w:rsid w:val="00E460EB"/>
    <w:rsid w:val="00E4655F"/>
    <w:rsid w:val="00E50F4B"/>
    <w:rsid w:val="00E52703"/>
    <w:rsid w:val="00E52891"/>
    <w:rsid w:val="00E533F1"/>
    <w:rsid w:val="00E53D58"/>
    <w:rsid w:val="00E54123"/>
    <w:rsid w:val="00E544AA"/>
    <w:rsid w:val="00E55EE9"/>
    <w:rsid w:val="00E60649"/>
    <w:rsid w:val="00E6264D"/>
    <w:rsid w:val="00E72686"/>
    <w:rsid w:val="00E74483"/>
    <w:rsid w:val="00E75515"/>
    <w:rsid w:val="00E7567B"/>
    <w:rsid w:val="00E75B94"/>
    <w:rsid w:val="00E772E2"/>
    <w:rsid w:val="00E83311"/>
    <w:rsid w:val="00E8358B"/>
    <w:rsid w:val="00E84BE1"/>
    <w:rsid w:val="00E86D00"/>
    <w:rsid w:val="00E92267"/>
    <w:rsid w:val="00E94A83"/>
    <w:rsid w:val="00E951CA"/>
    <w:rsid w:val="00E966CB"/>
    <w:rsid w:val="00EA08C2"/>
    <w:rsid w:val="00EA1AE7"/>
    <w:rsid w:val="00EA27FA"/>
    <w:rsid w:val="00EA4B93"/>
    <w:rsid w:val="00EA5B43"/>
    <w:rsid w:val="00EB01E9"/>
    <w:rsid w:val="00EB0CE4"/>
    <w:rsid w:val="00EB12D3"/>
    <w:rsid w:val="00EB1D3D"/>
    <w:rsid w:val="00EB3E47"/>
    <w:rsid w:val="00EB53C0"/>
    <w:rsid w:val="00EB5F5E"/>
    <w:rsid w:val="00EB6CF8"/>
    <w:rsid w:val="00EC0961"/>
    <w:rsid w:val="00EC0B56"/>
    <w:rsid w:val="00EC105C"/>
    <w:rsid w:val="00EC16D0"/>
    <w:rsid w:val="00EC1809"/>
    <w:rsid w:val="00EC24E8"/>
    <w:rsid w:val="00EC5C4C"/>
    <w:rsid w:val="00ED21AE"/>
    <w:rsid w:val="00ED2A02"/>
    <w:rsid w:val="00ED737D"/>
    <w:rsid w:val="00EE136F"/>
    <w:rsid w:val="00EE162A"/>
    <w:rsid w:val="00EE3517"/>
    <w:rsid w:val="00EE5DEB"/>
    <w:rsid w:val="00EE7E67"/>
    <w:rsid w:val="00EF1061"/>
    <w:rsid w:val="00EF112B"/>
    <w:rsid w:val="00EF2A9B"/>
    <w:rsid w:val="00EF4EC5"/>
    <w:rsid w:val="00EF74CD"/>
    <w:rsid w:val="00EF77C0"/>
    <w:rsid w:val="00EF7A37"/>
    <w:rsid w:val="00F02BE0"/>
    <w:rsid w:val="00F03439"/>
    <w:rsid w:val="00F07382"/>
    <w:rsid w:val="00F073A0"/>
    <w:rsid w:val="00F073AC"/>
    <w:rsid w:val="00F0742B"/>
    <w:rsid w:val="00F10702"/>
    <w:rsid w:val="00F12B44"/>
    <w:rsid w:val="00F139BE"/>
    <w:rsid w:val="00F1607D"/>
    <w:rsid w:val="00F162D8"/>
    <w:rsid w:val="00F16482"/>
    <w:rsid w:val="00F200A9"/>
    <w:rsid w:val="00F20B38"/>
    <w:rsid w:val="00F23722"/>
    <w:rsid w:val="00F26205"/>
    <w:rsid w:val="00F264B0"/>
    <w:rsid w:val="00F32F78"/>
    <w:rsid w:val="00F33691"/>
    <w:rsid w:val="00F36975"/>
    <w:rsid w:val="00F375E1"/>
    <w:rsid w:val="00F4037B"/>
    <w:rsid w:val="00F418F1"/>
    <w:rsid w:val="00F429CE"/>
    <w:rsid w:val="00F44C44"/>
    <w:rsid w:val="00F45265"/>
    <w:rsid w:val="00F45AD8"/>
    <w:rsid w:val="00F47475"/>
    <w:rsid w:val="00F50E91"/>
    <w:rsid w:val="00F524BA"/>
    <w:rsid w:val="00F541EE"/>
    <w:rsid w:val="00F55824"/>
    <w:rsid w:val="00F6096E"/>
    <w:rsid w:val="00F60A9E"/>
    <w:rsid w:val="00F61DF5"/>
    <w:rsid w:val="00F6311D"/>
    <w:rsid w:val="00F636BE"/>
    <w:rsid w:val="00F64157"/>
    <w:rsid w:val="00F64EDE"/>
    <w:rsid w:val="00F6556B"/>
    <w:rsid w:val="00F6571D"/>
    <w:rsid w:val="00F67815"/>
    <w:rsid w:val="00F70495"/>
    <w:rsid w:val="00F70569"/>
    <w:rsid w:val="00F7166D"/>
    <w:rsid w:val="00F721AD"/>
    <w:rsid w:val="00F77BBA"/>
    <w:rsid w:val="00F8276D"/>
    <w:rsid w:val="00F82EAD"/>
    <w:rsid w:val="00F85D4E"/>
    <w:rsid w:val="00F86078"/>
    <w:rsid w:val="00F919FB"/>
    <w:rsid w:val="00F93F64"/>
    <w:rsid w:val="00F95183"/>
    <w:rsid w:val="00F95B4C"/>
    <w:rsid w:val="00FA01E8"/>
    <w:rsid w:val="00FA6B57"/>
    <w:rsid w:val="00FA7B07"/>
    <w:rsid w:val="00FA7F6F"/>
    <w:rsid w:val="00FB18E2"/>
    <w:rsid w:val="00FB338E"/>
    <w:rsid w:val="00FB3C86"/>
    <w:rsid w:val="00FB4685"/>
    <w:rsid w:val="00FB77D0"/>
    <w:rsid w:val="00FB787E"/>
    <w:rsid w:val="00FC0BD5"/>
    <w:rsid w:val="00FD3597"/>
    <w:rsid w:val="00FD362A"/>
    <w:rsid w:val="00FD48DA"/>
    <w:rsid w:val="00FD5748"/>
    <w:rsid w:val="00FD6BD2"/>
    <w:rsid w:val="00FD7FAC"/>
    <w:rsid w:val="00FE020E"/>
    <w:rsid w:val="00FE089A"/>
    <w:rsid w:val="00FE0B5C"/>
    <w:rsid w:val="00FF1CCF"/>
    <w:rsid w:val="00FF3C4D"/>
    <w:rsid w:val="00FF4E99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143766-6D19-4F45-A59D-F1621D79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175"/>
    <w:rPr>
      <w:sz w:val="24"/>
      <w:szCs w:val="24"/>
    </w:rPr>
  </w:style>
  <w:style w:type="paragraph" w:styleId="Heading1">
    <w:name w:val="heading 1"/>
    <w:basedOn w:val="Normal"/>
    <w:next w:val="BodyText"/>
    <w:qFormat/>
    <w:rsid w:val="007A05E3"/>
    <w:pPr>
      <w:keepNext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</w:rPr>
  </w:style>
  <w:style w:type="paragraph" w:styleId="Heading2">
    <w:name w:val="heading 2"/>
    <w:basedOn w:val="Normal"/>
    <w:next w:val="BodyText"/>
    <w:qFormat/>
    <w:rsid w:val="007A05E3"/>
    <w:pPr>
      <w:keepNext/>
      <w:keepLines/>
      <w:spacing w:after="240" w:line="240" w:lineRule="atLeast"/>
      <w:outlineLvl w:val="1"/>
    </w:pPr>
    <w:rPr>
      <w:rFonts w:ascii="Arial Black" w:hAnsi="Arial Black"/>
      <w:spacing w:val="-15"/>
      <w:kern w:val="28"/>
      <w:sz w:val="22"/>
    </w:rPr>
  </w:style>
  <w:style w:type="paragraph" w:styleId="Heading3">
    <w:name w:val="heading 3"/>
    <w:basedOn w:val="Normal"/>
    <w:next w:val="BodyText"/>
    <w:qFormat/>
    <w:rsid w:val="007A05E3"/>
    <w:pPr>
      <w:keepNext/>
      <w:keepLines/>
      <w:spacing w:after="240" w:line="240" w:lineRule="atLeast"/>
      <w:outlineLvl w:val="2"/>
    </w:pPr>
    <w:rPr>
      <w:rFonts w:ascii="Arial Black" w:hAnsi="Arial Black"/>
      <w:spacing w:val="-10"/>
      <w:kern w:val="28"/>
    </w:rPr>
  </w:style>
  <w:style w:type="paragraph" w:styleId="Heading4">
    <w:name w:val="heading 4"/>
    <w:basedOn w:val="Normal"/>
    <w:next w:val="BodyText"/>
    <w:qFormat/>
    <w:rsid w:val="007A05E3"/>
    <w:pPr>
      <w:keepNext/>
      <w:keepLines/>
      <w:spacing w:after="240" w:line="240" w:lineRule="atLeast"/>
      <w:outlineLvl w:val="3"/>
    </w:pPr>
    <w:rPr>
      <w:spacing w:val="-4"/>
      <w:kern w:val="28"/>
      <w:sz w:val="22"/>
    </w:rPr>
  </w:style>
  <w:style w:type="paragraph" w:styleId="Heading5">
    <w:name w:val="heading 5"/>
    <w:basedOn w:val="Normal"/>
    <w:next w:val="BodyText"/>
    <w:qFormat/>
    <w:rsid w:val="007A05E3"/>
    <w:pPr>
      <w:keepNext/>
      <w:keepLines/>
      <w:spacing w:line="240" w:lineRule="atLeast"/>
      <w:ind w:left="1440"/>
      <w:outlineLvl w:val="4"/>
    </w:pPr>
    <w:rPr>
      <w:spacing w:val="-4"/>
      <w:kern w:val="28"/>
    </w:rPr>
  </w:style>
  <w:style w:type="paragraph" w:styleId="Heading6">
    <w:name w:val="heading 6"/>
    <w:basedOn w:val="Normal"/>
    <w:next w:val="BodyText"/>
    <w:qFormat/>
    <w:rsid w:val="007A05E3"/>
    <w:pPr>
      <w:keepNext/>
      <w:keepLines/>
      <w:spacing w:before="140" w:line="220" w:lineRule="atLeast"/>
      <w:ind w:left="1440"/>
      <w:outlineLvl w:val="5"/>
    </w:pPr>
    <w:rPr>
      <w:i/>
      <w:spacing w:val="-4"/>
      <w:kern w:val="28"/>
    </w:rPr>
  </w:style>
  <w:style w:type="paragraph" w:styleId="Heading7">
    <w:name w:val="heading 7"/>
    <w:basedOn w:val="Normal"/>
    <w:next w:val="BodyText"/>
    <w:qFormat/>
    <w:rsid w:val="007A05E3"/>
    <w:pPr>
      <w:keepNext/>
      <w:keepLines/>
      <w:spacing w:before="140" w:line="220" w:lineRule="atLeast"/>
      <w:outlineLvl w:val="6"/>
    </w:pPr>
    <w:rPr>
      <w:spacing w:val="-4"/>
      <w:kern w:val="28"/>
    </w:rPr>
  </w:style>
  <w:style w:type="paragraph" w:styleId="Heading8">
    <w:name w:val="heading 8"/>
    <w:basedOn w:val="Normal"/>
    <w:next w:val="BodyText"/>
    <w:qFormat/>
    <w:rsid w:val="007A05E3"/>
    <w:pPr>
      <w:keepNext/>
      <w:keepLines/>
      <w:spacing w:before="140" w:line="220" w:lineRule="atLeast"/>
      <w:outlineLvl w:val="7"/>
    </w:pPr>
    <w:rPr>
      <w:i/>
      <w:spacing w:val="-4"/>
      <w:kern w:val="28"/>
      <w:sz w:val="18"/>
    </w:rPr>
  </w:style>
  <w:style w:type="paragraph" w:styleId="Heading9">
    <w:name w:val="heading 9"/>
    <w:basedOn w:val="Normal"/>
    <w:next w:val="BodyText"/>
    <w:qFormat/>
    <w:rsid w:val="007A05E3"/>
    <w:pPr>
      <w:keepNext/>
      <w:keepLines/>
      <w:spacing w:before="140" w:line="220" w:lineRule="atLeast"/>
      <w:outlineLvl w:val="8"/>
    </w:pPr>
    <w:rPr>
      <w:spacing w:val="-4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A05E3"/>
    <w:pPr>
      <w:spacing w:after="240" w:line="240" w:lineRule="atLeast"/>
      <w:jc w:val="both"/>
    </w:pPr>
  </w:style>
  <w:style w:type="paragraph" w:customStyle="1" w:styleId="BlockQuotation">
    <w:name w:val="Block Quotation"/>
    <w:basedOn w:val="Normal"/>
    <w:rsid w:val="007A05E3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Caption">
    <w:name w:val="caption"/>
    <w:basedOn w:val="Normal"/>
    <w:next w:val="BodyText"/>
    <w:qFormat/>
    <w:rsid w:val="007A05E3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PartLabel">
    <w:name w:val="Part Label"/>
    <w:basedOn w:val="Normal"/>
    <w:rsid w:val="007A05E3"/>
    <w:pPr>
      <w:shd w:val="solid" w:color="auto" w:fill="auto"/>
      <w:spacing w:line="360" w:lineRule="exact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rsid w:val="007A05E3"/>
    <w:pPr>
      <w:shd w:val="solid" w:color="auto" w:fill="auto"/>
      <w:spacing w:line="660" w:lineRule="exact"/>
      <w:jc w:val="center"/>
    </w:pPr>
    <w:rPr>
      <w:rFonts w:ascii="Arial Black" w:hAnsi="Arial Black"/>
      <w:color w:val="FFFFFF"/>
      <w:spacing w:val="-40"/>
      <w:sz w:val="84"/>
    </w:rPr>
  </w:style>
  <w:style w:type="paragraph" w:styleId="Title">
    <w:name w:val="Title"/>
    <w:basedOn w:val="Normal"/>
    <w:next w:val="Subtitle"/>
    <w:qFormat/>
    <w:rsid w:val="007A05E3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</w:rPr>
  </w:style>
  <w:style w:type="paragraph" w:styleId="Subtitle">
    <w:name w:val="Subtitle"/>
    <w:basedOn w:val="Title"/>
    <w:next w:val="BodyText"/>
    <w:qFormat/>
    <w:rsid w:val="007A05E3"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ompanyName">
    <w:name w:val="Company Name"/>
    <w:basedOn w:val="Normal"/>
    <w:rsid w:val="007A05E3"/>
    <w:pPr>
      <w:keepNext/>
      <w:keepLines/>
      <w:spacing w:line="220" w:lineRule="atLeast"/>
    </w:pPr>
    <w:rPr>
      <w:rFonts w:ascii="Arial Black" w:hAnsi="Arial Black"/>
      <w:spacing w:val="-25"/>
      <w:kern w:val="28"/>
      <w:sz w:val="32"/>
    </w:rPr>
  </w:style>
  <w:style w:type="character" w:styleId="CommentReference">
    <w:name w:val="annotation reference"/>
    <w:semiHidden/>
    <w:rsid w:val="007A05E3"/>
    <w:rPr>
      <w:rFonts w:ascii="Arial" w:hAnsi="Arial"/>
      <w:sz w:val="16"/>
    </w:rPr>
  </w:style>
  <w:style w:type="paragraph" w:styleId="CommentText">
    <w:name w:val="annotation text"/>
    <w:basedOn w:val="Normal"/>
    <w:semiHidden/>
    <w:rsid w:val="007A05E3"/>
  </w:style>
  <w:style w:type="paragraph" w:customStyle="1" w:styleId="TableText">
    <w:name w:val="Table Text"/>
    <w:basedOn w:val="Normal"/>
    <w:rsid w:val="007A05E3"/>
    <w:pPr>
      <w:spacing w:before="60"/>
    </w:pPr>
    <w:rPr>
      <w:sz w:val="16"/>
    </w:rPr>
  </w:style>
  <w:style w:type="paragraph" w:customStyle="1" w:styleId="TitleCover">
    <w:name w:val="Title Cover"/>
    <w:basedOn w:val="Normal"/>
    <w:next w:val="Normal"/>
    <w:rsid w:val="007A05E3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hAnsi="Arial Black"/>
      <w:b/>
      <w:spacing w:val="-48"/>
      <w:kern w:val="28"/>
      <w:sz w:val="64"/>
    </w:rPr>
  </w:style>
  <w:style w:type="character" w:styleId="EndnoteReference">
    <w:name w:val="endnote reference"/>
    <w:semiHidden/>
    <w:rsid w:val="007A05E3"/>
    <w:rPr>
      <w:vertAlign w:val="superscript"/>
    </w:rPr>
  </w:style>
  <w:style w:type="paragraph" w:styleId="EndnoteText">
    <w:name w:val="endnote text"/>
    <w:basedOn w:val="Normal"/>
    <w:semiHidden/>
    <w:rsid w:val="007A05E3"/>
  </w:style>
  <w:style w:type="paragraph" w:styleId="Footer">
    <w:name w:val="footer"/>
    <w:basedOn w:val="Normal"/>
    <w:rsid w:val="007A05E3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character" w:styleId="FootnoteReference">
    <w:name w:val="footnote reference"/>
    <w:semiHidden/>
    <w:rsid w:val="007A05E3"/>
    <w:rPr>
      <w:vertAlign w:val="superscript"/>
    </w:rPr>
  </w:style>
  <w:style w:type="paragraph" w:styleId="FootnoteText">
    <w:name w:val="footnote text"/>
    <w:basedOn w:val="Normal"/>
    <w:semiHidden/>
    <w:rsid w:val="007A05E3"/>
  </w:style>
  <w:style w:type="paragraph" w:styleId="Header">
    <w:name w:val="header"/>
    <w:basedOn w:val="Normal"/>
    <w:rsid w:val="007A05E3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Index1">
    <w:name w:val="index 1"/>
    <w:basedOn w:val="Normal"/>
    <w:autoRedefine/>
    <w:semiHidden/>
    <w:rsid w:val="007A05E3"/>
    <w:pPr>
      <w:spacing w:after="60"/>
    </w:pPr>
    <w:rPr>
      <w:sz w:val="22"/>
      <w:szCs w:val="22"/>
    </w:rPr>
  </w:style>
  <w:style w:type="paragraph" w:styleId="Index2">
    <w:name w:val="index 2"/>
    <w:basedOn w:val="Normal"/>
    <w:autoRedefine/>
    <w:semiHidden/>
    <w:rsid w:val="007A05E3"/>
    <w:pPr>
      <w:ind w:left="720"/>
    </w:pPr>
  </w:style>
  <w:style w:type="paragraph" w:styleId="Index3">
    <w:name w:val="index 3"/>
    <w:basedOn w:val="Normal"/>
    <w:autoRedefine/>
    <w:semiHidden/>
    <w:rsid w:val="007A05E3"/>
  </w:style>
  <w:style w:type="paragraph" w:styleId="Index4">
    <w:name w:val="index 4"/>
    <w:basedOn w:val="Normal"/>
    <w:autoRedefine/>
    <w:semiHidden/>
    <w:rsid w:val="007A05E3"/>
    <w:pPr>
      <w:ind w:left="1440"/>
    </w:pPr>
  </w:style>
  <w:style w:type="paragraph" w:styleId="Index5">
    <w:name w:val="index 5"/>
    <w:basedOn w:val="Normal"/>
    <w:autoRedefine/>
    <w:semiHidden/>
    <w:rsid w:val="007A05E3"/>
    <w:pPr>
      <w:ind w:left="1800"/>
    </w:pPr>
  </w:style>
  <w:style w:type="paragraph" w:styleId="IndexHeading">
    <w:name w:val="index heading"/>
    <w:basedOn w:val="Normal"/>
    <w:next w:val="Index1"/>
    <w:semiHidden/>
    <w:rsid w:val="007A05E3"/>
    <w:pPr>
      <w:spacing w:line="480" w:lineRule="atLeast"/>
    </w:pPr>
    <w:rPr>
      <w:rFonts w:ascii="Arial Black" w:hAnsi="Arial Black"/>
    </w:rPr>
  </w:style>
  <w:style w:type="character" w:customStyle="1" w:styleId="Lead-inEmphasis">
    <w:name w:val="Lead-in Emphasis"/>
    <w:rsid w:val="007A05E3"/>
    <w:rPr>
      <w:rFonts w:ascii="Arial Black" w:hAnsi="Arial Black"/>
      <w:spacing w:val="-4"/>
      <w:sz w:val="18"/>
    </w:rPr>
  </w:style>
  <w:style w:type="paragraph" w:styleId="ListBullet">
    <w:name w:val="List Bullet"/>
    <w:basedOn w:val="Normal"/>
    <w:rsid w:val="007A05E3"/>
    <w:pPr>
      <w:numPr>
        <w:numId w:val="2"/>
      </w:numPr>
      <w:tabs>
        <w:tab w:val="clear" w:pos="1440"/>
      </w:tabs>
      <w:spacing w:after="240" w:line="240" w:lineRule="atLeast"/>
      <w:jc w:val="both"/>
    </w:pPr>
  </w:style>
  <w:style w:type="paragraph" w:styleId="ListNumber">
    <w:name w:val="List Number"/>
    <w:basedOn w:val="Normal"/>
    <w:rsid w:val="007A05E3"/>
    <w:pPr>
      <w:numPr>
        <w:numId w:val="3"/>
      </w:numPr>
      <w:spacing w:after="240" w:line="240" w:lineRule="atLeast"/>
      <w:jc w:val="both"/>
    </w:pPr>
  </w:style>
  <w:style w:type="paragraph" w:customStyle="1" w:styleId="TableHeader">
    <w:name w:val="Table Header"/>
    <w:basedOn w:val="Normal"/>
    <w:rsid w:val="007A05E3"/>
    <w:pPr>
      <w:spacing w:before="60"/>
      <w:jc w:val="center"/>
    </w:pPr>
    <w:rPr>
      <w:rFonts w:ascii="Arial Black" w:hAnsi="Arial Black"/>
      <w:sz w:val="16"/>
    </w:rPr>
  </w:style>
  <w:style w:type="character" w:styleId="PageNumber">
    <w:name w:val="page number"/>
    <w:rsid w:val="007A05E3"/>
    <w:rPr>
      <w:rFonts w:ascii="Arial Black" w:hAnsi="Arial Black"/>
      <w:spacing w:val="-10"/>
      <w:sz w:val="18"/>
    </w:rPr>
  </w:style>
  <w:style w:type="paragraph" w:customStyle="1" w:styleId="ReturnAddress">
    <w:name w:val="Return Address"/>
    <w:basedOn w:val="Normal"/>
    <w:rsid w:val="007A05E3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sz w:val="14"/>
    </w:rPr>
  </w:style>
  <w:style w:type="paragraph" w:customStyle="1" w:styleId="SubtitleCover">
    <w:name w:val="Subtitle Cover"/>
    <w:basedOn w:val="TitleCover"/>
    <w:next w:val="BodyText"/>
    <w:rsid w:val="007A05E3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paragraph" w:styleId="TableofAuthorities">
    <w:name w:val="table of authorities"/>
    <w:basedOn w:val="Normal"/>
    <w:semiHidden/>
    <w:rsid w:val="007A05E3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semiHidden/>
    <w:rsid w:val="007A05E3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7A05E3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semiHidden/>
    <w:rsid w:val="007A05E3"/>
    <w:rPr>
      <w:spacing w:val="-4"/>
    </w:rPr>
  </w:style>
  <w:style w:type="paragraph" w:styleId="TOC2">
    <w:name w:val="toc 2"/>
    <w:basedOn w:val="Normal"/>
    <w:autoRedefine/>
    <w:semiHidden/>
    <w:rsid w:val="007A05E3"/>
    <w:pPr>
      <w:ind w:left="360"/>
    </w:pPr>
  </w:style>
  <w:style w:type="paragraph" w:styleId="TOC3">
    <w:name w:val="toc 3"/>
    <w:basedOn w:val="Normal"/>
    <w:autoRedefine/>
    <w:semiHidden/>
    <w:rsid w:val="007A05E3"/>
    <w:pPr>
      <w:ind w:left="360"/>
    </w:pPr>
  </w:style>
  <w:style w:type="paragraph" w:styleId="TOC4">
    <w:name w:val="toc 4"/>
    <w:basedOn w:val="Normal"/>
    <w:autoRedefine/>
    <w:semiHidden/>
    <w:rsid w:val="007A05E3"/>
    <w:pPr>
      <w:ind w:left="360"/>
    </w:pPr>
  </w:style>
  <w:style w:type="paragraph" w:styleId="TOC5">
    <w:name w:val="toc 5"/>
    <w:basedOn w:val="Normal"/>
    <w:autoRedefine/>
    <w:semiHidden/>
    <w:rsid w:val="007A05E3"/>
    <w:pPr>
      <w:ind w:left="360"/>
    </w:pPr>
  </w:style>
  <w:style w:type="paragraph" w:styleId="BodyTextIndent">
    <w:name w:val="Body Text Indent"/>
    <w:basedOn w:val="Normal"/>
    <w:rsid w:val="007A05E3"/>
    <w:pPr>
      <w:ind w:left="180" w:hanging="180"/>
    </w:pPr>
  </w:style>
  <w:style w:type="paragraph" w:styleId="BodyTextIndent2">
    <w:name w:val="Body Text Indent 2"/>
    <w:basedOn w:val="Normal"/>
    <w:rsid w:val="007A05E3"/>
    <w:pPr>
      <w:ind w:left="180" w:hanging="180"/>
    </w:pPr>
    <w:rPr>
      <w:sz w:val="22"/>
    </w:rPr>
  </w:style>
  <w:style w:type="paragraph" w:styleId="BodyTextIndent3">
    <w:name w:val="Body Text Indent 3"/>
    <w:basedOn w:val="Normal"/>
    <w:rsid w:val="007A05E3"/>
    <w:pPr>
      <w:ind w:left="540" w:hanging="360"/>
    </w:pPr>
    <w:rPr>
      <w:sz w:val="22"/>
    </w:rPr>
  </w:style>
  <w:style w:type="character" w:styleId="Hyperlink">
    <w:name w:val="Hyperlink"/>
    <w:basedOn w:val="DefaultParagraphFont"/>
    <w:rsid w:val="007A05E3"/>
    <w:rPr>
      <w:color w:val="0000FF"/>
      <w:u w:val="single"/>
    </w:rPr>
  </w:style>
  <w:style w:type="paragraph" w:styleId="BalloonText">
    <w:name w:val="Balloon Text"/>
    <w:basedOn w:val="Normal"/>
    <w:semiHidden/>
    <w:rsid w:val="007A05E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7A05E3"/>
    <w:rPr>
      <w:bCs/>
      <w:sz w:val="22"/>
      <w:szCs w:val="22"/>
    </w:rPr>
  </w:style>
  <w:style w:type="paragraph" w:styleId="CommentSubject">
    <w:name w:val="annotation subject"/>
    <w:basedOn w:val="CommentText"/>
    <w:next w:val="CommentText"/>
    <w:semiHidden/>
    <w:rsid w:val="008A0246"/>
    <w:rPr>
      <w:b/>
      <w:bCs/>
    </w:rPr>
  </w:style>
  <w:style w:type="character" w:customStyle="1" w:styleId="copy1">
    <w:name w:val="copy1"/>
    <w:basedOn w:val="DefaultParagraphFont"/>
    <w:rsid w:val="00E1478F"/>
    <w:rPr>
      <w:rFonts w:ascii="Verdana" w:hAnsi="Verdana" w:hint="default"/>
      <w:sz w:val="17"/>
      <w:szCs w:val="17"/>
    </w:rPr>
  </w:style>
  <w:style w:type="paragraph" w:styleId="PlainText">
    <w:name w:val="Plain Text"/>
    <w:basedOn w:val="Normal"/>
    <w:link w:val="PlainTextChar"/>
    <w:uiPriority w:val="99"/>
    <w:unhideWhenUsed/>
    <w:rsid w:val="000D61E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D61E2"/>
    <w:rPr>
      <w:rFonts w:ascii="Consolas" w:eastAsia="Calibri" w:hAnsi="Consolas" w:cs="Times New Roman"/>
      <w:sz w:val="21"/>
      <w:szCs w:val="21"/>
    </w:rPr>
  </w:style>
  <w:style w:type="character" w:customStyle="1" w:styleId="emphasis1">
    <w:name w:val="emphasis1"/>
    <w:basedOn w:val="DefaultParagraphFont"/>
    <w:rsid w:val="009F334A"/>
    <w:rPr>
      <w:b/>
      <w:bCs/>
    </w:rPr>
  </w:style>
  <w:style w:type="paragraph" w:styleId="ListParagraph">
    <w:name w:val="List Paragraph"/>
    <w:basedOn w:val="Normal"/>
    <w:uiPriority w:val="34"/>
    <w:qFormat/>
    <w:rsid w:val="002C53DA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821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85248D"/>
    <w:rPr>
      <w:i/>
      <w:iCs/>
    </w:rPr>
  </w:style>
  <w:style w:type="character" w:styleId="FollowedHyperlink">
    <w:name w:val="FollowedHyperlink"/>
    <w:basedOn w:val="DefaultParagraphFont"/>
    <w:rsid w:val="009D1267"/>
    <w:rPr>
      <w:color w:val="800080"/>
      <w:u w:val="single"/>
    </w:rPr>
  </w:style>
  <w:style w:type="character" w:customStyle="1" w:styleId="il">
    <w:name w:val="il"/>
    <w:basedOn w:val="DefaultParagraphFont"/>
    <w:rsid w:val="00E52891"/>
  </w:style>
  <w:style w:type="paragraph" w:styleId="NormalWeb">
    <w:name w:val="Normal (Web)"/>
    <w:basedOn w:val="Normal"/>
    <w:uiPriority w:val="99"/>
    <w:unhideWhenUsed/>
    <w:rsid w:val="002D22D6"/>
    <w:pPr>
      <w:spacing w:before="100" w:beforeAutospacing="1" w:after="100" w:afterAutospacing="1"/>
    </w:pPr>
  </w:style>
  <w:style w:type="character" w:customStyle="1" w:styleId="tx">
    <w:name w:val="tx"/>
    <w:basedOn w:val="DefaultParagraphFont"/>
    <w:rsid w:val="00EB01E9"/>
  </w:style>
  <w:style w:type="character" w:customStyle="1" w:styleId="highlight">
    <w:name w:val="highlight"/>
    <w:basedOn w:val="DefaultParagraphFont"/>
    <w:rsid w:val="006A5FB5"/>
  </w:style>
  <w:style w:type="character" w:customStyle="1" w:styleId="aqj">
    <w:name w:val="aqj"/>
    <w:basedOn w:val="DefaultParagraphFont"/>
    <w:rsid w:val="00885175"/>
  </w:style>
  <w:style w:type="character" w:styleId="Strong">
    <w:name w:val="Strong"/>
    <w:basedOn w:val="DefaultParagraphFont"/>
    <w:uiPriority w:val="22"/>
    <w:qFormat/>
    <w:rsid w:val="000F0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E2quGLLMn4CzGF-eMtB6C15xWFO9ods83WllExTg50A/viewform" TargetMode="External"/><Relationship Id="rId13" Type="http://schemas.openxmlformats.org/officeDocument/2006/relationships/hyperlink" Target="http://bacwa.org/document/adoption-state-general-order-recycled-water-outcome-bacwa-talking-points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bacwa.org/document/state-general-order-three-options-finding-34/" TargetMode="External"/><Relationship Id="rId17" Type="http://schemas.openxmlformats.org/officeDocument/2006/relationships/hyperlink" Target="http://bacwa.org/document/fwqc-issues-matrix-06061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pa.gov/npdes/npdes-application-and-program-updat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cwa.org/wp-content/uploads/2016/04/BACWA_RFI_GAR_2016-1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cwa.org/document/bacwa-2015-recycled-water-survey-templat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acwa.org/wp-content/uploads/2016/04/Facility-Report-Schedule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fei.org/events/rmp-microplastic-monitoring-and-science-strategy-workshop" TargetMode="External"/><Relationship Id="rId14" Type="http://schemas.openxmlformats.org/officeDocument/2006/relationships/hyperlink" Target="https://casaweb.org/urgent-letters-needed-stop-ban-dischargers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chele\LOCALS~1\Temp\TCD31.tmp\Business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E5C6E-5314-488E-90AC-4499EC04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report.dot</Template>
  <TotalTime>1</TotalTime>
  <Pages>2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Collection System Committee – Report to BACWA Board</vt:lpstr>
    </vt:vector>
  </TitlesOfParts>
  <Company>Microsoft Corporation</Company>
  <LinksUpToDate>false</LinksUpToDate>
  <CharactersWithSpaces>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 System Committee – Report to BACWA Board</dc:title>
  <dc:creator>Michele Pla</dc:creator>
  <cp:lastModifiedBy>Lorien Fono</cp:lastModifiedBy>
  <cp:revision>2</cp:revision>
  <cp:lastPrinted>2014-07-11T22:57:00Z</cp:lastPrinted>
  <dcterms:created xsi:type="dcterms:W3CDTF">2016-06-16T16:26:00Z</dcterms:created>
  <dcterms:modified xsi:type="dcterms:W3CDTF">2016-06-16T16:26:00Z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TC062071971033</vt:lpwstr>
  </property>
</Properties>
</file>