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8"/>
        <w:gridCol w:w="6870"/>
      </w:tblGrid>
      <w:tr w:rsidR="004E0C68">
        <w:trPr>
          <w:trHeight w:val="713"/>
        </w:trPr>
        <w:tc>
          <w:tcPr>
            <w:tcW w:w="4218" w:type="dxa"/>
            <w:tcBorders>
              <w:top w:val="nil"/>
              <w:left w:val="nil"/>
              <w:bottom w:val="nil"/>
              <w:right w:val="nil"/>
            </w:tcBorders>
            <w:shd w:val="clear" w:color="auto" w:fill="auto"/>
            <w:tcMar>
              <w:top w:w="80" w:type="dxa"/>
              <w:left w:w="260" w:type="dxa"/>
              <w:bottom w:w="80" w:type="dxa"/>
              <w:right w:w="80" w:type="dxa"/>
            </w:tcMar>
          </w:tcPr>
          <w:p w:rsidR="004E0C68" w:rsidRDefault="00962634">
            <w:pPr>
              <w:pStyle w:val="CompanyName"/>
              <w:spacing w:line="240" w:lineRule="auto"/>
              <w:ind w:left="180"/>
              <w:rPr>
                <w:rFonts w:ascii="Arial" w:eastAsia="Arial" w:hAnsi="Arial" w:cs="Arial"/>
                <w:b w:val="0"/>
                <w:bCs w:val="0"/>
              </w:rPr>
            </w:pPr>
            <w:bookmarkStart w:id="0" w:name="_GoBack"/>
            <w:bookmarkEnd w:id="0"/>
            <w:r>
              <w:rPr>
                <w:rFonts w:ascii="Arial" w:hAnsi="Arial"/>
                <w:b w:val="0"/>
                <w:bCs w:val="0"/>
              </w:rPr>
              <w:t xml:space="preserve">Permits Committee – </w:t>
            </w:r>
          </w:p>
          <w:p w:rsidR="004E0C68" w:rsidRDefault="00962634">
            <w:pPr>
              <w:pStyle w:val="CompanyName"/>
              <w:spacing w:line="240" w:lineRule="auto"/>
              <w:ind w:left="180"/>
            </w:pPr>
            <w:r>
              <w:rPr>
                <w:rFonts w:ascii="Arial" w:hAnsi="Arial"/>
                <w:b w:val="0"/>
                <w:bCs w:val="0"/>
              </w:rPr>
              <w:t>Report to BACWA Board</w:t>
            </w:r>
          </w:p>
        </w:tc>
        <w:tc>
          <w:tcPr>
            <w:tcW w:w="6870" w:type="dxa"/>
            <w:tcBorders>
              <w:top w:val="nil"/>
              <w:left w:val="nil"/>
              <w:bottom w:val="nil"/>
              <w:right w:val="nil"/>
            </w:tcBorders>
            <w:shd w:val="clear" w:color="auto" w:fill="auto"/>
            <w:tcMar>
              <w:top w:w="80" w:type="dxa"/>
              <w:left w:w="260" w:type="dxa"/>
              <w:bottom w:w="80" w:type="dxa"/>
              <w:right w:w="80" w:type="dxa"/>
            </w:tcMar>
          </w:tcPr>
          <w:p w:rsidR="004E0C68" w:rsidRDefault="00962634">
            <w:pPr>
              <w:pStyle w:val="ReturnAddress"/>
              <w:spacing w:line="240" w:lineRule="auto"/>
              <w:ind w:left="180"/>
              <w:rPr>
                <w:rFonts w:ascii="Arial" w:eastAsia="Arial" w:hAnsi="Arial" w:cs="Arial"/>
                <w:sz w:val="22"/>
                <w:szCs w:val="22"/>
              </w:rPr>
            </w:pPr>
            <w:r>
              <w:rPr>
                <w:rFonts w:ascii="Arial" w:hAnsi="Arial"/>
                <w:sz w:val="22"/>
                <w:szCs w:val="22"/>
              </w:rPr>
              <w:t xml:space="preserve">Permits Committee Meetings on: </w:t>
            </w:r>
            <w:r w:rsidR="00D1414E">
              <w:rPr>
                <w:rFonts w:ascii="Arial" w:hAnsi="Arial"/>
                <w:sz w:val="22"/>
                <w:szCs w:val="22"/>
              </w:rPr>
              <w:t>12/13</w:t>
            </w:r>
            <w:r>
              <w:rPr>
                <w:rFonts w:ascii="Arial" w:hAnsi="Arial"/>
                <w:sz w:val="22"/>
                <w:szCs w:val="22"/>
              </w:rPr>
              <w:t>/16</w:t>
            </w:r>
          </w:p>
          <w:p w:rsidR="004E0C68" w:rsidRDefault="00962634">
            <w:pPr>
              <w:pStyle w:val="ReturnAddress"/>
              <w:spacing w:line="240" w:lineRule="auto"/>
              <w:ind w:left="180"/>
              <w:rPr>
                <w:rFonts w:ascii="Arial" w:eastAsia="Arial" w:hAnsi="Arial" w:cs="Arial"/>
                <w:sz w:val="22"/>
                <w:szCs w:val="22"/>
              </w:rPr>
            </w:pPr>
            <w:r>
              <w:rPr>
                <w:rFonts w:ascii="Arial" w:hAnsi="Arial"/>
                <w:sz w:val="22"/>
                <w:szCs w:val="22"/>
              </w:rPr>
              <w:t>Executive Board Meeting Date: 1</w:t>
            </w:r>
            <w:r w:rsidR="00D1414E">
              <w:rPr>
                <w:rFonts w:ascii="Arial" w:hAnsi="Arial"/>
                <w:sz w:val="22"/>
                <w:szCs w:val="22"/>
              </w:rPr>
              <w:t>2</w:t>
            </w:r>
            <w:r>
              <w:rPr>
                <w:rFonts w:ascii="Arial" w:hAnsi="Arial"/>
                <w:sz w:val="22"/>
                <w:szCs w:val="22"/>
              </w:rPr>
              <w:t>/1</w:t>
            </w:r>
            <w:r w:rsidR="00D1414E">
              <w:rPr>
                <w:rFonts w:ascii="Arial" w:hAnsi="Arial"/>
                <w:sz w:val="22"/>
                <w:szCs w:val="22"/>
              </w:rPr>
              <w:t>6</w:t>
            </w:r>
            <w:r>
              <w:rPr>
                <w:rFonts w:ascii="Arial" w:hAnsi="Arial"/>
                <w:sz w:val="22"/>
                <w:szCs w:val="22"/>
              </w:rPr>
              <w:t>/16</w:t>
            </w:r>
          </w:p>
          <w:p w:rsidR="004E0C68" w:rsidRDefault="00962634">
            <w:pPr>
              <w:pStyle w:val="ReturnAddress"/>
              <w:spacing w:line="240" w:lineRule="auto"/>
              <w:ind w:left="180"/>
            </w:pPr>
            <w:r>
              <w:rPr>
                <w:rFonts w:ascii="Arial" w:hAnsi="Arial"/>
                <w:sz w:val="22"/>
                <w:szCs w:val="22"/>
              </w:rPr>
              <w:t>Committee Chair:   Eric Dunlavey</w:t>
            </w:r>
          </w:p>
        </w:tc>
      </w:tr>
    </w:tbl>
    <w:p w:rsidR="004E0C68" w:rsidRDefault="00962634" w:rsidP="00D1414E">
      <w:pPr>
        <w:pStyle w:val="Body"/>
        <w:spacing w:before="120" w:after="120"/>
        <w:ind w:left="180"/>
        <w:rPr>
          <w:rFonts w:ascii="Arial" w:eastAsia="Arial" w:hAnsi="Arial" w:cs="Arial"/>
          <w:b/>
          <w:bCs/>
        </w:rPr>
      </w:pPr>
      <w:r>
        <w:rPr>
          <w:rFonts w:ascii="Arial" w:hAnsi="Arial"/>
          <w:b/>
          <w:bCs/>
          <w:u w:val="single"/>
        </w:rPr>
        <w:t>Committee Request for Board Action</w:t>
      </w:r>
      <w:r>
        <w:rPr>
          <w:rFonts w:ascii="Arial" w:hAnsi="Arial"/>
          <w:b/>
          <w:bCs/>
          <w:lang w:val="it-IT"/>
        </w:rPr>
        <w:t>: None</w:t>
      </w:r>
    </w:p>
    <w:p w:rsidR="004E0C68" w:rsidRDefault="002C1B01">
      <w:pPr>
        <w:pStyle w:val="Body"/>
        <w:ind w:left="187"/>
        <w:rPr>
          <w:rFonts w:ascii="Arial" w:hAnsi="Arial"/>
          <w:b/>
          <w:bCs/>
        </w:rPr>
      </w:pPr>
      <w:r>
        <w:rPr>
          <w:rFonts w:ascii="Arial" w:hAnsi="Arial"/>
          <w:b/>
          <w:bCs/>
        </w:rPr>
        <w:t xml:space="preserve">15 attendees, representing </w:t>
      </w:r>
      <w:r w:rsidR="00962634">
        <w:rPr>
          <w:rFonts w:ascii="Arial" w:hAnsi="Arial"/>
          <w:b/>
          <w:bCs/>
        </w:rPr>
        <w:t xml:space="preserve">8 member agencies </w:t>
      </w:r>
    </w:p>
    <w:p w:rsidR="00D1414E" w:rsidRDefault="00D1414E">
      <w:pPr>
        <w:pStyle w:val="Body"/>
        <w:ind w:left="187"/>
        <w:rPr>
          <w:rFonts w:ascii="Arial" w:eastAsia="Arial" w:hAnsi="Arial" w:cs="Arial"/>
          <w:b/>
          <w:bCs/>
        </w:rPr>
      </w:pPr>
      <w:r>
        <w:rPr>
          <w:rFonts w:ascii="Arial" w:hAnsi="Arial"/>
          <w:b/>
          <w:bCs/>
        </w:rPr>
        <w:t>Regional Water Board Staff in attendance</w:t>
      </w:r>
    </w:p>
    <w:p w:rsidR="004E0C68" w:rsidRDefault="004E0C68">
      <w:pPr>
        <w:pStyle w:val="Body"/>
        <w:ind w:left="187"/>
        <w:rPr>
          <w:rFonts w:ascii="Arial" w:eastAsia="Arial" w:hAnsi="Arial" w:cs="Arial"/>
          <w:b/>
          <w:bCs/>
        </w:rPr>
      </w:pPr>
    </w:p>
    <w:tbl>
      <w:tblPr>
        <w:tblW w:w="1053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30"/>
      </w:tblGrid>
      <w:tr w:rsidR="004E0C68" w:rsidRPr="009F55F0">
        <w:trPr>
          <w:trHeight w:val="66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Pr="009F55F0" w:rsidRDefault="00962634">
            <w:pPr>
              <w:pStyle w:val="Body"/>
              <w:rPr>
                <w:rFonts w:ascii="Arial" w:eastAsia="Arial" w:hAnsi="Arial" w:cs="Arial"/>
                <w:b/>
                <w:bCs/>
                <w:sz w:val="20"/>
                <w:szCs w:val="20"/>
              </w:rPr>
            </w:pPr>
            <w:r w:rsidRPr="009F55F0">
              <w:rPr>
                <w:rFonts w:ascii="Arial" w:hAnsi="Arial" w:cs="Arial"/>
                <w:b/>
                <w:bCs/>
                <w:sz w:val="20"/>
                <w:szCs w:val="20"/>
              </w:rPr>
              <w:t>Regional Wa</w:t>
            </w:r>
            <w:r w:rsidR="002C1B01" w:rsidRPr="009F55F0">
              <w:rPr>
                <w:rFonts w:ascii="Arial" w:hAnsi="Arial" w:cs="Arial"/>
                <w:b/>
                <w:bCs/>
                <w:sz w:val="20"/>
                <w:szCs w:val="20"/>
              </w:rPr>
              <w:t xml:space="preserve">ter Board Report-out </w:t>
            </w:r>
          </w:p>
          <w:p w:rsidR="004E0C68" w:rsidRPr="009F55F0" w:rsidRDefault="00DD5026" w:rsidP="00A24A0A">
            <w:pPr>
              <w:pStyle w:val="Body"/>
              <w:rPr>
                <w:rFonts w:ascii="Arial" w:hAnsi="Arial" w:cs="Arial"/>
                <w:sz w:val="20"/>
                <w:szCs w:val="20"/>
              </w:rPr>
            </w:pPr>
            <w:r w:rsidRPr="009F55F0">
              <w:rPr>
                <w:rFonts w:ascii="Arial" w:hAnsi="Arial" w:cs="Arial"/>
                <w:sz w:val="20"/>
                <w:szCs w:val="20"/>
              </w:rPr>
              <w:t xml:space="preserve">Robert </w:t>
            </w:r>
            <w:proofErr w:type="spellStart"/>
            <w:r w:rsidRPr="009F55F0">
              <w:rPr>
                <w:rFonts w:ascii="Arial" w:hAnsi="Arial" w:cs="Arial"/>
                <w:sz w:val="20"/>
                <w:szCs w:val="20"/>
              </w:rPr>
              <w:t>Schlipf</w:t>
            </w:r>
            <w:proofErr w:type="spellEnd"/>
            <w:r w:rsidRPr="009F55F0">
              <w:rPr>
                <w:rFonts w:ascii="Arial" w:hAnsi="Arial" w:cs="Arial"/>
                <w:sz w:val="20"/>
                <w:szCs w:val="20"/>
              </w:rPr>
              <w:t xml:space="preserve"> has filled Bill Johnson’s former position, and Marcia Liao’s position will be filled shortly, leaving two vacancies at the Regional Water Board NPDES division</w:t>
            </w:r>
            <w:r w:rsidR="00962634" w:rsidRPr="009F55F0">
              <w:rPr>
                <w:rFonts w:ascii="Arial" w:hAnsi="Arial" w:cs="Arial"/>
                <w:sz w:val="20"/>
                <w:szCs w:val="20"/>
              </w:rPr>
              <w:t>.</w:t>
            </w:r>
            <w:r w:rsidRPr="009F55F0">
              <w:rPr>
                <w:rFonts w:ascii="Arial" w:hAnsi="Arial" w:cs="Arial"/>
                <w:sz w:val="20"/>
                <w:szCs w:val="20"/>
              </w:rPr>
              <w:t xml:space="preserve">  The State Water Board is investigating introducing language into NPDES permits in codify QA/QC procedures.</w:t>
            </w:r>
          </w:p>
        </w:tc>
      </w:tr>
      <w:tr w:rsidR="004E0C68" w:rsidRPr="009F55F0" w:rsidTr="00C96853">
        <w:trPr>
          <w:trHeight w:val="25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026" w:rsidRPr="009F55F0" w:rsidRDefault="00962634" w:rsidP="00DD5026">
            <w:pPr>
              <w:pStyle w:val="Body"/>
              <w:rPr>
                <w:rFonts w:ascii="Arial" w:hAnsi="Arial" w:cs="Arial"/>
                <w:b/>
                <w:bCs/>
                <w:sz w:val="20"/>
                <w:szCs w:val="20"/>
              </w:rPr>
            </w:pPr>
            <w:r w:rsidRPr="009F55F0">
              <w:rPr>
                <w:rFonts w:ascii="Arial" w:hAnsi="Arial" w:cs="Arial"/>
                <w:b/>
                <w:bCs/>
                <w:sz w:val="20"/>
                <w:szCs w:val="20"/>
              </w:rPr>
              <w:t xml:space="preserve">Selenium </w:t>
            </w:r>
          </w:p>
          <w:p w:rsidR="00DD5026" w:rsidRDefault="00DD5026" w:rsidP="00DD5026">
            <w:pPr>
              <w:pStyle w:val="Body"/>
              <w:rPr>
                <w:rFonts w:ascii="Arial" w:hAnsi="Arial" w:cs="Arial"/>
                <w:sz w:val="20"/>
                <w:szCs w:val="20"/>
              </w:rPr>
            </w:pPr>
            <w:r w:rsidRPr="009F55F0">
              <w:rPr>
                <w:rFonts w:ascii="Arial" w:hAnsi="Arial" w:cs="Arial"/>
                <w:sz w:val="20"/>
                <w:szCs w:val="20"/>
              </w:rPr>
              <w:t xml:space="preserve">The EPA is extending by sixty days the period during which stakeholders may provide comments on the Agency's </w:t>
            </w:r>
            <w:hyperlink r:id="rId7" w:history="1">
              <w:r w:rsidRPr="00A24A0A">
                <w:rPr>
                  <w:rStyle w:val="Hyperlink"/>
                  <w:rFonts w:ascii="Arial" w:hAnsi="Arial" w:cs="Arial"/>
                  <w:color w:val="4F81BD" w:themeColor="accent1"/>
                  <w:sz w:val="20"/>
                  <w:szCs w:val="20"/>
                </w:rPr>
                <w:t>draft technical support materials</w:t>
              </w:r>
            </w:hyperlink>
            <w:r w:rsidRPr="009F55F0">
              <w:rPr>
                <w:rFonts w:ascii="Arial" w:hAnsi="Arial" w:cs="Arial"/>
                <w:sz w:val="20"/>
                <w:szCs w:val="20"/>
              </w:rPr>
              <w:t xml:space="preserve"> for the selenium aquatic life criterion. The comment period will now close on February 10, 2017. The materials will be finalized by September 2017. The Water Boards will provide comments on these draft </w:t>
            </w:r>
            <w:r w:rsidR="00A24A0A">
              <w:rPr>
                <w:rFonts w:ascii="Arial" w:hAnsi="Arial" w:cs="Arial"/>
                <w:sz w:val="20"/>
                <w:szCs w:val="20"/>
              </w:rPr>
              <w:t>materials</w:t>
            </w:r>
            <w:r w:rsidRPr="009F55F0">
              <w:rPr>
                <w:rFonts w:ascii="Arial" w:hAnsi="Arial" w:cs="Arial"/>
                <w:sz w:val="20"/>
                <w:szCs w:val="20"/>
              </w:rPr>
              <w:t>, since the use of fish tissue criteria</w:t>
            </w:r>
            <w:r w:rsidR="00A24A0A">
              <w:rPr>
                <w:rFonts w:ascii="Arial" w:hAnsi="Arial" w:cs="Arial"/>
                <w:sz w:val="20"/>
                <w:szCs w:val="20"/>
              </w:rPr>
              <w:t xml:space="preserve"> as superseding water column criteria</w:t>
            </w:r>
            <w:r w:rsidRPr="009F55F0">
              <w:rPr>
                <w:rFonts w:ascii="Arial" w:hAnsi="Arial" w:cs="Arial"/>
                <w:sz w:val="20"/>
                <w:szCs w:val="20"/>
              </w:rPr>
              <w:t xml:space="preserve">, as well as an average for </w:t>
            </w:r>
            <w:r w:rsidR="00A24A0A">
              <w:rPr>
                <w:rFonts w:ascii="Arial" w:hAnsi="Arial" w:cs="Arial"/>
                <w:sz w:val="20"/>
                <w:szCs w:val="20"/>
              </w:rPr>
              <w:t xml:space="preserve">measuring </w:t>
            </w:r>
            <w:r w:rsidRPr="009F55F0">
              <w:rPr>
                <w:rFonts w:ascii="Arial" w:hAnsi="Arial" w:cs="Arial"/>
                <w:sz w:val="20"/>
                <w:szCs w:val="20"/>
              </w:rPr>
              <w:t xml:space="preserve">compliance, rather than an instantaneous maximum, form the basis for the Water Boards’ and BACWA’s </w:t>
            </w:r>
            <w:r w:rsidR="00A24A0A" w:rsidRPr="009F55F0">
              <w:rPr>
                <w:rFonts w:ascii="Arial" w:hAnsi="Arial" w:cs="Arial"/>
                <w:sz w:val="20"/>
                <w:szCs w:val="20"/>
              </w:rPr>
              <w:t>recommendations</w:t>
            </w:r>
            <w:r w:rsidRPr="009F55F0">
              <w:rPr>
                <w:rFonts w:ascii="Arial" w:hAnsi="Arial" w:cs="Arial"/>
                <w:sz w:val="20"/>
                <w:szCs w:val="20"/>
              </w:rPr>
              <w:t xml:space="preserve"> in our comment letters on the SF Bay and Delta criteria.  </w:t>
            </w:r>
          </w:p>
          <w:p w:rsidR="00A24A0A" w:rsidRPr="009F55F0" w:rsidRDefault="00A24A0A" w:rsidP="00DD5026">
            <w:pPr>
              <w:pStyle w:val="Body"/>
              <w:rPr>
                <w:rFonts w:ascii="Arial" w:hAnsi="Arial" w:cs="Arial"/>
                <w:sz w:val="20"/>
                <w:szCs w:val="20"/>
              </w:rPr>
            </w:pPr>
          </w:p>
          <w:p w:rsidR="004E0C68" w:rsidRPr="009F55F0" w:rsidRDefault="00DD5026" w:rsidP="00A24A0A">
            <w:pPr>
              <w:pStyle w:val="Body"/>
              <w:rPr>
                <w:rFonts w:ascii="Arial" w:eastAsia="Arial" w:hAnsi="Arial" w:cs="Arial"/>
                <w:sz w:val="20"/>
                <w:szCs w:val="20"/>
              </w:rPr>
            </w:pPr>
            <w:r w:rsidRPr="009F55F0">
              <w:rPr>
                <w:rFonts w:ascii="Arial" w:hAnsi="Arial" w:cs="Arial"/>
                <w:sz w:val="20"/>
                <w:szCs w:val="20"/>
              </w:rPr>
              <w:t>For</w:t>
            </w:r>
            <w:r w:rsidR="00A24A0A">
              <w:rPr>
                <w:rFonts w:ascii="Arial" w:hAnsi="Arial" w:cs="Arial"/>
                <w:sz w:val="20"/>
                <w:szCs w:val="20"/>
              </w:rPr>
              <w:t xml:space="preserve"> moving forward with</w:t>
            </w:r>
            <w:r w:rsidRPr="009F55F0">
              <w:rPr>
                <w:rFonts w:ascii="Arial" w:hAnsi="Arial" w:cs="Arial"/>
                <w:sz w:val="20"/>
                <w:szCs w:val="20"/>
              </w:rPr>
              <w:t xml:space="preserve"> the proposed Selenium criteria for the SF Bay and Delta, EPA will need to consult with resource agencies, which will be a lengthy pro</w:t>
            </w:r>
            <w:r w:rsidR="000E2975">
              <w:rPr>
                <w:rFonts w:ascii="Arial" w:hAnsi="Arial" w:cs="Arial"/>
                <w:sz w:val="20"/>
                <w:szCs w:val="20"/>
              </w:rPr>
              <w:t>cess</w:t>
            </w:r>
            <w:r w:rsidRPr="009F55F0">
              <w:rPr>
                <w:rFonts w:ascii="Arial" w:hAnsi="Arial" w:cs="Arial"/>
                <w:sz w:val="20"/>
                <w:szCs w:val="20"/>
              </w:rPr>
              <w:t xml:space="preserve">. EPA staff have reported that they are updating their models and doing data analysis based on the data provided to EPA by the LSB dischargers after the release of the proposed criteria. EPA staff said they are working to update the criteria so that they’re implementable, but warn that EPA headquarters are often proponents of </w:t>
            </w:r>
            <w:r w:rsidR="00A24A0A">
              <w:rPr>
                <w:rFonts w:ascii="Arial" w:hAnsi="Arial" w:cs="Arial"/>
                <w:sz w:val="20"/>
                <w:szCs w:val="20"/>
              </w:rPr>
              <w:t>more stringent</w:t>
            </w:r>
            <w:r w:rsidRPr="009F55F0">
              <w:rPr>
                <w:rFonts w:ascii="Arial" w:hAnsi="Arial" w:cs="Arial"/>
                <w:sz w:val="20"/>
                <w:szCs w:val="20"/>
              </w:rPr>
              <w:t xml:space="preserve"> criteria than the district offices.</w:t>
            </w:r>
            <w:r w:rsidR="00C96853" w:rsidRPr="009F55F0">
              <w:rPr>
                <w:rFonts w:ascii="Arial" w:hAnsi="Arial" w:cs="Arial"/>
                <w:sz w:val="20"/>
                <w:szCs w:val="20"/>
              </w:rPr>
              <w:t xml:space="preserve"> See </w:t>
            </w:r>
            <w:hyperlink r:id="rId8" w:history="1">
              <w:r w:rsidR="00C96853" w:rsidRPr="009F55F0">
                <w:rPr>
                  <w:rStyle w:val="Hyperlink"/>
                  <w:rFonts w:ascii="Arial" w:hAnsi="Arial" w:cs="Arial"/>
                  <w:color w:val="4F81BD" w:themeColor="accent1"/>
                  <w:sz w:val="20"/>
                  <w:szCs w:val="20"/>
                </w:rPr>
                <w:t>comment letters</w:t>
              </w:r>
            </w:hyperlink>
            <w:r w:rsidR="00C96853" w:rsidRPr="009F55F0">
              <w:rPr>
                <w:rFonts w:ascii="Arial" w:hAnsi="Arial" w:cs="Arial"/>
                <w:sz w:val="20"/>
                <w:szCs w:val="20"/>
              </w:rPr>
              <w:t xml:space="preserve"> </w:t>
            </w:r>
            <w:r w:rsidR="00A24A0A">
              <w:rPr>
                <w:rFonts w:ascii="Arial" w:hAnsi="Arial" w:cs="Arial"/>
                <w:sz w:val="20"/>
                <w:szCs w:val="20"/>
              </w:rPr>
              <w:t xml:space="preserve">on the SF Bay and Delta Criteria </w:t>
            </w:r>
            <w:r w:rsidR="00C96853" w:rsidRPr="009F55F0">
              <w:rPr>
                <w:rFonts w:ascii="Arial" w:hAnsi="Arial" w:cs="Arial"/>
                <w:sz w:val="20"/>
                <w:szCs w:val="20"/>
              </w:rPr>
              <w:t xml:space="preserve">in </w:t>
            </w:r>
            <w:r w:rsidR="00A24A0A">
              <w:rPr>
                <w:rFonts w:ascii="Arial" w:hAnsi="Arial" w:cs="Arial"/>
                <w:sz w:val="20"/>
                <w:szCs w:val="20"/>
              </w:rPr>
              <w:t xml:space="preserve">EPA’s </w:t>
            </w:r>
            <w:r w:rsidR="00C96853" w:rsidRPr="009F55F0">
              <w:rPr>
                <w:rFonts w:ascii="Arial" w:hAnsi="Arial" w:cs="Arial"/>
                <w:sz w:val="20"/>
                <w:szCs w:val="20"/>
              </w:rPr>
              <w:t>docket</w:t>
            </w:r>
            <w:r w:rsidR="00A24A0A">
              <w:rPr>
                <w:rFonts w:ascii="Arial" w:hAnsi="Arial" w:cs="Arial"/>
                <w:sz w:val="20"/>
                <w:szCs w:val="20"/>
              </w:rPr>
              <w:t>.</w:t>
            </w:r>
          </w:p>
        </w:tc>
      </w:tr>
      <w:tr w:rsidR="004E0C68" w:rsidRPr="009F55F0" w:rsidTr="00C96853">
        <w:trPr>
          <w:trHeight w:val="1917"/>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Pr="009F55F0" w:rsidRDefault="00962634">
            <w:pPr>
              <w:pStyle w:val="Body"/>
              <w:rPr>
                <w:rFonts w:ascii="Arial" w:hAnsi="Arial" w:cs="Arial"/>
                <w:sz w:val="20"/>
                <w:szCs w:val="20"/>
              </w:rPr>
            </w:pPr>
            <w:r w:rsidRPr="009F55F0">
              <w:rPr>
                <w:rFonts w:ascii="Arial" w:hAnsi="Arial" w:cs="Arial"/>
                <w:b/>
                <w:bCs/>
                <w:sz w:val="20"/>
                <w:szCs w:val="20"/>
              </w:rPr>
              <w:t xml:space="preserve">Toxicity </w:t>
            </w:r>
          </w:p>
          <w:p w:rsidR="00C96853" w:rsidRPr="009F55F0" w:rsidRDefault="00C96853" w:rsidP="00C96853">
            <w:pPr>
              <w:rPr>
                <w:rFonts w:ascii="Arial" w:hAnsi="Arial" w:cs="Arial"/>
                <w:b/>
                <w:bCs/>
                <w:sz w:val="20"/>
                <w:szCs w:val="20"/>
              </w:rPr>
            </w:pPr>
            <w:r w:rsidRPr="009F55F0">
              <w:rPr>
                <w:rFonts w:ascii="Arial" w:hAnsi="Arial" w:cs="Arial"/>
                <w:sz w:val="20"/>
                <w:szCs w:val="20"/>
              </w:rPr>
              <w:t>The next draft of the State Toxicity Policy is slated for March 2017.</w:t>
            </w:r>
          </w:p>
          <w:p w:rsidR="004E0C68" w:rsidRPr="009F55F0" w:rsidRDefault="00962634" w:rsidP="00C96853">
            <w:pPr>
              <w:rPr>
                <w:rFonts w:ascii="Arial" w:hAnsi="Arial" w:cs="Arial"/>
                <w:b/>
                <w:bCs/>
                <w:sz w:val="20"/>
                <w:szCs w:val="20"/>
              </w:rPr>
            </w:pPr>
            <w:r w:rsidRPr="009F55F0">
              <w:rPr>
                <w:rFonts w:ascii="Arial" w:hAnsi="Arial" w:cs="Arial"/>
                <w:sz w:val="20"/>
                <w:szCs w:val="20"/>
                <w:shd w:val="clear" w:color="auto" w:fill="FFFFFF"/>
              </w:rPr>
              <w:t>The Southern California Coastal Water Research Project (SCCWRP), has conducted research that suggests that there are problems with reproducibility in some of the chronic toxicity methods, particularly with the </w:t>
            </w:r>
            <w:proofErr w:type="spellStart"/>
            <w:r w:rsidRPr="009F55F0">
              <w:rPr>
                <w:rFonts w:ascii="Arial" w:hAnsi="Arial" w:cs="Arial"/>
                <w:i/>
                <w:iCs/>
                <w:sz w:val="20"/>
                <w:szCs w:val="20"/>
                <w:shd w:val="clear" w:color="auto" w:fill="FFFFFF"/>
              </w:rPr>
              <w:t>Ceriodaphnia</w:t>
            </w:r>
            <w:proofErr w:type="spellEnd"/>
            <w:r w:rsidRPr="009F55F0">
              <w:rPr>
                <w:rFonts w:ascii="Arial" w:hAnsi="Arial" w:cs="Arial"/>
                <w:i/>
                <w:iCs/>
                <w:sz w:val="20"/>
                <w:szCs w:val="20"/>
                <w:shd w:val="clear" w:color="auto" w:fill="FFFFFF"/>
              </w:rPr>
              <w:t xml:space="preserve"> </w:t>
            </w:r>
            <w:proofErr w:type="spellStart"/>
            <w:r w:rsidRPr="009F55F0">
              <w:rPr>
                <w:rFonts w:ascii="Arial" w:hAnsi="Arial" w:cs="Arial"/>
                <w:i/>
                <w:iCs/>
                <w:sz w:val="20"/>
                <w:szCs w:val="20"/>
                <w:shd w:val="clear" w:color="auto" w:fill="FFFFFF"/>
              </w:rPr>
              <w:t>dubia</w:t>
            </w:r>
            <w:proofErr w:type="spellEnd"/>
            <w:r w:rsidRPr="009F55F0">
              <w:rPr>
                <w:rFonts w:ascii="Arial" w:hAnsi="Arial" w:cs="Arial"/>
                <w:i/>
                <w:iCs/>
                <w:sz w:val="20"/>
                <w:szCs w:val="20"/>
                <w:shd w:val="clear" w:color="auto" w:fill="FFFFFF"/>
              </w:rPr>
              <w:t> </w:t>
            </w:r>
            <w:r w:rsidRPr="009F55F0">
              <w:rPr>
                <w:rFonts w:ascii="Arial" w:hAnsi="Arial" w:cs="Arial"/>
                <w:sz w:val="20"/>
                <w:szCs w:val="20"/>
                <w:shd w:val="clear" w:color="auto" w:fill="FFFFFF"/>
              </w:rPr>
              <w:t xml:space="preserve">test species. </w:t>
            </w:r>
            <w:r w:rsidR="00C96853" w:rsidRPr="009F55F0">
              <w:rPr>
                <w:rFonts w:ascii="Arial" w:hAnsi="Arial" w:cs="Arial"/>
                <w:sz w:val="20"/>
                <w:szCs w:val="20"/>
                <w:shd w:val="clear" w:color="auto" w:fill="FFFFFF"/>
              </w:rPr>
              <w:t>The</w:t>
            </w:r>
            <w:r w:rsidRPr="009F55F0">
              <w:rPr>
                <w:rFonts w:ascii="Arial" w:hAnsi="Arial" w:cs="Arial"/>
                <w:sz w:val="20"/>
                <w:szCs w:val="20"/>
                <w:shd w:val="clear" w:color="auto" w:fill="FFFFFF"/>
              </w:rPr>
              <w:t xml:space="preserve"> Summit Partners, composed of CASA, CWEA, BACWA, SCAP, and CVCWA, have contacted SCCWRP and the </w:t>
            </w:r>
            <w:proofErr w:type="spellStart"/>
            <w:r w:rsidRPr="009F55F0">
              <w:rPr>
                <w:rFonts w:ascii="Arial" w:hAnsi="Arial" w:cs="Arial"/>
                <w:sz w:val="20"/>
                <w:szCs w:val="20"/>
                <w:shd w:val="clear" w:color="auto" w:fill="FFFFFF"/>
              </w:rPr>
              <w:t>Stormwater</w:t>
            </w:r>
            <w:proofErr w:type="spellEnd"/>
            <w:r w:rsidRPr="009F55F0">
              <w:rPr>
                <w:rFonts w:ascii="Arial" w:hAnsi="Arial" w:cs="Arial"/>
                <w:sz w:val="20"/>
                <w:szCs w:val="20"/>
                <w:shd w:val="clear" w:color="auto" w:fill="FFFFFF"/>
              </w:rPr>
              <w:t xml:space="preserve"> Monitoring Coalition (SMC) with a</w:t>
            </w:r>
            <w:r w:rsidRPr="009F55F0">
              <w:rPr>
                <w:rFonts w:ascii="Arial" w:hAnsi="Arial" w:cs="Arial"/>
                <w:color w:val="0070C0"/>
                <w:sz w:val="20"/>
                <w:szCs w:val="20"/>
                <w:u w:color="0070C0"/>
                <w:shd w:val="clear" w:color="auto" w:fill="FFFFFF"/>
              </w:rPr>
              <w:t> </w:t>
            </w:r>
            <w:hyperlink r:id="rId9" w:history="1">
              <w:r w:rsidRPr="009F55F0">
                <w:rPr>
                  <w:rStyle w:val="Hyperlink2"/>
                  <w:rFonts w:ascii="Arial" w:hAnsi="Arial" w:cs="Arial"/>
                  <w:b/>
                  <w:bCs/>
                  <w:sz w:val="20"/>
                  <w:szCs w:val="20"/>
                </w:rPr>
                <w:t>proposal</w:t>
              </w:r>
            </w:hyperlink>
            <w:r w:rsidRPr="009F55F0">
              <w:rPr>
                <w:rFonts w:ascii="Arial" w:hAnsi="Arial" w:cs="Arial"/>
                <w:sz w:val="20"/>
                <w:szCs w:val="20"/>
              </w:rPr>
              <w:t xml:space="preserve"> </w:t>
            </w:r>
            <w:r w:rsidRPr="009F55F0">
              <w:rPr>
                <w:rFonts w:ascii="Arial" w:hAnsi="Arial" w:cs="Arial"/>
                <w:sz w:val="20"/>
                <w:szCs w:val="20"/>
                <w:shd w:val="clear" w:color="auto" w:fill="FFFFFF"/>
              </w:rPr>
              <w:t>to further evaluate accuracy, and approaches to mitigate and correct inaccuracies, related to the </w:t>
            </w:r>
            <w:proofErr w:type="spellStart"/>
            <w:r w:rsidRPr="009F55F0">
              <w:rPr>
                <w:rFonts w:ascii="Arial" w:hAnsi="Arial" w:cs="Arial"/>
                <w:i/>
                <w:iCs/>
                <w:sz w:val="20"/>
                <w:szCs w:val="20"/>
                <w:shd w:val="clear" w:color="auto" w:fill="FFFFFF"/>
              </w:rPr>
              <w:t>Ceriodaphnia</w:t>
            </w:r>
            <w:proofErr w:type="spellEnd"/>
            <w:r w:rsidRPr="009F55F0">
              <w:rPr>
                <w:rFonts w:ascii="Arial" w:hAnsi="Arial" w:cs="Arial"/>
                <w:i/>
                <w:iCs/>
                <w:sz w:val="20"/>
                <w:szCs w:val="20"/>
                <w:shd w:val="clear" w:color="auto" w:fill="FFFFFF"/>
              </w:rPr>
              <w:t xml:space="preserve"> </w:t>
            </w:r>
            <w:proofErr w:type="spellStart"/>
            <w:r w:rsidRPr="009F55F0">
              <w:rPr>
                <w:rFonts w:ascii="Arial" w:hAnsi="Arial" w:cs="Arial"/>
                <w:i/>
                <w:iCs/>
                <w:sz w:val="20"/>
                <w:szCs w:val="20"/>
                <w:shd w:val="clear" w:color="auto" w:fill="FFFFFF"/>
              </w:rPr>
              <w:t>dubia</w:t>
            </w:r>
            <w:proofErr w:type="spellEnd"/>
            <w:r w:rsidRPr="009F55F0">
              <w:rPr>
                <w:rFonts w:ascii="Arial" w:hAnsi="Arial" w:cs="Arial"/>
                <w:i/>
                <w:iCs/>
                <w:sz w:val="20"/>
                <w:szCs w:val="20"/>
                <w:shd w:val="clear" w:color="auto" w:fill="FFFFFF"/>
              </w:rPr>
              <w:t> </w:t>
            </w:r>
            <w:r w:rsidRPr="009F55F0">
              <w:rPr>
                <w:rFonts w:ascii="Arial" w:hAnsi="Arial" w:cs="Arial"/>
                <w:sz w:val="20"/>
                <w:szCs w:val="20"/>
                <w:shd w:val="clear" w:color="auto" w:fill="FFFFFF"/>
              </w:rPr>
              <w:t xml:space="preserve">reproduction test. </w:t>
            </w:r>
            <w:r w:rsidR="00C96853" w:rsidRPr="009F55F0">
              <w:rPr>
                <w:rFonts w:ascii="Arial" w:hAnsi="Arial" w:cs="Arial"/>
                <w:sz w:val="20"/>
                <w:szCs w:val="20"/>
                <w:shd w:val="clear" w:color="auto" w:fill="FFFFFF"/>
              </w:rPr>
              <w:t>SCCWRP has indicated their willingness to participate in this study if the true intent is to improve the test, rather than to undermine the State Toxicity Plan.</w:t>
            </w:r>
          </w:p>
        </w:tc>
      </w:tr>
      <w:tr w:rsidR="004E0C68" w:rsidRPr="009F55F0" w:rsidTr="00CE65C5">
        <w:trPr>
          <w:trHeight w:val="360"/>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6853" w:rsidRPr="009F55F0" w:rsidRDefault="00C96853" w:rsidP="00C96853">
            <w:pPr>
              <w:pStyle w:val="Body"/>
              <w:rPr>
                <w:rFonts w:ascii="Arial" w:hAnsi="Arial" w:cs="Arial"/>
                <w:b/>
                <w:bCs/>
                <w:sz w:val="20"/>
                <w:szCs w:val="20"/>
              </w:rPr>
            </w:pPr>
            <w:r w:rsidRPr="009F55F0">
              <w:rPr>
                <w:rFonts w:ascii="Arial" w:hAnsi="Arial" w:cs="Arial"/>
                <w:b/>
                <w:bCs/>
                <w:sz w:val="20"/>
                <w:szCs w:val="20"/>
              </w:rPr>
              <w:t>BAAQMD Rule 11-18</w:t>
            </w:r>
          </w:p>
          <w:p w:rsidR="004E0C68" w:rsidRPr="009F55F0" w:rsidRDefault="00C96853" w:rsidP="00C96853">
            <w:pPr>
              <w:widowControl w:val="0"/>
              <w:autoSpaceDE w:val="0"/>
              <w:autoSpaceDN w:val="0"/>
              <w:adjustRightInd w:val="0"/>
              <w:rPr>
                <w:rFonts w:ascii="Arial" w:hAnsi="Arial" w:cs="Arial"/>
                <w:sz w:val="20"/>
                <w:szCs w:val="20"/>
              </w:rPr>
            </w:pPr>
            <w:r w:rsidRPr="009F55F0">
              <w:rPr>
                <w:rFonts w:ascii="Arial" w:hAnsi="Arial" w:cs="Arial"/>
                <w:sz w:val="20"/>
                <w:szCs w:val="20"/>
              </w:rPr>
              <w:t xml:space="preserve">Draft </w:t>
            </w:r>
            <w:hyperlink r:id="rId10" w:history="1">
              <w:r w:rsidRPr="009F55F0">
                <w:rPr>
                  <w:rStyle w:val="Hyperlink"/>
                  <w:rFonts w:ascii="Arial" w:hAnsi="Arial" w:cs="Arial"/>
                  <w:color w:val="4F81BD" w:themeColor="accent1"/>
                  <w:sz w:val="20"/>
                  <w:szCs w:val="20"/>
                </w:rPr>
                <w:t>Rule 11-18</w:t>
              </w:r>
            </w:hyperlink>
            <w:r w:rsidRPr="009F55F0">
              <w:rPr>
                <w:rFonts w:ascii="Arial" w:hAnsi="Arial" w:cs="Arial"/>
                <w:sz w:val="20"/>
                <w:szCs w:val="20"/>
              </w:rPr>
              <w:t xml:space="preserve"> is the Bay Area Air Quality Management District’s (BAAQMD’s) effort to protect public health from toxic air pollution from existing facilities. BAAQMD expects Rule 11-18 would substantially reduce health risks from various existing facilities by requiring the implementation of all technically and economically feasible risk reduction measures by significant sources of toxic air contaminants (TACs). The Draft Rule will affect publicly owned treatment works POTWs.  Concerns POTWs have related to this Draft Rule include its compliance schedule, potential fiscal impact, control technology determinations, public notification, cross media impacts, and renewable energy production. BACWA submitted a </w:t>
            </w:r>
            <w:hyperlink r:id="rId11" w:history="1">
              <w:r w:rsidRPr="009F55F0">
                <w:rPr>
                  <w:rStyle w:val="Hyperlink"/>
                  <w:rFonts w:ascii="Arial" w:hAnsi="Arial" w:cs="Arial"/>
                  <w:color w:val="4F81BD" w:themeColor="accent1"/>
                  <w:sz w:val="20"/>
                  <w:szCs w:val="20"/>
                </w:rPr>
                <w:t>comment letter</w:t>
              </w:r>
            </w:hyperlink>
            <w:r w:rsidRPr="009F55F0">
              <w:rPr>
                <w:rFonts w:ascii="Arial" w:hAnsi="Arial" w:cs="Arial"/>
                <w:sz w:val="20"/>
                <w:szCs w:val="20"/>
              </w:rPr>
              <w:t xml:space="preserve"> on the Rule, and will host BAAQMD staff at the Executive Board meeting on 12/16. </w:t>
            </w:r>
            <w:r w:rsidR="00A24A0A">
              <w:rPr>
                <w:rFonts w:ascii="Arial" w:hAnsi="Arial" w:cs="Arial"/>
                <w:sz w:val="20"/>
                <w:szCs w:val="20"/>
              </w:rPr>
              <w:t>The AIR committee support is developing a white paper on the Rule to help BACWA members understand its implications.</w:t>
            </w:r>
            <w:r w:rsidRPr="009F55F0">
              <w:rPr>
                <w:rFonts w:ascii="Arial" w:hAnsi="Arial" w:cs="Arial"/>
                <w:sz w:val="20"/>
                <w:szCs w:val="20"/>
              </w:rPr>
              <w:t xml:space="preserve"> BACWA will also request prioritization scores on behalf of any agencies that provide their facility IDs.</w:t>
            </w:r>
          </w:p>
        </w:tc>
      </w:tr>
      <w:tr w:rsidR="004E0C68" w:rsidRPr="009F55F0" w:rsidTr="009F55F0">
        <w:trPr>
          <w:trHeight w:val="3330"/>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Pr="009F55F0" w:rsidRDefault="00962634">
            <w:pPr>
              <w:pStyle w:val="Body"/>
              <w:rPr>
                <w:rFonts w:ascii="Arial" w:hAnsi="Arial" w:cs="Arial"/>
                <w:sz w:val="20"/>
                <w:szCs w:val="20"/>
              </w:rPr>
            </w:pPr>
            <w:r w:rsidRPr="009F55F0">
              <w:rPr>
                <w:rFonts w:ascii="Arial" w:hAnsi="Arial" w:cs="Arial"/>
                <w:b/>
                <w:bCs/>
                <w:sz w:val="20"/>
                <w:szCs w:val="20"/>
              </w:rPr>
              <w:lastRenderedPageBreak/>
              <w:t>Nutrients</w:t>
            </w:r>
          </w:p>
          <w:p w:rsidR="004E0C68" w:rsidRPr="009F55F0" w:rsidRDefault="00962634" w:rsidP="009F55F0">
            <w:pPr>
              <w:pStyle w:val="BodyText"/>
              <w:numPr>
                <w:ilvl w:val="0"/>
                <w:numId w:val="14"/>
              </w:numPr>
              <w:spacing w:line="240" w:lineRule="auto"/>
              <w:rPr>
                <w:rFonts w:ascii="Arial" w:hAnsi="Arial" w:cs="Arial"/>
                <w:sz w:val="20"/>
                <w:szCs w:val="20"/>
              </w:rPr>
            </w:pPr>
            <w:r w:rsidRPr="009F55F0">
              <w:rPr>
                <w:rFonts w:ascii="Arial" w:hAnsi="Arial" w:cs="Arial"/>
                <w:i/>
                <w:iCs/>
                <w:sz w:val="20"/>
                <w:szCs w:val="20"/>
              </w:rPr>
              <w:t xml:space="preserve">Optimization/Upgrade Studies – </w:t>
            </w:r>
            <w:r w:rsidR="009F55F0" w:rsidRPr="009F55F0">
              <w:rPr>
                <w:rFonts w:ascii="Arial" w:hAnsi="Arial" w:cs="Arial"/>
                <w:sz w:val="20"/>
                <w:szCs w:val="20"/>
              </w:rPr>
              <w:t xml:space="preserve">Three draft </w:t>
            </w:r>
            <w:r w:rsidR="004C3B18">
              <w:rPr>
                <w:rFonts w:ascii="Arial" w:hAnsi="Arial" w:cs="Arial"/>
                <w:sz w:val="20"/>
                <w:szCs w:val="20"/>
              </w:rPr>
              <w:t xml:space="preserve">facilities </w:t>
            </w:r>
            <w:r w:rsidR="009F55F0" w:rsidRPr="009F55F0">
              <w:rPr>
                <w:rFonts w:ascii="Arial" w:hAnsi="Arial" w:cs="Arial"/>
                <w:sz w:val="20"/>
                <w:szCs w:val="20"/>
              </w:rPr>
              <w:t xml:space="preserve">reports are set to be distributed this this week (Petaluma, San Leandro, and CMSA). Only 6 reports are yet to be initiated – nearing the end of the draft plant report preparation phase. The 6 include: Millbrae, Richmond, San Mateo, Sausalito-Marin, SASM, and West County. The team is responding to comments received on the draft reports thus far. HDR has received questionnaires from 25 plants. Additional follow-up is needed to get the remaining 12. </w:t>
            </w:r>
          </w:p>
          <w:p w:rsidR="009F55F0" w:rsidRPr="004C3B18" w:rsidRDefault="009F55F0" w:rsidP="009F55F0">
            <w:pPr>
              <w:pStyle w:val="ListParagraph"/>
              <w:numPr>
                <w:ilvl w:val="0"/>
                <w:numId w:val="6"/>
              </w:numPr>
              <w:rPr>
                <w:rFonts w:ascii="Arial" w:hAnsi="Arial" w:cs="Arial"/>
                <w:bCs/>
                <w:sz w:val="20"/>
                <w:szCs w:val="20"/>
              </w:rPr>
            </w:pPr>
            <w:r w:rsidRPr="004C3B18">
              <w:rPr>
                <w:rFonts w:ascii="Arial" w:hAnsi="Arial" w:cs="Arial"/>
                <w:i/>
                <w:iCs/>
                <w:sz w:val="20"/>
                <w:szCs w:val="20"/>
              </w:rPr>
              <w:t xml:space="preserve">Suisun </w:t>
            </w:r>
            <w:proofErr w:type="spellStart"/>
            <w:r w:rsidRPr="004C3B18">
              <w:rPr>
                <w:rFonts w:ascii="Arial" w:hAnsi="Arial" w:cs="Arial"/>
                <w:i/>
                <w:iCs/>
                <w:sz w:val="20"/>
                <w:szCs w:val="20"/>
              </w:rPr>
              <w:t>Synthsis</w:t>
            </w:r>
            <w:proofErr w:type="spellEnd"/>
            <w:r w:rsidR="00962634" w:rsidRPr="004C3B18">
              <w:rPr>
                <w:rFonts w:ascii="Arial" w:hAnsi="Arial" w:cs="Arial"/>
                <w:i/>
                <w:iCs/>
                <w:sz w:val="20"/>
                <w:szCs w:val="20"/>
              </w:rPr>
              <w:t xml:space="preserve"> – </w:t>
            </w:r>
            <w:r w:rsidRPr="004C3B18">
              <w:rPr>
                <w:rFonts w:ascii="Arial" w:hAnsi="Arial" w:cs="Arial"/>
                <w:sz w:val="20"/>
                <w:szCs w:val="20"/>
              </w:rPr>
              <w:t>SFEI staff have recently posted a draft </w:t>
            </w:r>
            <w:hyperlink r:id="rId12" w:tgtFrame="_blank" w:history="1">
              <w:r w:rsidRPr="004C3B18">
                <w:rPr>
                  <w:rStyle w:val="Hyperlink"/>
                  <w:rFonts w:ascii="Arial" w:hAnsi="Arial" w:cs="Arial"/>
                  <w:bCs/>
                  <w:color w:val="4F81BD" w:themeColor="accent1"/>
                  <w:sz w:val="20"/>
                  <w:szCs w:val="20"/>
                </w:rPr>
                <w:t>update</w:t>
              </w:r>
            </w:hyperlink>
            <w:r w:rsidRPr="004C3B18">
              <w:rPr>
                <w:rFonts w:ascii="Arial" w:hAnsi="Arial" w:cs="Arial"/>
                <w:sz w:val="20"/>
                <w:szCs w:val="20"/>
              </w:rPr>
              <w:t xml:space="preserve"> to the Suisun Synthesis, which was </w:t>
            </w:r>
            <w:hyperlink r:id="rId13" w:tgtFrame="_blank" w:history="1">
              <w:r w:rsidRPr="004C3B18">
                <w:rPr>
                  <w:rStyle w:val="Hyperlink"/>
                  <w:rFonts w:ascii="Arial" w:hAnsi="Arial" w:cs="Arial"/>
                  <w:bCs/>
                  <w:color w:val="4F81BD" w:themeColor="accent1"/>
                  <w:sz w:val="20"/>
                  <w:szCs w:val="20"/>
                </w:rPr>
                <w:t>originally published</w:t>
              </w:r>
            </w:hyperlink>
            <w:r w:rsidRPr="004C3B18">
              <w:rPr>
                <w:rFonts w:ascii="Arial" w:hAnsi="Arial" w:cs="Arial"/>
                <w:sz w:val="20"/>
                <w:szCs w:val="20"/>
              </w:rPr>
              <w:t xml:space="preserve"> in March 2014. These materials were reviewed at the </w:t>
            </w:r>
            <w:hyperlink r:id="rId14" w:tgtFrame="_blank" w:history="1">
              <w:r w:rsidRPr="004C3B18">
                <w:rPr>
                  <w:rStyle w:val="Hyperlink"/>
                  <w:rFonts w:ascii="Arial" w:hAnsi="Arial" w:cs="Arial"/>
                  <w:bCs/>
                  <w:color w:val="4F81BD" w:themeColor="accent1"/>
                  <w:sz w:val="20"/>
                  <w:szCs w:val="20"/>
                </w:rPr>
                <w:t>Delta-Suisun Nutrient Workshop</w:t>
              </w:r>
            </w:hyperlink>
            <w:r w:rsidRPr="004C3B18">
              <w:rPr>
                <w:rFonts w:ascii="Arial" w:hAnsi="Arial" w:cs="Arial"/>
                <w:sz w:val="20"/>
                <w:szCs w:val="20"/>
              </w:rPr>
              <w:t> in November 2016, the purpose of which is to highlight research that is relevant to hypotheses of nutrients' role in phytoplankton growth, namely, the “ammonia paradox”. The draft update to the Suisun Synthesis provides material in chapters that each either support or refute these hypotheses. Input from the workshop will be used to develop a White Paper on the issue, which is expected in Draft form in Winter 2017.</w:t>
            </w:r>
          </w:p>
          <w:p w:rsidR="00905D7C" w:rsidRPr="004C3B18" w:rsidRDefault="00905D7C" w:rsidP="009F55F0">
            <w:pPr>
              <w:pStyle w:val="ListParagraph"/>
              <w:numPr>
                <w:ilvl w:val="0"/>
                <w:numId w:val="6"/>
              </w:numPr>
              <w:rPr>
                <w:rFonts w:ascii="Arial" w:hAnsi="Arial" w:cs="Arial"/>
                <w:bCs/>
                <w:sz w:val="20"/>
                <w:szCs w:val="20"/>
              </w:rPr>
            </w:pPr>
            <w:r w:rsidRPr="004C3B18">
              <w:rPr>
                <w:rFonts w:ascii="Arial" w:hAnsi="Arial" w:cs="Arial"/>
                <w:i/>
                <w:iCs/>
                <w:sz w:val="20"/>
                <w:szCs w:val="20"/>
              </w:rPr>
              <w:t>NMS Steering Committee meeting #11:</w:t>
            </w:r>
            <w:r w:rsidRPr="004C3B18">
              <w:rPr>
                <w:rFonts w:ascii="Arial" w:hAnsi="Arial" w:cs="Arial"/>
                <w:bCs/>
                <w:sz w:val="20"/>
                <w:szCs w:val="20"/>
              </w:rPr>
              <w:t xml:space="preserve">  A group is doing full scale experiments testing the ammonia paradox.  </w:t>
            </w:r>
            <w:r w:rsidR="004C3B18" w:rsidRPr="004C3B18">
              <w:rPr>
                <w:rFonts w:ascii="Arial" w:hAnsi="Arial" w:cs="Arial"/>
                <w:bCs/>
                <w:sz w:val="20"/>
                <w:szCs w:val="20"/>
              </w:rPr>
              <w:t>Additionally</w:t>
            </w:r>
            <w:r w:rsidRPr="004C3B18">
              <w:rPr>
                <w:rFonts w:ascii="Arial" w:hAnsi="Arial" w:cs="Arial"/>
                <w:bCs/>
                <w:sz w:val="20"/>
                <w:szCs w:val="20"/>
              </w:rPr>
              <w:t xml:space="preserve">, there was a discussion about how some phytoplankton species and dinoflagellate labeled as </w:t>
            </w:r>
            <w:r w:rsidR="004C3B18" w:rsidRPr="004C3B18">
              <w:rPr>
                <w:rFonts w:ascii="Arial" w:hAnsi="Arial" w:cs="Arial"/>
                <w:bCs/>
                <w:sz w:val="20"/>
                <w:szCs w:val="20"/>
              </w:rPr>
              <w:t>harmful</w:t>
            </w:r>
            <w:r w:rsidRPr="004C3B18">
              <w:rPr>
                <w:rFonts w:ascii="Arial" w:hAnsi="Arial" w:cs="Arial"/>
                <w:bCs/>
                <w:sz w:val="20"/>
                <w:szCs w:val="20"/>
              </w:rPr>
              <w:t xml:space="preserve"> are sometimes high quality fish food.</w:t>
            </w:r>
          </w:p>
          <w:p w:rsidR="004E0C68" w:rsidRPr="009F55F0" w:rsidRDefault="00962634" w:rsidP="009F55F0">
            <w:pPr>
              <w:pStyle w:val="ListParagraph"/>
              <w:numPr>
                <w:ilvl w:val="0"/>
                <w:numId w:val="6"/>
              </w:numPr>
              <w:rPr>
                <w:rFonts w:ascii="Arial" w:hAnsi="Arial" w:cs="Arial"/>
                <w:b/>
                <w:bCs/>
                <w:sz w:val="20"/>
                <w:szCs w:val="20"/>
              </w:rPr>
            </w:pPr>
            <w:r w:rsidRPr="004C3B18">
              <w:rPr>
                <w:rFonts w:ascii="Arial" w:hAnsi="Arial" w:cs="Arial"/>
                <w:i/>
                <w:iCs/>
                <w:sz w:val="20"/>
                <w:szCs w:val="20"/>
              </w:rPr>
              <w:t>EPA Nutrient Survey -</w:t>
            </w:r>
            <w:r w:rsidRPr="004C3B18">
              <w:rPr>
                <w:rFonts w:ascii="Arial" w:hAnsi="Arial" w:cs="Arial"/>
                <w:bCs/>
                <w:sz w:val="20"/>
                <w:szCs w:val="20"/>
              </w:rPr>
              <w:t xml:space="preserve"> </w:t>
            </w:r>
            <w:r w:rsidR="009F55F0" w:rsidRPr="004C3B18">
              <w:rPr>
                <w:rFonts w:ascii="Arial" w:hAnsi="Arial" w:cs="Arial"/>
                <w:sz w:val="20"/>
                <w:szCs w:val="20"/>
              </w:rPr>
              <w:t xml:space="preserve">US EPA </w:t>
            </w:r>
            <w:hyperlink r:id="rId15" w:history="1">
              <w:r w:rsidR="009F55F0" w:rsidRPr="004C3B18">
                <w:rPr>
                  <w:rStyle w:val="Hyperlink"/>
                  <w:rFonts w:ascii="Arial" w:hAnsi="Arial" w:cs="Arial"/>
                  <w:color w:val="4F81BD" w:themeColor="accent1"/>
                  <w:sz w:val="20"/>
                  <w:szCs w:val="20"/>
                </w:rPr>
                <w:t>letter</w:t>
              </w:r>
            </w:hyperlink>
            <w:r w:rsidR="009F55F0" w:rsidRPr="004C3B18">
              <w:rPr>
                <w:rFonts w:ascii="Arial" w:hAnsi="Arial" w:cs="Arial"/>
                <w:color w:val="4F81BD" w:themeColor="accent1"/>
                <w:sz w:val="20"/>
                <w:szCs w:val="20"/>
              </w:rPr>
              <w:t xml:space="preserve"> </w:t>
            </w:r>
            <w:r w:rsidR="009F55F0" w:rsidRPr="004C3B18">
              <w:rPr>
                <w:rFonts w:ascii="Arial" w:hAnsi="Arial" w:cs="Arial"/>
                <w:sz w:val="20"/>
                <w:szCs w:val="20"/>
              </w:rPr>
              <w:t xml:space="preserve">regarding draft nutrient survey sent.  Nutrient study </w:t>
            </w:r>
            <w:hyperlink r:id="rId16" w:history="1">
              <w:r w:rsidR="009F55F0" w:rsidRPr="004C3B18">
                <w:rPr>
                  <w:rStyle w:val="Hyperlink"/>
                  <w:rFonts w:ascii="Arial" w:hAnsi="Arial" w:cs="Arial"/>
                  <w:color w:val="4F81BD" w:themeColor="accent1"/>
                  <w:sz w:val="20"/>
                  <w:szCs w:val="20"/>
                </w:rPr>
                <w:t>webpage</w:t>
              </w:r>
            </w:hyperlink>
            <w:r w:rsidR="009F55F0" w:rsidRPr="004C3B18">
              <w:rPr>
                <w:rFonts w:ascii="Arial" w:hAnsi="Arial" w:cs="Arial"/>
                <w:color w:val="4F81BD" w:themeColor="accent1"/>
                <w:sz w:val="20"/>
                <w:szCs w:val="20"/>
              </w:rPr>
              <w:t xml:space="preserve"> </w:t>
            </w:r>
            <w:r w:rsidR="009F55F0" w:rsidRPr="004C3B18">
              <w:rPr>
                <w:rFonts w:ascii="Arial" w:hAnsi="Arial" w:cs="Arial"/>
                <w:sz w:val="20"/>
                <w:szCs w:val="20"/>
              </w:rPr>
              <w:t xml:space="preserve">has more information. </w:t>
            </w:r>
            <w:r w:rsidR="004C3B18">
              <w:rPr>
                <w:rFonts w:ascii="Arial" w:hAnsi="Arial" w:cs="Arial"/>
                <w:sz w:val="20"/>
                <w:szCs w:val="20"/>
              </w:rPr>
              <w:t xml:space="preserve">See </w:t>
            </w:r>
            <w:r w:rsidR="009F55F0" w:rsidRPr="004C3B18">
              <w:rPr>
                <w:rFonts w:ascii="Arial" w:hAnsi="Arial" w:cs="Arial"/>
                <w:sz w:val="20"/>
                <w:szCs w:val="20"/>
              </w:rPr>
              <w:t xml:space="preserve"> </w:t>
            </w:r>
            <w:hyperlink r:id="rId17" w:history="1">
              <w:r w:rsidR="009F55F0" w:rsidRPr="004C3B18">
                <w:rPr>
                  <w:rStyle w:val="Hyperlink"/>
                  <w:rFonts w:ascii="Arial" w:hAnsi="Arial" w:cs="Arial"/>
                  <w:color w:val="4F81BD" w:themeColor="accent1"/>
                  <w:sz w:val="20"/>
                  <w:szCs w:val="20"/>
                </w:rPr>
                <w:t>BACWA Comment lette</w:t>
              </w:r>
              <w:r w:rsidR="009F55F0" w:rsidRPr="004C3B18">
                <w:rPr>
                  <w:rStyle w:val="Hyperlink"/>
                  <w:rFonts w:ascii="Arial" w:hAnsi="Arial" w:cs="Arial"/>
                  <w:sz w:val="20"/>
                  <w:szCs w:val="20"/>
                </w:rPr>
                <w:t>r</w:t>
              </w:r>
            </w:hyperlink>
            <w:r w:rsidR="009F55F0" w:rsidRPr="004C3B18">
              <w:rPr>
                <w:rFonts w:ascii="Arial" w:hAnsi="Arial" w:cs="Arial"/>
                <w:sz w:val="20"/>
                <w:szCs w:val="20"/>
              </w:rPr>
              <w:t>.</w:t>
            </w:r>
            <w:r w:rsidR="009F55F0" w:rsidRPr="009F55F0">
              <w:rPr>
                <w:rFonts w:ascii="Arial" w:hAnsi="Arial" w:cs="Arial"/>
                <w:sz w:val="20"/>
                <w:szCs w:val="20"/>
              </w:rPr>
              <w:t xml:space="preserve"> </w:t>
            </w:r>
            <w:r w:rsidR="004C3B18">
              <w:rPr>
                <w:rFonts w:ascii="Arial" w:hAnsi="Arial" w:cs="Arial"/>
                <w:sz w:val="20"/>
                <w:szCs w:val="20"/>
              </w:rPr>
              <w:t>According to NACWA, it is unlikely that the EPA will decide to use its 308 authority to require responses to the questionnaire, and they may not proceed with this effort at all.</w:t>
            </w:r>
          </w:p>
        </w:tc>
      </w:tr>
      <w:tr w:rsidR="004E0C68" w:rsidRPr="009F55F0">
        <w:trPr>
          <w:trHeight w:val="154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Pr="009F55F0" w:rsidRDefault="00C96853">
            <w:pPr>
              <w:pStyle w:val="Body"/>
              <w:rPr>
                <w:rFonts w:ascii="Arial" w:hAnsi="Arial" w:cs="Arial"/>
                <w:sz w:val="20"/>
                <w:szCs w:val="20"/>
              </w:rPr>
            </w:pPr>
            <w:r w:rsidRPr="009F55F0">
              <w:rPr>
                <w:rFonts w:ascii="Arial" w:hAnsi="Arial" w:cs="Arial"/>
                <w:b/>
                <w:bCs/>
                <w:sz w:val="20"/>
                <w:szCs w:val="20"/>
              </w:rPr>
              <w:t>Announcements</w:t>
            </w:r>
          </w:p>
          <w:p w:rsidR="00C96853" w:rsidRPr="009F55F0" w:rsidRDefault="00C96853" w:rsidP="00C96853">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689"/>
              <w:rPr>
                <w:rFonts w:ascii="Arial" w:hAnsi="Arial" w:cs="Arial"/>
                <w:sz w:val="20"/>
                <w:szCs w:val="20"/>
                <w:u w:val="single"/>
              </w:rPr>
            </w:pPr>
            <w:r w:rsidRPr="009F55F0">
              <w:rPr>
                <w:rFonts w:ascii="Arial" w:hAnsi="Arial" w:cs="Arial"/>
                <w:sz w:val="20"/>
                <w:szCs w:val="20"/>
              </w:rPr>
              <w:t xml:space="preserve">BACWA </w:t>
            </w:r>
            <w:hyperlink r:id="rId18" w:history="1">
              <w:r w:rsidRPr="009F55F0">
                <w:rPr>
                  <w:rStyle w:val="Hyperlink"/>
                  <w:rFonts w:ascii="Arial" w:hAnsi="Arial" w:cs="Arial"/>
                  <w:color w:val="4F81BD" w:themeColor="accent1"/>
                  <w:sz w:val="20"/>
                  <w:szCs w:val="20"/>
                </w:rPr>
                <w:t>Biosolids survey</w:t>
              </w:r>
            </w:hyperlink>
            <w:r w:rsidRPr="009F55F0">
              <w:rPr>
                <w:rFonts w:ascii="Arial" w:hAnsi="Arial" w:cs="Arial"/>
                <w:sz w:val="20"/>
                <w:szCs w:val="20"/>
              </w:rPr>
              <w:t xml:space="preserve"> – please respond. Draft report </w:t>
            </w:r>
            <w:r w:rsidR="004C3B18">
              <w:rPr>
                <w:rFonts w:ascii="Arial" w:hAnsi="Arial" w:cs="Arial"/>
                <w:sz w:val="20"/>
                <w:szCs w:val="20"/>
              </w:rPr>
              <w:t xml:space="preserve">will be </w:t>
            </w:r>
            <w:r w:rsidRPr="009F55F0">
              <w:rPr>
                <w:rFonts w:ascii="Arial" w:hAnsi="Arial" w:cs="Arial"/>
                <w:sz w:val="20"/>
                <w:szCs w:val="20"/>
              </w:rPr>
              <w:t>available in January.</w:t>
            </w:r>
            <w:r w:rsidR="004C3B18">
              <w:rPr>
                <w:rFonts w:ascii="Arial" w:hAnsi="Arial" w:cs="Arial"/>
                <w:sz w:val="20"/>
                <w:szCs w:val="20"/>
              </w:rPr>
              <w:t xml:space="preserve"> </w:t>
            </w:r>
          </w:p>
          <w:p w:rsidR="00C96853" w:rsidRPr="009F55F0" w:rsidRDefault="00C96853" w:rsidP="00C96853">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689"/>
              <w:rPr>
                <w:rFonts w:ascii="Arial" w:hAnsi="Arial" w:cs="Arial"/>
                <w:sz w:val="20"/>
                <w:szCs w:val="20"/>
                <w:u w:val="single"/>
              </w:rPr>
            </w:pPr>
            <w:r w:rsidRPr="009F55F0">
              <w:rPr>
                <w:rFonts w:ascii="Arial" w:hAnsi="Arial" w:cs="Arial"/>
                <w:sz w:val="20"/>
                <w:szCs w:val="20"/>
              </w:rPr>
              <w:t xml:space="preserve">Update from CASA Regulatory Workgroup – There was a discussion of EPA priorities.  EPA staff said they would work with colleagues in the office of Air and Radiation to look for solutions where local air regulations impede clean energy projects.  CASA Regulatory Workgroup is looking to </w:t>
            </w:r>
            <w:r w:rsidR="004C3B18">
              <w:rPr>
                <w:rFonts w:ascii="Arial" w:hAnsi="Arial" w:cs="Arial"/>
                <w:sz w:val="20"/>
                <w:szCs w:val="20"/>
              </w:rPr>
              <w:t>hold joint meetings with the Permits Committee twice per year.</w:t>
            </w:r>
            <w:r w:rsidRPr="009F55F0">
              <w:rPr>
                <w:rFonts w:ascii="Arial" w:hAnsi="Arial" w:cs="Arial"/>
                <w:sz w:val="20"/>
                <w:szCs w:val="20"/>
              </w:rPr>
              <w:t xml:space="preserve"> </w:t>
            </w:r>
          </w:p>
          <w:p w:rsidR="00C96853" w:rsidRPr="009F55F0" w:rsidRDefault="00C96853" w:rsidP="00C96853">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689"/>
              <w:rPr>
                <w:rFonts w:ascii="Arial" w:hAnsi="Arial" w:cs="Arial"/>
                <w:sz w:val="20"/>
                <w:szCs w:val="20"/>
              </w:rPr>
            </w:pPr>
            <w:r w:rsidRPr="009F55F0">
              <w:rPr>
                <w:rFonts w:ascii="Arial" w:hAnsi="Arial" w:cs="Arial"/>
                <w:sz w:val="20"/>
                <w:szCs w:val="20"/>
              </w:rPr>
              <w:t>State Water Board postpones update on CECs Pilot Monitoring Plan to January/February</w:t>
            </w:r>
            <w:r w:rsidR="004C3B18">
              <w:rPr>
                <w:rFonts w:ascii="Arial" w:hAnsi="Arial" w:cs="Arial"/>
                <w:sz w:val="20"/>
                <w:szCs w:val="20"/>
              </w:rPr>
              <w:t xml:space="preserve"> so they can get more information from regional monitoring efforts.</w:t>
            </w:r>
          </w:p>
          <w:p w:rsidR="00C96853" w:rsidRPr="009F55F0" w:rsidRDefault="00C96853" w:rsidP="00C96853">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689"/>
              <w:rPr>
                <w:rStyle w:val="Strong"/>
                <w:rFonts w:ascii="Arial" w:hAnsi="Arial" w:cs="Arial"/>
                <w:b w:val="0"/>
                <w:bCs w:val="0"/>
                <w:sz w:val="20"/>
                <w:szCs w:val="20"/>
              </w:rPr>
            </w:pPr>
            <w:r w:rsidRPr="009F55F0">
              <w:rPr>
                <w:rStyle w:val="Strong"/>
                <w:rFonts w:ascii="Arial" w:hAnsi="Arial" w:cs="Arial"/>
                <w:b w:val="0"/>
                <w:sz w:val="20"/>
                <w:szCs w:val="20"/>
              </w:rPr>
              <w:t xml:space="preserve">Call for Applications to Serve on the </w:t>
            </w:r>
            <w:hyperlink r:id="rId19" w:history="1">
              <w:r w:rsidRPr="009F55F0">
                <w:rPr>
                  <w:rStyle w:val="Hyperlink"/>
                  <w:rFonts w:ascii="Arial" w:hAnsi="Arial" w:cs="Arial"/>
                  <w:b/>
                  <w:color w:val="4F81BD" w:themeColor="accent1"/>
                  <w:sz w:val="20"/>
                  <w:szCs w:val="20"/>
                </w:rPr>
                <w:t>San Francisco Bay Restoration</w:t>
              </w:r>
            </w:hyperlink>
            <w:r w:rsidRPr="009F55F0">
              <w:rPr>
                <w:rStyle w:val="Strong"/>
                <w:rFonts w:ascii="Arial" w:hAnsi="Arial" w:cs="Arial"/>
                <w:b w:val="0"/>
                <w:sz w:val="20"/>
                <w:szCs w:val="20"/>
              </w:rPr>
              <w:t xml:space="preserve"> Advisory Committee</w:t>
            </w:r>
            <w:r w:rsidR="004C3B18">
              <w:rPr>
                <w:rStyle w:val="Strong"/>
                <w:rFonts w:ascii="Arial" w:hAnsi="Arial" w:cs="Arial"/>
                <w:b w:val="0"/>
                <w:sz w:val="20"/>
                <w:szCs w:val="20"/>
              </w:rPr>
              <w:t>.</w:t>
            </w:r>
          </w:p>
          <w:p w:rsidR="00C96853" w:rsidRPr="009F55F0" w:rsidRDefault="00C96853" w:rsidP="00C96853">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689"/>
              <w:rPr>
                <w:rFonts w:ascii="Arial" w:hAnsi="Arial" w:cs="Arial"/>
                <w:b/>
                <w:sz w:val="20"/>
                <w:szCs w:val="20"/>
              </w:rPr>
            </w:pPr>
            <w:r w:rsidRPr="009F55F0">
              <w:rPr>
                <w:rStyle w:val="Strong"/>
                <w:rFonts w:ascii="Arial" w:hAnsi="Arial" w:cs="Arial"/>
                <w:b w:val="0"/>
                <w:sz w:val="20"/>
                <w:szCs w:val="20"/>
              </w:rPr>
              <w:t xml:space="preserve">State Water Board </w:t>
            </w:r>
            <w:hyperlink r:id="rId20" w:history="1">
              <w:r w:rsidRPr="009F55F0">
                <w:rPr>
                  <w:rStyle w:val="Hyperlink"/>
                  <w:rFonts w:ascii="Arial" w:hAnsi="Arial" w:cs="Arial"/>
                  <w:b/>
                  <w:color w:val="4F81BD" w:themeColor="accent1"/>
                  <w:sz w:val="20"/>
                  <w:szCs w:val="20"/>
                </w:rPr>
                <w:t>resolution</w:t>
              </w:r>
            </w:hyperlink>
            <w:r w:rsidRPr="009F55F0">
              <w:rPr>
                <w:rStyle w:val="Strong"/>
                <w:rFonts w:ascii="Arial" w:hAnsi="Arial" w:cs="Arial"/>
                <w:b w:val="0"/>
                <w:sz w:val="20"/>
                <w:szCs w:val="20"/>
              </w:rPr>
              <w:t xml:space="preserve"> to update State Recycled Water Policy and reaffirm support of Salt/Nutrient Management Plans</w:t>
            </w:r>
            <w:r w:rsidR="004C3B18">
              <w:rPr>
                <w:rStyle w:val="Strong"/>
                <w:rFonts w:ascii="Arial" w:hAnsi="Arial" w:cs="Arial"/>
                <w:b w:val="0"/>
                <w:sz w:val="20"/>
                <w:szCs w:val="20"/>
              </w:rPr>
              <w:t>. CASA requested that the two efforts be decoupled.</w:t>
            </w:r>
          </w:p>
          <w:p w:rsidR="004E0C68" w:rsidRPr="009F55F0" w:rsidRDefault="00C96853" w:rsidP="00C96853">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689"/>
              <w:rPr>
                <w:rFonts w:ascii="Arial" w:hAnsi="Arial" w:cs="Arial"/>
                <w:sz w:val="20"/>
                <w:szCs w:val="20"/>
              </w:rPr>
            </w:pPr>
            <w:r w:rsidRPr="009F55F0">
              <w:rPr>
                <w:rFonts w:ascii="Arial" w:hAnsi="Arial" w:cs="Arial"/>
                <w:sz w:val="20"/>
                <w:szCs w:val="20"/>
              </w:rPr>
              <w:t xml:space="preserve">BACWA Annual Meeting January 27 – please </w:t>
            </w:r>
            <w:hyperlink r:id="rId21" w:history="1">
              <w:r w:rsidRPr="009F55F0">
                <w:rPr>
                  <w:rStyle w:val="Hyperlink"/>
                  <w:rFonts w:ascii="Arial" w:hAnsi="Arial" w:cs="Arial"/>
                  <w:color w:val="4F81BD" w:themeColor="accent1"/>
                  <w:sz w:val="20"/>
                  <w:szCs w:val="20"/>
                </w:rPr>
                <w:t>register</w:t>
              </w:r>
            </w:hyperlink>
          </w:p>
        </w:tc>
      </w:tr>
      <w:tr w:rsidR="004E0C68" w:rsidRPr="009F55F0">
        <w:trPr>
          <w:trHeight w:val="22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E0C68" w:rsidRPr="009F55F0" w:rsidRDefault="00962634" w:rsidP="009F55F0">
            <w:pPr>
              <w:pStyle w:val="Body"/>
              <w:spacing w:before="60"/>
              <w:rPr>
                <w:rFonts w:ascii="Arial" w:hAnsi="Arial" w:cs="Arial"/>
                <w:sz w:val="20"/>
                <w:szCs w:val="20"/>
              </w:rPr>
            </w:pPr>
            <w:r w:rsidRPr="009F55F0">
              <w:rPr>
                <w:rFonts w:ascii="Arial" w:hAnsi="Arial" w:cs="Arial"/>
                <w:b/>
                <w:bCs/>
                <w:sz w:val="20"/>
                <w:szCs w:val="20"/>
              </w:rPr>
              <w:t xml:space="preserve">Next BACWA Permits Committee Meeting:  </w:t>
            </w:r>
            <w:r w:rsidRPr="009F55F0">
              <w:rPr>
                <w:rFonts w:ascii="Arial" w:hAnsi="Arial" w:cs="Arial"/>
                <w:sz w:val="20"/>
                <w:szCs w:val="20"/>
              </w:rPr>
              <w:t xml:space="preserve">Tuesday, </w:t>
            </w:r>
            <w:r w:rsidR="009F55F0">
              <w:rPr>
                <w:rFonts w:ascii="Arial" w:hAnsi="Arial" w:cs="Arial"/>
                <w:sz w:val="20"/>
                <w:szCs w:val="20"/>
              </w:rPr>
              <w:t>January 10</w:t>
            </w:r>
            <w:r w:rsidRPr="009F55F0">
              <w:rPr>
                <w:rFonts w:ascii="Arial" w:hAnsi="Arial" w:cs="Arial"/>
                <w:sz w:val="20"/>
                <w:szCs w:val="20"/>
              </w:rPr>
              <w:t>, EBMUD.</w:t>
            </w:r>
          </w:p>
        </w:tc>
      </w:tr>
    </w:tbl>
    <w:p w:rsidR="004E0C68" w:rsidRDefault="004E0C68">
      <w:pPr>
        <w:pStyle w:val="Body"/>
        <w:widowControl w:val="0"/>
        <w:ind w:left="288" w:hanging="288"/>
      </w:pPr>
    </w:p>
    <w:sectPr w:rsidR="004E0C68">
      <w:headerReference w:type="default" r:id="rId22"/>
      <w:footerReference w:type="default" r:id="rId23"/>
      <w:pgSz w:w="12240" w:h="15840"/>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F47" w:rsidRDefault="00176F47">
      <w:r>
        <w:separator/>
      </w:r>
    </w:p>
  </w:endnote>
  <w:endnote w:type="continuationSeparator" w:id="0">
    <w:p w:rsidR="00176F47" w:rsidRDefault="0017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4E" w:rsidRDefault="00D1414E">
    <w:pPr>
      <w:pStyle w:val="Footer"/>
      <w:jc w:val="center"/>
    </w:pPr>
    <w:r>
      <w:rPr>
        <w:rFonts w:ascii="Arial Black" w:eastAsia="Arial Black" w:hAnsi="Arial Black" w:cs="Arial Black"/>
        <w:b/>
        <w:bCs/>
        <w:spacing w:val="-10"/>
        <w:sz w:val="18"/>
        <w:szCs w:val="18"/>
      </w:rPr>
      <w:fldChar w:fldCharType="begin"/>
    </w:r>
    <w:r>
      <w:rPr>
        <w:rFonts w:ascii="Arial Black" w:eastAsia="Arial Black" w:hAnsi="Arial Black" w:cs="Arial Black"/>
        <w:b/>
        <w:bCs/>
        <w:spacing w:val="-10"/>
        <w:sz w:val="18"/>
        <w:szCs w:val="18"/>
      </w:rPr>
      <w:instrText xml:space="preserve"> PAGE </w:instrText>
    </w:r>
    <w:r>
      <w:rPr>
        <w:rFonts w:ascii="Arial Black" w:eastAsia="Arial Black" w:hAnsi="Arial Black" w:cs="Arial Black"/>
        <w:b/>
        <w:bCs/>
        <w:spacing w:val="-10"/>
        <w:sz w:val="18"/>
        <w:szCs w:val="18"/>
      </w:rPr>
      <w:fldChar w:fldCharType="separate"/>
    </w:r>
    <w:r w:rsidR="00306C2F">
      <w:rPr>
        <w:rFonts w:ascii="Arial Black" w:eastAsia="Arial Black" w:hAnsi="Arial Black" w:cs="Arial Black"/>
        <w:b/>
        <w:bCs/>
        <w:noProof/>
        <w:spacing w:val="-10"/>
        <w:sz w:val="18"/>
        <w:szCs w:val="18"/>
      </w:rPr>
      <w:t>2</w:t>
    </w:r>
    <w:r>
      <w:rPr>
        <w:rFonts w:ascii="Arial Black" w:eastAsia="Arial Black" w:hAnsi="Arial Black" w:cs="Arial Black"/>
        <w:b/>
        <w:bCs/>
        <w:spacing w:val="-1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F47" w:rsidRDefault="00176F47">
      <w:r>
        <w:separator/>
      </w:r>
    </w:p>
  </w:footnote>
  <w:footnote w:type="continuationSeparator" w:id="0">
    <w:p w:rsidR="00176F47" w:rsidRDefault="0017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4E" w:rsidRDefault="00D1414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954961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1C8376BC"/>
    <w:multiLevelType w:val="hybridMultilevel"/>
    <w:tmpl w:val="C6B49E88"/>
    <w:lvl w:ilvl="0" w:tplc="27149C7E">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2C847AD6"/>
    <w:multiLevelType w:val="hybridMultilevel"/>
    <w:tmpl w:val="51DE0E20"/>
    <w:lvl w:ilvl="0" w:tplc="27149C7E">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2DFB2B5B"/>
    <w:multiLevelType w:val="hybridMultilevel"/>
    <w:tmpl w:val="F1A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D74E4"/>
    <w:multiLevelType w:val="multilevel"/>
    <w:tmpl w:val="A6B641C8"/>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hAnsi="Arial" w:cs="Arial" w:hint="default"/>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55019A4"/>
    <w:multiLevelType w:val="hybridMultilevel"/>
    <w:tmpl w:val="B10EED78"/>
    <w:lvl w:ilvl="0" w:tplc="9DE268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57E420F9"/>
    <w:multiLevelType w:val="hybridMultilevel"/>
    <w:tmpl w:val="531CD524"/>
    <w:lvl w:ilvl="0" w:tplc="27149C7E">
      <w:start w:val="1"/>
      <w:numFmt w:val="bullet"/>
      <w:lvlText w:val=""/>
      <w:lvlJc w:val="left"/>
      <w:pPr>
        <w:ind w:left="499" w:hanging="360"/>
      </w:pPr>
      <w:rPr>
        <w:rFonts w:ascii="Symbol" w:hAnsi="Symbol"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2020ACC8">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2FA827C">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F7C0C08">
      <w:start w:val="1"/>
      <w:numFmt w:val="bullet"/>
      <w:lvlText w:val="•"/>
      <w:lvlJc w:val="left"/>
      <w:pPr>
        <w:ind w:left="2659"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7AA53FE">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894B9FE">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8F0F50A">
      <w:start w:val="1"/>
      <w:numFmt w:val="bullet"/>
      <w:lvlText w:val="•"/>
      <w:lvlJc w:val="left"/>
      <w:pPr>
        <w:ind w:left="4819"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A52B4F6">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4D0EC46">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59554CDF"/>
    <w:multiLevelType w:val="hybridMultilevel"/>
    <w:tmpl w:val="449EF3E6"/>
    <w:lvl w:ilvl="0" w:tplc="ACE2EE04">
      <w:start w:val="1"/>
      <w:numFmt w:val="bullet"/>
      <w:lvlText w:val="•"/>
      <w:lvlJc w:val="left"/>
      <w:pPr>
        <w:ind w:left="30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1" w:tplc="27149C7E">
      <w:start w:val="1"/>
      <w:numFmt w:val="bullet"/>
      <w:lvlText w:val=""/>
      <w:lvlJc w:val="left"/>
      <w:pPr>
        <w:ind w:left="499" w:hanging="270"/>
      </w:pPr>
      <w:rPr>
        <w:rFonts w:ascii="Symbol" w:hAnsi="Symbol"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2" w:tplc="4DD0B218">
      <w:start w:val="1"/>
      <w:numFmt w:val="bullet"/>
      <w:lvlText w:val="•"/>
      <w:lvlJc w:val="left"/>
      <w:pPr>
        <w:ind w:left="728"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7DCFD0E">
      <w:start w:val="1"/>
      <w:numFmt w:val="bullet"/>
      <w:lvlText w:val="•"/>
      <w:lvlJc w:val="left"/>
      <w:pPr>
        <w:ind w:left="9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E076F2">
      <w:start w:val="1"/>
      <w:numFmt w:val="bullet"/>
      <w:lvlText w:val="•"/>
      <w:lvlJc w:val="left"/>
      <w:pPr>
        <w:ind w:left="1186"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F647750">
      <w:start w:val="1"/>
      <w:numFmt w:val="bullet"/>
      <w:lvlText w:val="•"/>
      <w:lvlJc w:val="left"/>
      <w:pPr>
        <w:ind w:left="1415"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7AAEC76">
      <w:start w:val="1"/>
      <w:numFmt w:val="bullet"/>
      <w:lvlText w:val="•"/>
      <w:lvlJc w:val="left"/>
      <w:pPr>
        <w:ind w:left="1644"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169FE4">
      <w:start w:val="1"/>
      <w:numFmt w:val="bullet"/>
      <w:lvlText w:val="•"/>
      <w:lvlJc w:val="left"/>
      <w:pPr>
        <w:ind w:left="1873"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DDC9C68">
      <w:start w:val="1"/>
      <w:numFmt w:val="bullet"/>
      <w:lvlText w:val="•"/>
      <w:lvlJc w:val="left"/>
      <w:pPr>
        <w:ind w:left="2102"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50F2C48"/>
    <w:multiLevelType w:val="hybridMultilevel"/>
    <w:tmpl w:val="14D6DC12"/>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5345610"/>
    <w:multiLevelType w:val="hybridMultilevel"/>
    <w:tmpl w:val="DEBED7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26CC3"/>
    <w:multiLevelType w:val="hybridMultilevel"/>
    <w:tmpl w:val="93FA7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FF7151E"/>
    <w:multiLevelType w:val="hybridMultilevel"/>
    <w:tmpl w:val="ACEEB48A"/>
    <w:lvl w:ilvl="0" w:tplc="7FAE97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2491CF1"/>
    <w:multiLevelType w:val="multilevel"/>
    <w:tmpl w:val="465A5584"/>
    <w:lvl w:ilvl="0">
      <w:start w:val="1"/>
      <w:numFmt w:val="upperRoman"/>
      <w:lvlText w:val="%1."/>
      <w:lvlJc w:val="right"/>
      <w:pPr>
        <w:ind w:left="720" w:hanging="360"/>
      </w:pPr>
      <w:rPr>
        <w:rFonts w:hint="default"/>
      </w:rPr>
    </w:lvl>
    <w:lvl w:ilvl="1">
      <w:start w:val="1"/>
      <w:numFmt w:val="upperLetter"/>
      <w:pStyle w:val="ListNumber"/>
      <w:lvlText w:val="%2."/>
      <w:lvlJc w:val="left"/>
      <w:pPr>
        <w:ind w:left="1080" w:hanging="360"/>
      </w:pPr>
      <w:rPr>
        <w:rFonts w:hint="default"/>
      </w:rPr>
    </w:lvl>
    <w:lvl w:ilvl="2">
      <w:start w:val="1"/>
      <w:numFmt w:val="decimal"/>
      <w:pStyle w:val="ListNumber2"/>
      <w:lvlText w:val="%3."/>
      <w:lvlJc w:val="righ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B913157"/>
    <w:multiLevelType w:val="hybridMultilevel"/>
    <w:tmpl w:val="56765BDA"/>
    <w:lvl w:ilvl="0" w:tplc="04090001">
      <w:start w:val="1"/>
      <w:numFmt w:val="bullet"/>
      <w:lvlText w:val=""/>
      <w:lvlJc w:val="left"/>
      <w:pPr>
        <w:ind w:left="499"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D8E548E">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148DC4">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D64C54">
      <w:start w:val="1"/>
      <w:numFmt w:val="bullet"/>
      <w:lvlText w:val="•"/>
      <w:lvlJc w:val="left"/>
      <w:pPr>
        <w:ind w:left="26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A6F888">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FAEC9C">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A2377C">
      <w:start w:val="1"/>
      <w:numFmt w:val="bullet"/>
      <w:lvlText w:val="•"/>
      <w:lvlJc w:val="left"/>
      <w:pPr>
        <w:ind w:left="481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5E4002">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EEAC70">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13"/>
  </w:num>
  <w:num w:numId="3">
    <w:abstractNumId w:val="7"/>
  </w:num>
  <w:num w:numId="4">
    <w:abstractNumId w:val="11"/>
  </w:num>
  <w:num w:numId="5">
    <w:abstractNumId w:val="5"/>
  </w:num>
  <w:num w:numId="6">
    <w:abstractNumId w:val="8"/>
  </w:num>
  <w:num w:numId="7">
    <w:abstractNumId w:val="2"/>
  </w:num>
  <w:num w:numId="8">
    <w:abstractNumId w:val="4"/>
  </w:num>
  <w:num w:numId="9">
    <w:abstractNumId w:val="1"/>
  </w:num>
  <w:num w:numId="10">
    <w:abstractNumId w:val="0"/>
  </w:num>
  <w:num w:numId="11">
    <w:abstractNumId w:val="12"/>
  </w:num>
  <w:num w:numId="12">
    <w:abstractNumId w:val="10"/>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68"/>
    <w:rsid w:val="000E2975"/>
    <w:rsid w:val="00165FAB"/>
    <w:rsid w:val="00176F47"/>
    <w:rsid w:val="001E6ECF"/>
    <w:rsid w:val="002B57DF"/>
    <w:rsid w:val="002C1B01"/>
    <w:rsid w:val="00306C2F"/>
    <w:rsid w:val="003A5F7F"/>
    <w:rsid w:val="004C3B18"/>
    <w:rsid w:val="004E0C68"/>
    <w:rsid w:val="007F717B"/>
    <w:rsid w:val="00905D7C"/>
    <w:rsid w:val="00962634"/>
    <w:rsid w:val="009F55F0"/>
    <w:rsid w:val="00A24A0A"/>
    <w:rsid w:val="00B5757C"/>
    <w:rsid w:val="00C96853"/>
    <w:rsid w:val="00CE65C5"/>
    <w:rsid w:val="00D1414E"/>
    <w:rsid w:val="00DD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4CF92-8B3F-42EF-ADA8-13CAE9B6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keepLines/>
      <w:tabs>
        <w:tab w:val="center" w:pos="4320"/>
        <w:tab w:val="right" w:pos="8640"/>
      </w:tabs>
      <w:spacing w:line="190" w:lineRule="atLeast"/>
    </w:pPr>
    <w:rPr>
      <w:rFonts w:cs="Arial Unicode MS"/>
      <w:caps/>
      <w:color w:val="000000"/>
      <w:sz w:val="15"/>
      <w:szCs w:val="15"/>
      <w:u w:color="000000"/>
    </w:rPr>
  </w:style>
  <w:style w:type="paragraph" w:customStyle="1" w:styleId="Body">
    <w:name w:val="Body"/>
    <w:rPr>
      <w:rFonts w:cs="Arial Unicode MS"/>
      <w:color w:val="000000"/>
      <w:sz w:val="24"/>
      <w:szCs w:val="24"/>
      <w:u w:color="000000"/>
    </w:rPr>
  </w:style>
  <w:style w:type="paragraph" w:customStyle="1" w:styleId="CompanyName">
    <w:name w:val="Company Name"/>
    <w:pPr>
      <w:keepNext/>
      <w:keepLines/>
      <w:spacing w:line="220" w:lineRule="atLeast"/>
    </w:pPr>
    <w:rPr>
      <w:rFonts w:ascii="Arial Black" w:eastAsia="Arial Black" w:hAnsi="Arial Black" w:cs="Arial Black"/>
      <w:b/>
      <w:bCs/>
      <w:color w:val="000000"/>
      <w:spacing w:val="-25"/>
      <w:kern w:val="28"/>
      <w:sz w:val="32"/>
      <w:szCs w:val="32"/>
      <w:u w:color="000000"/>
    </w:rPr>
  </w:style>
  <w:style w:type="paragraph" w:customStyle="1" w:styleId="ReturnAddress">
    <w:name w:val="Return Address"/>
    <w:pPr>
      <w:keepLines/>
      <w:tabs>
        <w:tab w:val="left" w:pos="2160"/>
      </w:tabs>
      <w:spacing w:line="160" w:lineRule="atLeast"/>
    </w:pPr>
    <w:rPr>
      <w:rFonts w:cs="Arial Unicode MS"/>
      <w:color w:val="000000"/>
      <w:sz w:val="14"/>
      <w:szCs w:val="1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color w:val="0070C0"/>
      <w:u w:val="single" w:color="0070C0"/>
      <w:shd w:val="clear" w:color="auto" w:fill="FFFFFF"/>
      <w:lang w:val="en-US"/>
    </w:rPr>
  </w:style>
  <w:style w:type="character" w:customStyle="1" w:styleId="Hyperlink1">
    <w:name w:val="Hyperlink.1"/>
    <w:basedOn w:val="Link"/>
    <w:rPr>
      <w:color w:val="0000FF"/>
      <w:u w:val="single" w:color="0000FF"/>
      <w:shd w:val="clear" w:color="auto" w:fill="FFFFFF"/>
      <w:lang w:val="en-US"/>
    </w:rPr>
  </w:style>
  <w:style w:type="paragraph" w:styleId="ListParagraph">
    <w:name w:val="List Paragraph"/>
    <w:pPr>
      <w:ind w:left="720"/>
    </w:pPr>
    <w:rPr>
      <w:rFonts w:ascii="Calibri" w:eastAsia="Calibri" w:hAnsi="Calibri" w:cs="Calibri"/>
      <w:color w:val="000000"/>
      <w:sz w:val="22"/>
      <w:szCs w:val="22"/>
      <w:u w:color="000000"/>
    </w:rPr>
  </w:style>
  <w:style w:type="character" w:customStyle="1" w:styleId="Hyperlink2">
    <w:name w:val="Hyperlink.2"/>
    <w:basedOn w:val="Link"/>
    <w:rPr>
      <w:color w:val="0070C0"/>
      <w:u w:val="single" w:color="0070C0"/>
      <w:shd w:val="clear" w:color="auto" w:fill="FFFFFF"/>
      <w:lang w:val="en-US"/>
    </w:rPr>
  </w:style>
  <w:style w:type="character" w:customStyle="1" w:styleId="Hyperlink3">
    <w:name w:val="Hyperlink.3"/>
    <w:basedOn w:val="Link"/>
    <w:rPr>
      <w:rFonts w:ascii="Arial" w:eastAsia="Arial" w:hAnsi="Arial" w:cs="Arial"/>
      <w:color w:val="0000FF"/>
      <w:u w:val="single" w:color="0000FF"/>
      <w:shd w:val="clear" w:color="auto" w:fill="FFFFFF"/>
      <w:lang w:val="en-US"/>
    </w:rPr>
  </w:style>
  <w:style w:type="character" w:customStyle="1" w:styleId="Hyperlink4">
    <w:name w:val="Hyperlink.4"/>
    <w:basedOn w:val="Link"/>
    <w:rPr>
      <w:rFonts w:ascii="Arial" w:eastAsia="Arial" w:hAnsi="Arial" w:cs="Arial"/>
      <w:b/>
      <w:bCs/>
      <w:color w:val="0070C0"/>
      <w:u w:val="single" w:color="0070C0"/>
      <w:shd w:val="clear" w:color="auto" w:fill="FFFFFF"/>
      <w:lang w:val="en-US"/>
    </w:rPr>
  </w:style>
  <w:style w:type="character" w:customStyle="1" w:styleId="Hyperlink5">
    <w:name w:val="Hyperlink.5"/>
    <w:basedOn w:val="Link"/>
    <w:rPr>
      <w:rFonts w:ascii="Arial" w:eastAsia="Arial" w:hAnsi="Arial" w:cs="Arial"/>
      <w:color w:val="0000FF"/>
      <w:u w:val="single" w:color="0000FF"/>
      <w:lang w:val="en-US"/>
    </w:rPr>
  </w:style>
  <w:style w:type="paragraph" w:styleId="NormalWeb">
    <w:name w:val="Normal (Web)"/>
    <w:basedOn w:val="Normal"/>
    <w:uiPriority w:val="99"/>
    <w:semiHidden/>
    <w:unhideWhenUsed/>
    <w:rsid w:val="00DD5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C96853"/>
    <w:rPr>
      <w:b/>
      <w:bCs/>
    </w:rPr>
  </w:style>
  <w:style w:type="paragraph" w:styleId="BodyText">
    <w:name w:val="Body Text"/>
    <w:basedOn w:val="Normal"/>
    <w:link w:val="BodyTextChar"/>
    <w:rsid w:val="009F55F0"/>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HAnsi" w:hAnsiTheme="minorHAnsi" w:cstheme="minorBidi"/>
      <w:sz w:val="22"/>
      <w:szCs w:val="22"/>
      <w:bdr w:val="none" w:sz="0" w:space="0" w:color="auto"/>
    </w:rPr>
  </w:style>
  <w:style w:type="character" w:customStyle="1" w:styleId="BodyTextChar">
    <w:name w:val="Body Text Char"/>
    <w:basedOn w:val="DefaultParagraphFont"/>
    <w:link w:val="BodyText"/>
    <w:rsid w:val="009F55F0"/>
    <w:rPr>
      <w:rFonts w:asciiTheme="minorHAnsi" w:eastAsiaTheme="minorHAnsi" w:hAnsiTheme="minorHAnsi" w:cstheme="minorBidi"/>
      <w:sz w:val="22"/>
      <w:szCs w:val="22"/>
      <w:bdr w:val="none" w:sz="0" w:space="0" w:color="auto"/>
    </w:rPr>
  </w:style>
  <w:style w:type="paragraph" w:styleId="ListNumber">
    <w:name w:val="List Number"/>
    <w:basedOn w:val="BodyText"/>
    <w:rsid w:val="009F55F0"/>
    <w:pPr>
      <w:numPr>
        <w:ilvl w:val="1"/>
        <w:numId w:val="11"/>
      </w:numPr>
      <w:spacing w:before="60"/>
    </w:pPr>
  </w:style>
  <w:style w:type="paragraph" w:styleId="ListNumber2">
    <w:name w:val="List Number 2"/>
    <w:basedOn w:val="ListNumber"/>
    <w:rsid w:val="009F55F0"/>
    <w:pPr>
      <w:numPr>
        <w:ilvl w:val="2"/>
      </w:numPr>
    </w:pPr>
  </w:style>
  <w:style w:type="paragraph" w:styleId="ListBullet5">
    <w:name w:val="List Bullet 5"/>
    <w:basedOn w:val="Normal"/>
    <w:uiPriority w:val="99"/>
    <w:semiHidden/>
    <w:rsid w:val="009F55F0"/>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292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ketBrowser?rpp=50&amp;so=DESC&amp;sb=postedDate&amp;po=0&amp;dct=PS&amp;D=EPA-HQ-OW-2015-0392" TargetMode="External"/><Relationship Id="rId13" Type="http://schemas.openxmlformats.org/officeDocument/2006/relationships/hyperlink" Target="http://bacwa.us9.list-manage.com/track/click?u=abb45826af7a505f03d266885&amp;id=bae8f81776&amp;e=5174f47b5f" TargetMode="External"/><Relationship Id="rId18" Type="http://schemas.openxmlformats.org/officeDocument/2006/relationships/hyperlink" Target="https://www.surveymonkey.com/r/LXKF3RL" TargetMode="External"/><Relationship Id="rId3" Type="http://schemas.openxmlformats.org/officeDocument/2006/relationships/settings" Target="settings.xml"/><Relationship Id="rId21" Type="http://schemas.openxmlformats.org/officeDocument/2006/relationships/hyperlink" Target="https://docs.google.com/forms/d/e/1FAIpQLSd6--yrX_sBrLmFfhmH8PlIR-smI9KEMu35iH7t8v02ylhw-g/viewform?c=0&amp;w=1" TargetMode="External"/><Relationship Id="rId7" Type="http://schemas.openxmlformats.org/officeDocument/2006/relationships/hyperlink" Target="https://www.epa.gov/wqc/draft-technical-support-materials-epas-aquatic-life-ambient-water-quality-criterion-selenium" TargetMode="External"/><Relationship Id="rId12" Type="http://schemas.openxmlformats.org/officeDocument/2006/relationships/hyperlink" Target="http://bacwa.us9.list-manage1.com/track/click?u=abb45826af7a505f03d266885&amp;id=5332f45e26&amp;e=5174f47b5f" TargetMode="External"/><Relationship Id="rId17" Type="http://schemas.openxmlformats.org/officeDocument/2006/relationships/hyperlink" Target="http://bacwa.org/wp-content/uploads/2016/11/BACWA-EPA-Nutrient-Survey-Comment-Letter-11-18-16.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pa.gov/eg/national-study-nutrient-removal-and-secondary-technologies" TargetMode="External"/><Relationship Id="rId20" Type="http://schemas.openxmlformats.org/officeDocument/2006/relationships/hyperlink" Target="http://www.waterboards.ca.gov/board_info/agendas/2016/dec/120616_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cwa.org/wp-content/uploads/2016/11/BACWA-EPA-Nutrient-Survey-Comment-Letter-11-18-16.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acwa.org/document/epa-nutrient-survey-letter-10-20-16/" TargetMode="External"/><Relationship Id="rId23" Type="http://schemas.openxmlformats.org/officeDocument/2006/relationships/footer" Target="footer1.xml"/><Relationship Id="rId10" Type="http://schemas.openxmlformats.org/officeDocument/2006/relationships/hyperlink" Target="http://www.baaqmd.gov/~/media/files/planning-and-research/workshops/2016/1118-and-1216/1216_1118_dsr_101216-pdf.pdf?la=en" TargetMode="External"/><Relationship Id="rId19" Type="http://schemas.openxmlformats.org/officeDocument/2006/relationships/hyperlink" Target="http://www.sfbayrestore.org/index.php" TargetMode="External"/><Relationship Id="rId4" Type="http://schemas.openxmlformats.org/officeDocument/2006/relationships/webSettings" Target="webSettings.xml"/><Relationship Id="rId9" Type="http://schemas.openxmlformats.org/officeDocument/2006/relationships/hyperlink" Target="http://bacwa.org/wp-content/uploads/2016/10/10-26-16-CW-Summit-Ltr-SCCWRP-re-Tox-Testing-Study1-1.pdf" TargetMode="External"/><Relationship Id="rId14" Type="http://schemas.openxmlformats.org/officeDocument/2006/relationships/hyperlink" Target="http://bacwa.us9.list-manage.com/track/click?u=abb45826af7a505f03d266885&amp;id=3c53a1b1f4&amp;e=5174f47b5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Lorien Fono</dc:creator>
  <cp:lastModifiedBy>Lorien Fono</cp:lastModifiedBy>
  <cp:revision>2</cp:revision>
  <dcterms:created xsi:type="dcterms:W3CDTF">2016-12-14T18:36:00Z</dcterms:created>
  <dcterms:modified xsi:type="dcterms:W3CDTF">2016-12-14T18:36:00Z</dcterms:modified>
</cp:coreProperties>
</file>