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2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18"/>
        <w:gridCol w:w="6870"/>
      </w:tblGrid>
      <w:tr w:rsidR="004E0C68" w:rsidRPr="00783C69" w14:paraId="0FA142B3" w14:textId="77777777">
        <w:trPr>
          <w:trHeight w:val="713"/>
        </w:trPr>
        <w:tc>
          <w:tcPr>
            <w:tcW w:w="4218" w:type="dxa"/>
            <w:tcBorders>
              <w:top w:val="nil"/>
              <w:left w:val="nil"/>
              <w:bottom w:val="nil"/>
              <w:right w:val="nil"/>
            </w:tcBorders>
            <w:shd w:val="clear" w:color="auto" w:fill="auto"/>
            <w:tcMar>
              <w:top w:w="80" w:type="dxa"/>
              <w:left w:w="260" w:type="dxa"/>
              <w:bottom w:w="80" w:type="dxa"/>
              <w:right w:w="80" w:type="dxa"/>
            </w:tcMar>
          </w:tcPr>
          <w:p w14:paraId="163BA6EA" w14:textId="77777777" w:rsidR="004E0C68" w:rsidRPr="00783C69" w:rsidRDefault="00962634">
            <w:pPr>
              <w:pStyle w:val="CompanyName"/>
              <w:spacing w:line="240" w:lineRule="auto"/>
              <w:ind w:left="180"/>
              <w:rPr>
                <w:rFonts w:ascii="Arial" w:eastAsia="Arial" w:hAnsi="Arial" w:cs="Arial"/>
                <w:b w:val="0"/>
                <w:bCs w:val="0"/>
              </w:rPr>
            </w:pPr>
            <w:r w:rsidRPr="00783C69">
              <w:rPr>
                <w:rFonts w:ascii="Arial" w:hAnsi="Arial" w:cs="Arial"/>
                <w:b w:val="0"/>
                <w:bCs w:val="0"/>
              </w:rPr>
              <w:t xml:space="preserve">Permits Committee – </w:t>
            </w:r>
          </w:p>
          <w:p w14:paraId="097F237F" w14:textId="77777777" w:rsidR="004E0C68" w:rsidRPr="00783C69" w:rsidRDefault="00962634">
            <w:pPr>
              <w:pStyle w:val="CompanyName"/>
              <w:spacing w:line="240" w:lineRule="auto"/>
              <w:ind w:left="180"/>
              <w:rPr>
                <w:rFonts w:ascii="Arial" w:hAnsi="Arial" w:cs="Arial"/>
              </w:rPr>
            </w:pPr>
            <w:r w:rsidRPr="00783C69">
              <w:rPr>
                <w:rFonts w:ascii="Arial" w:hAnsi="Arial" w:cs="Arial"/>
                <w:b w:val="0"/>
                <w:bCs w:val="0"/>
              </w:rPr>
              <w:t>Report to BACWA Board</w:t>
            </w:r>
          </w:p>
        </w:tc>
        <w:tc>
          <w:tcPr>
            <w:tcW w:w="6870" w:type="dxa"/>
            <w:tcBorders>
              <w:top w:val="nil"/>
              <w:left w:val="nil"/>
              <w:bottom w:val="nil"/>
              <w:right w:val="nil"/>
            </w:tcBorders>
            <w:shd w:val="clear" w:color="auto" w:fill="auto"/>
            <w:tcMar>
              <w:top w:w="80" w:type="dxa"/>
              <w:left w:w="260" w:type="dxa"/>
              <w:bottom w:w="80" w:type="dxa"/>
              <w:right w:w="80" w:type="dxa"/>
            </w:tcMar>
          </w:tcPr>
          <w:p w14:paraId="6D81735C" w14:textId="77777777" w:rsidR="004E0C68" w:rsidRPr="00783C69" w:rsidRDefault="00962634">
            <w:pPr>
              <w:pStyle w:val="ReturnAddress"/>
              <w:spacing w:line="240" w:lineRule="auto"/>
              <w:ind w:left="180"/>
              <w:rPr>
                <w:rFonts w:ascii="Arial" w:eastAsia="Arial" w:hAnsi="Arial" w:cs="Arial"/>
                <w:sz w:val="22"/>
                <w:szCs w:val="22"/>
              </w:rPr>
            </w:pPr>
            <w:r w:rsidRPr="00783C69">
              <w:rPr>
                <w:rFonts w:ascii="Arial" w:hAnsi="Arial" w:cs="Arial"/>
                <w:sz w:val="22"/>
                <w:szCs w:val="22"/>
              </w:rPr>
              <w:t xml:space="preserve">Permits Committee Meetings on: </w:t>
            </w:r>
            <w:r w:rsidR="009D644C">
              <w:rPr>
                <w:rFonts w:ascii="Arial" w:hAnsi="Arial" w:cs="Arial"/>
                <w:sz w:val="22"/>
                <w:szCs w:val="22"/>
              </w:rPr>
              <w:t>4/11</w:t>
            </w:r>
            <w:r w:rsidR="0050329B" w:rsidRPr="00783C69">
              <w:rPr>
                <w:rFonts w:ascii="Arial" w:hAnsi="Arial" w:cs="Arial"/>
                <w:sz w:val="22"/>
                <w:szCs w:val="22"/>
              </w:rPr>
              <w:t>/17</w:t>
            </w:r>
          </w:p>
          <w:p w14:paraId="1A33816B" w14:textId="77777777" w:rsidR="004E0C68" w:rsidRPr="00783C69" w:rsidRDefault="0050329B">
            <w:pPr>
              <w:pStyle w:val="ReturnAddress"/>
              <w:spacing w:line="240" w:lineRule="auto"/>
              <w:ind w:left="180"/>
              <w:rPr>
                <w:rFonts w:ascii="Arial" w:eastAsia="Arial" w:hAnsi="Arial" w:cs="Arial"/>
                <w:sz w:val="22"/>
                <w:szCs w:val="22"/>
              </w:rPr>
            </w:pPr>
            <w:r w:rsidRPr="00783C69">
              <w:rPr>
                <w:rFonts w:ascii="Arial" w:hAnsi="Arial" w:cs="Arial"/>
                <w:sz w:val="22"/>
                <w:szCs w:val="22"/>
              </w:rPr>
              <w:t xml:space="preserve">Executive Board Meeting Date: </w:t>
            </w:r>
            <w:r w:rsidR="009D644C">
              <w:rPr>
                <w:rFonts w:ascii="Arial" w:hAnsi="Arial" w:cs="Arial"/>
                <w:sz w:val="22"/>
                <w:szCs w:val="22"/>
              </w:rPr>
              <w:t>4/21</w:t>
            </w:r>
            <w:r w:rsidR="00962634" w:rsidRPr="00783C69">
              <w:rPr>
                <w:rFonts w:ascii="Arial" w:hAnsi="Arial" w:cs="Arial"/>
                <w:sz w:val="22"/>
                <w:szCs w:val="22"/>
              </w:rPr>
              <w:t>/1</w:t>
            </w:r>
            <w:r w:rsidRPr="00783C69">
              <w:rPr>
                <w:rFonts w:ascii="Arial" w:hAnsi="Arial" w:cs="Arial"/>
                <w:sz w:val="22"/>
                <w:szCs w:val="22"/>
              </w:rPr>
              <w:t>7</w:t>
            </w:r>
          </w:p>
          <w:p w14:paraId="44F8960D" w14:textId="77777777" w:rsidR="004E0C68" w:rsidRPr="00783C69" w:rsidRDefault="00962634">
            <w:pPr>
              <w:pStyle w:val="ReturnAddress"/>
              <w:spacing w:line="240" w:lineRule="auto"/>
              <w:ind w:left="180"/>
              <w:rPr>
                <w:rFonts w:ascii="Arial" w:hAnsi="Arial" w:cs="Arial"/>
              </w:rPr>
            </w:pPr>
            <w:r w:rsidRPr="00783C69">
              <w:rPr>
                <w:rFonts w:ascii="Arial" w:hAnsi="Arial" w:cs="Arial"/>
                <w:sz w:val="22"/>
                <w:szCs w:val="22"/>
              </w:rPr>
              <w:t>Committee Chair:   Eric Dunlavey</w:t>
            </w:r>
          </w:p>
        </w:tc>
      </w:tr>
    </w:tbl>
    <w:p w14:paraId="38887590" w14:textId="77777777" w:rsidR="004E0C68" w:rsidRPr="00783C69" w:rsidRDefault="00962634" w:rsidP="00D1414E">
      <w:pPr>
        <w:pStyle w:val="Body"/>
        <w:spacing w:before="120" w:after="120"/>
        <w:ind w:left="180"/>
        <w:rPr>
          <w:rFonts w:ascii="Arial" w:eastAsia="Arial" w:hAnsi="Arial" w:cs="Arial"/>
          <w:b/>
          <w:bCs/>
        </w:rPr>
      </w:pPr>
      <w:r w:rsidRPr="00783C69">
        <w:rPr>
          <w:rFonts w:ascii="Arial" w:hAnsi="Arial" w:cs="Arial"/>
          <w:b/>
          <w:bCs/>
          <w:u w:val="single"/>
        </w:rPr>
        <w:t>Committee Request for Board Action</w:t>
      </w:r>
      <w:r w:rsidRPr="00783C69">
        <w:rPr>
          <w:rFonts w:ascii="Arial" w:hAnsi="Arial" w:cs="Arial"/>
          <w:b/>
          <w:bCs/>
          <w:lang w:val="it-IT"/>
        </w:rPr>
        <w:t>: None</w:t>
      </w:r>
    </w:p>
    <w:p w14:paraId="6612F96A" w14:textId="77777777" w:rsidR="009D644C" w:rsidRDefault="009D644C">
      <w:pPr>
        <w:pStyle w:val="Body"/>
        <w:ind w:left="187"/>
        <w:rPr>
          <w:rFonts w:ascii="Arial" w:hAnsi="Arial" w:cs="Arial"/>
          <w:b/>
          <w:bCs/>
        </w:rPr>
      </w:pPr>
      <w:r>
        <w:rPr>
          <w:rFonts w:ascii="Arial" w:hAnsi="Arial" w:cs="Arial"/>
          <w:b/>
          <w:bCs/>
        </w:rPr>
        <w:t>Regional Water Board Staff in attendance</w:t>
      </w:r>
    </w:p>
    <w:p w14:paraId="00F74B20" w14:textId="77777777" w:rsidR="004E0C68" w:rsidRPr="00783C69" w:rsidRDefault="009D644C">
      <w:pPr>
        <w:pStyle w:val="Body"/>
        <w:ind w:left="187"/>
        <w:rPr>
          <w:rFonts w:ascii="Arial" w:eastAsia="Arial" w:hAnsi="Arial" w:cs="Arial"/>
          <w:b/>
          <w:bCs/>
        </w:rPr>
      </w:pPr>
      <w:r>
        <w:rPr>
          <w:rFonts w:ascii="Arial" w:hAnsi="Arial" w:cs="Arial"/>
          <w:b/>
          <w:bCs/>
        </w:rPr>
        <w:t>22</w:t>
      </w:r>
      <w:r w:rsidR="00B4092C" w:rsidRPr="00783C69">
        <w:rPr>
          <w:rFonts w:ascii="Arial" w:hAnsi="Arial" w:cs="Arial"/>
          <w:b/>
          <w:bCs/>
        </w:rPr>
        <w:t xml:space="preserve"> Participants </w:t>
      </w:r>
      <w:r>
        <w:rPr>
          <w:rFonts w:ascii="Arial" w:hAnsi="Arial" w:cs="Arial"/>
          <w:b/>
          <w:bCs/>
        </w:rPr>
        <w:t>representing 15 member agencies</w:t>
      </w:r>
    </w:p>
    <w:tbl>
      <w:tblPr>
        <w:tblW w:w="1053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30"/>
      </w:tblGrid>
      <w:tr w:rsidR="004E0C68" w:rsidRPr="00783C69" w14:paraId="40758B98" w14:textId="77777777">
        <w:trPr>
          <w:trHeight w:val="66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9C884" w14:textId="77777777" w:rsidR="00F31F43" w:rsidRPr="00783C69" w:rsidRDefault="009D644C" w:rsidP="00B4092C">
            <w:pPr>
              <w:pStyle w:val="Body"/>
              <w:rPr>
                <w:rFonts w:ascii="Arial" w:hAnsi="Arial" w:cs="Arial"/>
                <w:b/>
                <w:bCs/>
                <w:sz w:val="20"/>
                <w:szCs w:val="20"/>
              </w:rPr>
            </w:pPr>
            <w:r>
              <w:rPr>
                <w:rFonts w:ascii="Arial" w:hAnsi="Arial" w:cs="Arial"/>
                <w:b/>
                <w:bCs/>
                <w:sz w:val="20"/>
                <w:szCs w:val="20"/>
              </w:rPr>
              <w:t>Regional Water Board Report-out</w:t>
            </w:r>
          </w:p>
          <w:p w14:paraId="545E4B24" w14:textId="77777777" w:rsidR="006C3057" w:rsidRPr="00783C69" w:rsidRDefault="00556D48" w:rsidP="00556D48">
            <w:pPr>
              <w:pStyle w:val="Body"/>
              <w:rPr>
                <w:rFonts w:ascii="Arial" w:hAnsi="Arial" w:cs="Arial"/>
                <w:sz w:val="20"/>
                <w:szCs w:val="20"/>
              </w:rPr>
            </w:pPr>
            <w:r>
              <w:rPr>
                <w:rFonts w:ascii="Arial" w:hAnsi="Arial" w:cs="Arial"/>
                <w:bCs/>
                <w:sz w:val="20"/>
                <w:szCs w:val="20"/>
              </w:rPr>
              <w:t>The NPDES division is now fully staffed.</w:t>
            </w:r>
            <w:r w:rsidR="00E54242">
              <w:rPr>
                <w:rFonts w:ascii="Arial" w:hAnsi="Arial" w:cs="Arial"/>
                <w:bCs/>
                <w:sz w:val="20"/>
                <w:szCs w:val="20"/>
              </w:rPr>
              <w:t xml:space="preserve"> Patrick Karinja is working with James Parrish</w:t>
            </w:r>
            <w:r w:rsidR="00FE7247">
              <w:rPr>
                <w:rFonts w:ascii="Arial" w:hAnsi="Arial" w:cs="Arial"/>
                <w:bCs/>
                <w:sz w:val="20"/>
                <w:szCs w:val="20"/>
              </w:rPr>
              <w:t>,</w:t>
            </w:r>
            <w:r w:rsidR="00E54242">
              <w:rPr>
                <w:rFonts w:ascii="Arial" w:hAnsi="Arial" w:cs="Arial"/>
                <w:bCs/>
                <w:sz w:val="20"/>
                <w:szCs w:val="20"/>
              </w:rPr>
              <w:t xml:space="preserve"> and may take over the Pollution Prevention case load.</w:t>
            </w:r>
          </w:p>
        </w:tc>
      </w:tr>
      <w:tr w:rsidR="004E0C68" w:rsidRPr="00783C69" w14:paraId="09B24472"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90A66" w14:textId="77777777" w:rsidR="00DD5026" w:rsidRPr="00783C69" w:rsidRDefault="009D644C" w:rsidP="00DD5026">
            <w:pPr>
              <w:pStyle w:val="Body"/>
              <w:rPr>
                <w:rFonts w:ascii="Arial" w:hAnsi="Arial" w:cs="Arial"/>
                <w:b/>
                <w:bCs/>
                <w:sz w:val="20"/>
                <w:szCs w:val="20"/>
              </w:rPr>
            </w:pPr>
            <w:r>
              <w:rPr>
                <w:rFonts w:ascii="Arial" w:hAnsi="Arial" w:cs="Arial"/>
                <w:b/>
                <w:bCs/>
                <w:sz w:val="20"/>
                <w:szCs w:val="20"/>
              </w:rPr>
              <w:t>Upcoming Permits</w:t>
            </w:r>
          </w:p>
          <w:p w14:paraId="5690F67F" w14:textId="77777777" w:rsidR="00CF4BA2" w:rsidRDefault="009D644C" w:rsidP="009D644C">
            <w:pPr>
              <w:pStyle w:val="Body"/>
              <w:rPr>
                <w:rFonts w:ascii="Arial" w:hAnsi="Arial" w:cs="Arial"/>
                <w:sz w:val="20"/>
                <w:szCs w:val="20"/>
              </w:rPr>
            </w:pPr>
            <w:r>
              <w:rPr>
                <w:rFonts w:ascii="Arial" w:hAnsi="Arial" w:cs="Arial"/>
                <w:b/>
                <w:i/>
                <w:sz w:val="20"/>
                <w:szCs w:val="20"/>
              </w:rPr>
              <w:t xml:space="preserve">April – </w:t>
            </w:r>
            <w:r w:rsidRPr="00FE7247">
              <w:rPr>
                <w:rFonts w:ascii="Arial" w:hAnsi="Arial" w:cs="Arial"/>
                <w:i/>
                <w:sz w:val="20"/>
                <w:szCs w:val="20"/>
              </w:rPr>
              <w:t>American Canyon</w:t>
            </w:r>
            <w:r>
              <w:rPr>
                <w:rFonts w:ascii="Arial" w:hAnsi="Arial" w:cs="Arial"/>
                <w:sz w:val="20"/>
                <w:szCs w:val="20"/>
              </w:rPr>
              <w:t xml:space="preserve"> – no issues.</w:t>
            </w:r>
          </w:p>
          <w:p w14:paraId="124D4154" w14:textId="70240E03" w:rsidR="009D644C" w:rsidRDefault="009D644C" w:rsidP="009D644C">
            <w:pPr>
              <w:pStyle w:val="Body"/>
              <w:rPr>
                <w:rFonts w:ascii="Arial" w:hAnsi="Arial" w:cs="Arial"/>
                <w:sz w:val="20"/>
                <w:szCs w:val="20"/>
              </w:rPr>
            </w:pPr>
            <w:r w:rsidRPr="00FE7247">
              <w:rPr>
                <w:rFonts w:ascii="Arial" w:hAnsi="Arial" w:cs="Arial"/>
                <w:i/>
                <w:sz w:val="20"/>
                <w:szCs w:val="20"/>
              </w:rPr>
              <w:t>Pacifica</w:t>
            </w:r>
            <w:r>
              <w:rPr>
                <w:rFonts w:ascii="Arial" w:hAnsi="Arial" w:cs="Arial"/>
                <w:sz w:val="20"/>
                <w:szCs w:val="20"/>
              </w:rPr>
              <w:t xml:space="preserve"> </w:t>
            </w:r>
            <w:r w:rsidR="00D1703E">
              <w:rPr>
                <w:rFonts w:ascii="Arial" w:hAnsi="Arial" w:cs="Arial"/>
                <w:sz w:val="20"/>
                <w:szCs w:val="20"/>
              </w:rPr>
              <w:t>–</w:t>
            </w:r>
            <w:r>
              <w:rPr>
                <w:rFonts w:ascii="Arial" w:hAnsi="Arial" w:cs="Arial"/>
                <w:sz w:val="20"/>
                <w:szCs w:val="20"/>
              </w:rPr>
              <w:t xml:space="preserve"> </w:t>
            </w:r>
            <w:r w:rsidR="00D1703E" w:rsidRPr="00D1703E">
              <w:rPr>
                <w:rFonts w:ascii="Arial" w:hAnsi="Arial" w:cs="Arial"/>
                <w:sz w:val="20"/>
                <w:szCs w:val="20"/>
              </w:rPr>
              <w:t>The City of Pacifica was recently issued a </w:t>
            </w:r>
            <w:hyperlink r:id="rId8" w:tgtFrame="_blank" w:history="1">
              <w:r w:rsidR="00D1703E" w:rsidRPr="00D1703E">
                <w:rPr>
                  <w:rStyle w:val="Hyperlink"/>
                  <w:rFonts w:eastAsia="Arial Unicode MS"/>
                  <w:sz w:val="20"/>
                  <w:szCs w:val="20"/>
                  <w:u w:color="000000"/>
                  <w:shd w:val="clear" w:color="auto" w:fill="auto"/>
                </w:rPr>
                <w:t>tentative order</w:t>
              </w:r>
            </w:hyperlink>
            <w:r w:rsidR="00D1703E" w:rsidRPr="00D1703E">
              <w:rPr>
                <w:rFonts w:ascii="Arial" w:hAnsi="Arial" w:cs="Arial"/>
                <w:sz w:val="20"/>
                <w:szCs w:val="20"/>
              </w:rPr>
              <w:t> including toxicity limits of 1.0 TUc as an average monthly effluent limit (AMEL), and 1.8 TUc as a maxim</w:t>
            </w:r>
            <w:r w:rsidR="00826CB2">
              <w:rPr>
                <w:rFonts w:ascii="Arial" w:hAnsi="Arial" w:cs="Arial"/>
                <w:sz w:val="20"/>
                <w:szCs w:val="20"/>
              </w:rPr>
              <w:t>um daily effluent limit (MDEL). Their discharge enters an effluent-dominated wetland.</w:t>
            </w:r>
            <w:r w:rsidR="00D1703E" w:rsidRPr="00D1703E">
              <w:rPr>
                <w:rFonts w:ascii="Arial" w:hAnsi="Arial" w:cs="Arial"/>
                <w:sz w:val="20"/>
                <w:szCs w:val="20"/>
              </w:rPr>
              <w:t>Their test species is </w:t>
            </w:r>
            <w:r w:rsidR="00D1703E" w:rsidRPr="00D1703E">
              <w:rPr>
                <w:rFonts w:ascii="Arial" w:hAnsi="Arial" w:cs="Arial"/>
                <w:i/>
                <w:iCs/>
                <w:sz w:val="20"/>
                <w:szCs w:val="20"/>
              </w:rPr>
              <w:t>Ceriodaphnia dubia</w:t>
            </w:r>
            <w:r w:rsidR="00D1703E" w:rsidRPr="00D1703E">
              <w:rPr>
                <w:rFonts w:ascii="Arial" w:hAnsi="Arial" w:cs="Arial"/>
                <w:sz w:val="20"/>
                <w:szCs w:val="20"/>
              </w:rPr>
              <w:t>, which has been demonstrated both by BACWA member agencies and by a </w:t>
            </w:r>
            <w:hyperlink r:id="rId9" w:tgtFrame="_blank" w:history="1">
              <w:r w:rsidR="00D1703E" w:rsidRPr="00D1703E">
                <w:rPr>
                  <w:rStyle w:val="Hyperlink"/>
                  <w:rFonts w:eastAsia="Arial Unicode MS"/>
                  <w:sz w:val="20"/>
                  <w:szCs w:val="20"/>
                  <w:u w:color="000000"/>
                  <w:shd w:val="clear" w:color="auto" w:fill="auto"/>
                </w:rPr>
                <w:t>SCCRWP study</w:t>
              </w:r>
            </w:hyperlink>
            <w:r w:rsidR="00D1703E" w:rsidRPr="00D1703E">
              <w:rPr>
                <w:rFonts w:ascii="Arial" w:hAnsi="Arial" w:cs="Arial"/>
                <w:sz w:val="20"/>
                <w:szCs w:val="20"/>
              </w:rPr>
              <w:t> to exhibit high variability</w:t>
            </w:r>
            <w:r w:rsidR="00F26376">
              <w:rPr>
                <w:rFonts w:ascii="Arial" w:hAnsi="Arial" w:cs="Arial"/>
                <w:sz w:val="20"/>
                <w:szCs w:val="20"/>
              </w:rPr>
              <w:t xml:space="preserve"> (high false-positive rate)</w:t>
            </w:r>
            <w:r w:rsidR="00D1703E" w:rsidRPr="00D1703E">
              <w:rPr>
                <w:rFonts w:ascii="Arial" w:hAnsi="Arial" w:cs="Arial"/>
                <w:sz w:val="20"/>
                <w:szCs w:val="20"/>
              </w:rPr>
              <w:t>. Pacifica's sensitive species screening tests indicated that </w:t>
            </w:r>
            <w:r w:rsidR="00D1703E" w:rsidRPr="00D1703E">
              <w:rPr>
                <w:rFonts w:ascii="Arial" w:hAnsi="Arial" w:cs="Arial"/>
                <w:i/>
                <w:iCs/>
                <w:sz w:val="20"/>
                <w:szCs w:val="20"/>
              </w:rPr>
              <w:t>Selenastrum capricornutum</w:t>
            </w:r>
            <w:r w:rsidR="00D1703E" w:rsidRPr="00D1703E">
              <w:rPr>
                <w:rFonts w:ascii="Arial" w:hAnsi="Arial" w:cs="Arial"/>
                <w:sz w:val="20"/>
                <w:szCs w:val="20"/>
              </w:rPr>
              <w:t> was the most sensitive species</w:t>
            </w:r>
            <w:r w:rsidR="00F26376">
              <w:rPr>
                <w:rFonts w:ascii="Arial" w:hAnsi="Arial" w:cs="Arial"/>
                <w:sz w:val="20"/>
                <w:szCs w:val="20"/>
              </w:rPr>
              <w:t xml:space="preserve"> when evaluated using the NOEC method</w:t>
            </w:r>
            <w:r w:rsidR="00D1703E" w:rsidRPr="00D1703E">
              <w:rPr>
                <w:rFonts w:ascii="Arial" w:hAnsi="Arial" w:cs="Arial"/>
                <w:sz w:val="20"/>
                <w:szCs w:val="20"/>
              </w:rPr>
              <w:t>, but their Tentative Order still retains </w:t>
            </w:r>
            <w:r w:rsidR="00D1703E" w:rsidRPr="00D1703E">
              <w:rPr>
                <w:rFonts w:ascii="Arial" w:hAnsi="Arial" w:cs="Arial"/>
                <w:i/>
                <w:iCs/>
                <w:sz w:val="20"/>
                <w:szCs w:val="20"/>
              </w:rPr>
              <w:t>C. dubia</w:t>
            </w:r>
            <w:r w:rsidR="00D1703E" w:rsidRPr="00D1703E">
              <w:rPr>
                <w:rFonts w:ascii="Arial" w:hAnsi="Arial" w:cs="Arial"/>
                <w:sz w:val="20"/>
                <w:szCs w:val="20"/>
              </w:rPr>
              <w:t>, citing past high toxicity results with </w:t>
            </w:r>
            <w:r w:rsidR="00D1703E" w:rsidRPr="00D1703E">
              <w:rPr>
                <w:rFonts w:ascii="Arial" w:hAnsi="Arial" w:cs="Arial"/>
                <w:i/>
                <w:iCs/>
                <w:sz w:val="20"/>
                <w:szCs w:val="20"/>
              </w:rPr>
              <w:t>C. dubia</w:t>
            </w:r>
            <w:r w:rsidR="00D1703E" w:rsidRPr="00D1703E">
              <w:rPr>
                <w:rFonts w:ascii="Arial" w:hAnsi="Arial" w:cs="Arial"/>
                <w:sz w:val="20"/>
                <w:szCs w:val="20"/>
              </w:rPr>
              <w:t> during regular testing.  BACWA submitted a </w:t>
            </w:r>
            <w:hyperlink r:id="rId10" w:tgtFrame="_blank" w:history="1">
              <w:r w:rsidR="00D1703E" w:rsidRPr="00D1703E">
                <w:rPr>
                  <w:rStyle w:val="Hyperlink"/>
                  <w:rFonts w:eastAsia="Arial Unicode MS"/>
                  <w:sz w:val="20"/>
                  <w:szCs w:val="20"/>
                  <w:u w:color="000000"/>
                  <w:shd w:val="clear" w:color="auto" w:fill="auto"/>
                </w:rPr>
                <w:t>comment letter</w:t>
              </w:r>
            </w:hyperlink>
            <w:r w:rsidR="00D1703E" w:rsidRPr="00D1703E">
              <w:rPr>
                <w:rFonts w:ascii="Arial" w:hAnsi="Arial" w:cs="Arial"/>
                <w:sz w:val="20"/>
                <w:szCs w:val="20"/>
              </w:rPr>
              <w:t> recommending that they be allowed to choose either of the two test species, that there should not be a maximum daily limit in light of the known variability in the test, and that they should be exempt from accruing additional violations when they are investigating toxicity.</w:t>
            </w:r>
            <w:r w:rsidR="00D1703E">
              <w:rPr>
                <w:rFonts w:ascii="Arial" w:hAnsi="Arial" w:cs="Arial"/>
                <w:sz w:val="20"/>
                <w:szCs w:val="20"/>
              </w:rPr>
              <w:t xml:space="preserve"> The Regional Water Board did not </w:t>
            </w:r>
            <w:r w:rsidR="00FE7247">
              <w:rPr>
                <w:rFonts w:ascii="Arial" w:hAnsi="Arial" w:cs="Arial"/>
                <w:sz w:val="20"/>
                <w:szCs w:val="20"/>
              </w:rPr>
              <w:t>incorporate</w:t>
            </w:r>
            <w:r w:rsidR="00D1703E">
              <w:rPr>
                <w:rFonts w:ascii="Arial" w:hAnsi="Arial" w:cs="Arial"/>
                <w:sz w:val="20"/>
                <w:szCs w:val="20"/>
              </w:rPr>
              <w:t xml:space="preserve"> any of the recommendations submitted by BACWA or the</w:t>
            </w:r>
            <w:r w:rsidR="00FE7247">
              <w:rPr>
                <w:rFonts w:ascii="Arial" w:hAnsi="Arial" w:cs="Arial"/>
                <w:sz w:val="20"/>
                <w:szCs w:val="20"/>
              </w:rPr>
              <w:t xml:space="preserve"> City.</w:t>
            </w:r>
            <w:r w:rsidR="00D1703E">
              <w:rPr>
                <w:rFonts w:ascii="Arial" w:hAnsi="Arial" w:cs="Arial"/>
                <w:sz w:val="20"/>
                <w:szCs w:val="20"/>
              </w:rPr>
              <w:t xml:space="preserve"> </w:t>
            </w:r>
          </w:p>
          <w:p w14:paraId="38CFE92A" w14:textId="77777777" w:rsidR="00D1703E" w:rsidRDefault="00D1703E" w:rsidP="009D644C">
            <w:pPr>
              <w:pStyle w:val="Body"/>
              <w:rPr>
                <w:rFonts w:ascii="Arial" w:hAnsi="Arial" w:cs="Arial"/>
                <w:sz w:val="20"/>
                <w:szCs w:val="20"/>
              </w:rPr>
            </w:pPr>
            <w:r>
              <w:rPr>
                <w:rFonts w:ascii="Arial" w:hAnsi="Arial" w:cs="Arial"/>
                <w:sz w:val="20"/>
                <w:szCs w:val="20"/>
              </w:rPr>
              <w:t xml:space="preserve">CCCSD – BACWA </w:t>
            </w:r>
            <w:hyperlink r:id="rId11" w:history="1">
              <w:r w:rsidRPr="003F0E20">
                <w:rPr>
                  <w:rStyle w:val="Hyperlink"/>
                  <w:rFonts w:eastAsia="Arial Unicode MS"/>
                  <w:sz w:val="20"/>
                  <w:szCs w:val="20"/>
                  <w:u w:color="000000"/>
                  <w:shd w:val="clear" w:color="auto" w:fill="auto"/>
                </w:rPr>
                <w:t>commented</w:t>
              </w:r>
            </w:hyperlink>
            <w:r>
              <w:rPr>
                <w:rFonts w:ascii="Arial" w:hAnsi="Arial" w:cs="Arial"/>
                <w:sz w:val="20"/>
                <w:szCs w:val="20"/>
              </w:rPr>
              <w:t xml:space="preserve"> on </w:t>
            </w:r>
            <w:r w:rsidR="003F0E20">
              <w:rPr>
                <w:rFonts w:ascii="Arial" w:hAnsi="Arial" w:cs="Arial"/>
                <w:sz w:val="20"/>
                <w:szCs w:val="20"/>
              </w:rPr>
              <w:t>the nutrient provisions in the permit, and the benefit of moving nutrient management to the watershed permit.</w:t>
            </w:r>
          </w:p>
          <w:p w14:paraId="1B30CC33" w14:textId="77777777" w:rsidR="00D1703E" w:rsidRDefault="00D1703E" w:rsidP="009D644C">
            <w:pPr>
              <w:pStyle w:val="Body"/>
              <w:rPr>
                <w:rFonts w:ascii="Arial" w:eastAsia="Times New Roman" w:hAnsi="Arial" w:cs="Arial"/>
                <w:sz w:val="20"/>
                <w:szCs w:val="20"/>
                <w:bdr w:val="none" w:sz="0" w:space="0" w:color="auto"/>
              </w:rPr>
            </w:pPr>
            <w:r>
              <w:rPr>
                <w:rFonts w:ascii="Arial" w:eastAsia="Times New Roman" w:hAnsi="Arial" w:cs="Arial"/>
                <w:b/>
                <w:i/>
                <w:sz w:val="20"/>
                <w:szCs w:val="20"/>
                <w:bdr w:val="none" w:sz="0" w:space="0" w:color="auto"/>
              </w:rPr>
              <w:t xml:space="preserve">May – </w:t>
            </w:r>
            <w:r>
              <w:rPr>
                <w:rFonts w:ascii="Arial" w:eastAsia="Times New Roman" w:hAnsi="Arial" w:cs="Arial"/>
                <w:sz w:val="20"/>
                <w:szCs w:val="20"/>
                <w:bdr w:val="none" w:sz="0" w:space="0" w:color="auto"/>
              </w:rPr>
              <w:t xml:space="preserve">EBDA </w:t>
            </w:r>
            <w:r w:rsidR="00C54EE7">
              <w:rPr>
                <w:rFonts w:ascii="Arial" w:eastAsia="Times New Roman" w:hAnsi="Arial" w:cs="Arial"/>
                <w:sz w:val="20"/>
                <w:szCs w:val="20"/>
                <w:bdr w:val="none" w:sz="0" w:space="0" w:color="auto"/>
              </w:rPr>
              <w:t>–</w:t>
            </w:r>
            <w:r>
              <w:rPr>
                <w:rFonts w:ascii="Arial" w:eastAsia="Times New Roman" w:hAnsi="Arial" w:cs="Arial"/>
                <w:sz w:val="20"/>
                <w:szCs w:val="20"/>
                <w:bdr w:val="none" w:sz="0" w:space="0" w:color="auto"/>
              </w:rPr>
              <w:t xml:space="preserve"> </w:t>
            </w:r>
            <w:r w:rsidR="00C54EE7">
              <w:rPr>
                <w:rFonts w:ascii="Arial" w:eastAsia="Times New Roman" w:hAnsi="Arial" w:cs="Arial"/>
                <w:sz w:val="20"/>
                <w:szCs w:val="20"/>
                <w:bdr w:val="none" w:sz="0" w:space="0" w:color="auto"/>
              </w:rPr>
              <w:t xml:space="preserve">EBDA’s permit allows them to discontinue acute toxicity testing since their chronic test has a survival endpoint. Both </w:t>
            </w:r>
            <w:hyperlink r:id="rId12" w:history="1">
              <w:r w:rsidR="00C54EE7" w:rsidRPr="00C54EE7">
                <w:rPr>
                  <w:rStyle w:val="Hyperlink"/>
                  <w:rFonts w:eastAsia="Times New Roman"/>
                  <w:sz w:val="20"/>
                  <w:szCs w:val="20"/>
                  <w:u w:color="000000"/>
                  <w:bdr w:val="none" w:sz="0" w:space="0" w:color="auto"/>
                  <w:shd w:val="clear" w:color="auto" w:fill="auto"/>
                </w:rPr>
                <w:t>EBDA</w:t>
              </w:r>
            </w:hyperlink>
            <w:r w:rsidR="00C54EE7">
              <w:rPr>
                <w:rFonts w:ascii="Arial" w:eastAsia="Times New Roman" w:hAnsi="Arial" w:cs="Arial"/>
                <w:sz w:val="20"/>
                <w:szCs w:val="20"/>
                <w:bdr w:val="none" w:sz="0" w:space="0" w:color="auto"/>
              </w:rPr>
              <w:t xml:space="preserve"> and </w:t>
            </w:r>
            <w:hyperlink r:id="rId13" w:history="1">
              <w:r w:rsidR="00C54EE7" w:rsidRPr="00C54EE7">
                <w:rPr>
                  <w:rStyle w:val="Hyperlink"/>
                  <w:rFonts w:eastAsia="Times New Roman"/>
                  <w:sz w:val="20"/>
                  <w:szCs w:val="20"/>
                  <w:u w:color="000000"/>
                  <w:bdr w:val="none" w:sz="0" w:space="0" w:color="auto"/>
                  <w:shd w:val="clear" w:color="auto" w:fill="auto"/>
                </w:rPr>
                <w:t>BACWA</w:t>
              </w:r>
            </w:hyperlink>
            <w:r w:rsidR="00C54EE7">
              <w:rPr>
                <w:rFonts w:ascii="Arial" w:eastAsia="Times New Roman" w:hAnsi="Arial" w:cs="Arial"/>
                <w:sz w:val="20"/>
                <w:szCs w:val="20"/>
                <w:bdr w:val="none" w:sz="0" w:space="0" w:color="auto"/>
              </w:rPr>
              <w:t xml:space="preserve"> submitted letters requesting a higher chlorine residual limit at the point of compliance than the 0.0 mg/L limit in the Basin Plan. EBDA also developed a </w:t>
            </w:r>
            <w:hyperlink r:id="rId14" w:history="1">
              <w:r w:rsidR="00C54EE7" w:rsidRPr="00C54EE7">
                <w:rPr>
                  <w:rStyle w:val="Hyperlink"/>
                  <w:rFonts w:eastAsia="Times New Roman"/>
                  <w:sz w:val="20"/>
                  <w:szCs w:val="20"/>
                  <w:u w:color="000000"/>
                  <w:bdr w:val="none" w:sz="0" w:space="0" w:color="auto"/>
                  <w:shd w:val="clear" w:color="auto" w:fill="auto"/>
                </w:rPr>
                <w:t>memo</w:t>
              </w:r>
            </w:hyperlink>
            <w:r w:rsidR="00C54EE7">
              <w:rPr>
                <w:rFonts w:ascii="Arial" w:eastAsia="Times New Roman" w:hAnsi="Arial" w:cs="Arial"/>
                <w:sz w:val="20"/>
                <w:szCs w:val="20"/>
                <w:bdr w:val="none" w:sz="0" w:space="0" w:color="auto"/>
              </w:rPr>
              <w:t xml:space="preserve"> outlining regulatory options for a higher allowable residual. Regional Water Board staff pointed out that the limit of 0.0mg/L actually is equivalent to 0.04 due to rounding. Additionally, agencies have the latitude to propose a </w:t>
            </w:r>
            <w:r w:rsidR="003F0E20">
              <w:rPr>
                <w:rFonts w:ascii="Arial" w:eastAsia="Times New Roman" w:hAnsi="Arial" w:cs="Arial"/>
                <w:sz w:val="20"/>
                <w:szCs w:val="20"/>
                <w:bdr w:val="none" w:sz="0" w:space="0" w:color="auto"/>
              </w:rPr>
              <w:t>reporting limit as long as it is below 0.1 mg/L.</w:t>
            </w:r>
          </w:p>
          <w:p w14:paraId="3A166F22" w14:textId="77777777" w:rsidR="003F0E20" w:rsidRPr="00D1703E" w:rsidRDefault="003F0E20" w:rsidP="009D644C">
            <w:pPr>
              <w:pStyle w:val="Body"/>
              <w:rPr>
                <w:rFonts w:ascii="Arial" w:eastAsia="Times New Roman" w:hAnsi="Arial" w:cs="Arial"/>
                <w:sz w:val="20"/>
                <w:szCs w:val="20"/>
                <w:bdr w:val="none" w:sz="0" w:space="0" w:color="auto"/>
              </w:rPr>
            </w:pPr>
            <w:r>
              <w:rPr>
                <w:rFonts w:ascii="Arial" w:eastAsia="Times New Roman" w:hAnsi="Arial" w:cs="Arial"/>
                <w:sz w:val="20"/>
                <w:szCs w:val="20"/>
                <w:bdr w:val="none" w:sz="0" w:space="0" w:color="auto"/>
              </w:rPr>
              <w:t>DSRSD and Livermore – no issues.</w:t>
            </w:r>
          </w:p>
        </w:tc>
      </w:tr>
      <w:tr w:rsidR="001E7387" w:rsidRPr="00783C69" w14:paraId="7F1EBB87"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87BC5" w14:textId="77777777" w:rsidR="001E7387" w:rsidRDefault="003F0E20" w:rsidP="00DD5026">
            <w:pPr>
              <w:pStyle w:val="Body"/>
              <w:rPr>
                <w:rFonts w:ascii="Arial" w:hAnsi="Arial" w:cs="Arial"/>
                <w:b/>
                <w:bCs/>
                <w:sz w:val="20"/>
                <w:szCs w:val="20"/>
              </w:rPr>
            </w:pPr>
            <w:r>
              <w:rPr>
                <w:rFonts w:ascii="Arial" w:hAnsi="Arial" w:cs="Arial"/>
                <w:b/>
                <w:bCs/>
                <w:sz w:val="20"/>
                <w:szCs w:val="20"/>
              </w:rPr>
              <w:t>BACWA Rule 11-18</w:t>
            </w:r>
          </w:p>
          <w:p w14:paraId="55B0EA70" w14:textId="092DC561" w:rsidR="004A2985" w:rsidRPr="004A2985" w:rsidRDefault="004A2985" w:rsidP="004A2985">
            <w:pPr>
              <w:pStyle w:val="Body"/>
              <w:rPr>
                <w:rFonts w:ascii="Arial" w:hAnsi="Arial" w:cs="Arial"/>
                <w:bCs/>
                <w:sz w:val="20"/>
                <w:szCs w:val="20"/>
              </w:rPr>
            </w:pPr>
            <w:r w:rsidRPr="004A2985">
              <w:rPr>
                <w:rFonts w:ascii="Arial" w:hAnsi="Arial" w:cs="Arial"/>
                <w:bCs/>
                <w:sz w:val="20"/>
                <w:szCs w:val="20"/>
              </w:rPr>
              <w:t>BACWA representatives attended meetings with BAAQMD staff on March 9 and March 23 to communicate the special challenges that public agencies would have to comply with Rule 11-18 as currently proposed. BACWA submitted a </w:t>
            </w:r>
            <w:hyperlink r:id="rId15" w:tgtFrame="_blank" w:history="1">
              <w:r w:rsidRPr="004A2985">
                <w:rPr>
                  <w:rStyle w:val="Hyperlink"/>
                  <w:rFonts w:eastAsia="Arial Unicode MS"/>
                  <w:sz w:val="20"/>
                  <w:szCs w:val="20"/>
                  <w:u w:color="000000"/>
                  <w:shd w:val="clear" w:color="auto" w:fill="auto"/>
                </w:rPr>
                <w:t>letter</w:t>
              </w:r>
            </w:hyperlink>
            <w:r w:rsidRPr="004A2985">
              <w:rPr>
                <w:rFonts w:ascii="Arial" w:hAnsi="Arial" w:cs="Arial"/>
                <w:bCs/>
                <w:sz w:val="20"/>
                <w:szCs w:val="20"/>
              </w:rPr>
              <w:t xml:space="preserve"> to BAAQMD staff outlining the planning and project implementation process for POTWs that would impact their ability to comply with the Rule. BAAQMD staff were open to the idea of moving POTWs that are currently identified in Phase 1 to Phase 2 of the implementation schedule, to provide enough time to update the emission factors for POTWs and ensure accuracy. BACWA offered to develop a proposal over the next two months to provide a scope for working with BAAQMD staff to update the emission factors for toxic air contaminants (TACs) from POTW sources, and to also address the approach for sampling sources and the overall timeline for the effort. </w:t>
            </w:r>
            <w:r w:rsidR="00826CB2">
              <w:rPr>
                <w:rFonts w:ascii="Arial" w:hAnsi="Arial" w:cs="Arial"/>
                <w:bCs/>
                <w:sz w:val="20"/>
                <w:szCs w:val="20"/>
              </w:rPr>
              <w:t xml:space="preserve"> BAAQMD reports that the rule will be adopted in June or July now instead of May.</w:t>
            </w:r>
          </w:p>
        </w:tc>
      </w:tr>
      <w:tr w:rsidR="004A2985" w:rsidRPr="00783C69" w14:paraId="31BE1F5C"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D1903" w14:textId="77777777" w:rsidR="004A2985" w:rsidRDefault="004A2985" w:rsidP="00DD5026">
            <w:pPr>
              <w:pStyle w:val="Body"/>
              <w:rPr>
                <w:rFonts w:ascii="Arial" w:hAnsi="Arial" w:cs="Arial"/>
                <w:b/>
                <w:bCs/>
                <w:sz w:val="20"/>
                <w:szCs w:val="20"/>
              </w:rPr>
            </w:pPr>
            <w:r>
              <w:rPr>
                <w:rFonts w:ascii="Arial" w:hAnsi="Arial" w:cs="Arial"/>
                <w:b/>
                <w:bCs/>
                <w:sz w:val="20"/>
                <w:szCs w:val="20"/>
              </w:rPr>
              <w:t>Water Quality Enforcement Updates Adopted</w:t>
            </w:r>
          </w:p>
          <w:p w14:paraId="66856260" w14:textId="77777777" w:rsidR="004A2985" w:rsidRPr="004A2985" w:rsidRDefault="004A2985" w:rsidP="004A2985">
            <w:pPr>
              <w:pStyle w:val="Body"/>
              <w:rPr>
                <w:rFonts w:ascii="Arial" w:hAnsi="Arial" w:cs="Arial"/>
                <w:bCs/>
                <w:sz w:val="20"/>
                <w:szCs w:val="20"/>
              </w:rPr>
            </w:pPr>
            <w:r w:rsidRPr="004A2985">
              <w:rPr>
                <w:rFonts w:ascii="Arial" w:hAnsi="Arial" w:cs="Arial"/>
                <w:bCs/>
                <w:sz w:val="20"/>
                <w:szCs w:val="20"/>
              </w:rPr>
              <w:t>CASA, BACWA, SCAP, CVCWA, and ACWA had multiple meetings with Enforcement staff and Water Board members over the last several months, and made some progress on some of the key issues including:</w:t>
            </w:r>
          </w:p>
          <w:p w14:paraId="261BF85C" w14:textId="77777777" w:rsidR="004A2985" w:rsidRPr="004A2985" w:rsidRDefault="004A2985" w:rsidP="00685C0D">
            <w:pPr>
              <w:pStyle w:val="Body"/>
              <w:numPr>
                <w:ilvl w:val="0"/>
                <w:numId w:val="25"/>
              </w:numPr>
              <w:rPr>
                <w:rFonts w:ascii="Arial" w:hAnsi="Arial" w:cs="Arial"/>
                <w:bCs/>
                <w:sz w:val="20"/>
                <w:szCs w:val="20"/>
              </w:rPr>
            </w:pPr>
            <w:r w:rsidRPr="004A2985">
              <w:rPr>
                <w:rFonts w:ascii="Arial" w:hAnsi="Arial" w:cs="Arial"/>
                <w:bCs/>
                <w:sz w:val="20"/>
                <w:szCs w:val="20"/>
              </w:rPr>
              <w:t xml:space="preserve">Language providing that violations prioritized for enforcement have a nexus with water quality impact, </w:t>
            </w:r>
          </w:p>
          <w:p w14:paraId="1A13A216" w14:textId="77777777" w:rsidR="004A2985" w:rsidRPr="004A2985" w:rsidRDefault="004A2985" w:rsidP="00685C0D">
            <w:pPr>
              <w:pStyle w:val="Body"/>
              <w:numPr>
                <w:ilvl w:val="0"/>
                <w:numId w:val="25"/>
              </w:numPr>
              <w:rPr>
                <w:rFonts w:ascii="Arial" w:hAnsi="Arial" w:cs="Arial"/>
                <w:bCs/>
                <w:sz w:val="20"/>
                <w:szCs w:val="20"/>
              </w:rPr>
            </w:pPr>
            <w:r w:rsidRPr="004A2985">
              <w:rPr>
                <w:rFonts w:ascii="Arial" w:hAnsi="Arial" w:cs="Arial"/>
                <w:bCs/>
                <w:sz w:val="20"/>
                <w:szCs w:val="20"/>
              </w:rPr>
              <w:t xml:space="preserve">Inclusion of potable water as an eligible discharge for high volume adjustments, </w:t>
            </w:r>
          </w:p>
          <w:p w14:paraId="7E3DF676" w14:textId="77777777" w:rsidR="004A2985" w:rsidRPr="004A2985" w:rsidRDefault="004A2985" w:rsidP="00685C0D">
            <w:pPr>
              <w:pStyle w:val="Body"/>
              <w:numPr>
                <w:ilvl w:val="0"/>
                <w:numId w:val="25"/>
              </w:numPr>
              <w:rPr>
                <w:rFonts w:ascii="Arial" w:hAnsi="Arial" w:cs="Arial"/>
                <w:bCs/>
                <w:sz w:val="20"/>
                <w:szCs w:val="20"/>
              </w:rPr>
            </w:pPr>
            <w:r w:rsidRPr="004A2985">
              <w:rPr>
                <w:rFonts w:ascii="Arial" w:hAnsi="Arial" w:cs="Arial"/>
                <w:bCs/>
                <w:sz w:val="20"/>
                <w:szCs w:val="20"/>
              </w:rPr>
              <w:t>Keeping some reduction factor for degree of culpability (it ended up at 0.75 which is a smaller discount factor than in the existing policy of 0.5 but an improvement on the proposed revision of 1.0), and</w:t>
            </w:r>
          </w:p>
          <w:p w14:paraId="2A251038" w14:textId="77777777" w:rsidR="004A2985" w:rsidRPr="004A2985" w:rsidRDefault="004A2985" w:rsidP="00685C0D">
            <w:pPr>
              <w:pStyle w:val="Body"/>
              <w:numPr>
                <w:ilvl w:val="0"/>
                <w:numId w:val="25"/>
              </w:numPr>
              <w:rPr>
                <w:rFonts w:ascii="Arial" w:hAnsi="Arial" w:cs="Arial"/>
                <w:bCs/>
                <w:sz w:val="20"/>
                <w:szCs w:val="20"/>
              </w:rPr>
            </w:pPr>
            <w:r w:rsidRPr="004A2985">
              <w:rPr>
                <w:rFonts w:ascii="Arial" w:hAnsi="Arial" w:cs="Arial"/>
                <w:bCs/>
                <w:sz w:val="20"/>
                <w:szCs w:val="20"/>
              </w:rPr>
              <w:t xml:space="preserve">Some boundaries on the history of violations (e.g., suggested relevant timeframe of 5 years) </w:t>
            </w:r>
          </w:p>
          <w:p w14:paraId="6AEBF7DA" w14:textId="77777777" w:rsidR="004A2985" w:rsidRPr="004A2985" w:rsidRDefault="004A2985" w:rsidP="004A2985">
            <w:pPr>
              <w:pStyle w:val="Body"/>
              <w:rPr>
                <w:rFonts w:ascii="Arial" w:hAnsi="Arial" w:cs="Arial"/>
                <w:bCs/>
                <w:sz w:val="20"/>
                <w:szCs w:val="20"/>
              </w:rPr>
            </w:pPr>
            <w:r w:rsidRPr="004A2985">
              <w:rPr>
                <w:rFonts w:ascii="Arial" w:hAnsi="Arial" w:cs="Arial"/>
                <w:bCs/>
                <w:sz w:val="20"/>
                <w:szCs w:val="20"/>
              </w:rPr>
              <w:t> </w:t>
            </w:r>
          </w:p>
          <w:p w14:paraId="79905948" w14:textId="77777777" w:rsidR="004A2985" w:rsidRPr="004A2985" w:rsidRDefault="004A2985" w:rsidP="00DD5026">
            <w:pPr>
              <w:pStyle w:val="Body"/>
              <w:rPr>
                <w:rFonts w:ascii="Arial" w:hAnsi="Arial" w:cs="Arial"/>
                <w:bCs/>
                <w:sz w:val="20"/>
                <w:szCs w:val="20"/>
              </w:rPr>
            </w:pPr>
            <w:r w:rsidRPr="004A2985">
              <w:rPr>
                <w:rFonts w:ascii="Arial" w:hAnsi="Arial" w:cs="Arial"/>
                <w:bCs/>
                <w:sz w:val="20"/>
                <w:szCs w:val="20"/>
              </w:rPr>
              <w:t xml:space="preserve">However, we were unsuccessful in making changes to the Enforcement Division’s proposed new language for high volume discharges.  The 2010 Enforcement Policy set the initial starting point for high volume discharges at $2.00/gallon, with discretion provided to regulators to go higher (up to $10/gallon) should the situation warrant it.  The new language sets the starting point at a range of between $2.00 and $10.00/gallon.  While the State Water Board members agreed this change had the potential to raise fines, they seemed persuaded by the Enforcement Division’s assertion that it was important to state the range of the discretion up front and that the new language was very </w:t>
            </w:r>
            <w:r w:rsidRPr="004A2985">
              <w:rPr>
                <w:rFonts w:ascii="Arial" w:hAnsi="Arial" w:cs="Arial"/>
                <w:bCs/>
                <w:sz w:val="20"/>
                <w:szCs w:val="20"/>
              </w:rPr>
              <w:lastRenderedPageBreak/>
              <w:t>important to the Regional Boards.  The only mitigating measure they were open to was a willingness to take a look down the road to make sure that the policy changes were not resulting in unwarranted increases.</w:t>
            </w:r>
          </w:p>
        </w:tc>
      </w:tr>
      <w:tr w:rsidR="00E846B0" w:rsidRPr="00783C69" w14:paraId="525A64F9"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5DE2B" w14:textId="77777777" w:rsidR="00E846B0" w:rsidRDefault="00E846B0" w:rsidP="00DD5026">
            <w:pPr>
              <w:pStyle w:val="Body"/>
              <w:rPr>
                <w:rFonts w:ascii="Arial" w:hAnsi="Arial" w:cs="Arial"/>
                <w:b/>
                <w:bCs/>
                <w:sz w:val="20"/>
                <w:szCs w:val="20"/>
              </w:rPr>
            </w:pPr>
            <w:r>
              <w:rPr>
                <w:rFonts w:ascii="Arial" w:hAnsi="Arial" w:cs="Arial"/>
                <w:b/>
                <w:bCs/>
                <w:sz w:val="20"/>
                <w:szCs w:val="20"/>
              </w:rPr>
              <w:lastRenderedPageBreak/>
              <w:t>Nutrient Updates</w:t>
            </w:r>
          </w:p>
          <w:p w14:paraId="72E8F7FA" w14:textId="77777777" w:rsidR="00990959" w:rsidRPr="00990959" w:rsidRDefault="00990959" w:rsidP="00990959">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419"/>
              <w:rPr>
                <w:rFonts w:ascii="Arial" w:hAnsi="Arial" w:cs="Arial"/>
                <w:color w:val="000000"/>
                <w:sz w:val="20"/>
                <w:szCs w:val="20"/>
              </w:rPr>
            </w:pPr>
            <w:r w:rsidRPr="00990959">
              <w:rPr>
                <w:rFonts w:ascii="Arial" w:hAnsi="Arial" w:cs="Arial"/>
                <w:color w:val="000000"/>
                <w:sz w:val="20"/>
                <w:szCs w:val="20"/>
              </w:rPr>
              <w:t xml:space="preserve">Nutrient Technical Workgroup (NTW) meeting on May 4 at SFEI. These meetings take place about once per year and are an opportunity to give technical feedback to the </w:t>
            </w:r>
            <w:r w:rsidR="00FE7247" w:rsidRPr="00990959">
              <w:rPr>
                <w:rFonts w:ascii="Arial" w:hAnsi="Arial" w:cs="Arial"/>
                <w:color w:val="000000"/>
                <w:sz w:val="20"/>
                <w:szCs w:val="20"/>
              </w:rPr>
              <w:t>researchers</w:t>
            </w:r>
            <w:r w:rsidRPr="00990959">
              <w:rPr>
                <w:rFonts w:ascii="Arial" w:hAnsi="Arial" w:cs="Arial"/>
                <w:color w:val="000000"/>
                <w:sz w:val="20"/>
                <w:szCs w:val="20"/>
              </w:rPr>
              <w:t>.</w:t>
            </w:r>
          </w:p>
          <w:p w14:paraId="6E7E2249" w14:textId="77777777" w:rsidR="00990959" w:rsidRPr="00990959" w:rsidRDefault="00990959" w:rsidP="00990959">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419"/>
              <w:rPr>
                <w:rFonts w:ascii="Arial" w:hAnsi="Arial" w:cs="Arial"/>
                <w:color w:val="000000"/>
                <w:sz w:val="20"/>
                <w:szCs w:val="20"/>
              </w:rPr>
            </w:pPr>
            <w:r w:rsidRPr="00990959">
              <w:rPr>
                <w:rFonts w:ascii="Arial" w:hAnsi="Arial" w:cs="Arial"/>
                <w:color w:val="000000"/>
                <w:sz w:val="20"/>
                <w:szCs w:val="20"/>
              </w:rPr>
              <w:t>Focused technical workshops planned for DO in Lower South Bay Habitats (April 27-28) and HABs and HAB t</w:t>
            </w:r>
            <w:r w:rsidR="00FE7247">
              <w:rPr>
                <w:rFonts w:ascii="Arial" w:hAnsi="Arial" w:cs="Arial"/>
                <w:color w:val="000000"/>
                <w:sz w:val="20"/>
                <w:szCs w:val="20"/>
              </w:rPr>
              <w:t>oxins (May 31-June 1). While these</w:t>
            </w:r>
            <w:r w:rsidRPr="00990959">
              <w:rPr>
                <w:rFonts w:ascii="Arial" w:hAnsi="Arial" w:cs="Arial"/>
                <w:color w:val="000000"/>
                <w:sz w:val="20"/>
                <w:szCs w:val="20"/>
              </w:rPr>
              <w:t xml:space="preserve"> </w:t>
            </w:r>
            <w:r w:rsidR="00FE7247">
              <w:rPr>
                <w:rFonts w:ascii="Arial" w:hAnsi="Arial" w:cs="Arial"/>
                <w:color w:val="000000"/>
                <w:sz w:val="20"/>
                <w:szCs w:val="20"/>
              </w:rPr>
              <w:t>are</w:t>
            </w:r>
            <w:r w:rsidRPr="00990959">
              <w:rPr>
                <w:rFonts w:ascii="Arial" w:hAnsi="Arial" w:cs="Arial"/>
                <w:color w:val="000000"/>
                <w:sz w:val="20"/>
                <w:szCs w:val="20"/>
              </w:rPr>
              <w:t xml:space="preserve"> open meeting</w:t>
            </w:r>
            <w:r w:rsidR="00FE7247">
              <w:rPr>
                <w:rFonts w:ascii="Arial" w:hAnsi="Arial" w:cs="Arial"/>
                <w:color w:val="000000"/>
                <w:sz w:val="20"/>
                <w:szCs w:val="20"/>
              </w:rPr>
              <w:t>s</w:t>
            </w:r>
            <w:r w:rsidRPr="00990959">
              <w:rPr>
                <w:rFonts w:ascii="Arial" w:hAnsi="Arial" w:cs="Arial"/>
                <w:color w:val="000000"/>
                <w:sz w:val="20"/>
                <w:szCs w:val="20"/>
              </w:rPr>
              <w:t>, the leads would like to keep the group small for the sake of efficiency</w:t>
            </w:r>
            <w:r w:rsidR="00053986">
              <w:rPr>
                <w:rFonts w:ascii="Arial" w:hAnsi="Arial" w:cs="Arial"/>
                <w:color w:val="000000"/>
                <w:sz w:val="20"/>
                <w:szCs w:val="20"/>
              </w:rPr>
              <w:t xml:space="preserve"> and ideally limited to the Science Advisory Panel and members of the NMS Steering Committee</w:t>
            </w:r>
            <w:r w:rsidRPr="00990959">
              <w:rPr>
                <w:rFonts w:ascii="Arial" w:hAnsi="Arial" w:cs="Arial"/>
                <w:color w:val="000000"/>
                <w:sz w:val="20"/>
                <w:szCs w:val="20"/>
              </w:rPr>
              <w:t>.</w:t>
            </w:r>
          </w:p>
          <w:p w14:paraId="77F63D15" w14:textId="77777777" w:rsidR="00990959" w:rsidRPr="00990959" w:rsidRDefault="00990959" w:rsidP="00990959">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419"/>
              <w:rPr>
                <w:rFonts w:ascii="Arial" w:hAnsi="Arial" w:cs="Arial"/>
                <w:color w:val="000000"/>
                <w:sz w:val="20"/>
                <w:szCs w:val="20"/>
              </w:rPr>
            </w:pPr>
            <w:r w:rsidRPr="00990959">
              <w:rPr>
                <w:rFonts w:ascii="Arial" w:hAnsi="Arial" w:cs="Arial"/>
                <w:sz w:val="20"/>
                <w:szCs w:val="20"/>
              </w:rPr>
              <w:t>Update on optimization/upgrade studies progress – Workshop scheduled for June 7. Invitations will be sent to points of contact soon.</w:t>
            </w:r>
          </w:p>
          <w:p w14:paraId="3C92447E" w14:textId="3BF9E086" w:rsidR="00E846B0" w:rsidRPr="00990959" w:rsidRDefault="00990959" w:rsidP="00990959">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419"/>
              <w:rPr>
                <w:rFonts w:ascii="Arial" w:hAnsi="Arial" w:cs="Arial"/>
                <w:color w:val="000000"/>
                <w:sz w:val="22"/>
                <w:szCs w:val="22"/>
              </w:rPr>
            </w:pPr>
            <w:r w:rsidRPr="00990959">
              <w:rPr>
                <w:rFonts w:ascii="Arial" w:hAnsi="Arial" w:cs="Arial"/>
                <w:sz w:val="20"/>
                <w:szCs w:val="20"/>
              </w:rPr>
              <w:t>EBMUD sidestream study and trading overview wrapping up. The study looked at pilot studies involving different sidestream technologies, the potential load reductions, and impacts on the SF Bay. They also looked at what it might take to develop a nutrient trading scheme.  Documents related to this effort will be available at the end of April.</w:t>
            </w:r>
          </w:p>
        </w:tc>
      </w:tr>
      <w:tr w:rsidR="00990959" w:rsidRPr="00783C69" w14:paraId="1F3694F3"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07E12" w14:textId="77777777" w:rsidR="00990959" w:rsidRDefault="00990959" w:rsidP="00DD5026">
            <w:pPr>
              <w:pStyle w:val="Body"/>
              <w:rPr>
                <w:rFonts w:ascii="Arial" w:hAnsi="Arial" w:cs="Arial"/>
                <w:b/>
                <w:bCs/>
                <w:sz w:val="20"/>
                <w:szCs w:val="20"/>
              </w:rPr>
            </w:pPr>
            <w:r>
              <w:rPr>
                <w:rFonts w:ascii="Arial" w:hAnsi="Arial" w:cs="Arial"/>
                <w:b/>
                <w:bCs/>
                <w:sz w:val="20"/>
                <w:szCs w:val="20"/>
              </w:rPr>
              <w:t>303(d) list update</w:t>
            </w:r>
          </w:p>
          <w:p w14:paraId="6F515BAB" w14:textId="77777777" w:rsidR="00990959" w:rsidRPr="00990959" w:rsidRDefault="00990959" w:rsidP="00DD5026">
            <w:pPr>
              <w:pStyle w:val="Body"/>
              <w:rPr>
                <w:rFonts w:ascii="Arial" w:hAnsi="Arial" w:cs="Arial"/>
                <w:bCs/>
                <w:sz w:val="20"/>
                <w:szCs w:val="20"/>
              </w:rPr>
            </w:pPr>
            <w:r w:rsidRPr="00990959">
              <w:rPr>
                <w:rFonts w:ascii="Arial" w:hAnsi="Arial" w:cs="Arial"/>
                <w:bCs/>
                <w:sz w:val="20"/>
                <w:szCs w:val="20"/>
              </w:rPr>
              <w:t>The San Francisco Regional Water Board has posted </w:t>
            </w:r>
            <w:hyperlink r:id="rId16" w:tgtFrame="_blank" w:history="1">
              <w:r w:rsidRPr="00990959">
                <w:rPr>
                  <w:rStyle w:val="Hyperlink"/>
                  <w:rFonts w:eastAsia="Arial Unicode MS"/>
                  <w:sz w:val="20"/>
                  <w:szCs w:val="20"/>
                  <w:u w:color="000000"/>
                  <w:shd w:val="clear" w:color="auto" w:fill="auto"/>
                </w:rPr>
                <w:t>proposed revisions</w:t>
              </w:r>
            </w:hyperlink>
            <w:r w:rsidRPr="00990959">
              <w:rPr>
                <w:rFonts w:ascii="Arial" w:hAnsi="Arial" w:cs="Arial"/>
                <w:bCs/>
                <w:sz w:val="20"/>
                <w:szCs w:val="20"/>
              </w:rPr>
              <w:t> to the San Francisco Bay Basin's 303(d) list, which will be the first update to the list since 2010. Some of the changes are substantial, such as the new toxicity listing for each segment of the San Francisco Bay. BACWA submitted a </w:t>
            </w:r>
            <w:hyperlink r:id="rId17" w:tgtFrame="_blank" w:history="1">
              <w:r w:rsidRPr="00990959">
                <w:rPr>
                  <w:rStyle w:val="Hyperlink"/>
                  <w:rFonts w:eastAsia="Arial Unicode MS"/>
                  <w:sz w:val="20"/>
                  <w:szCs w:val="20"/>
                  <w:u w:color="000000"/>
                  <w:shd w:val="clear" w:color="auto" w:fill="auto"/>
                </w:rPr>
                <w:t>comment letter</w:t>
              </w:r>
            </w:hyperlink>
            <w:r w:rsidRPr="00990959">
              <w:rPr>
                <w:rFonts w:ascii="Arial" w:hAnsi="Arial" w:cs="Arial"/>
                <w:bCs/>
                <w:sz w:val="20"/>
                <w:szCs w:val="20"/>
              </w:rPr>
              <w:t> recommending that the Regional Water Board drop the proposed Bay-wide toxicity listing, as well as stating they should only use newer data when considering which constituents to list.</w:t>
            </w:r>
            <w:r>
              <w:rPr>
                <w:rFonts w:ascii="Arial" w:hAnsi="Arial" w:cs="Arial"/>
                <w:bCs/>
                <w:sz w:val="20"/>
                <w:szCs w:val="20"/>
              </w:rPr>
              <w:t xml:space="preserve"> The Water Board dropped the prop</w:t>
            </w:r>
            <w:r w:rsidR="00796D12">
              <w:rPr>
                <w:rFonts w:ascii="Arial" w:hAnsi="Arial" w:cs="Arial"/>
                <w:bCs/>
                <w:sz w:val="20"/>
                <w:szCs w:val="20"/>
              </w:rPr>
              <w:t>o</w:t>
            </w:r>
            <w:r>
              <w:rPr>
                <w:rFonts w:ascii="Arial" w:hAnsi="Arial" w:cs="Arial"/>
                <w:bCs/>
                <w:sz w:val="20"/>
                <w:szCs w:val="20"/>
              </w:rPr>
              <w:t>sed listing of heptachlor in the Lower South Bay in response to BACWA’s comments. The hearing for this item is on April 12.</w:t>
            </w:r>
          </w:p>
        </w:tc>
      </w:tr>
      <w:tr w:rsidR="00990959" w:rsidRPr="00783C69" w14:paraId="19FDFCE1"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D026D" w14:textId="77777777" w:rsidR="00990959" w:rsidRDefault="00990959" w:rsidP="00DD5026">
            <w:pPr>
              <w:pStyle w:val="Body"/>
              <w:rPr>
                <w:rFonts w:ascii="Arial" w:hAnsi="Arial" w:cs="Arial"/>
                <w:b/>
                <w:bCs/>
                <w:sz w:val="20"/>
                <w:szCs w:val="20"/>
              </w:rPr>
            </w:pPr>
            <w:r>
              <w:rPr>
                <w:rFonts w:ascii="Arial" w:hAnsi="Arial" w:cs="Arial"/>
                <w:b/>
                <w:bCs/>
                <w:sz w:val="20"/>
                <w:szCs w:val="20"/>
              </w:rPr>
              <w:t>Toxicity</w:t>
            </w:r>
          </w:p>
          <w:p w14:paraId="0452C267" w14:textId="77777777" w:rsidR="00990959" w:rsidRDefault="00990959" w:rsidP="00990959">
            <w:pPr>
              <w:pStyle w:val="Body"/>
              <w:rPr>
                <w:rFonts w:ascii="Arial" w:hAnsi="Arial" w:cs="Arial"/>
                <w:bCs/>
                <w:sz w:val="20"/>
                <w:szCs w:val="20"/>
              </w:rPr>
            </w:pPr>
            <w:r>
              <w:rPr>
                <w:rFonts w:ascii="Arial" w:hAnsi="Arial" w:cs="Arial"/>
                <w:bCs/>
                <w:sz w:val="20"/>
                <w:szCs w:val="20"/>
              </w:rPr>
              <w:t xml:space="preserve">The State Water Board has proposed an updated Toxicity Plan, now called the </w:t>
            </w:r>
            <w:hyperlink r:id="rId18" w:history="1">
              <w:r w:rsidRPr="00FA09EC">
                <w:rPr>
                  <w:rStyle w:val="Hyperlink"/>
                  <w:rFonts w:eastAsia="Arial Unicode MS"/>
                  <w:sz w:val="20"/>
                  <w:szCs w:val="20"/>
                  <w:u w:color="000000"/>
                  <w:shd w:val="clear" w:color="auto" w:fill="auto"/>
                </w:rPr>
                <w:t>Toxicity Provisions for the SIP</w:t>
              </w:r>
            </w:hyperlink>
            <w:r>
              <w:rPr>
                <w:rFonts w:ascii="Arial" w:hAnsi="Arial" w:cs="Arial"/>
                <w:bCs/>
                <w:sz w:val="20"/>
                <w:szCs w:val="20"/>
              </w:rPr>
              <w:t>.</w:t>
            </w:r>
            <w:r w:rsidR="00685C0D">
              <w:rPr>
                <w:rFonts w:ascii="Arial" w:hAnsi="Arial" w:cs="Arial"/>
                <w:bCs/>
                <w:sz w:val="20"/>
                <w:szCs w:val="20"/>
              </w:rPr>
              <w:t xml:space="preserve"> They conducted a stakeholder meeting for POTWs on April 11 to answer questions</w:t>
            </w:r>
            <w:r w:rsidR="00FA09EC">
              <w:rPr>
                <w:rFonts w:ascii="Arial" w:hAnsi="Arial" w:cs="Arial"/>
                <w:bCs/>
                <w:sz w:val="20"/>
                <w:szCs w:val="20"/>
              </w:rPr>
              <w:t xml:space="preserve">, and provided an </w:t>
            </w:r>
            <w:hyperlink r:id="rId19" w:history="1">
              <w:r w:rsidR="00FA09EC" w:rsidRPr="00FA09EC">
                <w:rPr>
                  <w:rStyle w:val="Hyperlink"/>
                  <w:rFonts w:eastAsia="Arial Unicode MS"/>
                  <w:sz w:val="20"/>
                  <w:szCs w:val="20"/>
                  <w:u w:color="000000"/>
                  <w:shd w:val="clear" w:color="auto" w:fill="auto"/>
                </w:rPr>
                <w:t>Outreach Document</w:t>
              </w:r>
            </w:hyperlink>
            <w:r w:rsidR="00FA09EC">
              <w:rPr>
                <w:rFonts w:ascii="Arial" w:hAnsi="Arial" w:cs="Arial"/>
                <w:bCs/>
                <w:sz w:val="20"/>
                <w:szCs w:val="20"/>
              </w:rPr>
              <w:t xml:space="preserve"> summarizing the Provisions</w:t>
            </w:r>
            <w:r w:rsidR="00685C0D">
              <w:rPr>
                <w:rFonts w:ascii="Arial" w:hAnsi="Arial" w:cs="Arial"/>
                <w:bCs/>
                <w:sz w:val="20"/>
                <w:szCs w:val="20"/>
              </w:rPr>
              <w:t xml:space="preserve">.  </w:t>
            </w:r>
            <w:r w:rsidR="0003018F">
              <w:rPr>
                <w:rFonts w:ascii="Arial" w:hAnsi="Arial" w:cs="Arial"/>
                <w:bCs/>
                <w:sz w:val="20"/>
                <w:szCs w:val="20"/>
              </w:rPr>
              <w:t>The key tenets of the new provisions are as follows:</w:t>
            </w:r>
          </w:p>
          <w:p w14:paraId="75F8A2BC" w14:textId="77777777" w:rsidR="00FA09EC" w:rsidRDefault="00FA09EC" w:rsidP="00DF3F80">
            <w:pPr>
              <w:pStyle w:val="Body"/>
              <w:numPr>
                <w:ilvl w:val="0"/>
                <w:numId w:val="26"/>
              </w:numPr>
              <w:rPr>
                <w:rFonts w:ascii="Arial" w:hAnsi="Arial" w:cs="Arial"/>
                <w:bCs/>
                <w:sz w:val="20"/>
                <w:szCs w:val="20"/>
              </w:rPr>
            </w:pPr>
            <w:r>
              <w:rPr>
                <w:rFonts w:ascii="Arial" w:hAnsi="Arial" w:cs="Arial"/>
                <w:bCs/>
                <w:sz w:val="20"/>
                <w:szCs w:val="20"/>
              </w:rPr>
              <w:t>Toxicity tests will be evaluated using the TST</w:t>
            </w:r>
            <w:r w:rsidR="00FE7247">
              <w:rPr>
                <w:rFonts w:ascii="Arial" w:hAnsi="Arial" w:cs="Arial"/>
                <w:bCs/>
                <w:sz w:val="20"/>
                <w:szCs w:val="20"/>
              </w:rPr>
              <w:t>.</w:t>
            </w:r>
          </w:p>
          <w:p w14:paraId="5E8804C6" w14:textId="77777777" w:rsidR="00DF3F80" w:rsidRDefault="00DF3F80" w:rsidP="00DF3F80">
            <w:pPr>
              <w:pStyle w:val="Body"/>
              <w:numPr>
                <w:ilvl w:val="0"/>
                <w:numId w:val="26"/>
              </w:numPr>
              <w:rPr>
                <w:rFonts w:ascii="Arial" w:hAnsi="Arial" w:cs="Arial"/>
                <w:bCs/>
                <w:sz w:val="20"/>
                <w:szCs w:val="20"/>
              </w:rPr>
            </w:pPr>
            <w:r>
              <w:rPr>
                <w:rFonts w:ascii="Arial" w:hAnsi="Arial" w:cs="Arial"/>
                <w:bCs/>
                <w:sz w:val="20"/>
                <w:szCs w:val="20"/>
              </w:rPr>
              <w:t>Species sensitivity screening includes four sets of tests conducted within one year. Screening must be done at least every ten years.</w:t>
            </w:r>
          </w:p>
          <w:p w14:paraId="232C1126" w14:textId="77777777" w:rsidR="00DF3F80" w:rsidRDefault="00DF3F80" w:rsidP="00DF3F80">
            <w:pPr>
              <w:pStyle w:val="Body"/>
              <w:numPr>
                <w:ilvl w:val="0"/>
                <w:numId w:val="26"/>
              </w:numPr>
              <w:rPr>
                <w:rFonts w:ascii="Arial" w:hAnsi="Arial" w:cs="Arial"/>
                <w:bCs/>
                <w:sz w:val="20"/>
                <w:szCs w:val="20"/>
              </w:rPr>
            </w:pPr>
            <w:r>
              <w:rPr>
                <w:rFonts w:ascii="Arial" w:hAnsi="Arial" w:cs="Arial"/>
                <w:bCs/>
                <w:sz w:val="20"/>
                <w:szCs w:val="20"/>
              </w:rPr>
              <w:t>RP is assumed for POTWs greater than 5mgd.  Smaller facilities will do an RPA with an effect level threshold of 0.10 for RP.</w:t>
            </w:r>
          </w:p>
          <w:p w14:paraId="6C9AA3E3" w14:textId="77777777" w:rsidR="00D02669" w:rsidRDefault="00D02669" w:rsidP="00DF3F80">
            <w:pPr>
              <w:pStyle w:val="Body"/>
              <w:numPr>
                <w:ilvl w:val="0"/>
                <w:numId w:val="26"/>
              </w:numPr>
              <w:rPr>
                <w:rFonts w:ascii="Arial" w:hAnsi="Arial" w:cs="Arial"/>
                <w:bCs/>
                <w:sz w:val="20"/>
                <w:szCs w:val="20"/>
              </w:rPr>
            </w:pPr>
            <w:r>
              <w:rPr>
                <w:rFonts w:ascii="Arial" w:hAnsi="Arial" w:cs="Arial"/>
                <w:bCs/>
                <w:sz w:val="20"/>
                <w:szCs w:val="20"/>
              </w:rPr>
              <w:t>Regional Water Boards are given discretion on whether to require RPAs for acute toxicity.</w:t>
            </w:r>
          </w:p>
          <w:p w14:paraId="038E2771" w14:textId="7C2736B0" w:rsidR="00DF3F80" w:rsidRDefault="00FA09EC" w:rsidP="00DF3F80">
            <w:pPr>
              <w:pStyle w:val="Body"/>
              <w:numPr>
                <w:ilvl w:val="0"/>
                <w:numId w:val="26"/>
              </w:numPr>
              <w:rPr>
                <w:rFonts w:ascii="Arial" w:hAnsi="Arial" w:cs="Arial"/>
                <w:bCs/>
                <w:sz w:val="20"/>
                <w:szCs w:val="20"/>
              </w:rPr>
            </w:pPr>
            <w:r>
              <w:rPr>
                <w:rFonts w:ascii="Arial" w:hAnsi="Arial" w:cs="Arial"/>
                <w:bCs/>
                <w:sz w:val="20"/>
                <w:szCs w:val="20"/>
              </w:rPr>
              <w:t xml:space="preserve">For chronic toxicity, a violation </w:t>
            </w:r>
            <w:r w:rsidR="00D02669">
              <w:rPr>
                <w:rFonts w:ascii="Arial" w:hAnsi="Arial" w:cs="Arial"/>
                <w:bCs/>
                <w:sz w:val="20"/>
                <w:szCs w:val="20"/>
              </w:rPr>
              <w:t>o</w:t>
            </w:r>
            <w:r>
              <w:rPr>
                <w:rFonts w:ascii="Arial" w:hAnsi="Arial" w:cs="Arial"/>
                <w:bCs/>
                <w:sz w:val="20"/>
                <w:szCs w:val="20"/>
              </w:rPr>
              <w:t>ccurs when the toxicity test result</w:t>
            </w:r>
            <w:r w:rsidR="00DA2465">
              <w:rPr>
                <w:rFonts w:ascii="Arial" w:hAnsi="Arial" w:cs="Arial"/>
                <w:bCs/>
                <w:sz w:val="20"/>
                <w:szCs w:val="20"/>
              </w:rPr>
              <w:t>s</w:t>
            </w:r>
            <w:r>
              <w:rPr>
                <w:rFonts w:ascii="Arial" w:hAnsi="Arial" w:cs="Arial"/>
                <w:bCs/>
                <w:sz w:val="20"/>
                <w:szCs w:val="20"/>
              </w:rPr>
              <w:t xml:space="preserve"> in a “fail” and the percent effect for</w:t>
            </w:r>
            <w:r w:rsidR="00D02669">
              <w:rPr>
                <w:rFonts w:ascii="Arial" w:hAnsi="Arial" w:cs="Arial"/>
                <w:bCs/>
                <w:sz w:val="20"/>
                <w:szCs w:val="20"/>
              </w:rPr>
              <w:t xml:space="preserve"> the survival endpoint is great</w:t>
            </w:r>
            <w:r>
              <w:rPr>
                <w:rFonts w:ascii="Arial" w:hAnsi="Arial" w:cs="Arial"/>
                <w:bCs/>
                <w:sz w:val="20"/>
                <w:szCs w:val="20"/>
              </w:rPr>
              <w:t>er than or equal to 50 percent at the IWC.</w:t>
            </w:r>
            <w:r w:rsidR="00D02669">
              <w:rPr>
                <w:rFonts w:ascii="Arial" w:hAnsi="Arial" w:cs="Arial"/>
                <w:bCs/>
                <w:sz w:val="20"/>
                <w:szCs w:val="20"/>
              </w:rPr>
              <w:t xml:space="preserve"> If there is no survival endpoint for the species, then a “fail” with a 50 percent or greater effect for any endpoint at the IW</w:t>
            </w:r>
            <w:r w:rsidR="00FE7247">
              <w:rPr>
                <w:rFonts w:ascii="Arial" w:hAnsi="Arial" w:cs="Arial"/>
                <w:bCs/>
                <w:sz w:val="20"/>
                <w:szCs w:val="20"/>
              </w:rPr>
              <w:t>C</w:t>
            </w:r>
            <w:r w:rsidR="00D02669">
              <w:rPr>
                <w:rFonts w:ascii="Arial" w:hAnsi="Arial" w:cs="Arial"/>
                <w:bCs/>
                <w:sz w:val="20"/>
                <w:szCs w:val="20"/>
              </w:rPr>
              <w:t xml:space="preserve"> results in a MDEL violation. If the test species is </w:t>
            </w:r>
            <w:r w:rsidR="00D02669" w:rsidRPr="00D02669">
              <w:rPr>
                <w:rFonts w:ascii="Arial" w:hAnsi="Arial" w:cs="Arial"/>
                <w:bCs/>
                <w:i/>
                <w:sz w:val="20"/>
                <w:szCs w:val="20"/>
              </w:rPr>
              <w:t>Ceriodaphia dubia</w:t>
            </w:r>
            <w:r w:rsidR="00D02669">
              <w:rPr>
                <w:rFonts w:ascii="Arial" w:hAnsi="Arial" w:cs="Arial"/>
                <w:bCs/>
                <w:sz w:val="20"/>
                <w:szCs w:val="20"/>
              </w:rPr>
              <w:t xml:space="preserve">, a 50 percent or greater effect in the survival endpoint at the IWC results in a </w:t>
            </w:r>
            <w:r w:rsidR="00FE7247">
              <w:rPr>
                <w:rFonts w:ascii="Arial" w:hAnsi="Arial" w:cs="Arial"/>
                <w:bCs/>
                <w:sz w:val="20"/>
                <w:szCs w:val="20"/>
              </w:rPr>
              <w:t>M</w:t>
            </w:r>
            <w:r w:rsidR="00D02669">
              <w:rPr>
                <w:rFonts w:ascii="Arial" w:hAnsi="Arial" w:cs="Arial"/>
                <w:bCs/>
                <w:sz w:val="20"/>
                <w:szCs w:val="20"/>
              </w:rPr>
              <w:t>DEL violation.</w:t>
            </w:r>
            <w:bookmarkStart w:id="0" w:name="_GoBack"/>
            <w:bookmarkEnd w:id="0"/>
            <w:r w:rsidR="00D02669">
              <w:rPr>
                <w:rFonts w:ascii="Arial" w:hAnsi="Arial" w:cs="Arial"/>
                <w:bCs/>
                <w:sz w:val="20"/>
                <w:szCs w:val="20"/>
              </w:rPr>
              <w:t xml:space="preserve"> </w:t>
            </w:r>
          </w:p>
          <w:p w14:paraId="7F8BC3C8" w14:textId="0769FF1E" w:rsidR="00D02669" w:rsidRDefault="00D02669" w:rsidP="00DF3F80">
            <w:pPr>
              <w:pStyle w:val="Body"/>
              <w:numPr>
                <w:ilvl w:val="0"/>
                <w:numId w:val="26"/>
              </w:numPr>
              <w:rPr>
                <w:rFonts w:ascii="Arial" w:hAnsi="Arial" w:cs="Arial"/>
                <w:bCs/>
                <w:sz w:val="20"/>
                <w:szCs w:val="20"/>
              </w:rPr>
            </w:pPr>
            <w:r>
              <w:rPr>
                <w:rFonts w:ascii="Arial" w:hAnsi="Arial" w:cs="Arial"/>
                <w:bCs/>
                <w:sz w:val="20"/>
                <w:szCs w:val="20"/>
              </w:rPr>
              <w:t>I</w:t>
            </w:r>
            <w:r w:rsidR="00053986">
              <w:rPr>
                <w:rFonts w:ascii="Arial" w:hAnsi="Arial" w:cs="Arial"/>
                <w:bCs/>
                <w:sz w:val="20"/>
                <w:szCs w:val="20"/>
              </w:rPr>
              <w:t>f</w:t>
            </w:r>
            <w:r>
              <w:rPr>
                <w:rFonts w:ascii="Arial" w:hAnsi="Arial" w:cs="Arial"/>
                <w:bCs/>
                <w:sz w:val="20"/>
                <w:szCs w:val="20"/>
              </w:rPr>
              <w:t xml:space="preserve"> any test results in a “fail” at the IWC then the discharger must initiate two additional toxicity tests within the same calendar mo</w:t>
            </w:r>
            <w:r w:rsidR="00DA2465">
              <w:rPr>
                <w:rFonts w:ascii="Arial" w:hAnsi="Arial" w:cs="Arial"/>
                <w:bCs/>
                <w:sz w:val="20"/>
                <w:szCs w:val="20"/>
              </w:rPr>
              <w:t>n</w:t>
            </w:r>
            <w:r>
              <w:rPr>
                <w:rFonts w:ascii="Arial" w:hAnsi="Arial" w:cs="Arial"/>
                <w:bCs/>
                <w:sz w:val="20"/>
                <w:szCs w:val="20"/>
              </w:rPr>
              <w:t>th. If either of these additional tests results in a “fail” at the IWC, then there is a violation of the MMEL.</w:t>
            </w:r>
          </w:p>
          <w:p w14:paraId="2FE2D687" w14:textId="77777777" w:rsidR="00D02669" w:rsidRDefault="00D02669" w:rsidP="00DF3F80">
            <w:pPr>
              <w:pStyle w:val="Body"/>
              <w:numPr>
                <w:ilvl w:val="0"/>
                <w:numId w:val="26"/>
              </w:numPr>
              <w:rPr>
                <w:rFonts w:ascii="Arial" w:hAnsi="Arial" w:cs="Arial"/>
                <w:bCs/>
                <w:sz w:val="20"/>
                <w:szCs w:val="20"/>
              </w:rPr>
            </w:pPr>
            <w:r>
              <w:rPr>
                <w:rFonts w:ascii="Arial" w:hAnsi="Arial" w:cs="Arial"/>
                <w:bCs/>
                <w:sz w:val="20"/>
                <w:szCs w:val="20"/>
              </w:rPr>
              <w:t>A TRE shall be initiated when there are two or more violations within the same month or in consecutive months. The combination of violations may be acute and/or chronic and may be any combination of two or more MDEL or MMEL violations.</w:t>
            </w:r>
          </w:p>
          <w:p w14:paraId="2C4CD116" w14:textId="77777777" w:rsidR="0003018F" w:rsidRPr="00990959" w:rsidRDefault="00FE7247" w:rsidP="00990959">
            <w:pPr>
              <w:pStyle w:val="Body"/>
              <w:rPr>
                <w:rFonts w:ascii="Arial" w:hAnsi="Arial" w:cs="Arial"/>
                <w:bCs/>
                <w:sz w:val="20"/>
                <w:szCs w:val="20"/>
              </w:rPr>
            </w:pPr>
            <w:r>
              <w:rPr>
                <w:rFonts w:ascii="Arial" w:hAnsi="Arial" w:cs="Arial"/>
                <w:bCs/>
                <w:sz w:val="20"/>
                <w:szCs w:val="20"/>
              </w:rPr>
              <w:t>The State Water Board</w:t>
            </w:r>
            <w:r w:rsidR="0003018F">
              <w:rPr>
                <w:rFonts w:ascii="Arial" w:hAnsi="Arial" w:cs="Arial"/>
                <w:bCs/>
                <w:sz w:val="20"/>
                <w:szCs w:val="20"/>
              </w:rPr>
              <w:t xml:space="preserve"> plan</w:t>
            </w:r>
            <w:r>
              <w:rPr>
                <w:rFonts w:ascii="Arial" w:hAnsi="Arial" w:cs="Arial"/>
                <w:bCs/>
                <w:sz w:val="20"/>
                <w:szCs w:val="20"/>
              </w:rPr>
              <w:t>s</w:t>
            </w:r>
            <w:r w:rsidR="0003018F">
              <w:rPr>
                <w:rFonts w:ascii="Arial" w:hAnsi="Arial" w:cs="Arial"/>
                <w:bCs/>
                <w:sz w:val="20"/>
                <w:szCs w:val="20"/>
              </w:rPr>
              <w:t xml:space="preserve"> to </w:t>
            </w:r>
            <w:r w:rsidR="00DF3F80">
              <w:rPr>
                <w:rFonts w:ascii="Arial" w:hAnsi="Arial" w:cs="Arial"/>
                <w:bCs/>
                <w:sz w:val="20"/>
                <w:szCs w:val="20"/>
              </w:rPr>
              <w:t>hold the public comment period over the summer of 2017, with adoption by the end of the year.</w:t>
            </w:r>
          </w:p>
        </w:tc>
      </w:tr>
      <w:tr w:rsidR="00087D46" w:rsidRPr="00783C69" w14:paraId="4AD901CA"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B0CF2" w14:textId="77777777" w:rsidR="00087D46" w:rsidRPr="00087D46" w:rsidRDefault="00087D46" w:rsidP="00087D46">
            <w:pPr>
              <w:pStyle w:val="Body"/>
              <w:rPr>
                <w:rFonts w:ascii="Arial" w:hAnsi="Arial" w:cs="Arial"/>
                <w:b/>
                <w:bCs/>
                <w:sz w:val="20"/>
                <w:szCs w:val="20"/>
              </w:rPr>
            </w:pPr>
            <w:r>
              <w:rPr>
                <w:rFonts w:ascii="Arial" w:hAnsi="Arial" w:cs="Arial"/>
                <w:b/>
                <w:bCs/>
                <w:sz w:val="20"/>
                <w:szCs w:val="20"/>
              </w:rPr>
              <w:t>Announcements</w:t>
            </w:r>
          </w:p>
          <w:p w14:paraId="518C6526" w14:textId="77777777" w:rsidR="00087D46" w:rsidRPr="00087D46" w:rsidRDefault="00087D46" w:rsidP="00087D46">
            <w:pPr>
              <w:pStyle w:val="Body"/>
              <w:numPr>
                <w:ilvl w:val="1"/>
                <w:numId w:val="8"/>
              </w:numPr>
              <w:tabs>
                <w:tab w:val="clear" w:pos="1440"/>
              </w:tabs>
              <w:ind w:left="419" w:hanging="270"/>
              <w:rPr>
                <w:rFonts w:ascii="Arial" w:hAnsi="Arial" w:cs="Arial"/>
                <w:bCs/>
                <w:sz w:val="20"/>
                <w:szCs w:val="20"/>
                <w:u w:val="single"/>
              </w:rPr>
            </w:pPr>
            <w:r w:rsidRPr="00087D46">
              <w:rPr>
                <w:rFonts w:ascii="Arial" w:hAnsi="Arial" w:cs="Arial"/>
                <w:bCs/>
                <w:sz w:val="20"/>
                <w:szCs w:val="20"/>
              </w:rPr>
              <w:t>State Water Board to release updated Beneficial Uses and Mercury Objectives by April 22, ahead of May 2 adoption. They will not take written comments.</w:t>
            </w:r>
          </w:p>
          <w:p w14:paraId="1211365A" w14:textId="77777777" w:rsidR="00087D46" w:rsidRPr="00087D46" w:rsidRDefault="00087D46" w:rsidP="00087D46">
            <w:pPr>
              <w:pStyle w:val="Body"/>
              <w:numPr>
                <w:ilvl w:val="1"/>
                <w:numId w:val="8"/>
              </w:numPr>
              <w:tabs>
                <w:tab w:val="clear" w:pos="1440"/>
              </w:tabs>
              <w:ind w:left="419" w:hanging="270"/>
              <w:rPr>
                <w:rFonts w:ascii="Arial" w:hAnsi="Arial" w:cs="Arial"/>
                <w:bCs/>
                <w:sz w:val="20"/>
                <w:szCs w:val="20"/>
                <w:u w:val="single"/>
              </w:rPr>
            </w:pPr>
            <w:r w:rsidRPr="00087D46">
              <w:rPr>
                <w:rFonts w:ascii="Arial" w:hAnsi="Arial" w:cs="Arial"/>
                <w:bCs/>
                <w:sz w:val="20"/>
                <w:szCs w:val="20"/>
              </w:rPr>
              <w:t>SFEI looking for</w:t>
            </w:r>
            <w:r w:rsidR="00E54242">
              <w:rPr>
                <w:rFonts w:ascii="Arial" w:hAnsi="Arial" w:cs="Arial"/>
                <w:bCs/>
                <w:sz w:val="20"/>
                <w:szCs w:val="20"/>
              </w:rPr>
              <w:t xml:space="preserve"> one more</w:t>
            </w:r>
            <w:r w:rsidRPr="00087D46">
              <w:rPr>
                <w:rFonts w:ascii="Arial" w:hAnsi="Arial" w:cs="Arial"/>
                <w:bCs/>
                <w:sz w:val="20"/>
                <w:szCs w:val="20"/>
              </w:rPr>
              <w:t xml:space="preserve"> POTW volunteer for microplastics study.</w:t>
            </w:r>
          </w:p>
          <w:p w14:paraId="395EE27A" w14:textId="77777777" w:rsidR="00087D46" w:rsidRPr="00087D46" w:rsidRDefault="00087D46" w:rsidP="00087D46">
            <w:pPr>
              <w:pStyle w:val="Body"/>
              <w:numPr>
                <w:ilvl w:val="1"/>
                <w:numId w:val="8"/>
              </w:numPr>
              <w:tabs>
                <w:tab w:val="clear" w:pos="1440"/>
              </w:tabs>
              <w:ind w:left="419" w:hanging="270"/>
              <w:rPr>
                <w:rFonts w:ascii="Arial" w:hAnsi="Arial" w:cs="Arial"/>
                <w:bCs/>
                <w:sz w:val="20"/>
                <w:szCs w:val="20"/>
                <w:u w:val="single"/>
              </w:rPr>
            </w:pPr>
            <w:r w:rsidRPr="00087D46">
              <w:rPr>
                <w:rFonts w:ascii="Arial" w:hAnsi="Arial" w:cs="Arial"/>
                <w:bCs/>
                <w:sz w:val="20"/>
                <w:szCs w:val="20"/>
              </w:rPr>
              <w:t>Permits Committee</w:t>
            </w:r>
            <w:r w:rsidR="00E54242">
              <w:rPr>
                <w:rFonts w:ascii="Arial" w:hAnsi="Arial" w:cs="Arial"/>
                <w:bCs/>
                <w:sz w:val="20"/>
                <w:szCs w:val="20"/>
              </w:rPr>
              <w:t xml:space="preserve"> leadership succession planning – Robert Wilson of Petaluma volunteered as Permits committee vice-chair beginning in July.</w:t>
            </w:r>
            <w:r w:rsidR="00053986">
              <w:rPr>
                <w:rFonts w:ascii="Arial" w:hAnsi="Arial" w:cs="Arial"/>
                <w:bCs/>
                <w:sz w:val="20"/>
                <w:szCs w:val="20"/>
              </w:rPr>
              <w:t xml:space="preserve">  Chris Dembiczak to take over the chair position from Eric Dunlavey.</w:t>
            </w:r>
          </w:p>
          <w:p w14:paraId="08233C9D" w14:textId="77777777" w:rsidR="00087D46" w:rsidRPr="00E54242" w:rsidRDefault="00087D46" w:rsidP="00DD5026">
            <w:pPr>
              <w:pStyle w:val="Body"/>
              <w:numPr>
                <w:ilvl w:val="1"/>
                <w:numId w:val="8"/>
              </w:numPr>
              <w:tabs>
                <w:tab w:val="clear" w:pos="1440"/>
              </w:tabs>
              <w:ind w:left="419" w:hanging="270"/>
              <w:rPr>
                <w:rFonts w:ascii="Arial" w:hAnsi="Arial" w:cs="Arial"/>
                <w:bCs/>
                <w:sz w:val="20"/>
                <w:szCs w:val="20"/>
                <w:u w:val="single"/>
              </w:rPr>
            </w:pPr>
            <w:r w:rsidRPr="00087D46">
              <w:rPr>
                <w:rFonts w:ascii="Arial" w:hAnsi="Arial" w:cs="Arial"/>
                <w:bCs/>
                <w:sz w:val="20"/>
                <w:szCs w:val="20"/>
              </w:rPr>
              <w:t xml:space="preserve">Committee schedule – </w:t>
            </w:r>
            <w:r w:rsidR="00E54242">
              <w:rPr>
                <w:rFonts w:ascii="Arial" w:hAnsi="Arial" w:cs="Arial"/>
                <w:bCs/>
                <w:sz w:val="20"/>
                <w:szCs w:val="20"/>
              </w:rPr>
              <w:t xml:space="preserve">The committee will </w:t>
            </w:r>
            <w:r w:rsidRPr="00087D46">
              <w:rPr>
                <w:rFonts w:ascii="Arial" w:hAnsi="Arial" w:cs="Arial"/>
                <w:bCs/>
                <w:sz w:val="20"/>
                <w:szCs w:val="20"/>
              </w:rPr>
              <w:t>contin</w:t>
            </w:r>
            <w:r w:rsidR="00E54242">
              <w:rPr>
                <w:rFonts w:ascii="Arial" w:hAnsi="Arial" w:cs="Arial"/>
                <w:bCs/>
                <w:sz w:val="20"/>
                <w:szCs w:val="20"/>
              </w:rPr>
              <w:t>ue joint meetings with CASA RWG. The next joint meeting will be in December 2017.</w:t>
            </w:r>
          </w:p>
        </w:tc>
      </w:tr>
      <w:tr w:rsidR="004E0C68" w:rsidRPr="00783C69" w14:paraId="1B72519F" w14:textId="77777777">
        <w:trPr>
          <w:trHeight w:val="22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6896A" w14:textId="77777777" w:rsidR="004E0C68" w:rsidRPr="00783C69" w:rsidRDefault="00962634" w:rsidP="009D644C">
            <w:pPr>
              <w:pStyle w:val="Body"/>
              <w:spacing w:before="60"/>
              <w:rPr>
                <w:rFonts w:ascii="Arial" w:hAnsi="Arial" w:cs="Arial"/>
                <w:sz w:val="20"/>
                <w:szCs w:val="20"/>
              </w:rPr>
            </w:pPr>
            <w:r w:rsidRPr="00783C69">
              <w:rPr>
                <w:rFonts w:ascii="Arial" w:hAnsi="Arial" w:cs="Arial"/>
                <w:b/>
                <w:bCs/>
                <w:sz w:val="20"/>
                <w:szCs w:val="20"/>
              </w:rPr>
              <w:t xml:space="preserve">Next BACWA Permits Committee Meeting:  </w:t>
            </w:r>
            <w:r w:rsidR="00CF4BA2" w:rsidRPr="00783C69">
              <w:rPr>
                <w:rFonts w:ascii="Arial" w:hAnsi="Arial" w:cs="Arial"/>
                <w:sz w:val="20"/>
                <w:szCs w:val="20"/>
              </w:rPr>
              <w:t xml:space="preserve">Tuesday </w:t>
            </w:r>
            <w:r w:rsidR="009D644C">
              <w:rPr>
                <w:rFonts w:ascii="Arial" w:hAnsi="Arial" w:cs="Arial"/>
                <w:sz w:val="20"/>
                <w:szCs w:val="20"/>
              </w:rPr>
              <w:t>May 9</w:t>
            </w:r>
            <w:r w:rsidR="00CF4BA2" w:rsidRPr="00783C69">
              <w:rPr>
                <w:rFonts w:ascii="Arial" w:hAnsi="Arial" w:cs="Arial"/>
                <w:sz w:val="20"/>
                <w:szCs w:val="20"/>
              </w:rPr>
              <w:t>, EBMUD.</w:t>
            </w:r>
          </w:p>
        </w:tc>
      </w:tr>
    </w:tbl>
    <w:p w14:paraId="0BB1F764" w14:textId="77777777" w:rsidR="004E0C68" w:rsidRPr="00783C69" w:rsidRDefault="004E0C68" w:rsidP="008F6C8E">
      <w:pPr>
        <w:pStyle w:val="Body"/>
        <w:widowControl w:val="0"/>
        <w:rPr>
          <w:rFonts w:ascii="Arial" w:hAnsi="Arial" w:cs="Arial"/>
        </w:rPr>
      </w:pPr>
    </w:p>
    <w:sectPr w:rsidR="004E0C68" w:rsidRPr="00783C69">
      <w:headerReference w:type="default" r:id="rId20"/>
      <w:footerReference w:type="default" r:id="rId21"/>
      <w:pgSz w:w="12240" w:h="15840"/>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1A7AD" w14:textId="77777777" w:rsidR="007C109A" w:rsidRDefault="007C109A">
      <w:r>
        <w:separator/>
      </w:r>
    </w:p>
  </w:endnote>
  <w:endnote w:type="continuationSeparator" w:id="0">
    <w:p w14:paraId="1D3C0DCA" w14:textId="77777777" w:rsidR="007C109A" w:rsidRDefault="007C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141EE" w14:textId="77777777" w:rsidR="00EA2D59" w:rsidRDefault="00EA2D59">
    <w:pPr>
      <w:pStyle w:val="Footer"/>
      <w:jc w:val="center"/>
    </w:pPr>
    <w:r>
      <w:rPr>
        <w:rFonts w:ascii="Arial Black" w:eastAsia="Arial Black" w:hAnsi="Arial Black" w:cs="Arial Black"/>
        <w:b/>
        <w:bCs/>
        <w:spacing w:val="-10"/>
        <w:sz w:val="18"/>
        <w:szCs w:val="18"/>
      </w:rPr>
      <w:fldChar w:fldCharType="begin"/>
    </w:r>
    <w:r>
      <w:rPr>
        <w:rFonts w:ascii="Arial Black" w:eastAsia="Arial Black" w:hAnsi="Arial Black" w:cs="Arial Black"/>
        <w:b/>
        <w:bCs/>
        <w:spacing w:val="-10"/>
        <w:sz w:val="18"/>
        <w:szCs w:val="18"/>
      </w:rPr>
      <w:instrText xml:space="preserve"> PAGE </w:instrText>
    </w:r>
    <w:r>
      <w:rPr>
        <w:rFonts w:ascii="Arial Black" w:eastAsia="Arial Black" w:hAnsi="Arial Black" w:cs="Arial Black"/>
        <w:b/>
        <w:bCs/>
        <w:spacing w:val="-10"/>
        <w:sz w:val="18"/>
        <w:szCs w:val="18"/>
      </w:rPr>
      <w:fldChar w:fldCharType="separate"/>
    </w:r>
    <w:r w:rsidR="00017984">
      <w:rPr>
        <w:rFonts w:ascii="Arial Black" w:eastAsia="Arial Black" w:hAnsi="Arial Black" w:cs="Arial Black"/>
        <w:b/>
        <w:bCs/>
        <w:noProof/>
        <w:spacing w:val="-10"/>
        <w:sz w:val="18"/>
        <w:szCs w:val="18"/>
      </w:rPr>
      <w:t>2</w:t>
    </w:r>
    <w:r>
      <w:rPr>
        <w:rFonts w:ascii="Arial Black" w:eastAsia="Arial Black" w:hAnsi="Arial Black" w:cs="Arial Black"/>
        <w:b/>
        <w:bCs/>
        <w:spacing w:val="-1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BABE2" w14:textId="77777777" w:rsidR="007C109A" w:rsidRDefault="007C109A">
      <w:r>
        <w:separator/>
      </w:r>
    </w:p>
  </w:footnote>
  <w:footnote w:type="continuationSeparator" w:id="0">
    <w:p w14:paraId="00F68AF9" w14:textId="77777777" w:rsidR="007C109A" w:rsidRDefault="007C1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90BE0" w14:textId="77777777" w:rsidR="00EA2D59" w:rsidRDefault="00EA2D59">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954961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4707694"/>
    <w:multiLevelType w:val="hybridMultilevel"/>
    <w:tmpl w:val="C282A556"/>
    <w:lvl w:ilvl="0" w:tplc="B4104D5E">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96AED"/>
    <w:multiLevelType w:val="hybridMultilevel"/>
    <w:tmpl w:val="8996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76BC"/>
    <w:multiLevelType w:val="hybridMultilevel"/>
    <w:tmpl w:val="C6B49E88"/>
    <w:lvl w:ilvl="0" w:tplc="27149C7E">
      <w:start w:val="1"/>
      <w:numFmt w:val="bullet"/>
      <w:lvlText w:val=""/>
      <w:lvlJc w:val="left"/>
      <w:pPr>
        <w:ind w:left="720"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CE93E12"/>
    <w:multiLevelType w:val="hybridMultilevel"/>
    <w:tmpl w:val="E36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47AD6"/>
    <w:multiLevelType w:val="hybridMultilevel"/>
    <w:tmpl w:val="51DE0E20"/>
    <w:lvl w:ilvl="0" w:tplc="27149C7E">
      <w:start w:val="1"/>
      <w:numFmt w:val="bullet"/>
      <w:lvlText w:val=""/>
      <w:lvlJc w:val="left"/>
      <w:pPr>
        <w:ind w:left="720"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E5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DFB2B5B"/>
    <w:multiLevelType w:val="hybridMultilevel"/>
    <w:tmpl w:val="F1AE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02F1B"/>
    <w:multiLevelType w:val="hybridMultilevel"/>
    <w:tmpl w:val="50321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74DBC"/>
    <w:multiLevelType w:val="hybridMultilevel"/>
    <w:tmpl w:val="EF4C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97B97"/>
    <w:multiLevelType w:val="hybridMultilevel"/>
    <w:tmpl w:val="40DA6B46"/>
    <w:lvl w:ilvl="0" w:tplc="B4104D5E">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B05931"/>
    <w:multiLevelType w:val="hybridMultilevel"/>
    <w:tmpl w:val="065C3A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3D74E4"/>
    <w:multiLevelType w:val="multilevel"/>
    <w:tmpl w:val="A6B641C8"/>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hAnsi="Arial" w:cs="Arial" w:hint="default"/>
        <w:b w:val="0"/>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2F42A7A"/>
    <w:multiLevelType w:val="hybridMultilevel"/>
    <w:tmpl w:val="743EF9CA"/>
    <w:lvl w:ilvl="0" w:tplc="E87EE034">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5019A4"/>
    <w:multiLevelType w:val="hybridMultilevel"/>
    <w:tmpl w:val="B10EED78"/>
    <w:lvl w:ilvl="0" w:tplc="9DE268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E5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7E420F9"/>
    <w:multiLevelType w:val="hybridMultilevel"/>
    <w:tmpl w:val="531CD524"/>
    <w:lvl w:ilvl="0" w:tplc="27149C7E">
      <w:start w:val="1"/>
      <w:numFmt w:val="bullet"/>
      <w:lvlText w:val=""/>
      <w:lvlJc w:val="left"/>
      <w:pPr>
        <w:ind w:left="499"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20ACC8">
      <w:start w:val="1"/>
      <w:numFmt w:val="bullet"/>
      <w:lvlText w:val="o"/>
      <w:lvlJc w:val="left"/>
      <w:pPr>
        <w:ind w:left="1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FA827C">
      <w:start w:val="1"/>
      <w:numFmt w:val="bullet"/>
      <w:lvlText w:val="▪"/>
      <w:lvlJc w:val="left"/>
      <w:pPr>
        <w:ind w:left="19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7C0C08">
      <w:start w:val="1"/>
      <w:numFmt w:val="bullet"/>
      <w:lvlText w:val="•"/>
      <w:lvlJc w:val="left"/>
      <w:pPr>
        <w:ind w:left="26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AA53FE">
      <w:start w:val="1"/>
      <w:numFmt w:val="bullet"/>
      <w:lvlText w:val="o"/>
      <w:lvlJc w:val="left"/>
      <w:pPr>
        <w:ind w:left="337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94B9FE">
      <w:start w:val="1"/>
      <w:numFmt w:val="bullet"/>
      <w:lvlText w:val="▪"/>
      <w:lvlJc w:val="left"/>
      <w:pPr>
        <w:ind w:left="40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F0F50A">
      <w:start w:val="1"/>
      <w:numFmt w:val="bullet"/>
      <w:lvlText w:val="•"/>
      <w:lvlJc w:val="left"/>
      <w:pPr>
        <w:ind w:left="48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52B4F6">
      <w:start w:val="1"/>
      <w:numFmt w:val="bullet"/>
      <w:lvlText w:val="o"/>
      <w:lvlJc w:val="left"/>
      <w:pPr>
        <w:ind w:left="55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D0EC46">
      <w:start w:val="1"/>
      <w:numFmt w:val="bullet"/>
      <w:lvlText w:val="▪"/>
      <w:lvlJc w:val="left"/>
      <w:pPr>
        <w:ind w:left="625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7FB0D3E"/>
    <w:multiLevelType w:val="hybridMultilevel"/>
    <w:tmpl w:val="37ECD768"/>
    <w:lvl w:ilvl="0" w:tplc="F1B2B93E">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554CDF"/>
    <w:multiLevelType w:val="hybridMultilevel"/>
    <w:tmpl w:val="449EF3E6"/>
    <w:lvl w:ilvl="0" w:tplc="ACE2EE04">
      <w:start w:val="1"/>
      <w:numFmt w:val="bullet"/>
      <w:lvlText w:val="•"/>
      <w:lvlJc w:val="left"/>
      <w:pPr>
        <w:ind w:left="30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149C7E">
      <w:start w:val="1"/>
      <w:numFmt w:val="bullet"/>
      <w:lvlText w:val=""/>
      <w:lvlJc w:val="left"/>
      <w:pPr>
        <w:ind w:left="499" w:hanging="27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D0B218">
      <w:start w:val="1"/>
      <w:numFmt w:val="bullet"/>
      <w:lvlText w:val="•"/>
      <w:lvlJc w:val="left"/>
      <w:pPr>
        <w:ind w:left="728"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DCFD0E">
      <w:start w:val="1"/>
      <w:numFmt w:val="bullet"/>
      <w:lvlText w:val="•"/>
      <w:lvlJc w:val="left"/>
      <w:pPr>
        <w:ind w:left="957"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E076F2">
      <w:start w:val="1"/>
      <w:numFmt w:val="bullet"/>
      <w:lvlText w:val="•"/>
      <w:lvlJc w:val="left"/>
      <w:pPr>
        <w:ind w:left="1186"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647750">
      <w:start w:val="1"/>
      <w:numFmt w:val="bullet"/>
      <w:lvlText w:val="•"/>
      <w:lvlJc w:val="left"/>
      <w:pPr>
        <w:ind w:left="1415"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AAEC76">
      <w:start w:val="1"/>
      <w:numFmt w:val="bullet"/>
      <w:lvlText w:val="•"/>
      <w:lvlJc w:val="left"/>
      <w:pPr>
        <w:ind w:left="1644"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169FE4">
      <w:start w:val="1"/>
      <w:numFmt w:val="bullet"/>
      <w:lvlText w:val="•"/>
      <w:lvlJc w:val="left"/>
      <w:pPr>
        <w:ind w:left="1873"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DC9C68">
      <w:start w:val="1"/>
      <w:numFmt w:val="bullet"/>
      <w:lvlText w:val="•"/>
      <w:lvlJc w:val="left"/>
      <w:pPr>
        <w:ind w:left="2102"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4E323B6"/>
    <w:multiLevelType w:val="hybridMultilevel"/>
    <w:tmpl w:val="616E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0F2C48"/>
    <w:multiLevelType w:val="hybridMultilevel"/>
    <w:tmpl w:val="14D6DC12"/>
    <w:lvl w:ilvl="0" w:tplc="04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92C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341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B80A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44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0A3F8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684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02E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5345610"/>
    <w:multiLevelType w:val="hybridMultilevel"/>
    <w:tmpl w:val="DEBED7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226CC3"/>
    <w:multiLevelType w:val="hybridMultilevel"/>
    <w:tmpl w:val="93FA76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FF7151E"/>
    <w:multiLevelType w:val="hybridMultilevel"/>
    <w:tmpl w:val="ACEEB48A"/>
    <w:lvl w:ilvl="0" w:tplc="7FAE971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92C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341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B80A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44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0A3F8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684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02E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72491CF1"/>
    <w:multiLevelType w:val="multilevel"/>
    <w:tmpl w:val="465A5584"/>
    <w:lvl w:ilvl="0">
      <w:start w:val="1"/>
      <w:numFmt w:val="upperRoman"/>
      <w:lvlText w:val="%1."/>
      <w:lvlJc w:val="right"/>
      <w:pPr>
        <w:ind w:left="720" w:hanging="360"/>
      </w:pPr>
      <w:rPr>
        <w:rFonts w:hint="default"/>
      </w:rPr>
    </w:lvl>
    <w:lvl w:ilvl="1">
      <w:start w:val="1"/>
      <w:numFmt w:val="upperLetter"/>
      <w:pStyle w:val="ListNumber"/>
      <w:lvlText w:val="%2."/>
      <w:lvlJc w:val="left"/>
      <w:pPr>
        <w:ind w:left="1080" w:hanging="360"/>
      </w:pPr>
      <w:rPr>
        <w:rFonts w:hint="default"/>
      </w:rPr>
    </w:lvl>
    <w:lvl w:ilvl="2">
      <w:start w:val="1"/>
      <w:numFmt w:val="decimal"/>
      <w:pStyle w:val="ListNumber2"/>
      <w:lvlText w:val="%3."/>
      <w:lvlJc w:val="right"/>
      <w:pPr>
        <w:ind w:left="1800" w:hanging="360"/>
      </w:pPr>
      <w:rPr>
        <w:rFonts w:hint="default"/>
      </w:rPr>
    </w:lvl>
    <w:lvl w:ilvl="3">
      <w:start w:val="1"/>
      <w:numFmt w:val="lowerLetter"/>
      <w:lvlText w:val="%4)"/>
      <w:lvlJc w:val="left"/>
      <w:pPr>
        <w:ind w:left="21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4093B18"/>
    <w:multiLevelType w:val="hybridMultilevel"/>
    <w:tmpl w:val="0F5A660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86471F"/>
    <w:multiLevelType w:val="hybridMultilevel"/>
    <w:tmpl w:val="4F54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913157"/>
    <w:multiLevelType w:val="hybridMultilevel"/>
    <w:tmpl w:val="56765BDA"/>
    <w:lvl w:ilvl="0" w:tplc="04090001">
      <w:start w:val="1"/>
      <w:numFmt w:val="bullet"/>
      <w:lvlText w:val=""/>
      <w:lvlJc w:val="left"/>
      <w:pPr>
        <w:ind w:left="499"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8E548E">
      <w:start w:val="1"/>
      <w:numFmt w:val="bullet"/>
      <w:lvlText w:val="o"/>
      <w:lvlJc w:val="left"/>
      <w:pPr>
        <w:ind w:left="1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148DC4">
      <w:start w:val="1"/>
      <w:numFmt w:val="bullet"/>
      <w:lvlText w:val="▪"/>
      <w:lvlJc w:val="left"/>
      <w:pPr>
        <w:ind w:left="19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D64C54">
      <w:start w:val="1"/>
      <w:numFmt w:val="bullet"/>
      <w:lvlText w:val="•"/>
      <w:lvlJc w:val="left"/>
      <w:pPr>
        <w:ind w:left="26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A6F888">
      <w:start w:val="1"/>
      <w:numFmt w:val="bullet"/>
      <w:lvlText w:val="o"/>
      <w:lvlJc w:val="left"/>
      <w:pPr>
        <w:ind w:left="337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FAEC9C">
      <w:start w:val="1"/>
      <w:numFmt w:val="bullet"/>
      <w:lvlText w:val="▪"/>
      <w:lvlJc w:val="left"/>
      <w:pPr>
        <w:ind w:left="40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A2377C">
      <w:start w:val="1"/>
      <w:numFmt w:val="bullet"/>
      <w:lvlText w:val="•"/>
      <w:lvlJc w:val="left"/>
      <w:pPr>
        <w:ind w:left="48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5E4002">
      <w:start w:val="1"/>
      <w:numFmt w:val="bullet"/>
      <w:lvlText w:val="o"/>
      <w:lvlJc w:val="left"/>
      <w:pPr>
        <w:ind w:left="55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EEAC70">
      <w:start w:val="1"/>
      <w:numFmt w:val="bullet"/>
      <w:lvlText w:val="▪"/>
      <w:lvlJc w:val="left"/>
      <w:pPr>
        <w:ind w:left="625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4"/>
  </w:num>
  <w:num w:numId="2">
    <w:abstractNumId w:val="25"/>
  </w:num>
  <w:num w:numId="3">
    <w:abstractNumId w:val="16"/>
  </w:num>
  <w:num w:numId="4">
    <w:abstractNumId w:val="21"/>
  </w:num>
  <w:num w:numId="5">
    <w:abstractNumId w:val="13"/>
  </w:num>
  <w:num w:numId="6">
    <w:abstractNumId w:val="18"/>
  </w:num>
  <w:num w:numId="7">
    <w:abstractNumId w:val="5"/>
  </w:num>
  <w:num w:numId="8">
    <w:abstractNumId w:val="11"/>
  </w:num>
  <w:num w:numId="9">
    <w:abstractNumId w:val="3"/>
  </w:num>
  <w:num w:numId="10">
    <w:abstractNumId w:val="0"/>
  </w:num>
  <w:num w:numId="11">
    <w:abstractNumId w:val="22"/>
  </w:num>
  <w:num w:numId="12">
    <w:abstractNumId w:val="20"/>
  </w:num>
  <w:num w:numId="13">
    <w:abstractNumId w:val="19"/>
  </w:num>
  <w:num w:numId="14">
    <w:abstractNumId w:val="6"/>
  </w:num>
  <w:num w:numId="15">
    <w:abstractNumId w:val="8"/>
  </w:num>
  <w:num w:numId="16">
    <w:abstractNumId w:val="4"/>
  </w:num>
  <w:num w:numId="17">
    <w:abstractNumId w:val="7"/>
  </w:num>
  <w:num w:numId="18">
    <w:abstractNumId w:val="12"/>
  </w:num>
  <w:num w:numId="19">
    <w:abstractNumId w:val="10"/>
  </w:num>
  <w:num w:numId="20">
    <w:abstractNumId w:val="9"/>
  </w:num>
  <w:num w:numId="21">
    <w:abstractNumId w:val="1"/>
  </w:num>
  <w:num w:numId="22">
    <w:abstractNumId w:val="2"/>
  </w:num>
  <w:num w:numId="23">
    <w:abstractNumId w:val="15"/>
  </w:num>
  <w:num w:numId="24">
    <w:abstractNumId w:val="23"/>
  </w:num>
  <w:num w:numId="25">
    <w:abstractNumId w:val="2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68"/>
    <w:rsid w:val="00017984"/>
    <w:rsid w:val="0003018F"/>
    <w:rsid w:val="00053986"/>
    <w:rsid w:val="00087D46"/>
    <w:rsid w:val="00096769"/>
    <w:rsid w:val="000E2975"/>
    <w:rsid w:val="00165FAB"/>
    <w:rsid w:val="00176F47"/>
    <w:rsid w:val="001C7A79"/>
    <w:rsid w:val="001E6ECF"/>
    <w:rsid w:val="001E7387"/>
    <w:rsid w:val="00214238"/>
    <w:rsid w:val="002424E8"/>
    <w:rsid w:val="00257E0B"/>
    <w:rsid w:val="002B57DF"/>
    <w:rsid w:val="002C1B01"/>
    <w:rsid w:val="002D0C82"/>
    <w:rsid w:val="00306C2F"/>
    <w:rsid w:val="003204B0"/>
    <w:rsid w:val="003759B1"/>
    <w:rsid w:val="003A1F81"/>
    <w:rsid w:val="003A5F7F"/>
    <w:rsid w:val="003B2BFC"/>
    <w:rsid w:val="003F0E20"/>
    <w:rsid w:val="00462A61"/>
    <w:rsid w:val="004923A3"/>
    <w:rsid w:val="004A2985"/>
    <w:rsid w:val="004C3B18"/>
    <w:rsid w:val="004E0C68"/>
    <w:rsid w:val="0050329B"/>
    <w:rsid w:val="00534CC2"/>
    <w:rsid w:val="00550039"/>
    <w:rsid w:val="00556D48"/>
    <w:rsid w:val="005B1B11"/>
    <w:rsid w:val="00635329"/>
    <w:rsid w:val="00685C0D"/>
    <w:rsid w:val="006C3057"/>
    <w:rsid w:val="006E4EE2"/>
    <w:rsid w:val="00783C69"/>
    <w:rsid w:val="007859CF"/>
    <w:rsid w:val="00796D12"/>
    <w:rsid w:val="007C109A"/>
    <w:rsid w:val="007F717B"/>
    <w:rsid w:val="00826CB2"/>
    <w:rsid w:val="008709AD"/>
    <w:rsid w:val="00875C98"/>
    <w:rsid w:val="008F6C8E"/>
    <w:rsid w:val="00905D7C"/>
    <w:rsid w:val="009456FA"/>
    <w:rsid w:val="00960462"/>
    <w:rsid w:val="00962634"/>
    <w:rsid w:val="00972575"/>
    <w:rsid w:val="00990959"/>
    <w:rsid w:val="009D644C"/>
    <w:rsid w:val="009F55F0"/>
    <w:rsid w:val="00A24A0A"/>
    <w:rsid w:val="00A8586B"/>
    <w:rsid w:val="00AB5AB5"/>
    <w:rsid w:val="00AC002C"/>
    <w:rsid w:val="00B4092C"/>
    <w:rsid w:val="00B5757C"/>
    <w:rsid w:val="00C54EE7"/>
    <w:rsid w:val="00C753EB"/>
    <w:rsid w:val="00C96853"/>
    <w:rsid w:val="00CC12AC"/>
    <w:rsid w:val="00CE65C5"/>
    <w:rsid w:val="00CF4BA2"/>
    <w:rsid w:val="00D02669"/>
    <w:rsid w:val="00D1414E"/>
    <w:rsid w:val="00D1703E"/>
    <w:rsid w:val="00DA2465"/>
    <w:rsid w:val="00DD5026"/>
    <w:rsid w:val="00DE6929"/>
    <w:rsid w:val="00DF3F80"/>
    <w:rsid w:val="00E54242"/>
    <w:rsid w:val="00E846B0"/>
    <w:rsid w:val="00EA2D59"/>
    <w:rsid w:val="00EB47D3"/>
    <w:rsid w:val="00F26376"/>
    <w:rsid w:val="00F31F43"/>
    <w:rsid w:val="00F958E0"/>
    <w:rsid w:val="00FA09EC"/>
    <w:rsid w:val="00FE7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AB782"/>
  <w15:docId w15:val="{D05832BC-0E89-4CCB-A4D7-F68227C7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Hyperlink0"/>
    <w:rsid w:val="00096769"/>
    <w:rPr>
      <w:rFonts w:ascii="Arial" w:eastAsia="Arial" w:hAnsi="Arial" w:cs="Arial"/>
      <w:b/>
      <w:bCs/>
      <w:color w:val="0070C0"/>
      <w:u w:val="single" w:color="0070C0"/>
      <w:shd w:val="clear" w:color="auto" w:fill="FFFFFF"/>
      <w:lang w:val="en-US"/>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keepLines/>
      <w:tabs>
        <w:tab w:val="center" w:pos="4320"/>
        <w:tab w:val="right" w:pos="8640"/>
      </w:tabs>
      <w:spacing w:line="190" w:lineRule="atLeast"/>
    </w:pPr>
    <w:rPr>
      <w:rFonts w:cs="Arial Unicode MS"/>
      <w:caps/>
      <w:color w:val="000000"/>
      <w:sz w:val="15"/>
      <w:szCs w:val="15"/>
      <w:u w:color="000000"/>
    </w:rPr>
  </w:style>
  <w:style w:type="paragraph" w:customStyle="1" w:styleId="Body">
    <w:name w:val="Body"/>
    <w:rPr>
      <w:rFonts w:cs="Arial Unicode MS"/>
      <w:color w:val="000000"/>
      <w:sz w:val="24"/>
      <w:szCs w:val="24"/>
      <w:u w:color="000000"/>
    </w:rPr>
  </w:style>
  <w:style w:type="paragraph" w:customStyle="1" w:styleId="CompanyName">
    <w:name w:val="Company Name"/>
    <w:pPr>
      <w:keepNext/>
      <w:keepLines/>
      <w:spacing w:line="220" w:lineRule="atLeast"/>
    </w:pPr>
    <w:rPr>
      <w:rFonts w:ascii="Arial Black" w:eastAsia="Arial Black" w:hAnsi="Arial Black" w:cs="Arial Black"/>
      <w:b/>
      <w:bCs/>
      <w:color w:val="000000"/>
      <w:spacing w:val="-25"/>
      <w:kern w:val="28"/>
      <w:sz w:val="32"/>
      <w:szCs w:val="32"/>
      <w:u w:color="000000"/>
    </w:rPr>
  </w:style>
  <w:style w:type="paragraph" w:customStyle="1" w:styleId="ReturnAddress">
    <w:name w:val="Return Address"/>
    <w:pPr>
      <w:keepLines/>
      <w:tabs>
        <w:tab w:val="left" w:pos="2160"/>
      </w:tabs>
      <w:spacing w:line="160" w:lineRule="atLeast"/>
    </w:pPr>
    <w:rPr>
      <w:rFonts w:cs="Arial Unicode MS"/>
      <w:color w:val="000000"/>
      <w:sz w:val="14"/>
      <w:szCs w:val="14"/>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b/>
      <w:bCs/>
      <w:color w:val="0070C0"/>
      <w:u w:val="single" w:color="0070C0"/>
      <w:shd w:val="clear" w:color="auto" w:fill="FFFFFF"/>
      <w:lang w:val="en-US"/>
    </w:rPr>
  </w:style>
  <w:style w:type="character" w:customStyle="1" w:styleId="Hyperlink1">
    <w:name w:val="Hyperlink.1"/>
    <w:basedOn w:val="Link"/>
    <w:rPr>
      <w:color w:val="0000FF"/>
      <w:u w:val="single" w:color="0000FF"/>
      <w:shd w:val="clear" w:color="auto" w:fill="FFFFFF"/>
      <w:lang w:val="en-US"/>
    </w:rPr>
  </w:style>
  <w:style w:type="paragraph" w:styleId="ListParagraph">
    <w:name w:val="List Paragraph"/>
    <w:pPr>
      <w:ind w:left="720"/>
    </w:pPr>
    <w:rPr>
      <w:rFonts w:ascii="Calibri" w:eastAsia="Calibri" w:hAnsi="Calibri" w:cs="Calibri"/>
      <w:color w:val="000000"/>
      <w:sz w:val="22"/>
      <w:szCs w:val="22"/>
      <w:u w:color="000000"/>
    </w:rPr>
  </w:style>
  <w:style w:type="character" w:customStyle="1" w:styleId="Hyperlink2">
    <w:name w:val="Hyperlink.2"/>
    <w:basedOn w:val="Link"/>
    <w:rPr>
      <w:color w:val="0070C0"/>
      <w:u w:val="single" w:color="0070C0"/>
      <w:shd w:val="clear" w:color="auto" w:fill="FFFFFF"/>
      <w:lang w:val="en-US"/>
    </w:rPr>
  </w:style>
  <w:style w:type="character" w:customStyle="1" w:styleId="Hyperlink3">
    <w:name w:val="Hyperlink.3"/>
    <w:basedOn w:val="Link"/>
    <w:rPr>
      <w:rFonts w:ascii="Arial" w:eastAsia="Arial" w:hAnsi="Arial" w:cs="Arial"/>
      <w:color w:val="0000FF"/>
      <w:u w:val="single" w:color="0000FF"/>
      <w:shd w:val="clear" w:color="auto" w:fill="FFFFFF"/>
      <w:lang w:val="en-US"/>
    </w:rPr>
  </w:style>
  <w:style w:type="character" w:customStyle="1" w:styleId="Hyperlink4">
    <w:name w:val="Hyperlink.4"/>
    <w:basedOn w:val="Link"/>
    <w:rPr>
      <w:rFonts w:ascii="Arial" w:eastAsia="Arial" w:hAnsi="Arial" w:cs="Arial"/>
      <w:b/>
      <w:bCs/>
      <w:color w:val="0070C0"/>
      <w:u w:val="single" w:color="0070C0"/>
      <w:shd w:val="clear" w:color="auto" w:fill="FFFFFF"/>
      <w:lang w:val="en-US"/>
    </w:rPr>
  </w:style>
  <w:style w:type="character" w:customStyle="1" w:styleId="Hyperlink5">
    <w:name w:val="Hyperlink.5"/>
    <w:basedOn w:val="Link"/>
    <w:rPr>
      <w:rFonts w:ascii="Arial" w:eastAsia="Arial" w:hAnsi="Arial" w:cs="Arial"/>
      <w:color w:val="0000FF"/>
      <w:u w:val="single" w:color="0000FF"/>
      <w:lang w:val="en-US"/>
    </w:rPr>
  </w:style>
  <w:style w:type="paragraph" w:styleId="NormalWeb">
    <w:name w:val="Normal (Web)"/>
    <w:basedOn w:val="Normal"/>
    <w:uiPriority w:val="99"/>
    <w:semiHidden/>
    <w:unhideWhenUsed/>
    <w:rsid w:val="00DD50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C96853"/>
    <w:rPr>
      <w:b/>
      <w:bCs/>
    </w:rPr>
  </w:style>
  <w:style w:type="paragraph" w:styleId="BodyText">
    <w:name w:val="Body Text"/>
    <w:basedOn w:val="Normal"/>
    <w:link w:val="BodyTextChar"/>
    <w:rsid w:val="009F55F0"/>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Theme="minorHAnsi" w:eastAsiaTheme="minorHAnsi" w:hAnsiTheme="minorHAnsi" w:cstheme="minorBidi"/>
      <w:sz w:val="22"/>
      <w:szCs w:val="22"/>
      <w:bdr w:val="none" w:sz="0" w:space="0" w:color="auto"/>
    </w:rPr>
  </w:style>
  <w:style w:type="character" w:customStyle="1" w:styleId="BodyTextChar">
    <w:name w:val="Body Text Char"/>
    <w:basedOn w:val="DefaultParagraphFont"/>
    <w:link w:val="BodyText"/>
    <w:rsid w:val="009F55F0"/>
    <w:rPr>
      <w:rFonts w:asciiTheme="minorHAnsi" w:eastAsiaTheme="minorHAnsi" w:hAnsiTheme="minorHAnsi" w:cstheme="minorBidi"/>
      <w:sz w:val="22"/>
      <w:szCs w:val="22"/>
      <w:bdr w:val="none" w:sz="0" w:space="0" w:color="auto"/>
    </w:rPr>
  </w:style>
  <w:style w:type="paragraph" w:styleId="ListNumber">
    <w:name w:val="List Number"/>
    <w:basedOn w:val="BodyText"/>
    <w:rsid w:val="009F55F0"/>
    <w:pPr>
      <w:numPr>
        <w:ilvl w:val="1"/>
        <w:numId w:val="11"/>
      </w:numPr>
      <w:spacing w:before="60"/>
    </w:pPr>
  </w:style>
  <w:style w:type="paragraph" w:styleId="ListNumber2">
    <w:name w:val="List Number 2"/>
    <w:basedOn w:val="ListNumber"/>
    <w:rsid w:val="009F55F0"/>
    <w:pPr>
      <w:numPr>
        <w:ilvl w:val="2"/>
      </w:numPr>
    </w:pPr>
  </w:style>
  <w:style w:type="paragraph" w:styleId="ListBullet5">
    <w:name w:val="List Bullet 5"/>
    <w:basedOn w:val="Normal"/>
    <w:uiPriority w:val="99"/>
    <w:semiHidden/>
    <w:rsid w:val="009F55F0"/>
    <w:pPr>
      <w:numPr>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pPr>
    <w:rPr>
      <w:rFonts w:asciiTheme="minorHAnsi" w:eastAsiaTheme="minorHAnsi" w:hAnsiTheme="minorHAnsi" w:cstheme="minorBidi"/>
      <w:sz w:val="22"/>
      <w:szCs w:val="22"/>
      <w:bdr w:val="none" w:sz="0" w:space="0" w:color="auto"/>
    </w:rPr>
  </w:style>
  <w:style w:type="paragraph" w:styleId="BalloonText">
    <w:name w:val="Balloon Text"/>
    <w:basedOn w:val="Normal"/>
    <w:link w:val="BalloonTextChar"/>
    <w:uiPriority w:val="99"/>
    <w:semiHidden/>
    <w:unhideWhenUsed/>
    <w:rsid w:val="00EA2D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2D59"/>
    <w:rPr>
      <w:rFonts w:ascii="Lucida Grande" w:hAnsi="Lucida Grande" w:cs="Lucida Grande"/>
      <w:sz w:val="18"/>
      <w:szCs w:val="18"/>
    </w:rPr>
  </w:style>
  <w:style w:type="character" w:styleId="CommentReference">
    <w:name w:val="annotation reference"/>
    <w:basedOn w:val="DefaultParagraphFont"/>
    <w:uiPriority w:val="99"/>
    <w:semiHidden/>
    <w:unhideWhenUsed/>
    <w:rsid w:val="00826CB2"/>
    <w:rPr>
      <w:sz w:val="16"/>
      <w:szCs w:val="16"/>
    </w:rPr>
  </w:style>
  <w:style w:type="paragraph" w:styleId="CommentText">
    <w:name w:val="annotation text"/>
    <w:basedOn w:val="Normal"/>
    <w:link w:val="CommentTextChar"/>
    <w:uiPriority w:val="99"/>
    <w:semiHidden/>
    <w:unhideWhenUsed/>
    <w:rsid w:val="00826CB2"/>
    <w:rPr>
      <w:sz w:val="20"/>
      <w:szCs w:val="20"/>
    </w:rPr>
  </w:style>
  <w:style w:type="character" w:customStyle="1" w:styleId="CommentTextChar">
    <w:name w:val="Comment Text Char"/>
    <w:basedOn w:val="DefaultParagraphFont"/>
    <w:link w:val="CommentText"/>
    <w:uiPriority w:val="99"/>
    <w:semiHidden/>
    <w:rsid w:val="00826CB2"/>
  </w:style>
  <w:style w:type="paragraph" w:styleId="CommentSubject">
    <w:name w:val="annotation subject"/>
    <w:basedOn w:val="CommentText"/>
    <w:next w:val="CommentText"/>
    <w:link w:val="CommentSubjectChar"/>
    <w:uiPriority w:val="99"/>
    <w:semiHidden/>
    <w:unhideWhenUsed/>
    <w:rsid w:val="00826CB2"/>
    <w:rPr>
      <w:b/>
      <w:bCs/>
    </w:rPr>
  </w:style>
  <w:style w:type="character" w:customStyle="1" w:styleId="CommentSubjectChar">
    <w:name w:val="Comment Subject Char"/>
    <w:basedOn w:val="CommentTextChar"/>
    <w:link w:val="CommentSubject"/>
    <w:uiPriority w:val="99"/>
    <w:semiHidden/>
    <w:rsid w:val="00826CB2"/>
    <w:rPr>
      <w:b/>
      <w:bCs/>
    </w:rPr>
  </w:style>
  <w:style w:type="character" w:styleId="FollowedHyperlink">
    <w:name w:val="FollowedHyperlink"/>
    <w:basedOn w:val="DefaultParagraphFont"/>
    <w:uiPriority w:val="99"/>
    <w:semiHidden/>
    <w:unhideWhenUsed/>
    <w:rsid w:val="00DA246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259252">
      <w:bodyDiv w:val="1"/>
      <w:marLeft w:val="0"/>
      <w:marRight w:val="0"/>
      <w:marTop w:val="0"/>
      <w:marBottom w:val="0"/>
      <w:divBdr>
        <w:top w:val="none" w:sz="0" w:space="0" w:color="auto"/>
        <w:left w:val="none" w:sz="0" w:space="0" w:color="auto"/>
        <w:bottom w:val="none" w:sz="0" w:space="0" w:color="auto"/>
        <w:right w:val="none" w:sz="0" w:space="0" w:color="auto"/>
      </w:divBdr>
    </w:div>
    <w:div w:id="1598292134">
      <w:bodyDiv w:val="1"/>
      <w:marLeft w:val="0"/>
      <w:marRight w:val="0"/>
      <w:marTop w:val="0"/>
      <w:marBottom w:val="0"/>
      <w:divBdr>
        <w:top w:val="none" w:sz="0" w:space="0" w:color="auto"/>
        <w:left w:val="none" w:sz="0" w:space="0" w:color="auto"/>
        <w:bottom w:val="none" w:sz="0" w:space="0" w:color="auto"/>
        <w:right w:val="none" w:sz="0" w:space="0" w:color="auto"/>
      </w:divBdr>
    </w:div>
    <w:div w:id="1953854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aterboards.ca.gov/sanfranciscobay/board_info/agendas/2017/April/Pacifica/Tentative_Order.pdf" TargetMode="External"/><Relationship Id="rId13" Type="http://schemas.openxmlformats.org/officeDocument/2006/relationships/hyperlink" Target="https://bacwa.org/wp-content/uploads/2017/04/BACWA-comments-EBDA-TO-04-03-17.pdf" TargetMode="External"/><Relationship Id="rId18" Type="http://schemas.openxmlformats.org/officeDocument/2006/relationships/hyperlink" Target="https://bacwa.org/wp-content/uploads/2017/04/Toxicity-Provisions-Staff-Draft.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acwa.org/document/ebda-comment-letter-3-03-17/" TargetMode="External"/><Relationship Id="rId17" Type="http://schemas.openxmlformats.org/officeDocument/2006/relationships/hyperlink" Target="https://bacwa.org/wp-content/uploads/2017/03/BACWA-comments-303d-update-03-13-17.pdf" TargetMode="External"/><Relationship Id="rId2" Type="http://schemas.openxmlformats.org/officeDocument/2006/relationships/numbering" Target="numbering.xml"/><Relationship Id="rId16" Type="http://schemas.openxmlformats.org/officeDocument/2006/relationships/hyperlink" Target="http://www.waterboards.ca.gov/sanfranciscobay/water_issues/programs/TMDLs/303dlist.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cwa.org/wp-content/uploads/2017/03/BACWA-comments-CCCSD-TO-03-06-17.pdf" TargetMode="External"/><Relationship Id="rId5" Type="http://schemas.openxmlformats.org/officeDocument/2006/relationships/webSettings" Target="webSettings.xml"/><Relationship Id="rId15" Type="http://schemas.openxmlformats.org/officeDocument/2006/relationships/hyperlink" Target="https://bacwa.org/wp-content/uploads/2017/04/BACWA-AIR-Letter-Report-To-BAAQMD-04-04-17-1.pdf" TargetMode="External"/><Relationship Id="rId23" Type="http://schemas.openxmlformats.org/officeDocument/2006/relationships/theme" Target="theme/theme1.xml"/><Relationship Id="rId10" Type="http://schemas.openxmlformats.org/officeDocument/2006/relationships/hyperlink" Target="https://bacwa.org/wp-content/uploads/2017/03/BACWA-comments-Pacifica-TO-02-27-17-1.pdf" TargetMode="External"/><Relationship Id="rId19" Type="http://schemas.openxmlformats.org/officeDocument/2006/relationships/hyperlink" Target="https://bacwa.org/wp-content/uploads/2017/04/Outreach-Document.pdf" TargetMode="External"/><Relationship Id="rId4" Type="http://schemas.openxmlformats.org/officeDocument/2006/relationships/settings" Target="settings.xml"/><Relationship Id="rId9" Type="http://schemas.openxmlformats.org/officeDocument/2006/relationships/hyperlink" Target="http://ftp.sccwrp.org/pub/download/DOCUMENTS/TechnicalReports/956_StrmWtrMonitCoalitToxTestingLabGuid.pdf" TargetMode="External"/><Relationship Id="rId14" Type="http://schemas.openxmlformats.org/officeDocument/2006/relationships/hyperlink" Target="http://bacwa.org/wp-content/uploads/2017/04/EBDA-Chlorine-Residual-Memo-09-12-16-2.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FB820-F35A-4080-A581-19BC0EA47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East Bay Municipal Utility District</Company>
  <LinksUpToDate>false</LinksUpToDate>
  <CharactersWithSpaces>10351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Lorien Fono</dc:creator>
  <cp:lastModifiedBy>Lorien Fono</cp:lastModifiedBy>
  <cp:revision>2</cp:revision>
  <dcterms:created xsi:type="dcterms:W3CDTF">2017-04-18T22:22:00Z</dcterms:created>
  <dcterms:modified xsi:type="dcterms:W3CDTF">2017-04-18T22:22:00Z</dcterms:modified>
</cp:coreProperties>
</file>