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7.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728286E" w14:textId="77777777" w:rsidR="00F878D4" w:rsidRPr="008632D9" w:rsidRDefault="00F878D4" w:rsidP="004D787E">
      <w:pPr>
        <w:pStyle w:val="Heading1"/>
        <w:rPr>
          <w:color w:val="00B0F0"/>
        </w:rPr>
      </w:pPr>
    </w:p>
    <w:p w14:paraId="7AA3C00D" w14:textId="77777777" w:rsidR="00F878D4" w:rsidRPr="008632D9" w:rsidRDefault="00AF3504">
      <w:pPr>
        <w:pStyle w:val="TitleCover"/>
        <w:rPr>
          <w:rFonts w:ascii="Times New Roman" w:hAnsi="Times New Roman"/>
          <w:color w:val="000000" w:themeColor="text1"/>
        </w:rPr>
      </w:pPr>
      <w:r w:rsidRPr="008632D9">
        <w:rPr>
          <w:rFonts w:ascii="Times New Roman" w:hAnsi="Times New Roman"/>
          <w:color w:val="000000" w:themeColor="text1"/>
          <w:lang w:val="es-MX"/>
        </w:rPr>
        <w:t>ORDER</w:t>
      </w:r>
      <w:r w:rsidR="00F878D4" w:rsidRPr="008632D9">
        <w:rPr>
          <w:rFonts w:ascii="Times New Roman" w:hAnsi="Times New Roman"/>
          <w:color w:val="000000" w:themeColor="text1"/>
          <w:lang w:val="es-MX"/>
        </w:rPr>
        <w:t xml:space="preserve"> </w:t>
      </w:r>
      <w:r w:rsidR="00C771F5" w:rsidRPr="008632D9">
        <w:rPr>
          <w:rFonts w:ascii="Times New Roman" w:hAnsi="Times New Roman"/>
          <w:color w:val="000000" w:themeColor="text1"/>
          <w:lang w:val="es-MX"/>
        </w:rPr>
        <w:t xml:space="preserve">No. </w:t>
      </w:r>
      <w:r w:rsidR="00CA21CF" w:rsidRPr="008632D9">
        <w:rPr>
          <w:rFonts w:ascii="Times New Roman" w:hAnsi="Times New Roman"/>
          <w:color w:val="000000" w:themeColor="text1"/>
          <w:lang w:val="es-MX"/>
        </w:rPr>
        <w:t>R2-201</w:t>
      </w:r>
      <w:r w:rsidR="004461E9">
        <w:rPr>
          <w:rFonts w:ascii="Times New Roman" w:hAnsi="Times New Roman"/>
          <w:color w:val="000000" w:themeColor="text1"/>
          <w:lang w:val="es-MX"/>
        </w:rPr>
        <w:t>7</w:t>
      </w:r>
      <w:r w:rsidR="00CA21CF" w:rsidRPr="008632D9">
        <w:rPr>
          <w:rFonts w:ascii="Times New Roman" w:hAnsi="Times New Roman"/>
          <w:color w:val="000000" w:themeColor="text1"/>
          <w:lang w:val="es-MX"/>
        </w:rPr>
        <w:t>-</w:t>
      </w:r>
      <w:r w:rsidR="00ED60A3">
        <w:rPr>
          <w:rFonts w:ascii="Times New Roman" w:hAnsi="Times New Roman"/>
          <w:color w:val="000000" w:themeColor="text1"/>
          <w:lang w:val="es-MX"/>
        </w:rPr>
        <w:t>00</w:t>
      </w:r>
      <w:r w:rsidR="00074F4F">
        <w:rPr>
          <w:rFonts w:ascii="Times New Roman" w:hAnsi="Times New Roman"/>
          <w:color w:val="000000" w:themeColor="text1"/>
          <w:lang w:val="es-MX"/>
        </w:rPr>
        <w:t>XX</w:t>
      </w:r>
    </w:p>
    <w:p w14:paraId="770BA67C" w14:textId="77777777" w:rsidR="00F878D4" w:rsidRPr="008632D9" w:rsidRDefault="00F878D4" w:rsidP="00D16C1E">
      <w:pPr>
        <w:pStyle w:val="TitleCover"/>
        <w:rPr>
          <w:rFonts w:ascii="Times New Roman" w:hAnsi="Times New Roman"/>
          <w:color w:val="000000" w:themeColor="text1"/>
        </w:rPr>
      </w:pPr>
      <w:r w:rsidRPr="008632D9">
        <w:rPr>
          <w:rFonts w:ascii="Times New Roman" w:hAnsi="Times New Roman"/>
          <w:color w:val="000000" w:themeColor="text1"/>
        </w:rPr>
        <w:t>NPDES N</w:t>
      </w:r>
      <w:r w:rsidR="00340734" w:rsidRPr="008632D9">
        <w:rPr>
          <w:rFonts w:ascii="Times New Roman" w:hAnsi="Times New Roman"/>
          <w:color w:val="000000" w:themeColor="text1"/>
        </w:rPr>
        <w:t>o</w:t>
      </w:r>
      <w:r w:rsidRPr="008632D9">
        <w:rPr>
          <w:rFonts w:ascii="Times New Roman" w:hAnsi="Times New Roman"/>
          <w:color w:val="000000" w:themeColor="text1"/>
        </w:rPr>
        <w:t xml:space="preserve">. </w:t>
      </w:r>
      <w:r w:rsidR="0057556F" w:rsidRPr="008632D9">
        <w:rPr>
          <w:rFonts w:ascii="Times New Roman" w:hAnsi="Times New Roman"/>
          <w:color w:val="000000" w:themeColor="text1"/>
        </w:rPr>
        <w:t>CA003</w:t>
      </w:r>
      <w:r w:rsidR="00074F4F">
        <w:rPr>
          <w:rFonts w:ascii="Times New Roman" w:hAnsi="Times New Roman"/>
          <w:color w:val="000000" w:themeColor="text1"/>
        </w:rPr>
        <w:t>8849</w:t>
      </w:r>
    </w:p>
    <w:p w14:paraId="14FED551" w14:textId="77777777" w:rsidR="00F878D4" w:rsidRPr="008632D9" w:rsidRDefault="00F878D4" w:rsidP="00D16C1E">
      <w:pPr>
        <w:pStyle w:val="BodyText"/>
        <w:spacing w:after="0"/>
        <w:ind w:left="360"/>
        <w:rPr>
          <w:rFonts w:ascii="Times New Roman" w:hAnsi="Times New Roman" w:cs="Times New Roman"/>
          <w:color w:val="000000" w:themeColor="text1"/>
        </w:rPr>
      </w:pPr>
    </w:p>
    <w:p w14:paraId="655E41FF" w14:textId="1F7BD463" w:rsidR="00735D06" w:rsidRPr="00336FB9" w:rsidRDefault="00735D06" w:rsidP="00336FB9">
      <w:pPr>
        <w:spacing w:after="240"/>
        <w:jc w:val="center"/>
        <w:rPr>
          <w:b/>
          <w:sz w:val="22"/>
        </w:rPr>
      </w:pPr>
      <w:r w:rsidRPr="005230D6">
        <w:rPr>
          <w:b/>
          <w:sz w:val="22"/>
        </w:rPr>
        <w:t>WASTE DISCHARGE REQUIREMENTS FOR MERCURY AND PCBS FROM MUNICIPAL AND INDUSTRIAL WASTEWATER DISCHARGES TO SAN FRANCISCO BAY</w:t>
      </w:r>
    </w:p>
    <w:p w14:paraId="0F4A380E" w14:textId="70AAD946" w:rsidR="003956FB" w:rsidRPr="002A5B99" w:rsidRDefault="00F878D4" w:rsidP="00DE1671">
      <w:pPr>
        <w:pStyle w:val="BodyText"/>
        <w:rPr>
          <w:rFonts w:ascii="Times New Roman" w:hAnsi="Times New Roman" w:cs="Times New Roman"/>
          <w:color w:val="000000" w:themeColor="text1"/>
          <w:sz w:val="24"/>
        </w:rPr>
      </w:pPr>
      <w:r w:rsidRPr="002A5B99">
        <w:rPr>
          <w:rFonts w:ascii="Times New Roman" w:hAnsi="Times New Roman" w:cs="Times New Roman"/>
          <w:color w:val="000000" w:themeColor="text1"/>
          <w:sz w:val="24"/>
        </w:rPr>
        <w:t xml:space="preserve">The following </w:t>
      </w:r>
      <w:r w:rsidR="000965D0">
        <w:rPr>
          <w:rFonts w:ascii="Times New Roman" w:hAnsi="Times New Roman" w:cs="Times New Roman"/>
          <w:color w:val="000000" w:themeColor="text1"/>
          <w:sz w:val="24"/>
        </w:rPr>
        <w:t>dischargers</w:t>
      </w:r>
      <w:r w:rsidRPr="002A5B99">
        <w:rPr>
          <w:rFonts w:ascii="Times New Roman" w:hAnsi="Times New Roman" w:cs="Times New Roman"/>
          <w:color w:val="000000" w:themeColor="text1"/>
          <w:sz w:val="24"/>
        </w:rPr>
        <w:t xml:space="preserve"> </w:t>
      </w:r>
      <w:r w:rsidR="000965D0">
        <w:rPr>
          <w:rFonts w:ascii="Times New Roman" w:hAnsi="Times New Roman" w:cs="Times New Roman"/>
          <w:color w:val="000000" w:themeColor="text1"/>
          <w:sz w:val="24"/>
        </w:rPr>
        <w:t>are</w:t>
      </w:r>
      <w:r w:rsidRPr="002A5B99">
        <w:rPr>
          <w:rFonts w:ascii="Times New Roman" w:hAnsi="Times New Roman" w:cs="Times New Roman"/>
          <w:color w:val="000000" w:themeColor="text1"/>
          <w:sz w:val="24"/>
        </w:rPr>
        <w:t xml:space="preserve"> subject to waste discharge requirements</w:t>
      </w:r>
      <w:r w:rsidR="00340734" w:rsidRPr="002A5B99">
        <w:rPr>
          <w:rFonts w:ascii="Times New Roman" w:hAnsi="Times New Roman" w:cs="Times New Roman"/>
          <w:color w:val="000000" w:themeColor="text1"/>
          <w:sz w:val="24"/>
        </w:rPr>
        <w:t xml:space="preserve"> (WDRs) </w:t>
      </w:r>
      <w:r w:rsidRPr="002A5B99">
        <w:rPr>
          <w:rFonts w:ascii="Times New Roman" w:hAnsi="Times New Roman" w:cs="Times New Roman"/>
          <w:color w:val="000000" w:themeColor="text1"/>
          <w:sz w:val="24"/>
        </w:rPr>
        <w:t>set forth in this Order</w:t>
      </w:r>
      <w:r w:rsidR="003956FB" w:rsidRPr="002A5B99">
        <w:rPr>
          <w:rFonts w:ascii="Times New Roman" w:hAnsi="Times New Roman" w:cs="Times New Roman"/>
          <w:color w:val="000000" w:themeColor="text1"/>
          <w:sz w:val="24"/>
        </w:rPr>
        <w:t>, for the purpose of implementing the San Francisco Bay Mercury and PCBs Total Maximum Daily Load (TMDL) wasteload allocations for municipal and industrial wastewater discharges to San Francisco Bay and its contiguous bay segments:</w:t>
      </w:r>
    </w:p>
    <w:p w14:paraId="2D552A55" w14:textId="77777777" w:rsidR="005465D4" w:rsidRPr="006D06C6" w:rsidRDefault="00FF755B" w:rsidP="0031592A">
      <w:pPr>
        <w:pStyle w:val="TableHeader1"/>
        <w:jc w:val="center"/>
        <w:rPr>
          <w:rFonts w:ascii="Times New Roman" w:hAnsi="Times New Roman" w:cs="Times New Roman"/>
          <w:color w:val="000000" w:themeColor="text1"/>
          <w:sz w:val="22"/>
          <w:szCs w:val="24"/>
        </w:rPr>
      </w:pPr>
      <w:bookmarkStart w:id="0" w:name="_Toc487382085"/>
      <w:r w:rsidRPr="006D06C6">
        <w:rPr>
          <w:rFonts w:ascii="Times New Roman" w:hAnsi="Times New Roman" w:cs="Times New Roman"/>
          <w:color w:val="000000" w:themeColor="text1"/>
          <w:sz w:val="22"/>
        </w:rPr>
        <w:t>Table 1</w:t>
      </w:r>
      <w:r w:rsidR="0031592A" w:rsidRPr="006D06C6">
        <w:rPr>
          <w:rFonts w:ascii="Times New Roman" w:hAnsi="Times New Roman" w:cs="Times New Roman"/>
          <w:color w:val="000000" w:themeColor="text1"/>
          <w:sz w:val="22"/>
        </w:rPr>
        <w:t>A</w:t>
      </w:r>
      <w:r w:rsidRPr="006D06C6">
        <w:rPr>
          <w:rFonts w:ascii="Times New Roman" w:hAnsi="Times New Roman" w:cs="Times New Roman"/>
          <w:color w:val="000000" w:themeColor="text1"/>
          <w:sz w:val="22"/>
        </w:rPr>
        <w:t xml:space="preserve">. </w:t>
      </w:r>
      <w:r w:rsidR="0031592A" w:rsidRPr="006D06C6">
        <w:rPr>
          <w:rFonts w:ascii="Times New Roman" w:hAnsi="Times New Roman" w:cs="Times New Roman"/>
          <w:color w:val="000000" w:themeColor="text1"/>
          <w:sz w:val="22"/>
        </w:rPr>
        <w:t xml:space="preserve">Municipal </w:t>
      </w:r>
      <w:r w:rsidRPr="006D06C6">
        <w:rPr>
          <w:rFonts w:ascii="Times New Roman" w:hAnsi="Times New Roman" w:cs="Times New Roman"/>
          <w:color w:val="000000" w:themeColor="text1"/>
          <w:sz w:val="22"/>
        </w:rPr>
        <w:t>Discharger Information</w:t>
      </w:r>
      <w:bookmarkEnd w:id="0"/>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1"/>
        <w:gridCol w:w="2862"/>
        <w:gridCol w:w="3195"/>
        <w:gridCol w:w="990"/>
      </w:tblGrid>
      <w:tr w:rsidR="005465D4" w:rsidRPr="00DB0846" w14:paraId="0CAAAE1E" w14:textId="77777777" w:rsidTr="00306DBF">
        <w:trPr>
          <w:cantSplit/>
          <w:tblHeader/>
        </w:trPr>
        <w:tc>
          <w:tcPr>
            <w:tcW w:w="3321" w:type="dxa"/>
            <w:tcBorders>
              <w:top w:val="single" w:sz="12" w:space="0" w:color="auto"/>
              <w:left w:val="single" w:sz="12" w:space="0" w:color="auto"/>
              <w:bottom w:val="single" w:sz="12" w:space="0" w:color="auto"/>
            </w:tcBorders>
            <w:shd w:val="clear" w:color="auto" w:fill="auto"/>
            <w:vAlign w:val="center"/>
          </w:tcPr>
          <w:p w14:paraId="3745D007" w14:textId="77777777" w:rsidR="005465D4" w:rsidRPr="005465D4" w:rsidRDefault="005465D4" w:rsidP="00214C59">
            <w:pPr>
              <w:jc w:val="center"/>
              <w:rPr>
                <w:b/>
                <w:color w:val="000000"/>
              </w:rPr>
            </w:pPr>
            <w:r w:rsidRPr="005465D4">
              <w:rPr>
                <w:b/>
                <w:color w:val="000000"/>
              </w:rPr>
              <w:t>Discharger</w:t>
            </w:r>
          </w:p>
        </w:tc>
        <w:tc>
          <w:tcPr>
            <w:tcW w:w="2862" w:type="dxa"/>
            <w:tcBorders>
              <w:top w:val="single" w:sz="12" w:space="0" w:color="auto"/>
              <w:bottom w:val="single" w:sz="12" w:space="0" w:color="auto"/>
            </w:tcBorders>
            <w:shd w:val="clear" w:color="auto" w:fill="auto"/>
            <w:vAlign w:val="center"/>
          </w:tcPr>
          <w:p w14:paraId="0C4A6B85" w14:textId="77777777" w:rsidR="005465D4" w:rsidRPr="005465D4" w:rsidRDefault="00F16839" w:rsidP="00214C59">
            <w:pPr>
              <w:jc w:val="center"/>
              <w:rPr>
                <w:b/>
                <w:color w:val="000000"/>
              </w:rPr>
            </w:pPr>
            <w:r>
              <w:rPr>
                <w:b/>
                <w:color w:val="000000"/>
              </w:rPr>
              <w:t>Facility Name</w:t>
            </w:r>
          </w:p>
        </w:tc>
        <w:tc>
          <w:tcPr>
            <w:tcW w:w="3195" w:type="dxa"/>
            <w:tcBorders>
              <w:top w:val="single" w:sz="12" w:space="0" w:color="auto"/>
              <w:bottom w:val="single" w:sz="12" w:space="0" w:color="auto"/>
              <w:right w:val="single" w:sz="4" w:space="0" w:color="auto"/>
            </w:tcBorders>
            <w:shd w:val="clear" w:color="auto" w:fill="auto"/>
            <w:vAlign w:val="center"/>
          </w:tcPr>
          <w:p w14:paraId="1E0B9207" w14:textId="77777777" w:rsidR="005465D4" w:rsidRPr="005465D4" w:rsidRDefault="005465D4" w:rsidP="00214C59">
            <w:pPr>
              <w:jc w:val="center"/>
              <w:rPr>
                <w:b/>
                <w:color w:val="000000"/>
              </w:rPr>
            </w:pPr>
            <w:r w:rsidRPr="005465D4">
              <w:rPr>
                <w:b/>
                <w:color w:val="000000"/>
              </w:rPr>
              <w:t>Facility Address</w:t>
            </w:r>
          </w:p>
        </w:tc>
        <w:tc>
          <w:tcPr>
            <w:tcW w:w="990" w:type="dxa"/>
            <w:tcBorders>
              <w:top w:val="single" w:sz="12" w:space="0" w:color="auto"/>
              <w:left w:val="single" w:sz="4" w:space="0" w:color="auto"/>
              <w:bottom w:val="single" w:sz="12" w:space="0" w:color="auto"/>
              <w:right w:val="single" w:sz="12" w:space="0" w:color="auto"/>
            </w:tcBorders>
            <w:shd w:val="clear" w:color="auto" w:fill="auto"/>
          </w:tcPr>
          <w:p w14:paraId="3CEDDFAC" w14:textId="77777777" w:rsidR="005465D4" w:rsidRPr="005465D4" w:rsidRDefault="005465D4" w:rsidP="00214C59">
            <w:pPr>
              <w:jc w:val="center"/>
              <w:rPr>
                <w:b/>
                <w:color w:val="000000"/>
              </w:rPr>
            </w:pPr>
            <w:r w:rsidRPr="005465D4">
              <w:rPr>
                <w:b/>
                <w:color w:val="000000"/>
              </w:rPr>
              <w:t>Minor/ Major</w:t>
            </w:r>
          </w:p>
        </w:tc>
      </w:tr>
      <w:tr w:rsidR="005465D4" w:rsidRPr="00DB0846" w14:paraId="39A77524" w14:textId="77777777" w:rsidTr="00D779CE">
        <w:trPr>
          <w:cantSplit/>
        </w:trPr>
        <w:tc>
          <w:tcPr>
            <w:tcW w:w="3321" w:type="dxa"/>
            <w:tcBorders>
              <w:top w:val="single" w:sz="12" w:space="0" w:color="auto"/>
              <w:left w:val="single" w:sz="12" w:space="0" w:color="auto"/>
            </w:tcBorders>
            <w:shd w:val="clear" w:color="auto" w:fill="auto"/>
            <w:vAlign w:val="center"/>
          </w:tcPr>
          <w:p w14:paraId="0AE66634" w14:textId="77777777" w:rsidR="005465D4" w:rsidRPr="005465D4" w:rsidRDefault="005465D4" w:rsidP="00214C59">
            <w:r w:rsidRPr="005465D4">
              <w:t>American Canyon, City of</w:t>
            </w:r>
          </w:p>
        </w:tc>
        <w:tc>
          <w:tcPr>
            <w:tcW w:w="2862" w:type="dxa"/>
            <w:tcBorders>
              <w:top w:val="single" w:sz="12" w:space="0" w:color="auto"/>
            </w:tcBorders>
            <w:shd w:val="clear" w:color="auto" w:fill="auto"/>
            <w:vAlign w:val="center"/>
          </w:tcPr>
          <w:p w14:paraId="43EBA04C" w14:textId="77777777" w:rsidR="005465D4" w:rsidRPr="005465D4" w:rsidRDefault="005465D4" w:rsidP="00214C59">
            <w:r w:rsidRPr="005465D4">
              <w:t>Wastewater Treatment and Reclamation Facility</w:t>
            </w:r>
          </w:p>
        </w:tc>
        <w:tc>
          <w:tcPr>
            <w:tcW w:w="3195" w:type="dxa"/>
            <w:tcBorders>
              <w:top w:val="single" w:sz="12" w:space="0" w:color="auto"/>
              <w:right w:val="single" w:sz="4" w:space="0" w:color="auto"/>
            </w:tcBorders>
            <w:shd w:val="clear" w:color="auto" w:fill="auto"/>
            <w:vAlign w:val="center"/>
          </w:tcPr>
          <w:p w14:paraId="4171616B" w14:textId="77777777" w:rsidR="005465D4" w:rsidRPr="005465D4" w:rsidRDefault="005465D4" w:rsidP="00214C59">
            <w:r w:rsidRPr="005465D4">
              <w:t>151 Mezzetta Court</w:t>
            </w:r>
          </w:p>
          <w:p w14:paraId="35B32F99" w14:textId="77777777" w:rsidR="005465D4" w:rsidRPr="005465D4" w:rsidRDefault="005465D4" w:rsidP="00214C59">
            <w:r w:rsidRPr="005465D4">
              <w:t>American Canyon, CA 94503</w:t>
            </w:r>
          </w:p>
          <w:p w14:paraId="3635BF5F" w14:textId="77777777" w:rsidR="005465D4" w:rsidRPr="005465D4" w:rsidRDefault="005465D4" w:rsidP="00214C59">
            <w:r w:rsidRPr="005465D4">
              <w:t>Napa County</w:t>
            </w:r>
          </w:p>
        </w:tc>
        <w:tc>
          <w:tcPr>
            <w:tcW w:w="990" w:type="dxa"/>
            <w:tcBorders>
              <w:top w:val="single" w:sz="12" w:space="0" w:color="auto"/>
              <w:left w:val="single" w:sz="4" w:space="0" w:color="auto"/>
              <w:right w:val="single" w:sz="12" w:space="0" w:color="auto"/>
            </w:tcBorders>
            <w:shd w:val="clear" w:color="auto" w:fill="auto"/>
            <w:vAlign w:val="center"/>
          </w:tcPr>
          <w:p w14:paraId="46FB8198" w14:textId="77777777" w:rsidR="005465D4" w:rsidRPr="005465D4" w:rsidRDefault="005465D4" w:rsidP="00D779CE">
            <w:pPr>
              <w:jc w:val="center"/>
              <w:rPr>
                <w:color w:val="000000"/>
              </w:rPr>
            </w:pPr>
            <w:r w:rsidRPr="005465D4">
              <w:rPr>
                <w:color w:val="000000"/>
              </w:rPr>
              <w:t>Major</w:t>
            </w:r>
          </w:p>
        </w:tc>
      </w:tr>
      <w:tr w:rsidR="005465D4" w:rsidRPr="00DB0846" w14:paraId="4ECAC3C9" w14:textId="77777777" w:rsidTr="00D779CE">
        <w:trPr>
          <w:cantSplit/>
        </w:trPr>
        <w:tc>
          <w:tcPr>
            <w:tcW w:w="3321" w:type="dxa"/>
            <w:tcBorders>
              <w:left w:val="single" w:sz="12" w:space="0" w:color="auto"/>
            </w:tcBorders>
            <w:shd w:val="clear" w:color="auto" w:fill="auto"/>
            <w:vAlign w:val="center"/>
          </w:tcPr>
          <w:p w14:paraId="6845C682" w14:textId="77777777" w:rsidR="005465D4" w:rsidRPr="005465D4" w:rsidRDefault="005465D4" w:rsidP="00D779CE">
            <w:pPr>
              <w:pStyle w:val="FootnoteText"/>
              <w:rPr>
                <w:rFonts w:eastAsia="Arial Unicode MS"/>
              </w:rPr>
            </w:pPr>
            <w:r w:rsidRPr="005465D4">
              <w:t>Benicia, City of</w:t>
            </w:r>
          </w:p>
        </w:tc>
        <w:tc>
          <w:tcPr>
            <w:tcW w:w="2862" w:type="dxa"/>
            <w:shd w:val="clear" w:color="auto" w:fill="auto"/>
            <w:vAlign w:val="center"/>
          </w:tcPr>
          <w:p w14:paraId="57DD60A9" w14:textId="77777777" w:rsidR="005465D4" w:rsidRPr="005465D4" w:rsidRDefault="005465D4" w:rsidP="00214C59">
            <w:r w:rsidRPr="005465D4">
              <w:t>Benicia Wastewater Treatment Plant</w:t>
            </w:r>
          </w:p>
        </w:tc>
        <w:tc>
          <w:tcPr>
            <w:tcW w:w="3195" w:type="dxa"/>
            <w:tcBorders>
              <w:right w:val="single" w:sz="4" w:space="0" w:color="auto"/>
            </w:tcBorders>
            <w:shd w:val="clear" w:color="auto" w:fill="auto"/>
            <w:vAlign w:val="center"/>
          </w:tcPr>
          <w:p w14:paraId="62D221C3" w14:textId="77777777" w:rsidR="005465D4" w:rsidRPr="005465D4" w:rsidRDefault="005465D4" w:rsidP="00214C59">
            <w:r w:rsidRPr="005465D4">
              <w:t>614 East Fifth Street</w:t>
            </w:r>
          </w:p>
          <w:p w14:paraId="32662509" w14:textId="77777777" w:rsidR="005465D4" w:rsidRPr="005465D4" w:rsidRDefault="005465D4" w:rsidP="00214C59">
            <w:r w:rsidRPr="005465D4">
              <w:t>Benicia, CA 94510</w:t>
            </w:r>
          </w:p>
          <w:p w14:paraId="13A79307" w14:textId="77777777" w:rsidR="005465D4" w:rsidRPr="005465D4" w:rsidRDefault="005465D4" w:rsidP="00214C59">
            <w:r w:rsidRPr="005465D4">
              <w:t>Solano County</w:t>
            </w:r>
          </w:p>
        </w:tc>
        <w:tc>
          <w:tcPr>
            <w:tcW w:w="990" w:type="dxa"/>
            <w:tcBorders>
              <w:left w:val="single" w:sz="4" w:space="0" w:color="auto"/>
              <w:right w:val="single" w:sz="12" w:space="0" w:color="auto"/>
            </w:tcBorders>
            <w:shd w:val="clear" w:color="auto" w:fill="auto"/>
            <w:vAlign w:val="center"/>
          </w:tcPr>
          <w:p w14:paraId="1EC03555" w14:textId="77777777" w:rsidR="005465D4" w:rsidRPr="005465D4" w:rsidRDefault="005465D4" w:rsidP="00D779CE">
            <w:pPr>
              <w:jc w:val="center"/>
              <w:rPr>
                <w:color w:val="000000"/>
              </w:rPr>
            </w:pPr>
            <w:r w:rsidRPr="005465D4">
              <w:rPr>
                <w:color w:val="000000"/>
              </w:rPr>
              <w:t>Major</w:t>
            </w:r>
          </w:p>
        </w:tc>
      </w:tr>
      <w:tr w:rsidR="005465D4" w:rsidRPr="00DB0846" w14:paraId="3EDBF9F4" w14:textId="77777777" w:rsidTr="00D779CE">
        <w:trPr>
          <w:cantSplit/>
        </w:trPr>
        <w:tc>
          <w:tcPr>
            <w:tcW w:w="3321" w:type="dxa"/>
            <w:tcBorders>
              <w:left w:val="single" w:sz="12" w:space="0" w:color="auto"/>
            </w:tcBorders>
            <w:shd w:val="clear" w:color="auto" w:fill="auto"/>
            <w:vAlign w:val="center"/>
          </w:tcPr>
          <w:p w14:paraId="53C5E1EA" w14:textId="77777777" w:rsidR="005465D4" w:rsidRPr="005465D4" w:rsidRDefault="005465D4" w:rsidP="00214C59">
            <w:pPr>
              <w:rPr>
                <w:rFonts w:eastAsia="Arial Unicode MS"/>
              </w:rPr>
            </w:pPr>
            <w:r w:rsidRPr="005465D4">
              <w:t>Burlingame, City of</w:t>
            </w:r>
          </w:p>
        </w:tc>
        <w:tc>
          <w:tcPr>
            <w:tcW w:w="2862" w:type="dxa"/>
            <w:shd w:val="clear" w:color="auto" w:fill="auto"/>
            <w:vAlign w:val="center"/>
          </w:tcPr>
          <w:p w14:paraId="6978BD6D" w14:textId="77777777" w:rsidR="005465D4" w:rsidRPr="005465D4" w:rsidRDefault="005465D4" w:rsidP="00214C59">
            <w:r w:rsidRPr="005465D4">
              <w:t>Burlingame Wastewater Treatment Plant</w:t>
            </w:r>
          </w:p>
        </w:tc>
        <w:tc>
          <w:tcPr>
            <w:tcW w:w="3195" w:type="dxa"/>
            <w:tcBorders>
              <w:right w:val="single" w:sz="4" w:space="0" w:color="auto"/>
            </w:tcBorders>
            <w:shd w:val="clear" w:color="auto" w:fill="auto"/>
            <w:vAlign w:val="center"/>
          </w:tcPr>
          <w:p w14:paraId="5807DC42" w14:textId="77777777" w:rsidR="005465D4" w:rsidRPr="005465D4" w:rsidRDefault="005465D4" w:rsidP="00214C59">
            <w:r w:rsidRPr="005465D4">
              <w:t>1103 Airport Boulevard</w:t>
            </w:r>
          </w:p>
          <w:p w14:paraId="4099ABC4" w14:textId="77777777" w:rsidR="005465D4" w:rsidRPr="005465D4" w:rsidRDefault="005465D4" w:rsidP="00214C59">
            <w:r w:rsidRPr="005465D4">
              <w:t>Burlingame, CA 94010</w:t>
            </w:r>
          </w:p>
          <w:p w14:paraId="625F453C" w14:textId="77777777" w:rsidR="005465D4" w:rsidRPr="005465D4" w:rsidRDefault="005465D4" w:rsidP="00214C59">
            <w:r w:rsidRPr="005465D4">
              <w:t>San Mateo County</w:t>
            </w:r>
          </w:p>
        </w:tc>
        <w:tc>
          <w:tcPr>
            <w:tcW w:w="990" w:type="dxa"/>
            <w:tcBorders>
              <w:left w:val="single" w:sz="4" w:space="0" w:color="auto"/>
              <w:right w:val="single" w:sz="12" w:space="0" w:color="auto"/>
            </w:tcBorders>
            <w:shd w:val="clear" w:color="auto" w:fill="auto"/>
            <w:vAlign w:val="center"/>
          </w:tcPr>
          <w:p w14:paraId="7BEFF020" w14:textId="77777777" w:rsidR="005465D4" w:rsidRPr="005465D4" w:rsidRDefault="005465D4" w:rsidP="00D779CE">
            <w:pPr>
              <w:jc w:val="center"/>
              <w:rPr>
                <w:color w:val="000000"/>
              </w:rPr>
            </w:pPr>
            <w:r w:rsidRPr="005465D4">
              <w:rPr>
                <w:color w:val="000000"/>
              </w:rPr>
              <w:t>Major</w:t>
            </w:r>
          </w:p>
        </w:tc>
      </w:tr>
      <w:tr w:rsidR="005465D4" w:rsidRPr="00DB0846" w14:paraId="6453DF07" w14:textId="77777777" w:rsidTr="00D779CE">
        <w:trPr>
          <w:cantSplit/>
        </w:trPr>
        <w:tc>
          <w:tcPr>
            <w:tcW w:w="3321" w:type="dxa"/>
            <w:tcBorders>
              <w:left w:val="single" w:sz="12" w:space="0" w:color="auto"/>
            </w:tcBorders>
            <w:shd w:val="clear" w:color="auto" w:fill="auto"/>
            <w:vAlign w:val="center"/>
          </w:tcPr>
          <w:p w14:paraId="1810E913" w14:textId="77777777" w:rsidR="005465D4" w:rsidRPr="005465D4" w:rsidRDefault="005465D4" w:rsidP="00214C59">
            <w:pPr>
              <w:rPr>
                <w:rFonts w:eastAsia="Arial Unicode MS"/>
              </w:rPr>
            </w:pPr>
            <w:r w:rsidRPr="005465D4">
              <w:t>Calistoga, City of</w:t>
            </w:r>
          </w:p>
        </w:tc>
        <w:tc>
          <w:tcPr>
            <w:tcW w:w="2862" w:type="dxa"/>
            <w:shd w:val="clear" w:color="auto" w:fill="auto"/>
            <w:vAlign w:val="center"/>
          </w:tcPr>
          <w:p w14:paraId="5BCA32CD" w14:textId="77777777" w:rsidR="005465D4" w:rsidRPr="005465D4" w:rsidRDefault="005465D4" w:rsidP="00214C59">
            <w:r w:rsidRPr="005465D4">
              <w:t>Dunaweal Wastewater Treatment Plant</w:t>
            </w:r>
          </w:p>
        </w:tc>
        <w:tc>
          <w:tcPr>
            <w:tcW w:w="3195" w:type="dxa"/>
            <w:tcBorders>
              <w:right w:val="single" w:sz="4" w:space="0" w:color="auto"/>
            </w:tcBorders>
            <w:shd w:val="clear" w:color="auto" w:fill="auto"/>
            <w:vAlign w:val="center"/>
          </w:tcPr>
          <w:p w14:paraId="770BC573" w14:textId="2F547F1A" w:rsidR="005465D4" w:rsidRPr="005465D4" w:rsidRDefault="005465D4" w:rsidP="00214C59">
            <w:r w:rsidRPr="005465D4">
              <w:t>11</w:t>
            </w:r>
            <w:r w:rsidR="00D81F5B">
              <w:t>00</w:t>
            </w:r>
            <w:r w:rsidRPr="005465D4">
              <w:t xml:space="preserve"> Dunaweal Lane</w:t>
            </w:r>
          </w:p>
          <w:p w14:paraId="19A2CAF6" w14:textId="77777777" w:rsidR="005465D4" w:rsidRPr="005465D4" w:rsidRDefault="005465D4" w:rsidP="00214C59">
            <w:r w:rsidRPr="005465D4">
              <w:t>Calistoga, CA  94515</w:t>
            </w:r>
          </w:p>
          <w:p w14:paraId="1550EE5A" w14:textId="77777777" w:rsidR="005465D4" w:rsidRPr="005465D4" w:rsidRDefault="005465D4" w:rsidP="00214C59">
            <w:r w:rsidRPr="005465D4">
              <w:t>Napa County</w:t>
            </w:r>
          </w:p>
        </w:tc>
        <w:tc>
          <w:tcPr>
            <w:tcW w:w="990" w:type="dxa"/>
            <w:tcBorders>
              <w:left w:val="single" w:sz="4" w:space="0" w:color="auto"/>
              <w:right w:val="single" w:sz="12" w:space="0" w:color="auto"/>
            </w:tcBorders>
            <w:shd w:val="clear" w:color="auto" w:fill="auto"/>
            <w:vAlign w:val="center"/>
          </w:tcPr>
          <w:p w14:paraId="5CD4A1E6" w14:textId="77777777" w:rsidR="005465D4" w:rsidRPr="005465D4" w:rsidRDefault="005465D4" w:rsidP="00D779CE">
            <w:pPr>
              <w:jc w:val="center"/>
              <w:rPr>
                <w:color w:val="000000"/>
              </w:rPr>
            </w:pPr>
            <w:r w:rsidRPr="005465D4">
              <w:rPr>
                <w:color w:val="000000"/>
              </w:rPr>
              <w:t>Minor</w:t>
            </w:r>
          </w:p>
        </w:tc>
      </w:tr>
      <w:tr w:rsidR="005465D4" w:rsidRPr="00DB0846" w14:paraId="4847D174" w14:textId="77777777" w:rsidTr="00D779CE">
        <w:trPr>
          <w:cantSplit/>
        </w:trPr>
        <w:tc>
          <w:tcPr>
            <w:tcW w:w="3321" w:type="dxa"/>
            <w:tcBorders>
              <w:left w:val="single" w:sz="12" w:space="0" w:color="auto"/>
            </w:tcBorders>
            <w:shd w:val="clear" w:color="auto" w:fill="auto"/>
            <w:vAlign w:val="center"/>
          </w:tcPr>
          <w:p w14:paraId="009FEDA8" w14:textId="77777777" w:rsidR="005465D4" w:rsidRPr="005465D4" w:rsidRDefault="005465D4" w:rsidP="00214C59">
            <w:pPr>
              <w:rPr>
                <w:rFonts w:eastAsia="Arial Unicode MS"/>
              </w:rPr>
            </w:pPr>
            <w:r w:rsidRPr="005465D4">
              <w:t>Central Contra Costa Sanitary District</w:t>
            </w:r>
          </w:p>
        </w:tc>
        <w:tc>
          <w:tcPr>
            <w:tcW w:w="2862" w:type="dxa"/>
            <w:shd w:val="clear" w:color="auto" w:fill="auto"/>
            <w:vAlign w:val="center"/>
          </w:tcPr>
          <w:p w14:paraId="126CFEE8" w14:textId="77777777" w:rsidR="005465D4" w:rsidRPr="005465D4" w:rsidRDefault="005465D4" w:rsidP="00214C59">
            <w:r w:rsidRPr="005465D4">
              <w:t>Central Contra Costa Sanitary District Wastewater Treatment Plant</w:t>
            </w:r>
          </w:p>
        </w:tc>
        <w:tc>
          <w:tcPr>
            <w:tcW w:w="3195" w:type="dxa"/>
            <w:tcBorders>
              <w:right w:val="single" w:sz="4" w:space="0" w:color="auto"/>
            </w:tcBorders>
            <w:shd w:val="clear" w:color="auto" w:fill="auto"/>
            <w:vAlign w:val="center"/>
          </w:tcPr>
          <w:p w14:paraId="7A7BB896" w14:textId="77777777" w:rsidR="005465D4" w:rsidRPr="005465D4" w:rsidRDefault="005465D4" w:rsidP="00214C59">
            <w:r w:rsidRPr="005465D4">
              <w:t xml:space="preserve">5019 Imhoff Place </w:t>
            </w:r>
          </w:p>
          <w:p w14:paraId="77654192" w14:textId="77777777" w:rsidR="005465D4" w:rsidRPr="005465D4" w:rsidRDefault="005465D4" w:rsidP="00214C59">
            <w:r w:rsidRPr="005465D4">
              <w:t>Martinez, CA 94553</w:t>
            </w:r>
          </w:p>
          <w:p w14:paraId="02917601" w14:textId="77777777" w:rsidR="005465D4" w:rsidRPr="005465D4" w:rsidRDefault="005465D4" w:rsidP="00214C59">
            <w:r w:rsidRPr="005465D4">
              <w:t>Contra Costa County</w:t>
            </w:r>
          </w:p>
        </w:tc>
        <w:tc>
          <w:tcPr>
            <w:tcW w:w="990" w:type="dxa"/>
            <w:tcBorders>
              <w:left w:val="single" w:sz="4" w:space="0" w:color="auto"/>
              <w:right w:val="single" w:sz="12" w:space="0" w:color="auto"/>
            </w:tcBorders>
            <w:shd w:val="clear" w:color="auto" w:fill="auto"/>
            <w:vAlign w:val="center"/>
          </w:tcPr>
          <w:p w14:paraId="2168B080" w14:textId="77777777" w:rsidR="005465D4" w:rsidRPr="005465D4" w:rsidRDefault="005465D4" w:rsidP="00D779CE">
            <w:pPr>
              <w:jc w:val="center"/>
              <w:rPr>
                <w:color w:val="000000"/>
              </w:rPr>
            </w:pPr>
            <w:r w:rsidRPr="005465D4">
              <w:rPr>
                <w:color w:val="000000"/>
              </w:rPr>
              <w:t>Major</w:t>
            </w:r>
          </w:p>
        </w:tc>
      </w:tr>
      <w:tr w:rsidR="005465D4" w:rsidRPr="00DB0846" w14:paraId="051B019E" w14:textId="77777777" w:rsidTr="00D779CE">
        <w:trPr>
          <w:cantSplit/>
        </w:trPr>
        <w:tc>
          <w:tcPr>
            <w:tcW w:w="3321" w:type="dxa"/>
            <w:tcBorders>
              <w:left w:val="single" w:sz="12" w:space="0" w:color="auto"/>
            </w:tcBorders>
            <w:shd w:val="clear" w:color="auto" w:fill="auto"/>
            <w:vAlign w:val="center"/>
          </w:tcPr>
          <w:p w14:paraId="063B2D67" w14:textId="77777777" w:rsidR="005465D4" w:rsidRPr="005465D4" w:rsidRDefault="005465D4" w:rsidP="00214C59">
            <w:pPr>
              <w:rPr>
                <w:rFonts w:eastAsia="Arial Unicode MS"/>
              </w:rPr>
            </w:pPr>
            <w:r w:rsidRPr="005465D4">
              <w:t>Central Marin Sanitation Agency</w:t>
            </w:r>
          </w:p>
        </w:tc>
        <w:tc>
          <w:tcPr>
            <w:tcW w:w="2862" w:type="dxa"/>
            <w:shd w:val="clear" w:color="auto" w:fill="auto"/>
            <w:vAlign w:val="center"/>
          </w:tcPr>
          <w:p w14:paraId="27498F3A" w14:textId="77777777" w:rsidR="005465D4" w:rsidRPr="005465D4" w:rsidRDefault="005465D4" w:rsidP="00214C59">
            <w:r w:rsidRPr="005465D4">
              <w:t>Central Marin Sanitation Agency Wastewater Treatment Plant</w:t>
            </w:r>
          </w:p>
        </w:tc>
        <w:tc>
          <w:tcPr>
            <w:tcW w:w="3195" w:type="dxa"/>
            <w:tcBorders>
              <w:right w:val="single" w:sz="4" w:space="0" w:color="auto"/>
            </w:tcBorders>
            <w:shd w:val="clear" w:color="auto" w:fill="auto"/>
            <w:vAlign w:val="center"/>
          </w:tcPr>
          <w:p w14:paraId="4C08707F" w14:textId="77777777" w:rsidR="005465D4" w:rsidRPr="005465D4" w:rsidRDefault="005465D4" w:rsidP="00214C59">
            <w:r w:rsidRPr="005465D4">
              <w:t>1301 Andersen Drive</w:t>
            </w:r>
          </w:p>
          <w:p w14:paraId="7AD09C76" w14:textId="77777777" w:rsidR="005465D4" w:rsidRPr="005465D4" w:rsidRDefault="005465D4" w:rsidP="00214C59">
            <w:r w:rsidRPr="005465D4">
              <w:t>San Rafael, CA 94901</w:t>
            </w:r>
          </w:p>
          <w:p w14:paraId="300F6363" w14:textId="77777777" w:rsidR="005465D4" w:rsidRPr="005465D4" w:rsidRDefault="005465D4" w:rsidP="00214C59">
            <w:r w:rsidRPr="005465D4">
              <w:t>Marin County</w:t>
            </w:r>
          </w:p>
        </w:tc>
        <w:tc>
          <w:tcPr>
            <w:tcW w:w="990" w:type="dxa"/>
            <w:tcBorders>
              <w:left w:val="single" w:sz="4" w:space="0" w:color="auto"/>
              <w:right w:val="single" w:sz="12" w:space="0" w:color="auto"/>
            </w:tcBorders>
            <w:shd w:val="clear" w:color="auto" w:fill="auto"/>
            <w:vAlign w:val="center"/>
          </w:tcPr>
          <w:p w14:paraId="5964A501" w14:textId="77777777" w:rsidR="005465D4" w:rsidRPr="005465D4" w:rsidRDefault="005465D4" w:rsidP="00D779CE">
            <w:pPr>
              <w:jc w:val="center"/>
              <w:rPr>
                <w:color w:val="000000"/>
              </w:rPr>
            </w:pPr>
            <w:r w:rsidRPr="005465D4">
              <w:rPr>
                <w:color w:val="000000"/>
              </w:rPr>
              <w:t>Major</w:t>
            </w:r>
          </w:p>
        </w:tc>
      </w:tr>
      <w:tr w:rsidR="005465D4" w:rsidRPr="00DB0846" w14:paraId="3A00D0C7" w14:textId="77777777" w:rsidTr="00D779CE">
        <w:trPr>
          <w:cantSplit/>
        </w:trPr>
        <w:tc>
          <w:tcPr>
            <w:tcW w:w="3321" w:type="dxa"/>
            <w:tcBorders>
              <w:left w:val="single" w:sz="12" w:space="0" w:color="auto"/>
            </w:tcBorders>
            <w:shd w:val="clear" w:color="auto" w:fill="auto"/>
            <w:vAlign w:val="center"/>
          </w:tcPr>
          <w:p w14:paraId="7819AD3D" w14:textId="77777777" w:rsidR="005465D4" w:rsidRPr="005465D4" w:rsidRDefault="005465D4" w:rsidP="009E2031">
            <w:r w:rsidRPr="005465D4">
              <w:t>Crockett Community Services District</w:t>
            </w:r>
          </w:p>
        </w:tc>
        <w:tc>
          <w:tcPr>
            <w:tcW w:w="2862" w:type="dxa"/>
            <w:shd w:val="clear" w:color="auto" w:fill="auto"/>
            <w:vAlign w:val="center"/>
          </w:tcPr>
          <w:p w14:paraId="0C17E8C3" w14:textId="77777777" w:rsidR="005465D4" w:rsidRPr="005465D4" w:rsidRDefault="005465D4" w:rsidP="00214C59">
            <w:r w:rsidRPr="005465D4">
              <w:t>Port Costa Wastewater Treatment Plant</w:t>
            </w:r>
          </w:p>
        </w:tc>
        <w:tc>
          <w:tcPr>
            <w:tcW w:w="3195" w:type="dxa"/>
            <w:tcBorders>
              <w:right w:val="single" w:sz="4" w:space="0" w:color="auto"/>
            </w:tcBorders>
            <w:shd w:val="clear" w:color="auto" w:fill="auto"/>
            <w:vAlign w:val="center"/>
          </w:tcPr>
          <w:p w14:paraId="0C492E06" w14:textId="77777777" w:rsidR="005465D4" w:rsidRPr="005465D4" w:rsidRDefault="005465D4" w:rsidP="00214C59">
            <w:r w:rsidRPr="005465D4">
              <w:t>End of Canyon Lake Drive</w:t>
            </w:r>
          </w:p>
          <w:p w14:paraId="6E7763F5" w14:textId="77777777" w:rsidR="005465D4" w:rsidRPr="005465D4" w:rsidRDefault="005465D4" w:rsidP="00214C59">
            <w:r w:rsidRPr="005465D4">
              <w:t>Port Costa, CA 94569</w:t>
            </w:r>
          </w:p>
          <w:p w14:paraId="7542AEA7" w14:textId="77777777" w:rsidR="005465D4" w:rsidRPr="005465D4" w:rsidRDefault="005465D4" w:rsidP="00214C59">
            <w:r w:rsidRPr="005465D4">
              <w:t>Contra Costa County</w:t>
            </w:r>
          </w:p>
        </w:tc>
        <w:tc>
          <w:tcPr>
            <w:tcW w:w="990" w:type="dxa"/>
            <w:tcBorders>
              <w:left w:val="single" w:sz="4" w:space="0" w:color="auto"/>
              <w:right w:val="single" w:sz="12" w:space="0" w:color="auto"/>
            </w:tcBorders>
            <w:shd w:val="clear" w:color="auto" w:fill="auto"/>
            <w:vAlign w:val="center"/>
          </w:tcPr>
          <w:p w14:paraId="1A33383A" w14:textId="77777777" w:rsidR="005465D4" w:rsidRPr="005465D4" w:rsidRDefault="005465D4" w:rsidP="00D779CE">
            <w:pPr>
              <w:jc w:val="center"/>
              <w:rPr>
                <w:color w:val="000000"/>
              </w:rPr>
            </w:pPr>
            <w:r w:rsidRPr="005465D4">
              <w:rPr>
                <w:color w:val="000000"/>
              </w:rPr>
              <w:t>Minor</w:t>
            </w:r>
          </w:p>
        </w:tc>
      </w:tr>
      <w:tr w:rsidR="005465D4" w:rsidRPr="00DB0846" w14:paraId="43B8BB7E" w14:textId="77777777" w:rsidTr="00D779CE">
        <w:trPr>
          <w:cantSplit/>
        </w:trPr>
        <w:tc>
          <w:tcPr>
            <w:tcW w:w="3321" w:type="dxa"/>
            <w:tcBorders>
              <w:left w:val="single" w:sz="12" w:space="0" w:color="auto"/>
            </w:tcBorders>
            <w:shd w:val="clear" w:color="auto" w:fill="auto"/>
            <w:vAlign w:val="center"/>
          </w:tcPr>
          <w:p w14:paraId="4C56359D" w14:textId="77777777" w:rsidR="005465D4" w:rsidRPr="005465D4" w:rsidRDefault="005465D4" w:rsidP="00214C59">
            <w:pPr>
              <w:rPr>
                <w:rFonts w:eastAsia="Arial Unicode MS"/>
              </w:rPr>
            </w:pPr>
            <w:r w:rsidRPr="005465D4">
              <w:t>Delta Diablo Sanitation District</w:t>
            </w:r>
          </w:p>
        </w:tc>
        <w:tc>
          <w:tcPr>
            <w:tcW w:w="2862" w:type="dxa"/>
            <w:shd w:val="clear" w:color="auto" w:fill="auto"/>
            <w:vAlign w:val="center"/>
          </w:tcPr>
          <w:p w14:paraId="2253A147" w14:textId="77777777" w:rsidR="005465D4" w:rsidRPr="005465D4" w:rsidRDefault="009E2031" w:rsidP="00214C59">
            <w:r>
              <w:t xml:space="preserve">Delta Diablo </w:t>
            </w:r>
            <w:r w:rsidR="005465D4" w:rsidRPr="005465D4">
              <w:t>Wastewater Treatment Plant</w:t>
            </w:r>
          </w:p>
        </w:tc>
        <w:tc>
          <w:tcPr>
            <w:tcW w:w="3195" w:type="dxa"/>
            <w:tcBorders>
              <w:right w:val="single" w:sz="4" w:space="0" w:color="auto"/>
            </w:tcBorders>
            <w:shd w:val="clear" w:color="auto" w:fill="auto"/>
            <w:vAlign w:val="center"/>
          </w:tcPr>
          <w:p w14:paraId="7D5EE114" w14:textId="77777777" w:rsidR="005465D4" w:rsidRPr="005465D4" w:rsidRDefault="005465D4" w:rsidP="00214C59">
            <w:r w:rsidRPr="005465D4">
              <w:t>2500 Pittsburg-Antioch Highway</w:t>
            </w:r>
            <w:r w:rsidRPr="005465D4">
              <w:br/>
              <w:t>Antioch, CA 94509</w:t>
            </w:r>
          </w:p>
          <w:p w14:paraId="3BEDB6A0" w14:textId="77777777" w:rsidR="005465D4" w:rsidRPr="005465D4" w:rsidRDefault="005465D4" w:rsidP="00214C59">
            <w:r w:rsidRPr="005465D4">
              <w:t>Contra Costa County</w:t>
            </w:r>
          </w:p>
        </w:tc>
        <w:tc>
          <w:tcPr>
            <w:tcW w:w="990" w:type="dxa"/>
            <w:tcBorders>
              <w:left w:val="single" w:sz="4" w:space="0" w:color="auto"/>
              <w:right w:val="single" w:sz="12" w:space="0" w:color="auto"/>
            </w:tcBorders>
            <w:shd w:val="clear" w:color="auto" w:fill="auto"/>
            <w:vAlign w:val="center"/>
          </w:tcPr>
          <w:p w14:paraId="2983E36E" w14:textId="77777777" w:rsidR="005465D4" w:rsidRPr="005465D4" w:rsidRDefault="005465D4" w:rsidP="00D779CE">
            <w:pPr>
              <w:jc w:val="center"/>
              <w:rPr>
                <w:color w:val="000000"/>
              </w:rPr>
            </w:pPr>
            <w:r w:rsidRPr="005465D4">
              <w:rPr>
                <w:color w:val="000000"/>
              </w:rPr>
              <w:t>Major</w:t>
            </w:r>
          </w:p>
        </w:tc>
      </w:tr>
      <w:tr w:rsidR="005465D4" w:rsidRPr="00DB0846" w14:paraId="7E3B6A32" w14:textId="77777777" w:rsidTr="00D779CE">
        <w:trPr>
          <w:cantSplit/>
        </w:trPr>
        <w:tc>
          <w:tcPr>
            <w:tcW w:w="3321" w:type="dxa"/>
            <w:vMerge w:val="restart"/>
            <w:tcBorders>
              <w:left w:val="single" w:sz="12" w:space="0" w:color="auto"/>
            </w:tcBorders>
            <w:shd w:val="clear" w:color="auto" w:fill="auto"/>
            <w:vAlign w:val="center"/>
          </w:tcPr>
          <w:p w14:paraId="20FDA405" w14:textId="77777777" w:rsidR="005465D4" w:rsidRPr="005465D4" w:rsidRDefault="005465D4" w:rsidP="00214C59">
            <w:r w:rsidRPr="005465D4">
              <w:t>East Bay Dischargers Authority (EBDA); Cities of Hayward and San Leandro; Oro Loma Sanitary District; Castro Valley Sanitary District; Union Sanitary District; Livermore-Amador Valley Water Management Agency; Dublin San Ramon Services District; and City of Livermore</w:t>
            </w:r>
          </w:p>
        </w:tc>
        <w:tc>
          <w:tcPr>
            <w:tcW w:w="2862" w:type="dxa"/>
            <w:shd w:val="clear" w:color="auto" w:fill="auto"/>
            <w:vAlign w:val="center"/>
          </w:tcPr>
          <w:p w14:paraId="3D8A2617" w14:textId="77777777" w:rsidR="005465D4" w:rsidRPr="005465D4" w:rsidRDefault="005465D4" w:rsidP="00214C59">
            <w:r w:rsidRPr="005465D4">
              <w:t>EBDA Common Outfall</w:t>
            </w:r>
          </w:p>
        </w:tc>
        <w:tc>
          <w:tcPr>
            <w:tcW w:w="3195" w:type="dxa"/>
            <w:vMerge w:val="restart"/>
            <w:tcBorders>
              <w:right w:val="single" w:sz="4" w:space="0" w:color="auto"/>
            </w:tcBorders>
            <w:shd w:val="clear" w:color="auto" w:fill="auto"/>
            <w:vAlign w:val="center"/>
          </w:tcPr>
          <w:p w14:paraId="77E404C3" w14:textId="77777777" w:rsidR="005465D4" w:rsidRPr="005465D4" w:rsidRDefault="005465D4" w:rsidP="00214C59">
            <w:r w:rsidRPr="005465D4">
              <w:t>EBDA Common Outfall</w:t>
            </w:r>
          </w:p>
          <w:p w14:paraId="0197A6D4" w14:textId="77777777" w:rsidR="005465D4" w:rsidRPr="005465D4" w:rsidRDefault="005465D4" w:rsidP="00214C59">
            <w:r w:rsidRPr="005465D4">
              <w:t>14150 Monarch Bay Drive</w:t>
            </w:r>
          </w:p>
          <w:p w14:paraId="31E7BB67" w14:textId="77777777" w:rsidR="005465D4" w:rsidRPr="005465D4" w:rsidRDefault="005465D4" w:rsidP="00214C59">
            <w:r w:rsidRPr="005465D4">
              <w:t>San Leandro, CA 94577</w:t>
            </w:r>
          </w:p>
          <w:p w14:paraId="220D3497" w14:textId="77777777" w:rsidR="005465D4" w:rsidRPr="005465D4" w:rsidRDefault="005465D4" w:rsidP="00214C59">
            <w:r w:rsidRPr="005465D4">
              <w:t>Alameda County</w:t>
            </w:r>
          </w:p>
        </w:tc>
        <w:tc>
          <w:tcPr>
            <w:tcW w:w="990" w:type="dxa"/>
            <w:vMerge w:val="restart"/>
            <w:tcBorders>
              <w:left w:val="single" w:sz="4" w:space="0" w:color="auto"/>
              <w:right w:val="single" w:sz="12" w:space="0" w:color="auto"/>
            </w:tcBorders>
            <w:shd w:val="clear" w:color="auto" w:fill="auto"/>
            <w:vAlign w:val="center"/>
          </w:tcPr>
          <w:p w14:paraId="6FA73F7C" w14:textId="77777777" w:rsidR="005465D4" w:rsidRPr="005465D4" w:rsidRDefault="005465D4" w:rsidP="00D779CE">
            <w:pPr>
              <w:jc w:val="center"/>
              <w:rPr>
                <w:color w:val="000000"/>
              </w:rPr>
            </w:pPr>
            <w:r w:rsidRPr="005465D4">
              <w:rPr>
                <w:color w:val="000000"/>
              </w:rPr>
              <w:t>Major</w:t>
            </w:r>
          </w:p>
        </w:tc>
      </w:tr>
      <w:tr w:rsidR="005465D4" w:rsidRPr="00DB0846" w14:paraId="61F00342" w14:textId="77777777" w:rsidTr="00306DBF">
        <w:trPr>
          <w:cantSplit/>
        </w:trPr>
        <w:tc>
          <w:tcPr>
            <w:tcW w:w="3321" w:type="dxa"/>
            <w:vMerge/>
            <w:tcBorders>
              <w:left w:val="single" w:sz="12" w:space="0" w:color="auto"/>
            </w:tcBorders>
            <w:shd w:val="clear" w:color="auto" w:fill="auto"/>
            <w:vAlign w:val="center"/>
          </w:tcPr>
          <w:p w14:paraId="48660935" w14:textId="77777777" w:rsidR="005465D4" w:rsidRPr="005465D4" w:rsidRDefault="005465D4" w:rsidP="00214C59"/>
        </w:tc>
        <w:tc>
          <w:tcPr>
            <w:tcW w:w="2862" w:type="dxa"/>
            <w:shd w:val="clear" w:color="auto" w:fill="auto"/>
            <w:vAlign w:val="center"/>
          </w:tcPr>
          <w:p w14:paraId="0D7C18A3" w14:textId="77777777" w:rsidR="005465D4" w:rsidRPr="005465D4" w:rsidRDefault="005465D4" w:rsidP="00214C59">
            <w:r w:rsidRPr="005465D4">
              <w:t>Hayward Water Pollution Control Facility</w:t>
            </w:r>
          </w:p>
        </w:tc>
        <w:tc>
          <w:tcPr>
            <w:tcW w:w="3195" w:type="dxa"/>
            <w:vMerge/>
            <w:tcBorders>
              <w:right w:val="single" w:sz="4" w:space="0" w:color="auto"/>
            </w:tcBorders>
            <w:shd w:val="clear" w:color="auto" w:fill="auto"/>
            <w:vAlign w:val="center"/>
          </w:tcPr>
          <w:p w14:paraId="6CC9EBA5" w14:textId="77777777" w:rsidR="005465D4" w:rsidRPr="005465D4" w:rsidRDefault="005465D4" w:rsidP="00214C59"/>
        </w:tc>
        <w:tc>
          <w:tcPr>
            <w:tcW w:w="990" w:type="dxa"/>
            <w:vMerge/>
            <w:tcBorders>
              <w:left w:val="single" w:sz="4" w:space="0" w:color="auto"/>
              <w:right w:val="single" w:sz="12" w:space="0" w:color="auto"/>
            </w:tcBorders>
            <w:shd w:val="clear" w:color="auto" w:fill="auto"/>
            <w:vAlign w:val="center"/>
          </w:tcPr>
          <w:p w14:paraId="19620F42" w14:textId="77777777" w:rsidR="005465D4" w:rsidRPr="005465D4" w:rsidRDefault="005465D4" w:rsidP="00214C59">
            <w:pPr>
              <w:rPr>
                <w:color w:val="000000"/>
              </w:rPr>
            </w:pPr>
          </w:p>
        </w:tc>
      </w:tr>
      <w:tr w:rsidR="005465D4" w:rsidRPr="00DB0846" w14:paraId="38C1BB61" w14:textId="77777777" w:rsidTr="00306DBF">
        <w:trPr>
          <w:cantSplit/>
        </w:trPr>
        <w:tc>
          <w:tcPr>
            <w:tcW w:w="3321" w:type="dxa"/>
            <w:vMerge/>
            <w:tcBorders>
              <w:left w:val="single" w:sz="12" w:space="0" w:color="auto"/>
            </w:tcBorders>
            <w:shd w:val="clear" w:color="auto" w:fill="auto"/>
            <w:vAlign w:val="center"/>
          </w:tcPr>
          <w:p w14:paraId="4FB9E23A" w14:textId="77777777" w:rsidR="005465D4" w:rsidRPr="005465D4" w:rsidRDefault="005465D4" w:rsidP="00214C59"/>
        </w:tc>
        <w:tc>
          <w:tcPr>
            <w:tcW w:w="2862" w:type="dxa"/>
            <w:shd w:val="clear" w:color="auto" w:fill="auto"/>
            <w:vAlign w:val="center"/>
          </w:tcPr>
          <w:p w14:paraId="2928B073" w14:textId="77777777" w:rsidR="005465D4" w:rsidRPr="005465D4" w:rsidRDefault="005465D4" w:rsidP="00214C59">
            <w:r w:rsidRPr="005465D4">
              <w:t>San Leandro Water Pollution Control Plant</w:t>
            </w:r>
          </w:p>
        </w:tc>
        <w:tc>
          <w:tcPr>
            <w:tcW w:w="3195" w:type="dxa"/>
            <w:vMerge/>
            <w:tcBorders>
              <w:right w:val="single" w:sz="4" w:space="0" w:color="auto"/>
            </w:tcBorders>
            <w:shd w:val="clear" w:color="auto" w:fill="auto"/>
            <w:vAlign w:val="center"/>
          </w:tcPr>
          <w:p w14:paraId="1905FC67" w14:textId="77777777" w:rsidR="005465D4" w:rsidRPr="005465D4" w:rsidRDefault="005465D4" w:rsidP="00214C59"/>
        </w:tc>
        <w:tc>
          <w:tcPr>
            <w:tcW w:w="990" w:type="dxa"/>
            <w:vMerge/>
            <w:tcBorders>
              <w:left w:val="single" w:sz="4" w:space="0" w:color="auto"/>
              <w:right w:val="single" w:sz="12" w:space="0" w:color="auto"/>
            </w:tcBorders>
            <w:shd w:val="clear" w:color="auto" w:fill="auto"/>
            <w:vAlign w:val="center"/>
          </w:tcPr>
          <w:p w14:paraId="15B0BFFB" w14:textId="77777777" w:rsidR="005465D4" w:rsidRPr="005465D4" w:rsidRDefault="005465D4" w:rsidP="00214C59">
            <w:pPr>
              <w:rPr>
                <w:color w:val="000000"/>
              </w:rPr>
            </w:pPr>
          </w:p>
        </w:tc>
      </w:tr>
      <w:tr w:rsidR="005465D4" w:rsidRPr="00DB0846" w14:paraId="4FA24FD3" w14:textId="77777777" w:rsidTr="00306DBF">
        <w:trPr>
          <w:cantSplit/>
        </w:trPr>
        <w:tc>
          <w:tcPr>
            <w:tcW w:w="3321" w:type="dxa"/>
            <w:vMerge/>
            <w:tcBorders>
              <w:left w:val="single" w:sz="12" w:space="0" w:color="auto"/>
            </w:tcBorders>
            <w:shd w:val="clear" w:color="auto" w:fill="auto"/>
            <w:vAlign w:val="center"/>
          </w:tcPr>
          <w:p w14:paraId="7B3E3EBE" w14:textId="77777777" w:rsidR="005465D4" w:rsidRPr="005465D4" w:rsidRDefault="005465D4" w:rsidP="00214C59"/>
        </w:tc>
        <w:tc>
          <w:tcPr>
            <w:tcW w:w="2862" w:type="dxa"/>
            <w:shd w:val="clear" w:color="auto" w:fill="auto"/>
            <w:vAlign w:val="center"/>
          </w:tcPr>
          <w:p w14:paraId="1DF9FC4E" w14:textId="77777777" w:rsidR="005465D4" w:rsidRPr="005465D4" w:rsidRDefault="005465D4" w:rsidP="00214C59">
            <w:r w:rsidRPr="005465D4">
              <w:t>Oro Loma/Castro Valley Sanitary Districts Water Pollution Control Plant</w:t>
            </w:r>
          </w:p>
        </w:tc>
        <w:tc>
          <w:tcPr>
            <w:tcW w:w="3195" w:type="dxa"/>
            <w:vMerge/>
            <w:tcBorders>
              <w:right w:val="single" w:sz="4" w:space="0" w:color="auto"/>
            </w:tcBorders>
            <w:shd w:val="clear" w:color="auto" w:fill="auto"/>
            <w:vAlign w:val="center"/>
          </w:tcPr>
          <w:p w14:paraId="1A510ACA" w14:textId="77777777" w:rsidR="005465D4" w:rsidRPr="005465D4" w:rsidRDefault="005465D4" w:rsidP="00214C59">
            <w:pPr>
              <w:rPr>
                <w:highlight w:val="yellow"/>
              </w:rPr>
            </w:pPr>
          </w:p>
        </w:tc>
        <w:tc>
          <w:tcPr>
            <w:tcW w:w="990" w:type="dxa"/>
            <w:vMerge/>
            <w:tcBorders>
              <w:left w:val="single" w:sz="4" w:space="0" w:color="auto"/>
              <w:right w:val="single" w:sz="12" w:space="0" w:color="auto"/>
            </w:tcBorders>
            <w:shd w:val="clear" w:color="auto" w:fill="auto"/>
            <w:vAlign w:val="center"/>
          </w:tcPr>
          <w:p w14:paraId="3217A1AE" w14:textId="77777777" w:rsidR="005465D4" w:rsidRPr="005465D4" w:rsidRDefault="005465D4" w:rsidP="00214C59">
            <w:pPr>
              <w:rPr>
                <w:color w:val="000000"/>
              </w:rPr>
            </w:pPr>
          </w:p>
        </w:tc>
      </w:tr>
      <w:tr w:rsidR="005465D4" w:rsidRPr="00DB0846" w14:paraId="42A035C9" w14:textId="77777777" w:rsidTr="00306DBF">
        <w:trPr>
          <w:cantSplit/>
        </w:trPr>
        <w:tc>
          <w:tcPr>
            <w:tcW w:w="3321" w:type="dxa"/>
            <w:vMerge/>
            <w:tcBorders>
              <w:left w:val="single" w:sz="12" w:space="0" w:color="auto"/>
            </w:tcBorders>
            <w:shd w:val="clear" w:color="auto" w:fill="auto"/>
            <w:vAlign w:val="center"/>
          </w:tcPr>
          <w:p w14:paraId="20DD33A9" w14:textId="77777777" w:rsidR="005465D4" w:rsidRPr="005465D4" w:rsidRDefault="005465D4" w:rsidP="00214C59"/>
        </w:tc>
        <w:tc>
          <w:tcPr>
            <w:tcW w:w="2862" w:type="dxa"/>
            <w:shd w:val="clear" w:color="auto" w:fill="auto"/>
            <w:vAlign w:val="center"/>
          </w:tcPr>
          <w:p w14:paraId="6113A459" w14:textId="77777777" w:rsidR="005465D4" w:rsidRPr="005465D4" w:rsidRDefault="005465D4" w:rsidP="00214C59">
            <w:r w:rsidRPr="005465D4">
              <w:t>Raymond A. Boege Alvarado Wastewater Treatment Plant</w:t>
            </w:r>
          </w:p>
        </w:tc>
        <w:tc>
          <w:tcPr>
            <w:tcW w:w="3195" w:type="dxa"/>
            <w:vMerge/>
            <w:tcBorders>
              <w:right w:val="single" w:sz="4" w:space="0" w:color="auto"/>
            </w:tcBorders>
            <w:shd w:val="clear" w:color="auto" w:fill="auto"/>
            <w:vAlign w:val="center"/>
          </w:tcPr>
          <w:p w14:paraId="4994CEE3" w14:textId="77777777" w:rsidR="005465D4" w:rsidRPr="005465D4" w:rsidRDefault="005465D4" w:rsidP="00214C59"/>
        </w:tc>
        <w:tc>
          <w:tcPr>
            <w:tcW w:w="990" w:type="dxa"/>
            <w:vMerge/>
            <w:tcBorders>
              <w:left w:val="single" w:sz="4" w:space="0" w:color="auto"/>
              <w:right w:val="single" w:sz="12" w:space="0" w:color="auto"/>
            </w:tcBorders>
            <w:shd w:val="clear" w:color="auto" w:fill="auto"/>
            <w:vAlign w:val="center"/>
          </w:tcPr>
          <w:p w14:paraId="6CD1AB29" w14:textId="77777777" w:rsidR="005465D4" w:rsidRPr="005465D4" w:rsidRDefault="005465D4" w:rsidP="00214C59">
            <w:pPr>
              <w:rPr>
                <w:color w:val="000000"/>
              </w:rPr>
            </w:pPr>
          </w:p>
        </w:tc>
      </w:tr>
      <w:tr w:rsidR="005465D4" w:rsidRPr="00DB0846" w14:paraId="5B7250E3" w14:textId="77777777" w:rsidTr="00306DBF">
        <w:trPr>
          <w:cantSplit/>
        </w:trPr>
        <w:tc>
          <w:tcPr>
            <w:tcW w:w="3321" w:type="dxa"/>
            <w:vMerge/>
            <w:tcBorders>
              <w:left w:val="single" w:sz="12" w:space="0" w:color="auto"/>
            </w:tcBorders>
            <w:shd w:val="clear" w:color="auto" w:fill="auto"/>
            <w:vAlign w:val="center"/>
          </w:tcPr>
          <w:p w14:paraId="173C3D75" w14:textId="77777777" w:rsidR="005465D4" w:rsidRPr="005465D4" w:rsidRDefault="005465D4" w:rsidP="00214C59"/>
        </w:tc>
        <w:tc>
          <w:tcPr>
            <w:tcW w:w="2862" w:type="dxa"/>
            <w:shd w:val="clear" w:color="auto" w:fill="auto"/>
            <w:vAlign w:val="center"/>
          </w:tcPr>
          <w:p w14:paraId="7D0E7862" w14:textId="77777777" w:rsidR="005465D4" w:rsidRPr="005465D4" w:rsidRDefault="005465D4" w:rsidP="00214C59">
            <w:r w:rsidRPr="005465D4">
              <w:t xml:space="preserve">Livermore-Amador Valley Water Management Agency </w:t>
            </w:r>
            <w:r w:rsidRPr="005465D4">
              <w:rPr>
                <w:bCs/>
              </w:rPr>
              <w:t>Export and Storage Facilities</w:t>
            </w:r>
          </w:p>
        </w:tc>
        <w:tc>
          <w:tcPr>
            <w:tcW w:w="3195" w:type="dxa"/>
            <w:vMerge/>
            <w:tcBorders>
              <w:right w:val="single" w:sz="4" w:space="0" w:color="auto"/>
            </w:tcBorders>
            <w:shd w:val="clear" w:color="auto" w:fill="auto"/>
            <w:vAlign w:val="center"/>
          </w:tcPr>
          <w:p w14:paraId="2F2D415D" w14:textId="77777777" w:rsidR="005465D4" w:rsidRPr="005465D4" w:rsidRDefault="005465D4" w:rsidP="00214C59"/>
        </w:tc>
        <w:tc>
          <w:tcPr>
            <w:tcW w:w="990" w:type="dxa"/>
            <w:vMerge/>
            <w:tcBorders>
              <w:left w:val="single" w:sz="4" w:space="0" w:color="auto"/>
              <w:right w:val="single" w:sz="12" w:space="0" w:color="auto"/>
            </w:tcBorders>
            <w:shd w:val="clear" w:color="auto" w:fill="auto"/>
            <w:vAlign w:val="center"/>
          </w:tcPr>
          <w:p w14:paraId="763146B4" w14:textId="77777777" w:rsidR="005465D4" w:rsidRPr="005465D4" w:rsidRDefault="005465D4" w:rsidP="00214C59">
            <w:pPr>
              <w:rPr>
                <w:color w:val="000000"/>
              </w:rPr>
            </w:pPr>
          </w:p>
        </w:tc>
      </w:tr>
      <w:tr w:rsidR="005465D4" w:rsidRPr="00DB0846" w14:paraId="5AA04C12" w14:textId="77777777" w:rsidTr="00306DBF">
        <w:trPr>
          <w:cantSplit/>
        </w:trPr>
        <w:tc>
          <w:tcPr>
            <w:tcW w:w="3321" w:type="dxa"/>
            <w:vMerge/>
            <w:tcBorders>
              <w:left w:val="single" w:sz="12" w:space="0" w:color="auto"/>
            </w:tcBorders>
            <w:shd w:val="clear" w:color="auto" w:fill="auto"/>
            <w:vAlign w:val="center"/>
          </w:tcPr>
          <w:p w14:paraId="4B960B13" w14:textId="77777777" w:rsidR="005465D4" w:rsidRPr="005465D4" w:rsidRDefault="005465D4" w:rsidP="00214C59"/>
        </w:tc>
        <w:tc>
          <w:tcPr>
            <w:tcW w:w="2862" w:type="dxa"/>
            <w:shd w:val="clear" w:color="auto" w:fill="auto"/>
            <w:vAlign w:val="center"/>
          </w:tcPr>
          <w:p w14:paraId="5633C658" w14:textId="77777777" w:rsidR="005465D4" w:rsidRPr="005465D4" w:rsidRDefault="005465D4" w:rsidP="00214C59">
            <w:r w:rsidRPr="005465D4">
              <w:t>Dublin San Ramon Services District Wastewater Treatment Plant</w:t>
            </w:r>
          </w:p>
        </w:tc>
        <w:tc>
          <w:tcPr>
            <w:tcW w:w="3195" w:type="dxa"/>
            <w:vMerge/>
            <w:tcBorders>
              <w:right w:val="single" w:sz="4" w:space="0" w:color="auto"/>
            </w:tcBorders>
            <w:shd w:val="clear" w:color="auto" w:fill="auto"/>
            <w:vAlign w:val="center"/>
          </w:tcPr>
          <w:p w14:paraId="1B4D1422" w14:textId="77777777" w:rsidR="005465D4" w:rsidRPr="005465D4" w:rsidRDefault="005465D4" w:rsidP="00214C59"/>
        </w:tc>
        <w:tc>
          <w:tcPr>
            <w:tcW w:w="990" w:type="dxa"/>
            <w:vMerge/>
            <w:tcBorders>
              <w:left w:val="single" w:sz="4" w:space="0" w:color="auto"/>
              <w:right w:val="single" w:sz="12" w:space="0" w:color="auto"/>
            </w:tcBorders>
            <w:shd w:val="clear" w:color="auto" w:fill="auto"/>
            <w:vAlign w:val="center"/>
          </w:tcPr>
          <w:p w14:paraId="770A20FC" w14:textId="77777777" w:rsidR="005465D4" w:rsidRPr="005465D4" w:rsidRDefault="005465D4" w:rsidP="00214C59">
            <w:pPr>
              <w:rPr>
                <w:color w:val="000000"/>
              </w:rPr>
            </w:pPr>
          </w:p>
        </w:tc>
      </w:tr>
      <w:tr w:rsidR="005465D4" w:rsidRPr="00DB0846" w14:paraId="42026EA2" w14:textId="77777777" w:rsidTr="00306DBF">
        <w:trPr>
          <w:cantSplit/>
        </w:trPr>
        <w:tc>
          <w:tcPr>
            <w:tcW w:w="3321" w:type="dxa"/>
            <w:vMerge/>
            <w:tcBorders>
              <w:left w:val="single" w:sz="12" w:space="0" w:color="auto"/>
            </w:tcBorders>
            <w:shd w:val="clear" w:color="auto" w:fill="auto"/>
            <w:vAlign w:val="center"/>
          </w:tcPr>
          <w:p w14:paraId="5293375D" w14:textId="77777777" w:rsidR="005465D4" w:rsidRPr="005465D4" w:rsidRDefault="005465D4" w:rsidP="00214C59"/>
        </w:tc>
        <w:tc>
          <w:tcPr>
            <w:tcW w:w="2862" w:type="dxa"/>
            <w:shd w:val="clear" w:color="auto" w:fill="auto"/>
            <w:vAlign w:val="center"/>
          </w:tcPr>
          <w:p w14:paraId="74BFC90B" w14:textId="77777777" w:rsidR="005465D4" w:rsidRPr="005465D4" w:rsidRDefault="005465D4" w:rsidP="00214C59">
            <w:r w:rsidRPr="005465D4">
              <w:t>City of Livermore Water Reclamation Plant</w:t>
            </w:r>
          </w:p>
        </w:tc>
        <w:tc>
          <w:tcPr>
            <w:tcW w:w="3195" w:type="dxa"/>
            <w:vMerge/>
            <w:tcBorders>
              <w:right w:val="single" w:sz="4" w:space="0" w:color="auto"/>
            </w:tcBorders>
            <w:shd w:val="clear" w:color="auto" w:fill="auto"/>
            <w:vAlign w:val="center"/>
          </w:tcPr>
          <w:p w14:paraId="7C90982A" w14:textId="77777777" w:rsidR="005465D4" w:rsidRPr="005465D4" w:rsidRDefault="005465D4" w:rsidP="00214C59"/>
        </w:tc>
        <w:tc>
          <w:tcPr>
            <w:tcW w:w="990" w:type="dxa"/>
            <w:vMerge/>
            <w:tcBorders>
              <w:left w:val="single" w:sz="4" w:space="0" w:color="auto"/>
              <w:right w:val="single" w:sz="12" w:space="0" w:color="auto"/>
            </w:tcBorders>
            <w:shd w:val="clear" w:color="auto" w:fill="auto"/>
            <w:vAlign w:val="center"/>
          </w:tcPr>
          <w:p w14:paraId="522A761F" w14:textId="77777777" w:rsidR="005465D4" w:rsidRPr="005465D4" w:rsidRDefault="005465D4" w:rsidP="00214C59">
            <w:pPr>
              <w:rPr>
                <w:color w:val="000000"/>
              </w:rPr>
            </w:pPr>
          </w:p>
        </w:tc>
      </w:tr>
      <w:tr w:rsidR="005465D4" w:rsidRPr="00DB0846" w14:paraId="355E91B2" w14:textId="77777777" w:rsidTr="00D779CE">
        <w:trPr>
          <w:cantSplit/>
        </w:trPr>
        <w:tc>
          <w:tcPr>
            <w:tcW w:w="3321" w:type="dxa"/>
            <w:tcBorders>
              <w:left w:val="single" w:sz="12" w:space="0" w:color="auto"/>
            </w:tcBorders>
            <w:shd w:val="clear" w:color="auto" w:fill="auto"/>
            <w:vAlign w:val="center"/>
          </w:tcPr>
          <w:p w14:paraId="725B21DA" w14:textId="77777777" w:rsidR="005465D4" w:rsidRPr="005465D4" w:rsidRDefault="005465D4" w:rsidP="00214C59">
            <w:r w:rsidRPr="005465D4">
              <w:t>East Bay Municipal Utility District</w:t>
            </w:r>
          </w:p>
        </w:tc>
        <w:tc>
          <w:tcPr>
            <w:tcW w:w="2862" w:type="dxa"/>
            <w:shd w:val="clear" w:color="auto" w:fill="auto"/>
            <w:vAlign w:val="center"/>
          </w:tcPr>
          <w:p w14:paraId="2D2EA2B4" w14:textId="77777777" w:rsidR="005465D4" w:rsidRPr="005465D4" w:rsidRDefault="005465D4" w:rsidP="00214C59">
            <w:r w:rsidRPr="005465D4">
              <w:t>East Bay Municipal Utility District, Special District No. 1 Wastewater Treatment Plant (WWTP)</w:t>
            </w:r>
          </w:p>
        </w:tc>
        <w:tc>
          <w:tcPr>
            <w:tcW w:w="3195" w:type="dxa"/>
            <w:tcBorders>
              <w:right w:val="single" w:sz="4" w:space="0" w:color="auto"/>
            </w:tcBorders>
            <w:shd w:val="clear" w:color="auto" w:fill="auto"/>
            <w:vAlign w:val="center"/>
          </w:tcPr>
          <w:p w14:paraId="7124ACA1" w14:textId="77777777" w:rsidR="005465D4" w:rsidRPr="005465D4" w:rsidRDefault="005465D4" w:rsidP="00214C59">
            <w:r w:rsidRPr="005465D4">
              <w:t>2020 Wake Avenue</w:t>
            </w:r>
          </w:p>
          <w:p w14:paraId="26FF8324" w14:textId="77777777" w:rsidR="005465D4" w:rsidRPr="005465D4" w:rsidRDefault="005465D4" w:rsidP="00214C59">
            <w:r w:rsidRPr="005465D4">
              <w:t>Oakland, CA 94607</w:t>
            </w:r>
          </w:p>
          <w:p w14:paraId="3356D039" w14:textId="77777777" w:rsidR="005465D4" w:rsidRPr="005465D4" w:rsidRDefault="005465D4" w:rsidP="00214C59">
            <w:r w:rsidRPr="005465D4">
              <w:t>Alameda County</w:t>
            </w:r>
          </w:p>
        </w:tc>
        <w:tc>
          <w:tcPr>
            <w:tcW w:w="990" w:type="dxa"/>
            <w:tcBorders>
              <w:left w:val="single" w:sz="4" w:space="0" w:color="auto"/>
              <w:right w:val="single" w:sz="12" w:space="0" w:color="auto"/>
            </w:tcBorders>
            <w:shd w:val="clear" w:color="auto" w:fill="auto"/>
            <w:vAlign w:val="center"/>
          </w:tcPr>
          <w:p w14:paraId="247EF3E0" w14:textId="77777777" w:rsidR="005465D4" w:rsidRPr="005465D4" w:rsidRDefault="005465D4" w:rsidP="00D779CE">
            <w:pPr>
              <w:jc w:val="center"/>
              <w:rPr>
                <w:color w:val="000000"/>
              </w:rPr>
            </w:pPr>
            <w:r w:rsidRPr="005465D4">
              <w:rPr>
                <w:color w:val="000000"/>
              </w:rPr>
              <w:t>Major</w:t>
            </w:r>
          </w:p>
        </w:tc>
      </w:tr>
      <w:tr w:rsidR="005465D4" w:rsidRPr="00DB0846" w14:paraId="1DA09C4B" w14:textId="77777777" w:rsidTr="00D779CE">
        <w:trPr>
          <w:cantSplit/>
        </w:trPr>
        <w:tc>
          <w:tcPr>
            <w:tcW w:w="3321" w:type="dxa"/>
            <w:tcBorders>
              <w:left w:val="single" w:sz="12" w:space="0" w:color="auto"/>
            </w:tcBorders>
            <w:shd w:val="clear" w:color="auto" w:fill="auto"/>
            <w:vAlign w:val="center"/>
          </w:tcPr>
          <w:p w14:paraId="080831C9" w14:textId="77777777" w:rsidR="005465D4" w:rsidRPr="005465D4" w:rsidRDefault="005465D4" w:rsidP="00214C59">
            <w:pPr>
              <w:rPr>
                <w:rFonts w:eastAsia="Arial Unicode MS"/>
              </w:rPr>
            </w:pPr>
            <w:r w:rsidRPr="005465D4">
              <w:t>Fairfield-Suisun Sewer District</w:t>
            </w:r>
          </w:p>
        </w:tc>
        <w:tc>
          <w:tcPr>
            <w:tcW w:w="2862" w:type="dxa"/>
            <w:shd w:val="clear" w:color="auto" w:fill="auto"/>
            <w:vAlign w:val="center"/>
          </w:tcPr>
          <w:p w14:paraId="3D6A9083" w14:textId="77777777" w:rsidR="005465D4" w:rsidRPr="005465D4" w:rsidRDefault="005465D4" w:rsidP="00214C59">
            <w:r w:rsidRPr="005465D4">
              <w:t>Fairfield-Suisun Wastewater Treatment Plant</w:t>
            </w:r>
          </w:p>
        </w:tc>
        <w:tc>
          <w:tcPr>
            <w:tcW w:w="3195" w:type="dxa"/>
            <w:tcBorders>
              <w:right w:val="single" w:sz="4" w:space="0" w:color="auto"/>
            </w:tcBorders>
            <w:shd w:val="clear" w:color="auto" w:fill="auto"/>
            <w:vAlign w:val="center"/>
          </w:tcPr>
          <w:p w14:paraId="3C36B6AD" w14:textId="77777777" w:rsidR="005465D4" w:rsidRPr="005465D4" w:rsidRDefault="005465D4" w:rsidP="00214C59">
            <w:r w:rsidRPr="005465D4">
              <w:t>1010 Chadbourne Road</w:t>
            </w:r>
          </w:p>
          <w:p w14:paraId="1A0AD075" w14:textId="77777777" w:rsidR="005465D4" w:rsidRPr="005465D4" w:rsidRDefault="005465D4" w:rsidP="00214C59">
            <w:r w:rsidRPr="005465D4">
              <w:t>Fairfield, CA 94534</w:t>
            </w:r>
          </w:p>
          <w:p w14:paraId="2BEBE887" w14:textId="77777777" w:rsidR="005465D4" w:rsidRPr="005465D4" w:rsidRDefault="005465D4" w:rsidP="00214C59">
            <w:r w:rsidRPr="005465D4">
              <w:t>Solano County</w:t>
            </w:r>
          </w:p>
        </w:tc>
        <w:tc>
          <w:tcPr>
            <w:tcW w:w="990" w:type="dxa"/>
            <w:tcBorders>
              <w:left w:val="single" w:sz="4" w:space="0" w:color="auto"/>
              <w:right w:val="single" w:sz="12" w:space="0" w:color="auto"/>
            </w:tcBorders>
            <w:shd w:val="clear" w:color="auto" w:fill="auto"/>
            <w:vAlign w:val="center"/>
          </w:tcPr>
          <w:p w14:paraId="14445C96" w14:textId="77777777" w:rsidR="005465D4" w:rsidRPr="005465D4" w:rsidRDefault="005465D4" w:rsidP="00D779CE">
            <w:pPr>
              <w:jc w:val="center"/>
              <w:rPr>
                <w:color w:val="000000"/>
              </w:rPr>
            </w:pPr>
            <w:r w:rsidRPr="005465D4">
              <w:rPr>
                <w:color w:val="000000"/>
              </w:rPr>
              <w:t>Major</w:t>
            </w:r>
          </w:p>
        </w:tc>
      </w:tr>
      <w:tr w:rsidR="005465D4" w:rsidRPr="00DB0846" w14:paraId="2286475E" w14:textId="77777777" w:rsidTr="00D779CE">
        <w:trPr>
          <w:cantSplit/>
        </w:trPr>
        <w:tc>
          <w:tcPr>
            <w:tcW w:w="3321" w:type="dxa"/>
            <w:tcBorders>
              <w:left w:val="single" w:sz="12" w:space="0" w:color="auto"/>
            </w:tcBorders>
            <w:shd w:val="clear" w:color="auto" w:fill="auto"/>
            <w:vAlign w:val="center"/>
          </w:tcPr>
          <w:p w14:paraId="3598ACC2" w14:textId="77777777" w:rsidR="005465D4" w:rsidRPr="005465D4" w:rsidRDefault="005465D4" w:rsidP="00D779CE">
            <w:pPr>
              <w:pStyle w:val="FootnoteText"/>
              <w:rPr>
                <w:rFonts w:eastAsia="Arial Unicode MS"/>
              </w:rPr>
            </w:pPr>
            <w:r w:rsidRPr="005465D4">
              <w:t>Las Gallinas Valley Sanitary District</w:t>
            </w:r>
          </w:p>
        </w:tc>
        <w:tc>
          <w:tcPr>
            <w:tcW w:w="2862" w:type="dxa"/>
            <w:shd w:val="clear" w:color="auto" w:fill="auto"/>
            <w:vAlign w:val="center"/>
          </w:tcPr>
          <w:p w14:paraId="3D285B34" w14:textId="77777777" w:rsidR="005465D4" w:rsidRPr="005465D4" w:rsidRDefault="005465D4" w:rsidP="00214C59">
            <w:r w:rsidRPr="005465D4">
              <w:t>Las Gallinas Valley Sanitary District Sewage Treatment Plant</w:t>
            </w:r>
          </w:p>
        </w:tc>
        <w:tc>
          <w:tcPr>
            <w:tcW w:w="3195" w:type="dxa"/>
            <w:tcBorders>
              <w:right w:val="single" w:sz="4" w:space="0" w:color="auto"/>
            </w:tcBorders>
            <w:shd w:val="clear" w:color="auto" w:fill="auto"/>
            <w:vAlign w:val="center"/>
          </w:tcPr>
          <w:p w14:paraId="503FB3BB" w14:textId="77777777" w:rsidR="005465D4" w:rsidRPr="005465D4" w:rsidRDefault="005465D4" w:rsidP="00214C59">
            <w:r w:rsidRPr="005465D4">
              <w:t>300 Smith Ranch Road</w:t>
            </w:r>
          </w:p>
          <w:p w14:paraId="36DEDE9B" w14:textId="77777777" w:rsidR="005465D4" w:rsidRPr="005465D4" w:rsidRDefault="005465D4" w:rsidP="00214C59">
            <w:r w:rsidRPr="005465D4">
              <w:t>San Rafael, CA 94903</w:t>
            </w:r>
          </w:p>
          <w:p w14:paraId="1F0EB9B3" w14:textId="77777777" w:rsidR="005465D4" w:rsidRPr="005465D4" w:rsidRDefault="005465D4" w:rsidP="00214C59">
            <w:r w:rsidRPr="005465D4">
              <w:t>Marin County</w:t>
            </w:r>
          </w:p>
        </w:tc>
        <w:tc>
          <w:tcPr>
            <w:tcW w:w="990" w:type="dxa"/>
            <w:tcBorders>
              <w:left w:val="single" w:sz="4" w:space="0" w:color="auto"/>
              <w:right w:val="single" w:sz="12" w:space="0" w:color="auto"/>
            </w:tcBorders>
            <w:shd w:val="clear" w:color="auto" w:fill="auto"/>
            <w:vAlign w:val="center"/>
          </w:tcPr>
          <w:p w14:paraId="12F6D641" w14:textId="77777777" w:rsidR="005465D4" w:rsidRPr="005465D4" w:rsidRDefault="005465D4" w:rsidP="00D779CE">
            <w:pPr>
              <w:jc w:val="center"/>
              <w:rPr>
                <w:color w:val="000000"/>
              </w:rPr>
            </w:pPr>
            <w:r w:rsidRPr="005465D4">
              <w:rPr>
                <w:color w:val="000000"/>
              </w:rPr>
              <w:t>Major</w:t>
            </w:r>
          </w:p>
        </w:tc>
      </w:tr>
      <w:tr w:rsidR="005465D4" w:rsidRPr="00DB0846" w14:paraId="51D0FE61" w14:textId="77777777" w:rsidTr="00D779CE">
        <w:trPr>
          <w:cantSplit/>
        </w:trPr>
        <w:tc>
          <w:tcPr>
            <w:tcW w:w="3321" w:type="dxa"/>
            <w:tcBorders>
              <w:left w:val="single" w:sz="12" w:space="0" w:color="auto"/>
            </w:tcBorders>
            <w:shd w:val="clear" w:color="auto" w:fill="auto"/>
            <w:vAlign w:val="center"/>
          </w:tcPr>
          <w:p w14:paraId="146CAD21" w14:textId="77777777" w:rsidR="005465D4" w:rsidRPr="005465D4" w:rsidRDefault="005465D4" w:rsidP="00214C59">
            <w:r w:rsidRPr="005465D4">
              <w:t xml:space="preserve">Marin County (Paradise Cove), Sanitary District No. 5 of </w:t>
            </w:r>
          </w:p>
        </w:tc>
        <w:tc>
          <w:tcPr>
            <w:tcW w:w="2862" w:type="dxa"/>
            <w:shd w:val="clear" w:color="auto" w:fill="auto"/>
            <w:vAlign w:val="center"/>
          </w:tcPr>
          <w:p w14:paraId="283A8582" w14:textId="77777777" w:rsidR="005465D4" w:rsidRPr="005465D4" w:rsidRDefault="005465D4" w:rsidP="00214C59">
            <w:r w:rsidRPr="005465D4">
              <w:t>Paradise Cove Treatment Plant</w:t>
            </w:r>
          </w:p>
        </w:tc>
        <w:tc>
          <w:tcPr>
            <w:tcW w:w="3195" w:type="dxa"/>
            <w:tcBorders>
              <w:right w:val="single" w:sz="4" w:space="0" w:color="auto"/>
            </w:tcBorders>
            <w:shd w:val="clear" w:color="auto" w:fill="auto"/>
            <w:vAlign w:val="center"/>
          </w:tcPr>
          <w:p w14:paraId="6820A0BE" w14:textId="77777777" w:rsidR="005465D4" w:rsidRPr="005465D4" w:rsidRDefault="005465D4" w:rsidP="00214C59">
            <w:r w:rsidRPr="005465D4">
              <w:t>3700 Paradise Drive</w:t>
            </w:r>
          </w:p>
          <w:p w14:paraId="46C39508" w14:textId="77777777" w:rsidR="005465D4" w:rsidRPr="005465D4" w:rsidRDefault="005465D4" w:rsidP="00214C59">
            <w:r w:rsidRPr="005465D4">
              <w:t>Tiburon, CA 94920</w:t>
            </w:r>
          </w:p>
          <w:p w14:paraId="58391EFC" w14:textId="77777777" w:rsidR="005465D4" w:rsidRPr="005465D4" w:rsidRDefault="005465D4" w:rsidP="00214C59">
            <w:r w:rsidRPr="005465D4">
              <w:t>Marin County</w:t>
            </w:r>
          </w:p>
        </w:tc>
        <w:tc>
          <w:tcPr>
            <w:tcW w:w="990" w:type="dxa"/>
            <w:tcBorders>
              <w:left w:val="single" w:sz="4" w:space="0" w:color="auto"/>
              <w:right w:val="single" w:sz="12" w:space="0" w:color="auto"/>
            </w:tcBorders>
            <w:shd w:val="clear" w:color="auto" w:fill="auto"/>
            <w:vAlign w:val="center"/>
          </w:tcPr>
          <w:p w14:paraId="2266838A" w14:textId="77777777" w:rsidR="005465D4" w:rsidRPr="005465D4" w:rsidRDefault="005465D4" w:rsidP="00D779CE">
            <w:pPr>
              <w:jc w:val="center"/>
              <w:rPr>
                <w:color w:val="000000"/>
              </w:rPr>
            </w:pPr>
            <w:r w:rsidRPr="005465D4">
              <w:rPr>
                <w:color w:val="000000"/>
              </w:rPr>
              <w:t>Minor</w:t>
            </w:r>
          </w:p>
        </w:tc>
      </w:tr>
      <w:tr w:rsidR="005465D4" w:rsidRPr="00DB0846" w14:paraId="6A86993A" w14:textId="77777777" w:rsidTr="00D779CE">
        <w:trPr>
          <w:cantSplit/>
        </w:trPr>
        <w:tc>
          <w:tcPr>
            <w:tcW w:w="3321" w:type="dxa"/>
            <w:tcBorders>
              <w:left w:val="single" w:sz="12" w:space="0" w:color="auto"/>
            </w:tcBorders>
            <w:shd w:val="clear" w:color="auto" w:fill="auto"/>
            <w:vAlign w:val="center"/>
          </w:tcPr>
          <w:p w14:paraId="59BBA062" w14:textId="75A4E9DE" w:rsidR="005465D4" w:rsidRPr="005465D4" w:rsidRDefault="005465D4" w:rsidP="00214C59">
            <w:pPr>
              <w:rPr>
                <w:rFonts w:eastAsia="Arial Unicode MS"/>
              </w:rPr>
            </w:pPr>
            <w:r w:rsidRPr="005465D4">
              <w:t>Marin County (Tiburon),</w:t>
            </w:r>
            <w:r w:rsidR="00044292">
              <w:t xml:space="preserve"> </w:t>
            </w:r>
            <w:r w:rsidRPr="005465D4">
              <w:t>Sanitary District No. 5 of</w:t>
            </w:r>
          </w:p>
        </w:tc>
        <w:tc>
          <w:tcPr>
            <w:tcW w:w="2862" w:type="dxa"/>
            <w:shd w:val="clear" w:color="auto" w:fill="auto"/>
            <w:vAlign w:val="center"/>
          </w:tcPr>
          <w:p w14:paraId="0E04C4F1" w14:textId="77777777" w:rsidR="005465D4" w:rsidRPr="005465D4" w:rsidRDefault="005465D4" w:rsidP="00214C59">
            <w:r w:rsidRPr="005465D4">
              <w:t>Wastewater Treatment Plant</w:t>
            </w:r>
          </w:p>
        </w:tc>
        <w:tc>
          <w:tcPr>
            <w:tcW w:w="3195" w:type="dxa"/>
            <w:tcBorders>
              <w:right w:val="single" w:sz="4" w:space="0" w:color="auto"/>
            </w:tcBorders>
            <w:shd w:val="clear" w:color="auto" w:fill="auto"/>
            <w:vAlign w:val="center"/>
          </w:tcPr>
          <w:p w14:paraId="68041642" w14:textId="77777777" w:rsidR="005465D4" w:rsidRPr="005465D4" w:rsidRDefault="005465D4" w:rsidP="00214C59">
            <w:r w:rsidRPr="005465D4">
              <w:t>2001 Paradise Drive</w:t>
            </w:r>
          </w:p>
          <w:p w14:paraId="7FD6D177" w14:textId="77777777" w:rsidR="005465D4" w:rsidRPr="005465D4" w:rsidRDefault="005465D4" w:rsidP="00214C59">
            <w:r w:rsidRPr="005465D4">
              <w:t>Tiburon, CA 94920</w:t>
            </w:r>
          </w:p>
          <w:p w14:paraId="6F2ECD38" w14:textId="77777777" w:rsidR="005465D4" w:rsidRPr="005465D4" w:rsidRDefault="005465D4" w:rsidP="00214C59">
            <w:r w:rsidRPr="005465D4">
              <w:t>Marin County</w:t>
            </w:r>
          </w:p>
        </w:tc>
        <w:tc>
          <w:tcPr>
            <w:tcW w:w="990" w:type="dxa"/>
            <w:tcBorders>
              <w:left w:val="single" w:sz="4" w:space="0" w:color="auto"/>
              <w:right w:val="single" w:sz="12" w:space="0" w:color="auto"/>
            </w:tcBorders>
            <w:shd w:val="clear" w:color="auto" w:fill="auto"/>
            <w:vAlign w:val="center"/>
          </w:tcPr>
          <w:p w14:paraId="7183DB72" w14:textId="77777777" w:rsidR="005465D4" w:rsidRPr="005465D4" w:rsidRDefault="005465D4" w:rsidP="00D779CE">
            <w:pPr>
              <w:jc w:val="center"/>
              <w:rPr>
                <w:color w:val="000000"/>
              </w:rPr>
            </w:pPr>
            <w:r w:rsidRPr="005465D4">
              <w:rPr>
                <w:color w:val="000000"/>
              </w:rPr>
              <w:t>Major</w:t>
            </w:r>
          </w:p>
        </w:tc>
      </w:tr>
      <w:tr w:rsidR="005465D4" w:rsidRPr="00DB0846" w14:paraId="2A8E8436" w14:textId="77777777" w:rsidTr="00D779CE">
        <w:trPr>
          <w:cantSplit/>
        </w:trPr>
        <w:tc>
          <w:tcPr>
            <w:tcW w:w="3321" w:type="dxa"/>
            <w:tcBorders>
              <w:left w:val="single" w:sz="12" w:space="0" w:color="auto"/>
            </w:tcBorders>
            <w:shd w:val="clear" w:color="auto" w:fill="auto"/>
            <w:vAlign w:val="center"/>
          </w:tcPr>
          <w:p w14:paraId="48B126CD" w14:textId="77777777" w:rsidR="005465D4" w:rsidRPr="005465D4" w:rsidRDefault="005465D4" w:rsidP="00214C59">
            <w:pPr>
              <w:rPr>
                <w:rFonts w:eastAsia="Arial Unicode MS"/>
              </w:rPr>
            </w:pPr>
            <w:r w:rsidRPr="005465D4">
              <w:t>Millbrae, City of</w:t>
            </w:r>
          </w:p>
        </w:tc>
        <w:tc>
          <w:tcPr>
            <w:tcW w:w="2862" w:type="dxa"/>
            <w:shd w:val="clear" w:color="auto" w:fill="auto"/>
            <w:vAlign w:val="center"/>
          </w:tcPr>
          <w:p w14:paraId="4F2A736B" w14:textId="77777777" w:rsidR="005465D4" w:rsidRPr="005465D4" w:rsidRDefault="005465D4" w:rsidP="00214C59">
            <w:r w:rsidRPr="005465D4">
              <w:t>Water Pollution Control Plant</w:t>
            </w:r>
          </w:p>
        </w:tc>
        <w:tc>
          <w:tcPr>
            <w:tcW w:w="3195" w:type="dxa"/>
            <w:tcBorders>
              <w:right w:val="single" w:sz="4" w:space="0" w:color="auto"/>
            </w:tcBorders>
            <w:shd w:val="clear" w:color="auto" w:fill="auto"/>
            <w:vAlign w:val="center"/>
          </w:tcPr>
          <w:p w14:paraId="2A9AADC2" w14:textId="77777777" w:rsidR="005465D4" w:rsidRPr="005465D4" w:rsidRDefault="005465D4" w:rsidP="00214C59">
            <w:pPr>
              <w:suppressAutoHyphens/>
            </w:pPr>
            <w:r w:rsidRPr="005465D4">
              <w:t xml:space="preserve">400 East Millbrae Avenue </w:t>
            </w:r>
          </w:p>
          <w:p w14:paraId="0B08B5CF" w14:textId="77777777" w:rsidR="005465D4" w:rsidRPr="005465D4" w:rsidRDefault="005465D4" w:rsidP="00214C59">
            <w:pPr>
              <w:suppressAutoHyphens/>
            </w:pPr>
            <w:r w:rsidRPr="005465D4">
              <w:t>Millbrae, CA 94030</w:t>
            </w:r>
          </w:p>
          <w:p w14:paraId="683380DE" w14:textId="77777777" w:rsidR="005465D4" w:rsidRPr="005465D4" w:rsidRDefault="005465D4" w:rsidP="00214C59">
            <w:r w:rsidRPr="005465D4">
              <w:t>San Mateo County</w:t>
            </w:r>
          </w:p>
        </w:tc>
        <w:tc>
          <w:tcPr>
            <w:tcW w:w="990" w:type="dxa"/>
            <w:tcBorders>
              <w:left w:val="single" w:sz="4" w:space="0" w:color="auto"/>
              <w:right w:val="single" w:sz="12" w:space="0" w:color="auto"/>
            </w:tcBorders>
            <w:shd w:val="clear" w:color="auto" w:fill="auto"/>
            <w:vAlign w:val="center"/>
          </w:tcPr>
          <w:p w14:paraId="1AE3A71B" w14:textId="77777777" w:rsidR="005465D4" w:rsidRPr="005465D4" w:rsidRDefault="005465D4" w:rsidP="00D779CE">
            <w:pPr>
              <w:jc w:val="center"/>
              <w:rPr>
                <w:color w:val="000000"/>
              </w:rPr>
            </w:pPr>
            <w:r w:rsidRPr="005465D4">
              <w:rPr>
                <w:color w:val="000000"/>
              </w:rPr>
              <w:t>Major</w:t>
            </w:r>
          </w:p>
        </w:tc>
      </w:tr>
      <w:tr w:rsidR="005465D4" w:rsidRPr="00DB0846" w14:paraId="131B23DE" w14:textId="77777777" w:rsidTr="00D779CE">
        <w:trPr>
          <w:cantSplit/>
        </w:trPr>
        <w:tc>
          <w:tcPr>
            <w:tcW w:w="3321" w:type="dxa"/>
            <w:tcBorders>
              <w:left w:val="single" w:sz="12" w:space="0" w:color="auto"/>
            </w:tcBorders>
            <w:shd w:val="clear" w:color="auto" w:fill="auto"/>
            <w:vAlign w:val="center"/>
          </w:tcPr>
          <w:p w14:paraId="3872D772" w14:textId="77777777" w:rsidR="005465D4" w:rsidRPr="005465D4" w:rsidRDefault="005465D4" w:rsidP="00214C59">
            <w:pPr>
              <w:rPr>
                <w:rFonts w:eastAsia="Arial Unicode MS"/>
              </w:rPr>
            </w:pPr>
            <w:r w:rsidRPr="005465D4">
              <w:t>Mt. View Sanitary District</w:t>
            </w:r>
          </w:p>
        </w:tc>
        <w:tc>
          <w:tcPr>
            <w:tcW w:w="2862" w:type="dxa"/>
            <w:shd w:val="clear" w:color="auto" w:fill="auto"/>
            <w:vAlign w:val="center"/>
          </w:tcPr>
          <w:p w14:paraId="28C0035D" w14:textId="77777777" w:rsidR="005465D4" w:rsidRPr="005465D4" w:rsidRDefault="005465D4" w:rsidP="00214C59">
            <w:r w:rsidRPr="005465D4">
              <w:t>Mt. View Sanitary District Wastewater Treatment Plant</w:t>
            </w:r>
          </w:p>
        </w:tc>
        <w:tc>
          <w:tcPr>
            <w:tcW w:w="3195" w:type="dxa"/>
            <w:tcBorders>
              <w:right w:val="single" w:sz="4" w:space="0" w:color="auto"/>
            </w:tcBorders>
            <w:shd w:val="clear" w:color="auto" w:fill="auto"/>
            <w:vAlign w:val="center"/>
          </w:tcPr>
          <w:p w14:paraId="694DBD2E" w14:textId="77777777" w:rsidR="005465D4" w:rsidRPr="005465D4" w:rsidRDefault="005465D4" w:rsidP="00214C59">
            <w:r w:rsidRPr="005465D4">
              <w:t>3800 Arthur Road</w:t>
            </w:r>
          </w:p>
          <w:p w14:paraId="665F88F7" w14:textId="77777777" w:rsidR="005465D4" w:rsidRPr="005465D4" w:rsidRDefault="005465D4" w:rsidP="00214C59">
            <w:r w:rsidRPr="005465D4">
              <w:t>Martinez, CA 94553</w:t>
            </w:r>
          </w:p>
          <w:p w14:paraId="7A166436" w14:textId="77777777" w:rsidR="005465D4" w:rsidRPr="005465D4" w:rsidRDefault="005465D4" w:rsidP="00214C59">
            <w:r w:rsidRPr="005465D4">
              <w:t>Contra Costa County</w:t>
            </w:r>
          </w:p>
        </w:tc>
        <w:tc>
          <w:tcPr>
            <w:tcW w:w="990" w:type="dxa"/>
            <w:tcBorders>
              <w:left w:val="single" w:sz="4" w:space="0" w:color="auto"/>
              <w:right w:val="single" w:sz="12" w:space="0" w:color="auto"/>
            </w:tcBorders>
            <w:shd w:val="clear" w:color="auto" w:fill="auto"/>
            <w:vAlign w:val="center"/>
          </w:tcPr>
          <w:p w14:paraId="480F6ED1" w14:textId="77777777" w:rsidR="005465D4" w:rsidRPr="005465D4" w:rsidRDefault="005465D4" w:rsidP="00D779CE">
            <w:pPr>
              <w:jc w:val="center"/>
              <w:rPr>
                <w:color w:val="000000"/>
              </w:rPr>
            </w:pPr>
            <w:r w:rsidRPr="005465D4">
              <w:rPr>
                <w:color w:val="000000"/>
              </w:rPr>
              <w:t>Major</w:t>
            </w:r>
          </w:p>
        </w:tc>
      </w:tr>
      <w:tr w:rsidR="005465D4" w:rsidRPr="00DB0846" w14:paraId="464C5855" w14:textId="77777777" w:rsidTr="00D779CE">
        <w:trPr>
          <w:cantSplit/>
        </w:trPr>
        <w:tc>
          <w:tcPr>
            <w:tcW w:w="3321" w:type="dxa"/>
            <w:tcBorders>
              <w:left w:val="single" w:sz="12" w:space="0" w:color="auto"/>
            </w:tcBorders>
            <w:shd w:val="clear" w:color="auto" w:fill="auto"/>
            <w:vAlign w:val="center"/>
          </w:tcPr>
          <w:p w14:paraId="133BAA42" w14:textId="77777777" w:rsidR="005465D4" w:rsidRPr="005465D4" w:rsidRDefault="005465D4" w:rsidP="00214C59">
            <w:pPr>
              <w:rPr>
                <w:rFonts w:eastAsia="Arial Unicode MS"/>
              </w:rPr>
            </w:pPr>
            <w:r w:rsidRPr="005465D4">
              <w:t>Napa Sanitation District</w:t>
            </w:r>
          </w:p>
        </w:tc>
        <w:tc>
          <w:tcPr>
            <w:tcW w:w="2862" w:type="dxa"/>
            <w:shd w:val="clear" w:color="auto" w:fill="auto"/>
            <w:vAlign w:val="center"/>
          </w:tcPr>
          <w:p w14:paraId="72FF58B3" w14:textId="77777777" w:rsidR="005465D4" w:rsidRPr="005465D4" w:rsidRDefault="005465D4" w:rsidP="00214C59">
            <w:r w:rsidRPr="005465D4">
              <w:t>Soscol Water Recycling Facility</w:t>
            </w:r>
          </w:p>
        </w:tc>
        <w:tc>
          <w:tcPr>
            <w:tcW w:w="3195" w:type="dxa"/>
            <w:tcBorders>
              <w:right w:val="single" w:sz="4" w:space="0" w:color="auto"/>
            </w:tcBorders>
            <w:shd w:val="clear" w:color="auto" w:fill="auto"/>
            <w:vAlign w:val="center"/>
          </w:tcPr>
          <w:p w14:paraId="48FACA1B" w14:textId="77777777" w:rsidR="005465D4" w:rsidRPr="005465D4" w:rsidRDefault="005465D4" w:rsidP="00214C59">
            <w:r w:rsidRPr="005465D4">
              <w:t>1515 Soscol Ferry Road</w:t>
            </w:r>
          </w:p>
          <w:p w14:paraId="58284A0B" w14:textId="77777777" w:rsidR="005465D4" w:rsidRPr="005465D4" w:rsidRDefault="005465D4" w:rsidP="00214C59">
            <w:r w:rsidRPr="005465D4">
              <w:t>Napa, CA 94558</w:t>
            </w:r>
          </w:p>
          <w:p w14:paraId="1CAD78D7" w14:textId="77777777" w:rsidR="005465D4" w:rsidRPr="005465D4" w:rsidRDefault="005465D4" w:rsidP="00214C59">
            <w:r w:rsidRPr="005465D4">
              <w:t>Napa County</w:t>
            </w:r>
          </w:p>
        </w:tc>
        <w:tc>
          <w:tcPr>
            <w:tcW w:w="990" w:type="dxa"/>
            <w:tcBorders>
              <w:left w:val="single" w:sz="4" w:space="0" w:color="auto"/>
              <w:right w:val="single" w:sz="12" w:space="0" w:color="auto"/>
            </w:tcBorders>
            <w:shd w:val="clear" w:color="auto" w:fill="auto"/>
            <w:vAlign w:val="center"/>
          </w:tcPr>
          <w:p w14:paraId="460198B6" w14:textId="77777777" w:rsidR="005465D4" w:rsidRPr="005465D4" w:rsidRDefault="005465D4" w:rsidP="00D779CE">
            <w:pPr>
              <w:jc w:val="center"/>
              <w:rPr>
                <w:color w:val="000000"/>
              </w:rPr>
            </w:pPr>
            <w:r w:rsidRPr="005465D4">
              <w:rPr>
                <w:color w:val="000000"/>
              </w:rPr>
              <w:t>Major</w:t>
            </w:r>
          </w:p>
        </w:tc>
      </w:tr>
      <w:tr w:rsidR="005465D4" w:rsidRPr="00DB0846" w14:paraId="6CB45F0F" w14:textId="77777777" w:rsidTr="00D779CE">
        <w:trPr>
          <w:cantSplit/>
        </w:trPr>
        <w:tc>
          <w:tcPr>
            <w:tcW w:w="3321" w:type="dxa"/>
            <w:tcBorders>
              <w:left w:val="single" w:sz="12" w:space="0" w:color="auto"/>
            </w:tcBorders>
            <w:shd w:val="clear" w:color="auto" w:fill="auto"/>
            <w:vAlign w:val="center"/>
          </w:tcPr>
          <w:p w14:paraId="79E58307" w14:textId="77777777" w:rsidR="005465D4" w:rsidRPr="005465D4" w:rsidRDefault="005465D4" w:rsidP="00214C59">
            <w:pPr>
              <w:rPr>
                <w:rFonts w:eastAsia="Arial Unicode MS"/>
              </w:rPr>
            </w:pPr>
            <w:r w:rsidRPr="005465D4">
              <w:t>Novato Sanitary District</w:t>
            </w:r>
          </w:p>
        </w:tc>
        <w:tc>
          <w:tcPr>
            <w:tcW w:w="2862" w:type="dxa"/>
            <w:shd w:val="clear" w:color="auto" w:fill="auto"/>
            <w:vAlign w:val="center"/>
          </w:tcPr>
          <w:p w14:paraId="74E08EB0" w14:textId="77777777" w:rsidR="005465D4" w:rsidRPr="005465D4" w:rsidRDefault="005465D4" w:rsidP="00214C59">
            <w:r w:rsidRPr="005465D4">
              <w:t>Novato Sanitary District Wastewater Treatment Plant</w:t>
            </w:r>
          </w:p>
        </w:tc>
        <w:tc>
          <w:tcPr>
            <w:tcW w:w="3195" w:type="dxa"/>
            <w:tcBorders>
              <w:right w:val="single" w:sz="4" w:space="0" w:color="auto"/>
            </w:tcBorders>
            <w:shd w:val="clear" w:color="auto" w:fill="auto"/>
            <w:vAlign w:val="center"/>
          </w:tcPr>
          <w:p w14:paraId="65CEEC8C" w14:textId="77777777" w:rsidR="005465D4" w:rsidRPr="005465D4" w:rsidRDefault="005465D4" w:rsidP="00214C59">
            <w:r w:rsidRPr="005465D4">
              <w:t>500 Davidson Street</w:t>
            </w:r>
          </w:p>
          <w:p w14:paraId="4E55A561" w14:textId="77777777" w:rsidR="005465D4" w:rsidRPr="005465D4" w:rsidRDefault="005465D4" w:rsidP="00214C59">
            <w:r w:rsidRPr="005465D4">
              <w:t>Novato, CA 94945</w:t>
            </w:r>
          </w:p>
          <w:p w14:paraId="46B65101" w14:textId="77777777" w:rsidR="005465D4" w:rsidRPr="005465D4" w:rsidRDefault="005465D4" w:rsidP="00214C59">
            <w:r w:rsidRPr="005465D4">
              <w:t>Marin County</w:t>
            </w:r>
          </w:p>
        </w:tc>
        <w:tc>
          <w:tcPr>
            <w:tcW w:w="990" w:type="dxa"/>
            <w:tcBorders>
              <w:left w:val="single" w:sz="4" w:space="0" w:color="auto"/>
              <w:right w:val="single" w:sz="12" w:space="0" w:color="auto"/>
            </w:tcBorders>
            <w:shd w:val="clear" w:color="auto" w:fill="auto"/>
            <w:vAlign w:val="center"/>
          </w:tcPr>
          <w:p w14:paraId="5B4E7A3D" w14:textId="77777777" w:rsidR="005465D4" w:rsidRPr="005465D4" w:rsidRDefault="005465D4" w:rsidP="00D779CE">
            <w:pPr>
              <w:jc w:val="center"/>
              <w:rPr>
                <w:color w:val="000000"/>
              </w:rPr>
            </w:pPr>
            <w:r w:rsidRPr="005465D4">
              <w:rPr>
                <w:color w:val="000000"/>
              </w:rPr>
              <w:t>Major</w:t>
            </w:r>
          </w:p>
        </w:tc>
      </w:tr>
      <w:tr w:rsidR="005465D4" w:rsidRPr="00DB0846" w14:paraId="211FC5DC" w14:textId="77777777" w:rsidTr="00D779CE">
        <w:trPr>
          <w:cantSplit/>
        </w:trPr>
        <w:tc>
          <w:tcPr>
            <w:tcW w:w="3321" w:type="dxa"/>
            <w:tcBorders>
              <w:left w:val="single" w:sz="12" w:space="0" w:color="auto"/>
            </w:tcBorders>
            <w:shd w:val="clear" w:color="auto" w:fill="auto"/>
            <w:vAlign w:val="center"/>
          </w:tcPr>
          <w:p w14:paraId="5EAFA7AD" w14:textId="77777777" w:rsidR="005465D4" w:rsidRPr="005465D4" w:rsidRDefault="005465D4" w:rsidP="00214C59">
            <w:pPr>
              <w:rPr>
                <w:rFonts w:eastAsia="Arial Unicode MS"/>
              </w:rPr>
            </w:pPr>
            <w:r w:rsidRPr="005465D4">
              <w:t>Palo Alto, City of</w:t>
            </w:r>
          </w:p>
        </w:tc>
        <w:tc>
          <w:tcPr>
            <w:tcW w:w="2862" w:type="dxa"/>
            <w:shd w:val="clear" w:color="auto" w:fill="auto"/>
            <w:vAlign w:val="center"/>
          </w:tcPr>
          <w:p w14:paraId="13C080FA" w14:textId="77777777" w:rsidR="005465D4" w:rsidRPr="005465D4" w:rsidRDefault="005465D4" w:rsidP="00214C59">
            <w:r w:rsidRPr="005465D4">
              <w:t>Palo Alto Regional Water Quality Control Plant</w:t>
            </w:r>
          </w:p>
        </w:tc>
        <w:tc>
          <w:tcPr>
            <w:tcW w:w="3195" w:type="dxa"/>
            <w:tcBorders>
              <w:right w:val="single" w:sz="4" w:space="0" w:color="auto"/>
            </w:tcBorders>
            <w:shd w:val="clear" w:color="auto" w:fill="auto"/>
            <w:vAlign w:val="center"/>
          </w:tcPr>
          <w:p w14:paraId="5B20A43A" w14:textId="77777777" w:rsidR="005465D4" w:rsidRPr="005465D4" w:rsidRDefault="005465D4" w:rsidP="00214C59">
            <w:r w:rsidRPr="005465D4">
              <w:t>2501 Embarcadero Way</w:t>
            </w:r>
          </w:p>
          <w:p w14:paraId="0E4921C3" w14:textId="77777777" w:rsidR="005465D4" w:rsidRPr="005465D4" w:rsidRDefault="005465D4" w:rsidP="00214C59">
            <w:r w:rsidRPr="005465D4">
              <w:t>Palo Alto, CA 94303</w:t>
            </w:r>
          </w:p>
          <w:p w14:paraId="26A0DD67" w14:textId="77777777" w:rsidR="005465D4" w:rsidRPr="005465D4" w:rsidRDefault="005465D4" w:rsidP="00214C59">
            <w:r w:rsidRPr="005465D4">
              <w:t>Santa Clara County</w:t>
            </w:r>
          </w:p>
        </w:tc>
        <w:tc>
          <w:tcPr>
            <w:tcW w:w="990" w:type="dxa"/>
            <w:tcBorders>
              <w:left w:val="single" w:sz="4" w:space="0" w:color="auto"/>
              <w:right w:val="single" w:sz="12" w:space="0" w:color="auto"/>
            </w:tcBorders>
            <w:shd w:val="clear" w:color="auto" w:fill="auto"/>
            <w:vAlign w:val="center"/>
          </w:tcPr>
          <w:p w14:paraId="045A8EAA" w14:textId="77777777" w:rsidR="005465D4" w:rsidRPr="005465D4" w:rsidRDefault="005465D4" w:rsidP="00D779CE">
            <w:pPr>
              <w:jc w:val="center"/>
              <w:rPr>
                <w:color w:val="000000"/>
              </w:rPr>
            </w:pPr>
            <w:r w:rsidRPr="005465D4">
              <w:rPr>
                <w:color w:val="000000"/>
              </w:rPr>
              <w:t>Major</w:t>
            </w:r>
          </w:p>
        </w:tc>
      </w:tr>
      <w:tr w:rsidR="005465D4" w:rsidRPr="00DB0846" w14:paraId="387C3BCE" w14:textId="77777777" w:rsidTr="00D779CE">
        <w:trPr>
          <w:cantSplit/>
        </w:trPr>
        <w:tc>
          <w:tcPr>
            <w:tcW w:w="3321" w:type="dxa"/>
            <w:tcBorders>
              <w:left w:val="single" w:sz="12" w:space="0" w:color="auto"/>
            </w:tcBorders>
            <w:shd w:val="clear" w:color="auto" w:fill="auto"/>
            <w:vAlign w:val="center"/>
          </w:tcPr>
          <w:p w14:paraId="5AF641F1" w14:textId="77777777" w:rsidR="005465D4" w:rsidRPr="005465D4" w:rsidRDefault="005465D4" w:rsidP="00214C59">
            <w:pPr>
              <w:rPr>
                <w:rFonts w:eastAsia="Arial Unicode MS"/>
              </w:rPr>
            </w:pPr>
            <w:r w:rsidRPr="005465D4">
              <w:t>Petaluma, City of</w:t>
            </w:r>
          </w:p>
        </w:tc>
        <w:tc>
          <w:tcPr>
            <w:tcW w:w="2862" w:type="dxa"/>
            <w:shd w:val="clear" w:color="auto" w:fill="auto"/>
            <w:vAlign w:val="center"/>
          </w:tcPr>
          <w:p w14:paraId="344C9D28" w14:textId="77777777" w:rsidR="005465D4" w:rsidRPr="005465D4" w:rsidRDefault="005465D4" w:rsidP="00214C59">
            <w:r w:rsidRPr="005465D4">
              <w:t>Municipal Wastewater Treatment Plant</w:t>
            </w:r>
          </w:p>
        </w:tc>
        <w:tc>
          <w:tcPr>
            <w:tcW w:w="3195" w:type="dxa"/>
            <w:tcBorders>
              <w:right w:val="single" w:sz="4" w:space="0" w:color="auto"/>
            </w:tcBorders>
            <w:shd w:val="clear" w:color="auto" w:fill="auto"/>
            <w:vAlign w:val="center"/>
          </w:tcPr>
          <w:p w14:paraId="7A35E2DE" w14:textId="77777777" w:rsidR="005465D4" w:rsidRPr="005465D4" w:rsidRDefault="00F16839" w:rsidP="00214C59">
            <w:r>
              <w:t>3890 Cypress Drive</w:t>
            </w:r>
          </w:p>
          <w:p w14:paraId="004D489A" w14:textId="77777777" w:rsidR="005465D4" w:rsidRPr="005465D4" w:rsidRDefault="005465D4" w:rsidP="00214C59">
            <w:r w:rsidRPr="005465D4">
              <w:t>Petaluma, CA 9495</w:t>
            </w:r>
            <w:r w:rsidR="00F16839">
              <w:t>4</w:t>
            </w:r>
          </w:p>
          <w:p w14:paraId="2FE6E96E" w14:textId="77777777" w:rsidR="005465D4" w:rsidRPr="005465D4" w:rsidRDefault="005465D4" w:rsidP="00214C59">
            <w:r w:rsidRPr="005465D4">
              <w:t>Sonoma County</w:t>
            </w:r>
          </w:p>
        </w:tc>
        <w:tc>
          <w:tcPr>
            <w:tcW w:w="990" w:type="dxa"/>
            <w:tcBorders>
              <w:left w:val="single" w:sz="4" w:space="0" w:color="auto"/>
              <w:right w:val="single" w:sz="12" w:space="0" w:color="auto"/>
            </w:tcBorders>
            <w:shd w:val="clear" w:color="auto" w:fill="auto"/>
            <w:vAlign w:val="center"/>
          </w:tcPr>
          <w:p w14:paraId="4895DE41" w14:textId="77777777" w:rsidR="005465D4" w:rsidRPr="005465D4" w:rsidRDefault="005465D4" w:rsidP="00D779CE">
            <w:pPr>
              <w:jc w:val="center"/>
              <w:rPr>
                <w:color w:val="000000"/>
              </w:rPr>
            </w:pPr>
            <w:r w:rsidRPr="005465D4">
              <w:rPr>
                <w:color w:val="000000"/>
              </w:rPr>
              <w:t>Major</w:t>
            </w:r>
          </w:p>
        </w:tc>
      </w:tr>
      <w:tr w:rsidR="005465D4" w:rsidRPr="00DB0846" w14:paraId="2DBF279D" w14:textId="77777777" w:rsidTr="00D779CE">
        <w:trPr>
          <w:cantSplit/>
        </w:trPr>
        <w:tc>
          <w:tcPr>
            <w:tcW w:w="3321" w:type="dxa"/>
            <w:tcBorders>
              <w:left w:val="single" w:sz="12" w:space="0" w:color="auto"/>
            </w:tcBorders>
            <w:shd w:val="clear" w:color="auto" w:fill="auto"/>
            <w:vAlign w:val="center"/>
          </w:tcPr>
          <w:p w14:paraId="110F1FA9" w14:textId="77777777" w:rsidR="005465D4" w:rsidRPr="005465D4" w:rsidRDefault="005465D4" w:rsidP="00214C59">
            <w:pPr>
              <w:rPr>
                <w:rFonts w:eastAsia="Arial Unicode MS"/>
              </w:rPr>
            </w:pPr>
            <w:r w:rsidRPr="005465D4">
              <w:t>Pinole, City of</w:t>
            </w:r>
          </w:p>
        </w:tc>
        <w:tc>
          <w:tcPr>
            <w:tcW w:w="2862" w:type="dxa"/>
            <w:shd w:val="clear" w:color="auto" w:fill="auto"/>
            <w:vAlign w:val="center"/>
          </w:tcPr>
          <w:p w14:paraId="0C3E575C" w14:textId="77777777" w:rsidR="005465D4" w:rsidRPr="005465D4" w:rsidRDefault="005465D4" w:rsidP="00214C59">
            <w:r w:rsidRPr="005465D4">
              <w:t>Pinole-Hercules Water Pollution Control Plant</w:t>
            </w:r>
          </w:p>
        </w:tc>
        <w:tc>
          <w:tcPr>
            <w:tcW w:w="3195" w:type="dxa"/>
            <w:tcBorders>
              <w:right w:val="single" w:sz="4" w:space="0" w:color="auto"/>
            </w:tcBorders>
            <w:shd w:val="clear" w:color="auto" w:fill="auto"/>
            <w:vAlign w:val="center"/>
          </w:tcPr>
          <w:p w14:paraId="4EAA2A68" w14:textId="77777777" w:rsidR="005465D4" w:rsidRPr="005465D4" w:rsidRDefault="005465D4" w:rsidP="00214C59">
            <w:r w:rsidRPr="005465D4">
              <w:t>11 Tennent Avenue</w:t>
            </w:r>
          </w:p>
          <w:p w14:paraId="7129A448" w14:textId="77777777" w:rsidR="005465D4" w:rsidRPr="005465D4" w:rsidRDefault="005465D4" w:rsidP="00214C59">
            <w:r w:rsidRPr="005465D4">
              <w:t>Pinole, CA, 94564</w:t>
            </w:r>
          </w:p>
          <w:p w14:paraId="65904974" w14:textId="77777777" w:rsidR="005465D4" w:rsidRPr="005465D4" w:rsidRDefault="005465D4" w:rsidP="00214C59">
            <w:r w:rsidRPr="005465D4">
              <w:t>Contra Costa County</w:t>
            </w:r>
          </w:p>
        </w:tc>
        <w:tc>
          <w:tcPr>
            <w:tcW w:w="990" w:type="dxa"/>
            <w:tcBorders>
              <w:left w:val="single" w:sz="4" w:space="0" w:color="auto"/>
              <w:right w:val="single" w:sz="12" w:space="0" w:color="auto"/>
            </w:tcBorders>
            <w:shd w:val="clear" w:color="auto" w:fill="auto"/>
            <w:vAlign w:val="center"/>
          </w:tcPr>
          <w:p w14:paraId="6B5EC52C" w14:textId="77777777" w:rsidR="005465D4" w:rsidRPr="005465D4" w:rsidRDefault="005465D4" w:rsidP="00D779CE">
            <w:pPr>
              <w:jc w:val="center"/>
              <w:rPr>
                <w:color w:val="000000"/>
              </w:rPr>
            </w:pPr>
            <w:r w:rsidRPr="005465D4">
              <w:rPr>
                <w:color w:val="000000"/>
              </w:rPr>
              <w:t>Major</w:t>
            </w:r>
          </w:p>
        </w:tc>
      </w:tr>
      <w:tr w:rsidR="005465D4" w:rsidRPr="00DB0846" w14:paraId="1649F88B" w14:textId="77777777" w:rsidTr="00D779CE">
        <w:trPr>
          <w:cantSplit/>
        </w:trPr>
        <w:tc>
          <w:tcPr>
            <w:tcW w:w="3321" w:type="dxa"/>
            <w:tcBorders>
              <w:left w:val="single" w:sz="12" w:space="0" w:color="auto"/>
            </w:tcBorders>
            <w:shd w:val="clear" w:color="auto" w:fill="auto"/>
            <w:vAlign w:val="center"/>
          </w:tcPr>
          <w:p w14:paraId="195F8AFA" w14:textId="77777777" w:rsidR="005465D4" w:rsidRPr="005465D4" w:rsidRDefault="005465D4" w:rsidP="00D779CE">
            <w:pPr>
              <w:pStyle w:val="FootnoteText"/>
              <w:rPr>
                <w:rFonts w:eastAsia="Arial Unicode MS"/>
              </w:rPr>
            </w:pPr>
            <w:r w:rsidRPr="005465D4">
              <w:t>Rodeo Sanitary District</w:t>
            </w:r>
          </w:p>
        </w:tc>
        <w:tc>
          <w:tcPr>
            <w:tcW w:w="2862" w:type="dxa"/>
            <w:shd w:val="clear" w:color="auto" w:fill="auto"/>
            <w:vAlign w:val="center"/>
          </w:tcPr>
          <w:p w14:paraId="0163639A" w14:textId="77777777" w:rsidR="005465D4" w:rsidRPr="005465D4" w:rsidRDefault="005465D4" w:rsidP="00214C59">
            <w:r w:rsidRPr="005465D4">
              <w:t>Rodeo Sanitary District Water Pollution Control Facility</w:t>
            </w:r>
          </w:p>
        </w:tc>
        <w:tc>
          <w:tcPr>
            <w:tcW w:w="3195" w:type="dxa"/>
            <w:tcBorders>
              <w:right w:val="single" w:sz="4" w:space="0" w:color="auto"/>
            </w:tcBorders>
            <w:shd w:val="clear" w:color="auto" w:fill="auto"/>
            <w:vAlign w:val="center"/>
          </w:tcPr>
          <w:p w14:paraId="5CF0C90F" w14:textId="77777777" w:rsidR="005465D4" w:rsidRPr="005465D4" w:rsidRDefault="005465D4" w:rsidP="00214C59">
            <w:r w:rsidRPr="005465D4">
              <w:t>800 San Pablo Avenue</w:t>
            </w:r>
          </w:p>
          <w:p w14:paraId="1C5E348C" w14:textId="77777777" w:rsidR="005465D4" w:rsidRPr="005465D4" w:rsidRDefault="005465D4" w:rsidP="00214C59">
            <w:r w:rsidRPr="005465D4">
              <w:t>Rodeo, CA 94572</w:t>
            </w:r>
          </w:p>
          <w:p w14:paraId="6512939B" w14:textId="77777777" w:rsidR="005465D4" w:rsidRPr="005465D4" w:rsidRDefault="005465D4" w:rsidP="00214C59">
            <w:r w:rsidRPr="005465D4">
              <w:t>Contra Costa County</w:t>
            </w:r>
          </w:p>
        </w:tc>
        <w:tc>
          <w:tcPr>
            <w:tcW w:w="990" w:type="dxa"/>
            <w:tcBorders>
              <w:left w:val="single" w:sz="4" w:space="0" w:color="auto"/>
              <w:right w:val="single" w:sz="12" w:space="0" w:color="auto"/>
            </w:tcBorders>
            <w:shd w:val="clear" w:color="auto" w:fill="auto"/>
            <w:vAlign w:val="center"/>
          </w:tcPr>
          <w:p w14:paraId="14B59CB8" w14:textId="77777777" w:rsidR="005465D4" w:rsidRPr="005465D4" w:rsidRDefault="005465D4" w:rsidP="00D779CE">
            <w:pPr>
              <w:jc w:val="center"/>
              <w:rPr>
                <w:color w:val="000000"/>
              </w:rPr>
            </w:pPr>
            <w:r w:rsidRPr="005465D4">
              <w:rPr>
                <w:color w:val="000000"/>
              </w:rPr>
              <w:t>Major</w:t>
            </w:r>
          </w:p>
        </w:tc>
      </w:tr>
      <w:tr w:rsidR="005465D4" w:rsidRPr="00DB0846" w14:paraId="20DD6CC1" w14:textId="77777777" w:rsidTr="00D779CE">
        <w:trPr>
          <w:cantSplit/>
        </w:trPr>
        <w:tc>
          <w:tcPr>
            <w:tcW w:w="3321" w:type="dxa"/>
            <w:tcBorders>
              <w:left w:val="single" w:sz="12" w:space="0" w:color="auto"/>
            </w:tcBorders>
            <w:shd w:val="clear" w:color="auto" w:fill="auto"/>
            <w:vAlign w:val="center"/>
          </w:tcPr>
          <w:p w14:paraId="2ED09ABA" w14:textId="77777777" w:rsidR="005465D4" w:rsidRPr="005465D4" w:rsidRDefault="005465D4" w:rsidP="00214C59">
            <w:pPr>
              <w:rPr>
                <w:rFonts w:eastAsia="Arial Unicode MS"/>
              </w:rPr>
            </w:pPr>
            <w:r w:rsidRPr="005465D4">
              <w:t>Saint Helena, City of</w:t>
            </w:r>
          </w:p>
        </w:tc>
        <w:tc>
          <w:tcPr>
            <w:tcW w:w="2862" w:type="dxa"/>
            <w:shd w:val="clear" w:color="auto" w:fill="auto"/>
            <w:vAlign w:val="center"/>
          </w:tcPr>
          <w:p w14:paraId="13CCAE2F" w14:textId="77777777" w:rsidR="005465D4" w:rsidRPr="005465D4" w:rsidRDefault="005465D4" w:rsidP="00214C59">
            <w:r w:rsidRPr="005465D4">
              <w:t>City of St. Helena Wastewater Treatment and Reclamation Plant</w:t>
            </w:r>
          </w:p>
        </w:tc>
        <w:tc>
          <w:tcPr>
            <w:tcW w:w="3195" w:type="dxa"/>
            <w:tcBorders>
              <w:right w:val="single" w:sz="4" w:space="0" w:color="auto"/>
            </w:tcBorders>
            <w:shd w:val="clear" w:color="auto" w:fill="auto"/>
            <w:vAlign w:val="center"/>
          </w:tcPr>
          <w:p w14:paraId="2E430808" w14:textId="77777777" w:rsidR="005465D4" w:rsidRPr="005465D4" w:rsidRDefault="005465D4" w:rsidP="00214C59">
            <w:r w:rsidRPr="005465D4">
              <w:t>1 Thomann Lane</w:t>
            </w:r>
          </w:p>
          <w:p w14:paraId="5C97F545" w14:textId="77777777" w:rsidR="005465D4" w:rsidRPr="005465D4" w:rsidRDefault="005465D4" w:rsidP="00214C59">
            <w:r w:rsidRPr="005465D4">
              <w:t xml:space="preserve">St. Helena, CA </w:t>
            </w:r>
            <w:r w:rsidRPr="005465D4">
              <w:rPr>
                <w:color w:val="000000"/>
              </w:rPr>
              <w:t>94574</w:t>
            </w:r>
          </w:p>
          <w:p w14:paraId="4CA93427" w14:textId="77777777" w:rsidR="005465D4" w:rsidRPr="005465D4" w:rsidRDefault="005465D4" w:rsidP="00214C59">
            <w:r w:rsidRPr="005465D4">
              <w:t>Napa County</w:t>
            </w:r>
          </w:p>
        </w:tc>
        <w:tc>
          <w:tcPr>
            <w:tcW w:w="990" w:type="dxa"/>
            <w:tcBorders>
              <w:left w:val="single" w:sz="4" w:space="0" w:color="auto"/>
              <w:right w:val="single" w:sz="12" w:space="0" w:color="auto"/>
            </w:tcBorders>
            <w:shd w:val="clear" w:color="auto" w:fill="auto"/>
            <w:vAlign w:val="center"/>
          </w:tcPr>
          <w:p w14:paraId="12429F14" w14:textId="77777777" w:rsidR="005465D4" w:rsidRPr="005465D4" w:rsidRDefault="005465D4" w:rsidP="00D779CE">
            <w:pPr>
              <w:jc w:val="center"/>
              <w:rPr>
                <w:color w:val="000000"/>
              </w:rPr>
            </w:pPr>
            <w:r w:rsidRPr="005465D4">
              <w:rPr>
                <w:color w:val="000000"/>
              </w:rPr>
              <w:t>Minor</w:t>
            </w:r>
          </w:p>
        </w:tc>
      </w:tr>
      <w:tr w:rsidR="005465D4" w:rsidRPr="00DB0846" w14:paraId="692CB27D" w14:textId="77777777" w:rsidTr="00D779CE">
        <w:trPr>
          <w:cantSplit/>
        </w:trPr>
        <w:tc>
          <w:tcPr>
            <w:tcW w:w="3321" w:type="dxa"/>
            <w:tcBorders>
              <w:left w:val="single" w:sz="12" w:space="0" w:color="auto"/>
            </w:tcBorders>
            <w:shd w:val="clear" w:color="auto" w:fill="auto"/>
            <w:vAlign w:val="center"/>
          </w:tcPr>
          <w:p w14:paraId="69A1DB36" w14:textId="47651DD2" w:rsidR="005465D4" w:rsidRPr="005465D4" w:rsidRDefault="00DC5B2D" w:rsidP="00214C59">
            <w:pPr>
              <w:rPr>
                <w:rFonts w:eastAsia="Arial Unicode MS"/>
              </w:rPr>
            </w:pPr>
            <w:r w:rsidRPr="005465D4">
              <w:t>San Francisco</w:t>
            </w:r>
            <w:r>
              <w:t xml:space="preserve"> (San Francisco International Airport)</w:t>
            </w:r>
            <w:r w:rsidRPr="005465D4">
              <w:t>, City and County of</w:t>
            </w:r>
          </w:p>
        </w:tc>
        <w:tc>
          <w:tcPr>
            <w:tcW w:w="2862" w:type="dxa"/>
            <w:shd w:val="clear" w:color="auto" w:fill="auto"/>
            <w:vAlign w:val="center"/>
          </w:tcPr>
          <w:p w14:paraId="0163A22E" w14:textId="77777777" w:rsidR="005465D4" w:rsidRPr="005465D4" w:rsidRDefault="005465D4" w:rsidP="00214C59">
            <w:pPr>
              <w:autoSpaceDE w:val="0"/>
              <w:autoSpaceDN w:val="0"/>
              <w:adjustRightInd w:val="0"/>
            </w:pPr>
            <w:r w:rsidRPr="005465D4">
              <w:t>Mel Leong Treatment Plant, Sanitary Plant</w:t>
            </w:r>
          </w:p>
        </w:tc>
        <w:tc>
          <w:tcPr>
            <w:tcW w:w="3195" w:type="dxa"/>
            <w:tcBorders>
              <w:right w:val="single" w:sz="4" w:space="0" w:color="auto"/>
            </w:tcBorders>
            <w:shd w:val="clear" w:color="auto" w:fill="auto"/>
            <w:vAlign w:val="center"/>
          </w:tcPr>
          <w:p w14:paraId="66515FFA" w14:textId="77777777" w:rsidR="00445E7E" w:rsidRDefault="00445E7E" w:rsidP="00214C59">
            <w:r>
              <w:t>Bldg. 924 Clearwater Drive</w:t>
            </w:r>
          </w:p>
          <w:p w14:paraId="5ADBEC89" w14:textId="77777777" w:rsidR="005465D4" w:rsidRDefault="00445E7E" w:rsidP="00214C59">
            <w:r>
              <w:t xml:space="preserve">San Francisco, CA </w:t>
            </w:r>
            <w:r w:rsidRPr="00445E7E">
              <w:t>94128</w:t>
            </w:r>
          </w:p>
          <w:p w14:paraId="420E2C98" w14:textId="77777777" w:rsidR="00445E7E" w:rsidRPr="005465D4" w:rsidRDefault="00445E7E" w:rsidP="00214C59">
            <w:r>
              <w:t>San Mateo County</w:t>
            </w:r>
          </w:p>
        </w:tc>
        <w:tc>
          <w:tcPr>
            <w:tcW w:w="990" w:type="dxa"/>
            <w:tcBorders>
              <w:left w:val="single" w:sz="4" w:space="0" w:color="auto"/>
              <w:right w:val="single" w:sz="12" w:space="0" w:color="auto"/>
            </w:tcBorders>
            <w:shd w:val="clear" w:color="auto" w:fill="auto"/>
            <w:vAlign w:val="center"/>
          </w:tcPr>
          <w:p w14:paraId="34D1A17B" w14:textId="77777777" w:rsidR="005465D4" w:rsidRPr="005465D4" w:rsidRDefault="005465D4" w:rsidP="00D779CE">
            <w:pPr>
              <w:jc w:val="center"/>
              <w:rPr>
                <w:color w:val="000000"/>
              </w:rPr>
            </w:pPr>
            <w:r w:rsidRPr="005465D4">
              <w:rPr>
                <w:color w:val="000000"/>
              </w:rPr>
              <w:t>Major</w:t>
            </w:r>
          </w:p>
        </w:tc>
      </w:tr>
      <w:tr w:rsidR="005465D4" w:rsidRPr="00DB0846" w14:paraId="11A6E03F" w14:textId="77777777" w:rsidTr="00D779CE">
        <w:trPr>
          <w:cantSplit/>
        </w:trPr>
        <w:tc>
          <w:tcPr>
            <w:tcW w:w="3321" w:type="dxa"/>
            <w:tcBorders>
              <w:left w:val="single" w:sz="12" w:space="0" w:color="auto"/>
            </w:tcBorders>
            <w:shd w:val="clear" w:color="auto" w:fill="auto"/>
            <w:vAlign w:val="center"/>
          </w:tcPr>
          <w:p w14:paraId="72C85833" w14:textId="5FA11E0B" w:rsidR="005465D4" w:rsidRPr="005465D4" w:rsidRDefault="0037200F" w:rsidP="00214C59">
            <w:pPr>
              <w:rPr>
                <w:rFonts w:eastAsia="Arial Unicode MS"/>
              </w:rPr>
            </w:pPr>
            <w:r>
              <w:lastRenderedPageBreak/>
              <w:t>San Francisco</w:t>
            </w:r>
            <w:r w:rsidR="00DC5B2D">
              <w:t xml:space="preserve"> (Southeast Plant)</w:t>
            </w:r>
            <w:r w:rsidR="005465D4" w:rsidRPr="005465D4">
              <w:t>, City and County of</w:t>
            </w:r>
          </w:p>
        </w:tc>
        <w:tc>
          <w:tcPr>
            <w:tcW w:w="2862" w:type="dxa"/>
            <w:shd w:val="clear" w:color="auto" w:fill="auto"/>
            <w:vAlign w:val="center"/>
          </w:tcPr>
          <w:p w14:paraId="0AEC80DC" w14:textId="77777777" w:rsidR="005465D4" w:rsidRPr="005465D4" w:rsidRDefault="005465D4" w:rsidP="00214C59">
            <w:r w:rsidRPr="005465D4">
              <w:t>Southeast Water Pollution Control Plant</w:t>
            </w:r>
          </w:p>
        </w:tc>
        <w:tc>
          <w:tcPr>
            <w:tcW w:w="3195" w:type="dxa"/>
            <w:tcBorders>
              <w:right w:val="single" w:sz="4" w:space="0" w:color="auto"/>
            </w:tcBorders>
            <w:shd w:val="clear" w:color="auto" w:fill="auto"/>
            <w:vAlign w:val="center"/>
          </w:tcPr>
          <w:p w14:paraId="2E1833CA" w14:textId="77777777" w:rsidR="005465D4" w:rsidRPr="005465D4" w:rsidRDefault="005465D4" w:rsidP="00214C59">
            <w:r w:rsidRPr="005465D4">
              <w:t>750 Phelps Street</w:t>
            </w:r>
          </w:p>
          <w:p w14:paraId="7187AB3D" w14:textId="77777777" w:rsidR="005465D4" w:rsidRPr="005465D4" w:rsidRDefault="005465D4" w:rsidP="00214C59">
            <w:r w:rsidRPr="005465D4">
              <w:t>San Francisco, CA 94124</w:t>
            </w:r>
          </w:p>
          <w:p w14:paraId="7CC141B6" w14:textId="77777777" w:rsidR="005465D4" w:rsidRPr="005465D4" w:rsidRDefault="005465D4" w:rsidP="00214C59">
            <w:r w:rsidRPr="005465D4">
              <w:t>San Francisco County</w:t>
            </w:r>
          </w:p>
        </w:tc>
        <w:tc>
          <w:tcPr>
            <w:tcW w:w="990" w:type="dxa"/>
            <w:tcBorders>
              <w:left w:val="single" w:sz="4" w:space="0" w:color="auto"/>
              <w:right w:val="single" w:sz="12" w:space="0" w:color="auto"/>
            </w:tcBorders>
            <w:shd w:val="clear" w:color="auto" w:fill="auto"/>
            <w:vAlign w:val="center"/>
          </w:tcPr>
          <w:p w14:paraId="1D02DB61" w14:textId="77777777" w:rsidR="005465D4" w:rsidRPr="005465D4" w:rsidRDefault="005465D4" w:rsidP="00D779CE">
            <w:pPr>
              <w:jc w:val="center"/>
              <w:rPr>
                <w:color w:val="000000"/>
              </w:rPr>
            </w:pPr>
            <w:r w:rsidRPr="005465D4">
              <w:rPr>
                <w:color w:val="000000"/>
              </w:rPr>
              <w:t>Major</w:t>
            </w:r>
          </w:p>
        </w:tc>
      </w:tr>
      <w:tr w:rsidR="005465D4" w:rsidRPr="00DB0846" w14:paraId="4F13DDF7" w14:textId="77777777" w:rsidTr="00D779CE">
        <w:trPr>
          <w:cantSplit/>
        </w:trPr>
        <w:tc>
          <w:tcPr>
            <w:tcW w:w="3321" w:type="dxa"/>
            <w:tcBorders>
              <w:left w:val="single" w:sz="12" w:space="0" w:color="auto"/>
            </w:tcBorders>
            <w:shd w:val="clear" w:color="auto" w:fill="auto"/>
            <w:vAlign w:val="center"/>
          </w:tcPr>
          <w:p w14:paraId="49F599B7" w14:textId="2E6BF63A" w:rsidR="005465D4" w:rsidRPr="00B522CB" w:rsidRDefault="005465D4" w:rsidP="00D779CE">
            <w:pPr>
              <w:pStyle w:val="FootnoteText"/>
              <w:rPr>
                <w:rFonts w:eastAsia="Arial Unicode MS"/>
              </w:rPr>
            </w:pPr>
            <w:r w:rsidRPr="00B522CB">
              <w:t>San Jose and Santa Clara</w:t>
            </w:r>
            <w:r w:rsidR="004A6403">
              <w:t>, Cities of</w:t>
            </w:r>
          </w:p>
        </w:tc>
        <w:tc>
          <w:tcPr>
            <w:tcW w:w="2862" w:type="dxa"/>
            <w:shd w:val="clear" w:color="auto" w:fill="auto"/>
            <w:vAlign w:val="center"/>
          </w:tcPr>
          <w:p w14:paraId="6E16F099" w14:textId="77777777" w:rsidR="005465D4" w:rsidRPr="005465D4" w:rsidRDefault="005465D4" w:rsidP="00214C59">
            <w:r w:rsidRPr="005465D4">
              <w:t>San Jose/Santa Clara Water Pollution Control Plant</w:t>
            </w:r>
          </w:p>
        </w:tc>
        <w:tc>
          <w:tcPr>
            <w:tcW w:w="3195" w:type="dxa"/>
            <w:tcBorders>
              <w:right w:val="single" w:sz="4" w:space="0" w:color="auto"/>
            </w:tcBorders>
            <w:shd w:val="clear" w:color="auto" w:fill="auto"/>
            <w:vAlign w:val="center"/>
          </w:tcPr>
          <w:p w14:paraId="011905BD" w14:textId="77777777" w:rsidR="005465D4" w:rsidRPr="005465D4" w:rsidRDefault="003B6CED" w:rsidP="00214C59">
            <w:r>
              <w:rPr>
                <w:color w:val="000000"/>
              </w:rPr>
              <w:t>700 Los Esteros Road</w:t>
            </w:r>
          </w:p>
          <w:p w14:paraId="37FDC35B" w14:textId="77777777" w:rsidR="005465D4" w:rsidRPr="005465D4" w:rsidRDefault="005465D4" w:rsidP="00214C59">
            <w:r w:rsidRPr="005465D4">
              <w:t>San Jose, CA 95134</w:t>
            </w:r>
          </w:p>
          <w:p w14:paraId="1D3C4D88" w14:textId="77777777" w:rsidR="005465D4" w:rsidRPr="005465D4" w:rsidRDefault="005465D4" w:rsidP="00214C59">
            <w:r w:rsidRPr="005465D4">
              <w:t>Santa Clara County</w:t>
            </w:r>
          </w:p>
        </w:tc>
        <w:tc>
          <w:tcPr>
            <w:tcW w:w="990" w:type="dxa"/>
            <w:tcBorders>
              <w:left w:val="single" w:sz="4" w:space="0" w:color="auto"/>
              <w:right w:val="single" w:sz="12" w:space="0" w:color="auto"/>
            </w:tcBorders>
            <w:shd w:val="clear" w:color="auto" w:fill="auto"/>
            <w:vAlign w:val="center"/>
          </w:tcPr>
          <w:p w14:paraId="2D7726AF" w14:textId="77777777" w:rsidR="005465D4" w:rsidRPr="005465D4" w:rsidRDefault="005465D4" w:rsidP="00D779CE">
            <w:pPr>
              <w:jc w:val="center"/>
              <w:rPr>
                <w:color w:val="000000"/>
              </w:rPr>
            </w:pPr>
            <w:r w:rsidRPr="005465D4">
              <w:rPr>
                <w:color w:val="000000"/>
              </w:rPr>
              <w:t>Major</w:t>
            </w:r>
          </w:p>
        </w:tc>
      </w:tr>
      <w:tr w:rsidR="005465D4" w:rsidRPr="00DB0846" w14:paraId="2B504EA4" w14:textId="77777777" w:rsidTr="00D779CE">
        <w:trPr>
          <w:cantSplit/>
        </w:trPr>
        <w:tc>
          <w:tcPr>
            <w:tcW w:w="3321" w:type="dxa"/>
            <w:tcBorders>
              <w:left w:val="single" w:sz="12" w:space="0" w:color="auto"/>
            </w:tcBorders>
            <w:shd w:val="clear" w:color="auto" w:fill="auto"/>
            <w:vAlign w:val="center"/>
          </w:tcPr>
          <w:p w14:paraId="48373721" w14:textId="77777777" w:rsidR="005465D4" w:rsidRPr="005465D4" w:rsidRDefault="005465D4" w:rsidP="00214C59">
            <w:pPr>
              <w:rPr>
                <w:rFonts w:eastAsia="Arial Unicode MS"/>
              </w:rPr>
            </w:pPr>
            <w:r w:rsidRPr="005465D4">
              <w:t>San Mateo, City of</w:t>
            </w:r>
          </w:p>
        </w:tc>
        <w:tc>
          <w:tcPr>
            <w:tcW w:w="2862" w:type="dxa"/>
            <w:shd w:val="clear" w:color="auto" w:fill="auto"/>
            <w:vAlign w:val="center"/>
          </w:tcPr>
          <w:p w14:paraId="094AC422" w14:textId="77777777" w:rsidR="005465D4" w:rsidRPr="005465D4" w:rsidRDefault="005465D4" w:rsidP="00214C59">
            <w:r w:rsidRPr="005465D4">
              <w:t>City of San Mateo Wastewater Treatment Plant</w:t>
            </w:r>
          </w:p>
        </w:tc>
        <w:tc>
          <w:tcPr>
            <w:tcW w:w="3195" w:type="dxa"/>
            <w:tcBorders>
              <w:right w:val="single" w:sz="4" w:space="0" w:color="auto"/>
            </w:tcBorders>
            <w:shd w:val="clear" w:color="auto" w:fill="auto"/>
            <w:vAlign w:val="center"/>
          </w:tcPr>
          <w:p w14:paraId="14530959" w14:textId="77777777" w:rsidR="005465D4" w:rsidRPr="005465D4" w:rsidRDefault="005465D4" w:rsidP="00214C59">
            <w:r w:rsidRPr="005465D4">
              <w:t>2050 Detroit Drive</w:t>
            </w:r>
          </w:p>
          <w:p w14:paraId="509A4943" w14:textId="77777777" w:rsidR="005465D4" w:rsidRPr="005465D4" w:rsidRDefault="005465D4" w:rsidP="00214C59">
            <w:r w:rsidRPr="005465D4">
              <w:t>San Mateo, CA 94404</w:t>
            </w:r>
          </w:p>
          <w:p w14:paraId="49F97671" w14:textId="77777777" w:rsidR="005465D4" w:rsidRPr="005465D4" w:rsidRDefault="005465D4" w:rsidP="00214C59">
            <w:r w:rsidRPr="005465D4">
              <w:t>San Mateo County</w:t>
            </w:r>
          </w:p>
        </w:tc>
        <w:tc>
          <w:tcPr>
            <w:tcW w:w="990" w:type="dxa"/>
            <w:tcBorders>
              <w:left w:val="single" w:sz="4" w:space="0" w:color="auto"/>
              <w:right w:val="single" w:sz="12" w:space="0" w:color="auto"/>
            </w:tcBorders>
            <w:shd w:val="clear" w:color="auto" w:fill="auto"/>
            <w:vAlign w:val="center"/>
          </w:tcPr>
          <w:p w14:paraId="0241A47F" w14:textId="77777777" w:rsidR="005465D4" w:rsidRPr="005465D4" w:rsidRDefault="005465D4" w:rsidP="00D779CE">
            <w:pPr>
              <w:jc w:val="center"/>
              <w:rPr>
                <w:color w:val="000000"/>
              </w:rPr>
            </w:pPr>
            <w:r w:rsidRPr="005465D4">
              <w:rPr>
                <w:color w:val="000000"/>
              </w:rPr>
              <w:t>Major</w:t>
            </w:r>
          </w:p>
        </w:tc>
      </w:tr>
      <w:tr w:rsidR="005465D4" w:rsidRPr="00DB0846" w14:paraId="5B3E0791" w14:textId="77777777" w:rsidTr="00D779CE">
        <w:trPr>
          <w:cantSplit/>
        </w:trPr>
        <w:tc>
          <w:tcPr>
            <w:tcW w:w="3321" w:type="dxa"/>
            <w:tcBorders>
              <w:left w:val="single" w:sz="12" w:space="0" w:color="auto"/>
            </w:tcBorders>
            <w:shd w:val="clear" w:color="auto" w:fill="auto"/>
            <w:vAlign w:val="center"/>
          </w:tcPr>
          <w:p w14:paraId="42E5AD64" w14:textId="77777777" w:rsidR="005465D4" w:rsidRPr="005465D4" w:rsidRDefault="005465D4" w:rsidP="00214C59">
            <w:pPr>
              <w:rPr>
                <w:rFonts w:eastAsia="Arial Unicode MS"/>
              </w:rPr>
            </w:pPr>
            <w:r w:rsidRPr="005465D4">
              <w:t>Sausalito-Marin City Sanitary District</w:t>
            </w:r>
          </w:p>
        </w:tc>
        <w:tc>
          <w:tcPr>
            <w:tcW w:w="2862" w:type="dxa"/>
            <w:shd w:val="clear" w:color="auto" w:fill="auto"/>
            <w:vAlign w:val="center"/>
          </w:tcPr>
          <w:p w14:paraId="0039AE92" w14:textId="77777777" w:rsidR="005465D4" w:rsidRPr="005465D4" w:rsidRDefault="005465D4" w:rsidP="00214C59">
            <w:r w:rsidRPr="005465D4">
              <w:t>Sausalito-Marin City Sanitary District Wastewater Treatment Plant</w:t>
            </w:r>
          </w:p>
        </w:tc>
        <w:tc>
          <w:tcPr>
            <w:tcW w:w="3195" w:type="dxa"/>
            <w:tcBorders>
              <w:right w:val="single" w:sz="4" w:space="0" w:color="auto"/>
            </w:tcBorders>
            <w:shd w:val="clear" w:color="auto" w:fill="auto"/>
            <w:vAlign w:val="center"/>
          </w:tcPr>
          <w:p w14:paraId="3FEAD754" w14:textId="77777777" w:rsidR="005465D4" w:rsidRPr="005465D4" w:rsidRDefault="00E7483B" w:rsidP="00214C59">
            <w:r>
              <w:t>1 East Road</w:t>
            </w:r>
          </w:p>
          <w:p w14:paraId="2F538583" w14:textId="77777777" w:rsidR="005465D4" w:rsidRPr="005465D4" w:rsidRDefault="005465D4" w:rsidP="00214C59">
            <w:r w:rsidRPr="005465D4">
              <w:t>Sausalito, CA 94965</w:t>
            </w:r>
          </w:p>
          <w:p w14:paraId="3235CC35" w14:textId="77777777" w:rsidR="005465D4" w:rsidRPr="005465D4" w:rsidRDefault="005465D4" w:rsidP="00214C59">
            <w:r w:rsidRPr="005465D4">
              <w:t>Marin County</w:t>
            </w:r>
          </w:p>
        </w:tc>
        <w:tc>
          <w:tcPr>
            <w:tcW w:w="990" w:type="dxa"/>
            <w:tcBorders>
              <w:left w:val="single" w:sz="4" w:space="0" w:color="auto"/>
              <w:right w:val="single" w:sz="12" w:space="0" w:color="auto"/>
            </w:tcBorders>
            <w:shd w:val="clear" w:color="auto" w:fill="auto"/>
            <w:vAlign w:val="center"/>
          </w:tcPr>
          <w:p w14:paraId="54E7CA05" w14:textId="77777777" w:rsidR="005465D4" w:rsidRPr="005465D4" w:rsidRDefault="005465D4" w:rsidP="00D779CE">
            <w:pPr>
              <w:jc w:val="center"/>
              <w:rPr>
                <w:color w:val="000000"/>
              </w:rPr>
            </w:pPr>
            <w:r w:rsidRPr="005465D4">
              <w:rPr>
                <w:color w:val="000000"/>
              </w:rPr>
              <w:t>Major</w:t>
            </w:r>
          </w:p>
        </w:tc>
      </w:tr>
      <w:tr w:rsidR="005465D4" w:rsidRPr="00DB0846" w14:paraId="516B10F6" w14:textId="77777777" w:rsidTr="00D779CE">
        <w:trPr>
          <w:cantSplit/>
        </w:trPr>
        <w:tc>
          <w:tcPr>
            <w:tcW w:w="3321" w:type="dxa"/>
            <w:tcBorders>
              <w:left w:val="single" w:sz="12" w:space="0" w:color="auto"/>
            </w:tcBorders>
            <w:shd w:val="clear" w:color="auto" w:fill="auto"/>
            <w:vAlign w:val="center"/>
          </w:tcPr>
          <w:p w14:paraId="75B53923" w14:textId="77777777" w:rsidR="005465D4" w:rsidRPr="005465D4" w:rsidRDefault="005465D4" w:rsidP="00D779CE">
            <w:pPr>
              <w:pStyle w:val="FootnoteText"/>
              <w:rPr>
                <w:rFonts w:eastAsia="Arial Unicode MS"/>
              </w:rPr>
            </w:pPr>
            <w:r w:rsidRPr="005465D4">
              <w:t>Sewerage Agency of Southern Marin</w:t>
            </w:r>
          </w:p>
        </w:tc>
        <w:tc>
          <w:tcPr>
            <w:tcW w:w="2862" w:type="dxa"/>
            <w:shd w:val="clear" w:color="auto" w:fill="auto"/>
            <w:vAlign w:val="center"/>
          </w:tcPr>
          <w:p w14:paraId="445DF065" w14:textId="77777777" w:rsidR="005465D4" w:rsidRPr="005465D4" w:rsidRDefault="005465D4" w:rsidP="00214C59">
            <w:r w:rsidRPr="005465D4">
              <w:t>Wastewater Treatment Plant</w:t>
            </w:r>
          </w:p>
        </w:tc>
        <w:tc>
          <w:tcPr>
            <w:tcW w:w="3195" w:type="dxa"/>
            <w:tcBorders>
              <w:right w:val="single" w:sz="4" w:space="0" w:color="auto"/>
            </w:tcBorders>
            <w:shd w:val="clear" w:color="auto" w:fill="auto"/>
            <w:vAlign w:val="center"/>
          </w:tcPr>
          <w:p w14:paraId="62DC361F" w14:textId="77777777" w:rsidR="005465D4" w:rsidRPr="005465D4" w:rsidRDefault="005465D4" w:rsidP="00214C59">
            <w:r w:rsidRPr="005465D4">
              <w:t>450 Sycamore Avenue</w:t>
            </w:r>
          </w:p>
          <w:p w14:paraId="35151E86" w14:textId="77777777" w:rsidR="005465D4" w:rsidRPr="005465D4" w:rsidRDefault="005465D4" w:rsidP="00214C59">
            <w:r w:rsidRPr="005465D4">
              <w:t>Mill Valley, CA 94941</w:t>
            </w:r>
          </w:p>
          <w:p w14:paraId="0640DDAA" w14:textId="77777777" w:rsidR="005465D4" w:rsidRPr="005465D4" w:rsidRDefault="005465D4" w:rsidP="00214C59">
            <w:r w:rsidRPr="005465D4">
              <w:t>Marin County</w:t>
            </w:r>
          </w:p>
        </w:tc>
        <w:tc>
          <w:tcPr>
            <w:tcW w:w="990" w:type="dxa"/>
            <w:tcBorders>
              <w:left w:val="single" w:sz="4" w:space="0" w:color="auto"/>
              <w:right w:val="single" w:sz="12" w:space="0" w:color="auto"/>
            </w:tcBorders>
            <w:shd w:val="clear" w:color="auto" w:fill="auto"/>
            <w:vAlign w:val="center"/>
          </w:tcPr>
          <w:p w14:paraId="01847437" w14:textId="77777777" w:rsidR="005465D4" w:rsidRPr="005465D4" w:rsidRDefault="005465D4" w:rsidP="00D779CE">
            <w:pPr>
              <w:jc w:val="center"/>
              <w:rPr>
                <w:color w:val="000000"/>
              </w:rPr>
            </w:pPr>
            <w:r w:rsidRPr="005465D4">
              <w:rPr>
                <w:color w:val="000000"/>
              </w:rPr>
              <w:t>Major</w:t>
            </w:r>
          </w:p>
        </w:tc>
      </w:tr>
      <w:tr w:rsidR="00631CBF" w:rsidRPr="00DB0846" w14:paraId="0AD47CC6" w14:textId="77777777" w:rsidTr="00D779CE">
        <w:trPr>
          <w:cantSplit/>
        </w:trPr>
        <w:tc>
          <w:tcPr>
            <w:tcW w:w="3321" w:type="dxa"/>
            <w:tcBorders>
              <w:left w:val="single" w:sz="12" w:space="0" w:color="auto"/>
            </w:tcBorders>
            <w:shd w:val="clear" w:color="auto" w:fill="auto"/>
            <w:vAlign w:val="center"/>
          </w:tcPr>
          <w:p w14:paraId="54F392DF" w14:textId="08F47940" w:rsidR="00631CBF" w:rsidRDefault="00631CBF" w:rsidP="00631CBF">
            <w:r>
              <w:t>Silicon Valley Clean Water</w:t>
            </w:r>
          </w:p>
        </w:tc>
        <w:tc>
          <w:tcPr>
            <w:tcW w:w="2862" w:type="dxa"/>
            <w:shd w:val="clear" w:color="auto" w:fill="auto"/>
            <w:vAlign w:val="center"/>
          </w:tcPr>
          <w:p w14:paraId="1F565752" w14:textId="25DC5455" w:rsidR="00631CBF" w:rsidRPr="005465D4" w:rsidRDefault="00631CBF" w:rsidP="00631CBF">
            <w:r>
              <w:t>Silicon Valley Clean Water</w:t>
            </w:r>
            <w:r w:rsidRPr="005465D4">
              <w:t xml:space="preserve"> Wastewater Treatment Plant</w:t>
            </w:r>
          </w:p>
        </w:tc>
        <w:tc>
          <w:tcPr>
            <w:tcW w:w="3195" w:type="dxa"/>
            <w:tcBorders>
              <w:right w:val="single" w:sz="4" w:space="0" w:color="auto"/>
            </w:tcBorders>
            <w:shd w:val="clear" w:color="auto" w:fill="auto"/>
            <w:vAlign w:val="center"/>
          </w:tcPr>
          <w:p w14:paraId="109C10AE" w14:textId="77777777" w:rsidR="00631CBF" w:rsidRPr="005465D4" w:rsidRDefault="00631CBF" w:rsidP="00631CBF">
            <w:r w:rsidRPr="005465D4">
              <w:t>1400 Radio Road</w:t>
            </w:r>
          </w:p>
          <w:p w14:paraId="4E38A7D8" w14:textId="77777777" w:rsidR="00631CBF" w:rsidRPr="005465D4" w:rsidRDefault="00631CBF" w:rsidP="00631CBF">
            <w:r w:rsidRPr="005465D4">
              <w:t>Redwood City, CA 94065</w:t>
            </w:r>
          </w:p>
          <w:p w14:paraId="4E60A441" w14:textId="6E8BF1FE" w:rsidR="00631CBF" w:rsidRPr="005465D4" w:rsidRDefault="00631CBF" w:rsidP="00631CBF">
            <w:r w:rsidRPr="005465D4">
              <w:t>San Mateo County</w:t>
            </w:r>
          </w:p>
        </w:tc>
        <w:tc>
          <w:tcPr>
            <w:tcW w:w="990" w:type="dxa"/>
            <w:tcBorders>
              <w:left w:val="single" w:sz="4" w:space="0" w:color="auto"/>
              <w:right w:val="single" w:sz="12" w:space="0" w:color="auto"/>
            </w:tcBorders>
            <w:shd w:val="clear" w:color="auto" w:fill="auto"/>
            <w:vAlign w:val="center"/>
          </w:tcPr>
          <w:p w14:paraId="6C8A25AE" w14:textId="09CF8607" w:rsidR="00631CBF" w:rsidRPr="005465D4" w:rsidRDefault="00631CBF" w:rsidP="00D779CE">
            <w:pPr>
              <w:jc w:val="center"/>
              <w:rPr>
                <w:color w:val="000000"/>
              </w:rPr>
            </w:pPr>
            <w:r w:rsidRPr="005465D4">
              <w:rPr>
                <w:color w:val="000000"/>
              </w:rPr>
              <w:t>Major</w:t>
            </w:r>
          </w:p>
        </w:tc>
      </w:tr>
      <w:tr w:rsidR="00631CBF" w:rsidRPr="00DB0846" w14:paraId="3849804E" w14:textId="77777777" w:rsidTr="00D779CE">
        <w:trPr>
          <w:cantSplit/>
        </w:trPr>
        <w:tc>
          <w:tcPr>
            <w:tcW w:w="3321" w:type="dxa"/>
            <w:tcBorders>
              <w:left w:val="single" w:sz="12" w:space="0" w:color="auto"/>
            </w:tcBorders>
            <w:shd w:val="clear" w:color="auto" w:fill="auto"/>
            <w:vAlign w:val="center"/>
          </w:tcPr>
          <w:p w14:paraId="137682F1" w14:textId="66993EC9" w:rsidR="00631CBF" w:rsidRPr="005465D4" w:rsidRDefault="00631CBF" w:rsidP="00631CBF">
            <w:pPr>
              <w:rPr>
                <w:rFonts w:eastAsia="Arial Unicode MS"/>
              </w:rPr>
            </w:pPr>
            <w:r>
              <w:t xml:space="preserve">Sonoma Valley County Sanitation </w:t>
            </w:r>
            <w:r w:rsidRPr="005465D4">
              <w:t>District</w:t>
            </w:r>
          </w:p>
        </w:tc>
        <w:tc>
          <w:tcPr>
            <w:tcW w:w="2862" w:type="dxa"/>
            <w:shd w:val="clear" w:color="auto" w:fill="auto"/>
            <w:vAlign w:val="center"/>
          </w:tcPr>
          <w:p w14:paraId="448A00C3" w14:textId="77777777" w:rsidR="00631CBF" w:rsidRPr="005465D4" w:rsidRDefault="00631CBF" w:rsidP="00631CBF">
            <w:r w:rsidRPr="005465D4">
              <w:t>Municipal Wastewater Treatment Plant</w:t>
            </w:r>
          </w:p>
        </w:tc>
        <w:tc>
          <w:tcPr>
            <w:tcW w:w="3195" w:type="dxa"/>
            <w:tcBorders>
              <w:right w:val="single" w:sz="4" w:space="0" w:color="auto"/>
            </w:tcBorders>
            <w:shd w:val="clear" w:color="auto" w:fill="auto"/>
            <w:vAlign w:val="center"/>
          </w:tcPr>
          <w:p w14:paraId="7D4C0EEE" w14:textId="77777777" w:rsidR="00631CBF" w:rsidRPr="005465D4" w:rsidRDefault="00631CBF" w:rsidP="00631CBF">
            <w:r w:rsidRPr="005465D4">
              <w:t>22675 8th Street East</w:t>
            </w:r>
          </w:p>
          <w:p w14:paraId="69E5B559" w14:textId="77777777" w:rsidR="00631CBF" w:rsidRPr="005465D4" w:rsidRDefault="00631CBF" w:rsidP="00631CBF">
            <w:r w:rsidRPr="005465D4">
              <w:t>Sonoma, CA 95476</w:t>
            </w:r>
          </w:p>
          <w:p w14:paraId="2C6AFEF6" w14:textId="77777777" w:rsidR="00631CBF" w:rsidRPr="005465D4" w:rsidRDefault="00631CBF" w:rsidP="00631CBF">
            <w:r w:rsidRPr="005465D4">
              <w:t>Sonoma County</w:t>
            </w:r>
          </w:p>
        </w:tc>
        <w:tc>
          <w:tcPr>
            <w:tcW w:w="990" w:type="dxa"/>
            <w:tcBorders>
              <w:left w:val="single" w:sz="4" w:space="0" w:color="auto"/>
              <w:right w:val="single" w:sz="12" w:space="0" w:color="auto"/>
            </w:tcBorders>
            <w:shd w:val="clear" w:color="auto" w:fill="auto"/>
            <w:vAlign w:val="center"/>
          </w:tcPr>
          <w:p w14:paraId="1FC3DEDD" w14:textId="77777777" w:rsidR="00631CBF" w:rsidRPr="005465D4" w:rsidRDefault="00631CBF" w:rsidP="00D779CE">
            <w:pPr>
              <w:jc w:val="center"/>
              <w:rPr>
                <w:color w:val="000000"/>
              </w:rPr>
            </w:pPr>
            <w:r w:rsidRPr="005465D4">
              <w:rPr>
                <w:color w:val="000000"/>
              </w:rPr>
              <w:t>Major</w:t>
            </w:r>
          </w:p>
        </w:tc>
      </w:tr>
      <w:tr w:rsidR="00631CBF" w:rsidRPr="00DB0846" w14:paraId="49048AA7" w14:textId="77777777" w:rsidTr="00D779CE">
        <w:trPr>
          <w:cantSplit/>
        </w:trPr>
        <w:tc>
          <w:tcPr>
            <w:tcW w:w="3321" w:type="dxa"/>
            <w:tcBorders>
              <w:left w:val="single" w:sz="12" w:space="0" w:color="auto"/>
            </w:tcBorders>
            <w:shd w:val="clear" w:color="auto" w:fill="auto"/>
            <w:vAlign w:val="center"/>
          </w:tcPr>
          <w:p w14:paraId="32DB4CED" w14:textId="77777777" w:rsidR="00631CBF" w:rsidRPr="005465D4" w:rsidRDefault="00631CBF" w:rsidP="00631CBF">
            <w:pPr>
              <w:rPr>
                <w:rFonts w:eastAsia="Arial Unicode MS"/>
              </w:rPr>
            </w:pPr>
            <w:r w:rsidRPr="005465D4">
              <w:t>South San Francisco and San Bruno, Cities of</w:t>
            </w:r>
          </w:p>
        </w:tc>
        <w:tc>
          <w:tcPr>
            <w:tcW w:w="2862" w:type="dxa"/>
            <w:shd w:val="clear" w:color="auto" w:fill="auto"/>
            <w:vAlign w:val="center"/>
          </w:tcPr>
          <w:p w14:paraId="2222DD8A" w14:textId="77777777" w:rsidR="00631CBF" w:rsidRPr="005465D4" w:rsidRDefault="00631CBF" w:rsidP="00631CBF">
            <w:r w:rsidRPr="005465D4">
              <w:t>South San Francisco and San Bruno Water Quality Control Plant</w:t>
            </w:r>
          </w:p>
        </w:tc>
        <w:tc>
          <w:tcPr>
            <w:tcW w:w="3195" w:type="dxa"/>
            <w:tcBorders>
              <w:right w:val="single" w:sz="4" w:space="0" w:color="auto"/>
            </w:tcBorders>
            <w:shd w:val="clear" w:color="auto" w:fill="auto"/>
            <w:vAlign w:val="center"/>
          </w:tcPr>
          <w:p w14:paraId="2E99CEE0" w14:textId="77777777" w:rsidR="00631CBF" w:rsidRPr="005465D4" w:rsidRDefault="00631CBF" w:rsidP="00631CBF">
            <w:r w:rsidRPr="005465D4">
              <w:t>195 Belle Air Road</w:t>
            </w:r>
          </w:p>
          <w:p w14:paraId="5DA235C0" w14:textId="77777777" w:rsidR="00631CBF" w:rsidRPr="005465D4" w:rsidRDefault="00631CBF" w:rsidP="00631CBF">
            <w:r w:rsidRPr="005465D4">
              <w:t>South San Francisco, CA 94080</w:t>
            </w:r>
          </w:p>
          <w:p w14:paraId="32F4E071" w14:textId="77777777" w:rsidR="00631CBF" w:rsidRPr="005465D4" w:rsidRDefault="00631CBF" w:rsidP="00631CBF">
            <w:r w:rsidRPr="005465D4">
              <w:t>San Mateo County</w:t>
            </w:r>
          </w:p>
        </w:tc>
        <w:tc>
          <w:tcPr>
            <w:tcW w:w="990" w:type="dxa"/>
            <w:tcBorders>
              <w:left w:val="single" w:sz="4" w:space="0" w:color="auto"/>
              <w:right w:val="single" w:sz="12" w:space="0" w:color="auto"/>
            </w:tcBorders>
            <w:shd w:val="clear" w:color="auto" w:fill="auto"/>
            <w:vAlign w:val="center"/>
          </w:tcPr>
          <w:p w14:paraId="775312C8" w14:textId="77777777" w:rsidR="00631CBF" w:rsidRPr="005465D4" w:rsidRDefault="00631CBF" w:rsidP="00D779CE">
            <w:pPr>
              <w:jc w:val="center"/>
              <w:rPr>
                <w:color w:val="000000"/>
              </w:rPr>
            </w:pPr>
            <w:r w:rsidRPr="005465D4">
              <w:rPr>
                <w:color w:val="000000"/>
              </w:rPr>
              <w:t>Major</w:t>
            </w:r>
          </w:p>
        </w:tc>
      </w:tr>
      <w:tr w:rsidR="00631CBF" w:rsidRPr="00DB0846" w14:paraId="5F23CD9C" w14:textId="77777777" w:rsidTr="00D779CE">
        <w:trPr>
          <w:cantSplit/>
        </w:trPr>
        <w:tc>
          <w:tcPr>
            <w:tcW w:w="3321" w:type="dxa"/>
            <w:tcBorders>
              <w:left w:val="single" w:sz="12" w:space="0" w:color="auto"/>
            </w:tcBorders>
            <w:shd w:val="clear" w:color="auto" w:fill="auto"/>
            <w:vAlign w:val="center"/>
          </w:tcPr>
          <w:p w14:paraId="4E47F638" w14:textId="77777777" w:rsidR="00631CBF" w:rsidRPr="005465D4" w:rsidRDefault="00631CBF" w:rsidP="00D779CE">
            <w:pPr>
              <w:pStyle w:val="FootnoteText"/>
              <w:rPr>
                <w:rFonts w:eastAsia="Arial Unicode MS"/>
              </w:rPr>
            </w:pPr>
            <w:r w:rsidRPr="005465D4">
              <w:t>Sunnyvale, City of</w:t>
            </w:r>
          </w:p>
        </w:tc>
        <w:tc>
          <w:tcPr>
            <w:tcW w:w="2862" w:type="dxa"/>
            <w:shd w:val="clear" w:color="auto" w:fill="auto"/>
            <w:vAlign w:val="center"/>
          </w:tcPr>
          <w:p w14:paraId="39BD9C1C" w14:textId="77777777" w:rsidR="00631CBF" w:rsidRPr="005465D4" w:rsidRDefault="00631CBF" w:rsidP="00631CBF">
            <w:r w:rsidRPr="005465D4">
              <w:t>Sunnyvale Water Pollution Control Plant</w:t>
            </w:r>
          </w:p>
        </w:tc>
        <w:tc>
          <w:tcPr>
            <w:tcW w:w="3195" w:type="dxa"/>
            <w:tcBorders>
              <w:right w:val="single" w:sz="4" w:space="0" w:color="auto"/>
            </w:tcBorders>
            <w:shd w:val="clear" w:color="auto" w:fill="auto"/>
            <w:vAlign w:val="center"/>
          </w:tcPr>
          <w:p w14:paraId="3A1AA8E0" w14:textId="77777777" w:rsidR="00631CBF" w:rsidRPr="005465D4" w:rsidRDefault="00631CBF" w:rsidP="00631CBF">
            <w:r w:rsidRPr="005465D4">
              <w:t xml:space="preserve">1444 Borregas Avenue, </w:t>
            </w:r>
          </w:p>
          <w:p w14:paraId="2BCD76E3" w14:textId="77777777" w:rsidR="00631CBF" w:rsidRPr="005465D4" w:rsidRDefault="00631CBF" w:rsidP="00631CBF">
            <w:r w:rsidRPr="005465D4">
              <w:t>Sunnyvale, CA 94089</w:t>
            </w:r>
          </w:p>
          <w:p w14:paraId="0456B052" w14:textId="77777777" w:rsidR="00631CBF" w:rsidRPr="005465D4" w:rsidRDefault="00631CBF" w:rsidP="00631CBF">
            <w:r w:rsidRPr="005465D4">
              <w:t>Santa Clara County</w:t>
            </w:r>
          </w:p>
        </w:tc>
        <w:tc>
          <w:tcPr>
            <w:tcW w:w="990" w:type="dxa"/>
            <w:tcBorders>
              <w:left w:val="single" w:sz="4" w:space="0" w:color="auto"/>
              <w:right w:val="single" w:sz="12" w:space="0" w:color="auto"/>
            </w:tcBorders>
            <w:shd w:val="clear" w:color="auto" w:fill="auto"/>
            <w:vAlign w:val="center"/>
          </w:tcPr>
          <w:p w14:paraId="0CB6E2B4" w14:textId="77777777" w:rsidR="00631CBF" w:rsidRPr="005465D4" w:rsidRDefault="00631CBF" w:rsidP="00D779CE">
            <w:pPr>
              <w:jc w:val="center"/>
              <w:rPr>
                <w:color w:val="000000"/>
              </w:rPr>
            </w:pPr>
            <w:r w:rsidRPr="005465D4">
              <w:rPr>
                <w:color w:val="000000"/>
              </w:rPr>
              <w:t>Major</w:t>
            </w:r>
          </w:p>
        </w:tc>
      </w:tr>
      <w:tr w:rsidR="00631CBF" w:rsidRPr="004D77DD" w14:paraId="1CADF245" w14:textId="77777777" w:rsidTr="00D779CE">
        <w:trPr>
          <w:cantSplit/>
        </w:trPr>
        <w:tc>
          <w:tcPr>
            <w:tcW w:w="3321" w:type="dxa"/>
            <w:tcBorders>
              <w:left w:val="single" w:sz="12" w:space="0" w:color="auto"/>
            </w:tcBorders>
            <w:shd w:val="clear" w:color="auto" w:fill="auto"/>
            <w:vAlign w:val="center"/>
          </w:tcPr>
          <w:p w14:paraId="7B93B8AD" w14:textId="1F42EFB9" w:rsidR="00631CBF" w:rsidRPr="005465D4" w:rsidRDefault="00631CBF" w:rsidP="00631CBF">
            <w:r w:rsidRPr="005465D4">
              <w:t>U</w:t>
            </w:r>
            <w:r w:rsidR="00CD1FD9">
              <w:t>.</w:t>
            </w:r>
            <w:r w:rsidRPr="005465D4">
              <w:t>S</w:t>
            </w:r>
            <w:r w:rsidR="00CD1FD9">
              <w:t>.</w:t>
            </w:r>
            <w:r w:rsidRPr="005465D4">
              <w:t xml:space="preserve"> Department of Navy</w:t>
            </w:r>
            <w:r w:rsidR="00EF6641">
              <w:t xml:space="preserve"> (Treasure Island)</w:t>
            </w:r>
          </w:p>
        </w:tc>
        <w:tc>
          <w:tcPr>
            <w:tcW w:w="2862" w:type="dxa"/>
            <w:shd w:val="clear" w:color="auto" w:fill="auto"/>
            <w:vAlign w:val="center"/>
          </w:tcPr>
          <w:p w14:paraId="6D20D156" w14:textId="77777777" w:rsidR="00631CBF" w:rsidRPr="005465D4" w:rsidRDefault="00631CBF" w:rsidP="00631CBF">
            <w:r>
              <w:t xml:space="preserve">Treasure Island </w:t>
            </w:r>
            <w:r w:rsidRPr="005465D4">
              <w:t>Wastewater Treatment Plant</w:t>
            </w:r>
          </w:p>
        </w:tc>
        <w:tc>
          <w:tcPr>
            <w:tcW w:w="3195" w:type="dxa"/>
            <w:tcBorders>
              <w:right w:val="single" w:sz="4" w:space="0" w:color="auto"/>
            </w:tcBorders>
            <w:shd w:val="clear" w:color="auto" w:fill="auto"/>
            <w:vAlign w:val="center"/>
          </w:tcPr>
          <w:p w14:paraId="1F0BC043" w14:textId="77777777" w:rsidR="00631CBF" w:rsidRPr="005465D4" w:rsidRDefault="00631CBF" w:rsidP="00631CBF">
            <w:r>
              <w:t>1220 Avenue M</w:t>
            </w:r>
          </w:p>
          <w:p w14:paraId="20DB9319" w14:textId="77777777" w:rsidR="00631CBF" w:rsidRPr="005465D4" w:rsidRDefault="00631CBF" w:rsidP="00631CBF">
            <w:r>
              <w:t>San Francisco, CA 94130</w:t>
            </w:r>
          </w:p>
          <w:p w14:paraId="22A6E7DF" w14:textId="77777777" w:rsidR="00631CBF" w:rsidRPr="005465D4" w:rsidRDefault="00631CBF" w:rsidP="00631CBF">
            <w:r w:rsidRPr="005465D4">
              <w:t>San Francisco County</w:t>
            </w:r>
          </w:p>
        </w:tc>
        <w:tc>
          <w:tcPr>
            <w:tcW w:w="990" w:type="dxa"/>
            <w:tcBorders>
              <w:left w:val="single" w:sz="4" w:space="0" w:color="auto"/>
              <w:right w:val="single" w:sz="12" w:space="0" w:color="auto"/>
            </w:tcBorders>
            <w:shd w:val="clear" w:color="auto" w:fill="auto"/>
            <w:vAlign w:val="center"/>
          </w:tcPr>
          <w:p w14:paraId="781A1BEB" w14:textId="77777777" w:rsidR="00631CBF" w:rsidRPr="005465D4" w:rsidRDefault="00631CBF" w:rsidP="00D779CE">
            <w:pPr>
              <w:jc w:val="center"/>
              <w:rPr>
                <w:color w:val="000000"/>
              </w:rPr>
            </w:pPr>
            <w:r w:rsidRPr="005465D4">
              <w:rPr>
                <w:color w:val="000000"/>
              </w:rPr>
              <w:t>Major</w:t>
            </w:r>
          </w:p>
        </w:tc>
      </w:tr>
      <w:tr w:rsidR="00631CBF" w:rsidRPr="00DB0846" w14:paraId="4728E62D" w14:textId="77777777" w:rsidTr="00D779CE">
        <w:trPr>
          <w:cantSplit/>
        </w:trPr>
        <w:tc>
          <w:tcPr>
            <w:tcW w:w="3321" w:type="dxa"/>
            <w:tcBorders>
              <w:left w:val="single" w:sz="12" w:space="0" w:color="auto"/>
            </w:tcBorders>
            <w:shd w:val="clear" w:color="auto" w:fill="auto"/>
            <w:vAlign w:val="center"/>
          </w:tcPr>
          <w:p w14:paraId="58340A1F" w14:textId="77777777" w:rsidR="00631CBF" w:rsidRPr="005465D4" w:rsidRDefault="00631CBF" w:rsidP="00631CBF">
            <w:pPr>
              <w:rPr>
                <w:rFonts w:eastAsia="Arial Unicode MS"/>
              </w:rPr>
            </w:pPr>
            <w:r w:rsidRPr="005465D4">
              <w:t>Vallejo Sanitation and Flood Control District</w:t>
            </w:r>
          </w:p>
        </w:tc>
        <w:tc>
          <w:tcPr>
            <w:tcW w:w="2862" w:type="dxa"/>
            <w:shd w:val="clear" w:color="auto" w:fill="auto"/>
            <w:vAlign w:val="center"/>
          </w:tcPr>
          <w:p w14:paraId="5F7524EC" w14:textId="77777777" w:rsidR="00631CBF" w:rsidRPr="005465D4" w:rsidRDefault="00631CBF" w:rsidP="00631CBF">
            <w:r w:rsidRPr="005465D4">
              <w:t>Vallejo Sanitation and Flood Control District Wastewater Treatment Plant</w:t>
            </w:r>
          </w:p>
        </w:tc>
        <w:tc>
          <w:tcPr>
            <w:tcW w:w="3195" w:type="dxa"/>
            <w:tcBorders>
              <w:right w:val="single" w:sz="4" w:space="0" w:color="auto"/>
            </w:tcBorders>
            <w:shd w:val="clear" w:color="auto" w:fill="auto"/>
            <w:vAlign w:val="center"/>
          </w:tcPr>
          <w:p w14:paraId="2C164D86" w14:textId="77777777" w:rsidR="00631CBF" w:rsidRPr="005465D4" w:rsidRDefault="00631CBF" w:rsidP="00631CBF">
            <w:r w:rsidRPr="005465D4">
              <w:t>450 Ryder Street</w:t>
            </w:r>
          </w:p>
          <w:p w14:paraId="6EA8D4B6" w14:textId="77777777" w:rsidR="00631CBF" w:rsidRPr="005465D4" w:rsidRDefault="00631CBF" w:rsidP="00631CBF">
            <w:r w:rsidRPr="005465D4">
              <w:t>Vallejo, CA 94590</w:t>
            </w:r>
          </w:p>
          <w:p w14:paraId="5DF52B73" w14:textId="77777777" w:rsidR="00631CBF" w:rsidRPr="005465D4" w:rsidRDefault="00631CBF" w:rsidP="00631CBF">
            <w:r w:rsidRPr="005465D4">
              <w:t>Solano County</w:t>
            </w:r>
          </w:p>
        </w:tc>
        <w:tc>
          <w:tcPr>
            <w:tcW w:w="990" w:type="dxa"/>
            <w:tcBorders>
              <w:left w:val="single" w:sz="4" w:space="0" w:color="auto"/>
              <w:right w:val="single" w:sz="12" w:space="0" w:color="auto"/>
            </w:tcBorders>
            <w:shd w:val="clear" w:color="auto" w:fill="auto"/>
            <w:vAlign w:val="center"/>
          </w:tcPr>
          <w:p w14:paraId="2190B2D2" w14:textId="77777777" w:rsidR="00631CBF" w:rsidRPr="005465D4" w:rsidRDefault="00631CBF" w:rsidP="00D779CE">
            <w:pPr>
              <w:jc w:val="center"/>
              <w:rPr>
                <w:color w:val="000000"/>
              </w:rPr>
            </w:pPr>
            <w:r w:rsidRPr="005465D4">
              <w:rPr>
                <w:color w:val="000000"/>
              </w:rPr>
              <w:t>Major</w:t>
            </w:r>
          </w:p>
        </w:tc>
      </w:tr>
      <w:tr w:rsidR="00631CBF" w:rsidRPr="00DB0846" w14:paraId="7C3758A9" w14:textId="77777777" w:rsidTr="00D779CE">
        <w:trPr>
          <w:cantSplit/>
          <w:trHeight w:val="220"/>
        </w:trPr>
        <w:tc>
          <w:tcPr>
            <w:tcW w:w="3321" w:type="dxa"/>
            <w:vMerge w:val="restart"/>
            <w:tcBorders>
              <w:left w:val="single" w:sz="12" w:space="0" w:color="auto"/>
            </w:tcBorders>
            <w:shd w:val="clear" w:color="auto" w:fill="auto"/>
            <w:vAlign w:val="center"/>
          </w:tcPr>
          <w:p w14:paraId="0713158E" w14:textId="77777777" w:rsidR="00631CBF" w:rsidRPr="005465D4" w:rsidRDefault="00631CBF" w:rsidP="00631CBF">
            <w:pPr>
              <w:pStyle w:val="xl24"/>
              <w:pBdr>
                <w:bottom w:val="none" w:sz="0" w:space="0" w:color="auto"/>
              </w:pBdr>
              <w:spacing w:before="0" w:beforeAutospacing="0" w:after="0" w:afterAutospacing="0"/>
              <w:jc w:val="left"/>
              <w:rPr>
                <w:rFonts w:ascii="Times New Roman" w:hAnsi="Times New Roman" w:cs="Times New Roman"/>
                <w:b w:val="0"/>
                <w:sz w:val="20"/>
                <w:szCs w:val="20"/>
              </w:rPr>
            </w:pPr>
            <w:r w:rsidRPr="005465D4">
              <w:rPr>
                <w:rFonts w:ascii="Times New Roman" w:hAnsi="Times New Roman" w:cs="Times New Roman"/>
                <w:b w:val="0"/>
                <w:sz w:val="20"/>
              </w:rPr>
              <w:t>West County Agency</w:t>
            </w:r>
            <w:r>
              <w:rPr>
                <w:rFonts w:ascii="Times New Roman" w:hAnsi="Times New Roman" w:cs="Times New Roman"/>
                <w:b w:val="0"/>
                <w:sz w:val="20"/>
              </w:rPr>
              <w:t xml:space="preserve">; </w:t>
            </w:r>
            <w:r w:rsidRPr="005465D4">
              <w:rPr>
                <w:rFonts w:ascii="Times New Roman" w:hAnsi="Times New Roman" w:cs="Times New Roman"/>
                <w:b w:val="0"/>
                <w:sz w:val="20"/>
                <w:szCs w:val="20"/>
              </w:rPr>
              <w:t>West County Wastewater District</w:t>
            </w:r>
            <w:r>
              <w:rPr>
                <w:rFonts w:ascii="Times New Roman" w:hAnsi="Times New Roman" w:cs="Times New Roman"/>
                <w:b w:val="0"/>
                <w:sz w:val="20"/>
                <w:szCs w:val="20"/>
              </w:rPr>
              <w:t xml:space="preserve">; </w:t>
            </w:r>
            <w:r w:rsidRPr="005465D4">
              <w:rPr>
                <w:rFonts w:ascii="Times New Roman" w:hAnsi="Times New Roman" w:cs="Times New Roman"/>
                <w:b w:val="0"/>
                <w:sz w:val="20"/>
                <w:szCs w:val="20"/>
              </w:rPr>
              <w:t xml:space="preserve"> </w:t>
            </w:r>
          </w:p>
          <w:p w14:paraId="022EADD3" w14:textId="77777777" w:rsidR="00631CBF" w:rsidRPr="005465D4" w:rsidRDefault="00631CBF" w:rsidP="00631CBF">
            <w:pPr>
              <w:rPr>
                <w:rFonts w:eastAsia="Arial Unicode MS"/>
              </w:rPr>
            </w:pPr>
            <w:r w:rsidRPr="005465D4">
              <w:rPr>
                <w:bCs/>
              </w:rPr>
              <w:t xml:space="preserve">City of Richmond </w:t>
            </w:r>
            <w:r>
              <w:rPr>
                <w:bCs/>
              </w:rPr>
              <w:t xml:space="preserve">; and Richmond </w:t>
            </w:r>
            <w:r w:rsidRPr="005465D4">
              <w:rPr>
                <w:bCs/>
              </w:rPr>
              <w:t>Municipal Sewer District</w:t>
            </w:r>
            <w:r>
              <w:rPr>
                <w:bCs/>
              </w:rPr>
              <w:t xml:space="preserve"> No. 1</w:t>
            </w:r>
          </w:p>
        </w:tc>
        <w:tc>
          <w:tcPr>
            <w:tcW w:w="2862" w:type="dxa"/>
            <w:shd w:val="clear" w:color="auto" w:fill="auto"/>
            <w:vAlign w:val="center"/>
          </w:tcPr>
          <w:p w14:paraId="53CF24D5" w14:textId="77777777" w:rsidR="00631CBF" w:rsidRPr="005465D4" w:rsidRDefault="00631CBF" w:rsidP="00631CBF">
            <w:r w:rsidRPr="005465D4">
              <w:t>West County Agency Combined Outfall</w:t>
            </w:r>
          </w:p>
        </w:tc>
        <w:tc>
          <w:tcPr>
            <w:tcW w:w="3195" w:type="dxa"/>
            <w:vMerge w:val="restart"/>
            <w:tcBorders>
              <w:right w:val="single" w:sz="4" w:space="0" w:color="auto"/>
            </w:tcBorders>
            <w:shd w:val="clear" w:color="auto" w:fill="auto"/>
            <w:vAlign w:val="center"/>
          </w:tcPr>
          <w:p w14:paraId="4CC4ED86" w14:textId="77777777" w:rsidR="00631CBF" w:rsidRPr="005465D4" w:rsidRDefault="00631CBF" w:rsidP="00631CBF">
            <w:r>
              <w:t>2910 Hilltop Drive</w:t>
            </w:r>
          </w:p>
          <w:p w14:paraId="39D91EF9" w14:textId="77777777" w:rsidR="00631CBF" w:rsidRPr="005465D4" w:rsidRDefault="00631CBF" w:rsidP="00631CBF">
            <w:r w:rsidRPr="005465D4">
              <w:t>Richmond, CA 9480</w:t>
            </w:r>
            <w:r>
              <w:t>6</w:t>
            </w:r>
          </w:p>
          <w:p w14:paraId="59860282" w14:textId="77777777" w:rsidR="00631CBF" w:rsidRPr="005465D4" w:rsidRDefault="00631CBF" w:rsidP="00631CBF">
            <w:r w:rsidRPr="005465D4">
              <w:t>Contra Costa County</w:t>
            </w:r>
          </w:p>
        </w:tc>
        <w:tc>
          <w:tcPr>
            <w:tcW w:w="990" w:type="dxa"/>
            <w:vMerge w:val="restart"/>
            <w:tcBorders>
              <w:left w:val="single" w:sz="4" w:space="0" w:color="auto"/>
              <w:right w:val="single" w:sz="12" w:space="0" w:color="auto"/>
            </w:tcBorders>
            <w:shd w:val="clear" w:color="auto" w:fill="auto"/>
            <w:vAlign w:val="center"/>
          </w:tcPr>
          <w:p w14:paraId="051B1D15" w14:textId="77777777" w:rsidR="00631CBF" w:rsidRPr="005465D4" w:rsidRDefault="00631CBF" w:rsidP="00D779CE">
            <w:pPr>
              <w:jc w:val="center"/>
              <w:rPr>
                <w:color w:val="000000"/>
              </w:rPr>
            </w:pPr>
            <w:r w:rsidRPr="005465D4">
              <w:rPr>
                <w:color w:val="000000"/>
              </w:rPr>
              <w:t>Major</w:t>
            </w:r>
          </w:p>
        </w:tc>
      </w:tr>
      <w:tr w:rsidR="00631CBF" w:rsidRPr="00DB0846" w14:paraId="5DF917AE" w14:textId="77777777" w:rsidTr="00D779CE">
        <w:trPr>
          <w:cantSplit/>
          <w:trHeight w:val="218"/>
        </w:trPr>
        <w:tc>
          <w:tcPr>
            <w:tcW w:w="3321" w:type="dxa"/>
            <w:vMerge/>
            <w:tcBorders>
              <w:left w:val="single" w:sz="12" w:space="0" w:color="auto"/>
            </w:tcBorders>
            <w:shd w:val="clear" w:color="auto" w:fill="auto"/>
            <w:vAlign w:val="center"/>
          </w:tcPr>
          <w:p w14:paraId="725147C6" w14:textId="77777777" w:rsidR="00631CBF" w:rsidRPr="005465D4" w:rsidRDefault="00631CBF" w:rsidP="00631CBF">
            <w:pPr>
              <w:pStyle w:val="xl24"/>
              <w:pBdr>
                <w:bottom w:val="none" w:sz="0" w:space="0" w:color="auto"/>
              </w:pBdr>
              <w:spacing w:before="0" w:beforeAutospacing="0" w:after="0" w:afterAutospacing="0"/>
              <w:jc w:val="left"/>
              <w:rPr>
                <w:rFonts w:ascii="Times New Roman" w:hAnsi="Times New Roman" w:cs="Times New Roman"/>
                <w:b w:val="0"/>
                <w:sz w:val="20"/>
              </w:rPr>
            </w:pPr>
          </w:p>
        </w:tc>
        <w:tc>
          <w:tcPr>
            <w:tcW w:w="2862" w:type="dxa"/>
            <w:shd w:val="clear" w:color="auto" w:fill="auto"/>
            <w:vAlign w:val="center"/>
          </w:tcPr>
          <w:p w14:paraId="333B64DA" w14:textId="77777777" w:rsidR="00631CBF" w:rsidRPr="005465D4" w:rsidRDefault="00631CBF" w:rsidP="00631CBF">
            <w:r>
              <w:t>West County Wastewater District Treatment Plant</w:t>
            </w:r>
          </w:p>
        </w:tc>
        <w:tc>
          <w:tcPr>
            <w:tcW w:w="3195" w:type="dxa"/>
            <w:vMerge/>
            <w:tcBorders>
              <w:right w:val="single" w:sz="4" w:space="0" w:color="auto"/>
            </w:tcBorders>
            <w:shd w:val="clear" w:color="auto" w:fill="auto"/>
            <w:vAlign w:val="center"/>
          </w:tcPr>
          <w:p w14:paraId="0898C4A8" w14:textId="77777777" w:rsidR="00631CBF" w:rsidRDefault="00631CBF" w:rsidP="00631CBF"/>
        </w:tc>
        <w:tc>
          <w:tcPr>
            <w:tcW w:w="990" w:type="dxa"/>
            <w:vMerge/>
            <w:tcBorders>
              <w:left w:val="single" w:sz="4" w:space="0" w:color="auto"/>
              <w:right w:val="single" w:sz="12" w:space="0" w:color="auto"/>
            </w:tcBorders>
            <w:shd w:val="clear" w:color="auto" w:fill="auto"/>
            <w:vAlign w:val="center"/>
          </w:tcPr>
          <w:p w14:paraId="67BD231E" w14:textId="77777777" w:rsidR="00631CBF" w:rsidRPr="005465D4" w:rsidRDefault="00631CBF" w:rsidP="00D779CE">
            <w:pPr>
              <w:jc w:val="center"/>
              <w:rPr>
                <w:color w:val="000000"/>
              </w:rPr>
            </w:pPr>
          </w:p>
        </w:tc>
      </w:tr>
      <w:tr w:rsidR="00631CBF" w:rsidRPr="00DB0846" w14:paraId="6E4C0722" w14:textId="77777777" w:rsidTr="00D779CE">
        <w:trPr>
          <w:cantSplit/>
          <w:trHeight w:val="218"/>
        </w:trPr>
        <w:tc>
          <w:tcPr>
            <w:tcW w:w="3321" w:type="dxa"/>
            <w:vMerge/>
            <w:tcBorders>
              <w:left w:val="single" w:sz="12" w:space="0" w:color="auto"/>
            </w:tcBorders>
            <w:shd w:val="clear" w:color="auto" w:fill="auto"/>
            <w:vAlign w:val="center"/>
          </w:tcPr>
          <w:p w14:paraId="380E49A0" w14:textId="77777777" w:rsidR="00631CBF" w:rsidRPr="005465D4" w:rsidRDefault="00631CBF" w:rsidP="00631CBF">
            <w:pPr>
              <w:pStyle w:val="xl24"/>
              <w:pBdr>
                <w:bottom w:val="none" w:sz="0" w:space="0" w:color="auto"/>
              </w:pBdr>
              <w:spacing w:before="0" w:beforeAutospacing="0" w:after="0" w:afterAutospacing="0"/>
              <w:jc w:val="left"/>
              <w:rPr>
                <w:rFonts w:ascii="Times New Roman" w:hAnsi="Times New Roman" w:cs="Times New Roman"/>
                <w:b w:val="0"/>
                <w:sz w:val="20"/>
              </w:rPr>
            </w:pPr>
          </w:p>
        </w:tc>
        <w:tc>
          <w:tcPr>
            <w:tcW w:w="2862" w:type="dxa"/>
            <w:shd w:val="clear" w:color="auto" w:fill="auto"/>
            <w:vAlign w:val="center"/>
          </w:tcPr>
          <w:p w14:paraId="172B49AE" w14:textId="77777777" w:rsidR="00631CBF" w:rsidRPr="005465D4" w:rsidRDefault="00631CBF" w:rsidP="00631CBF">
            <w:r>
              <w:t>Richmond Municipal Sewer District Water Pollution Control Plant</w:t>
            </w:r>
          </w:p>
        </w:tc>
        <w:tc>
          <w:tcPr>
            <w:tcW w:w="3195" w:type="dxa"/>
            <w:vMerge/>
            <w:tcBorders>
              <w:right w:val="single" w:sz="4" w:space="0" w:color="auto"/>
            </w:tcBorders>
            <w:shd w:val="clear" w:color="auto" w:fill="auto"/>
            <w:vAlign w:val="center"/>
          </w:tcPr>
          <w:p w14:paraId="72B667C8" w14:textId="77777777" w:rsidR="00631CBF" w:rsidRDefault="00631CBF" w:rsidP="00631CBF"/>
        </w:tc>
        <w:tc>
          <w:tcPr>
            <w:tcW w:w="990" w:type="dxa"/>
            <w:vMerge/>
            <w:tcBorders>
              <w:left w:val="single" w:sz="4" w:space="0" w:color="auto"/>
              <w:right w:val="single" w:sz="12" w:space="0" w:color="auto"/>
            </w:tcBorders>
            <w:shd w:val="clear" w:color="auto" w:fill="auto"/>
            <w:vAlign w:val="center"/>
          </w:tcPr>
          <w:p w14:paraId="5AB8601C" w14:textId="77777777" w:rsidR="00631CBF" w:rsidRPr="005465D4" w:rsidRDefault="00631CBF" w:rsidP="00D779CE">
            <w:pPr>
              <w:jc w:val="center"/>
              <w:rPr>
                <w:color w:val="000000"/>
              </w:rPr>
            </w:pPr>
          </w:p>
        </w:tc>
      </w:tr>
      <w:tr w:rsidR="00631CBF" w:rsidRPr="00DB0846" w14:paraId="7B4AD42E" w14:textId="77777777" w:rsidTr="00D779CE">
        <w:trPr>
          <w:cantSplit/>
        </w:trPr>
        <w:tc>
          <w:tcPr>
            <w:tcW w:w="3321" w:type="dxa"/>
            <w:tcBorders>
              <w:left w:val="single" w:sz="12" w:space="0" w:color="auto"/>
              <w:bottom w:val="single" w:sz="12" w:space="0" w:color="auto"/>
            </w:tcBorders>
            <w:shd w:val="clear" w:color="auto" w:fill="auto"/>
            <w:vAlign w:val="center"/>
          </w:tcPr>
          <w:p w14:paraId="75BA91F1" w14:textId="77777777" w:rsidR="00631CBF" w:rsidRPr="005465D4" w:rsidRDefault="00631CBF" w:rsidP="00631CBF">
            <w:pPr>
              <w:rPr>
                <w:rFonts w:eastAsia="Arial Unicode MS"/>
              </w:rPr>
            </w:pPr>
            <w:r w:rsidRPr="005465D4">
              <w:t>Yountville, Town of</w:t>
            </w:r>
          </w:p>
        </w:tc>
        <w:tc>
          <w:tcPr>
            <w:tcW w:w="2862" w:type="dxa"/>
            <w:tcBorders>
              <w:bottom w:val="single" w:sz="12" w:space="0" w:color="auto"/>
            </w:tcBorders>
            <w:shd w:val="clear" w:color="auto" w:fill="auto"/>
            <w:vAlign w:val="center"/>
          </w:tcPr>
          <w:p w14:paraId="117DCEA7" w14:textId="77777777" w:rsidR="00631CBF" w:rsidRPr="005465D4" w:rsidRDefault="00631CBF" w:rsidP="00631CBF">
            <w:r w:rsidRPr="005465D4">
              <w:t xml:space="preserve">Municipal Wastewater Treatment Plant </w:t>
            </w:r>
          </w:p>
        </w:tc>
        <w:tc>
          <w:tcPr>
            <w:tcW w:w="3195" w:type="dxa"/>
            <w:tcBorders>
              <w:bottom w:val="single" w:sz="12" w:space="0" w:color="auto"/>
              <w:right w:val="single" w:sz="4" w:space="0" w:color="auto"/>
            </w:tcBorders>
            <w:shd w:val="clear" w:color="auto" w:fill="auto"/>
            <w:vAlign w:val="center"/>
          </w:tcPr>
          <w:p w14:paraId="226D9923" w14:textId="77777777" w:rsidR="00631CBF" w:rsidRPr="005465D4" w:rsidRDefault="00631CBF" w:rsidP="00631CBF">
            <w:r w:rsidRPr="005465D4">
              <w:t>7501 Solano Avenue</w:t>
            </w:r>
          </w:p>
          <w:p w14:paraId="61989D98" w14:textId="77777777" w:rsidR="00631CBF" w:rsidRPr="005465D4" w:rsidRDefault="00631CBF" w:rsidP="00631CBF">
            <w:r w:rsidRPr="005465D4">
              <w:t>Yountville, CA 94599</w:t>
            </w:r>
          </w:p>
          <w:p w14:paraId="36E2ADCE" w14:textId="77777777" w:rsidR="00631CBF" w:rsidRPr="005465D4" w:rsidRDefault="00631CBF" w:rsidP="00631CBF">
            <w:r w:rsidRPr="005465D4">
              <w:t>Napa County</w:t>
            </w:r>
          </w:p>
        </w:tc>
        <w:tc>
          <w:tcPr>
            <w:tcW w:w="990" w:type="dxa"/>
            <w:tcBorders>
              <w:left w:val="single" w:sz="4" w:space="0" w:color="auto"/>
              <w:bottom w:val="single" w:sz="12" w:space="0" w:color="auto"/>
              <w:right w:val="single" w:sz="12" w:space="0" w:color="auto"/>
            </w:tcBorders>
            <w:shd w:val="clear" w:color="auto" w:fill="auto"/>
            <w:vAlign w:val="center"/>
          </w:tcPr>
          <w:p w14:paraId="31328CA8" w14:textId="77777777" w:rsidR="00631CBF" w:rsidRPr="005465D4" w:rsidRDefault="00631CBF" w:rsidP="00D779CE">
            <w:pPr>
              <w:jc w:val="center"/>
              <w:rPr>
                <w:color w:val="000000"/>
              </w:rPr>
            </w:pPr>
            <w:r w:rsidRPr="005465D4">
              <w:rPr>
                <w:color w:val="000000"/>
              </w:rPr>
              <w:t>Minor</w:t>
            </w:r>
          </w:p>
        </w:tc>
      </w:tr>
    </w:tbl>
    <w:p w14:paraId="00BAF009" w14:textId="77777777" w:rsidR="005465D4" w:rsidRDefault="005465D4" w:rsidP="005465D4">
      <w:pPr>
        <w:pStyle w:val="Title"/>
        <w:spacing w:after="60"/>
        <w:jc w:val="left"/>
        <w:outlineLvl w:val="0"/>
        <w:rPr>
          <w:rFonts w:ascii="Arial" w:hAnsi="Arial" w:cs="Arial"/>
          <w:b w:val="0"/>
        </w:rPr>
      </w:pPr>
    </w:p>
    <w:p w14:paraId="1E973E8C" w14:textId="77777777" w:rsidR="0031592A" w:rsidRPr="0031592A" w:rsidRDefault="0031592A" w:rsidP="0031592A">
      <w:pPr>
        <w:pStyle w:val="Title"/>
        <w:spacing w:after="60"/>
        <w:outlineLvl w:val="0"/>
        <w:rPr>
          <w:rFonts w:ascii="Times New Roman" w:hAnsi="Times New Roman"/>
          <w:b w:val="0"/>
          <w:sz w:val="24"/>
          <w:szCs w:val="24"/>
        </w:rPr>
      </w:pPr>
      <w:r w:rsidRPr="0031592A">
        <w:rPr>
          <w:rFonts w:ascii="Times New Roman" w:hAnsi="Times New Roman"/>
          <w:sz w:val="24"/>
          <w:szCs w:val="24"/>
        </w:rPr>
        <w:t>Table 1B.  Industrial Discharger Information</w:t>
      </w:r>
    </w:p>
    <w:tbl>
      <w:tblPr>
        <w:tblW w:w="10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3"/>
        <w:gridCol w:w="3019"/>
        <w:gridCol w:w="3020"/>
        <w:gridCol w:w="1054"/>
      </w:tblGrid>
      <w:tr w:rsidR="0031592A" w:rsidRPr="0031592A" w14:paraId="0CA462C7" w14:textId="77777777" w:rsidTr="00D9656A">
        <w:trPr>
          <w:cantSplit/>
          <w:tblHeader/>
        </w:trPr>
        <w:tc>
          <w:tcPr>
            <w:tcW w:w="3263" w:type="dxa"/>
            <w:tcBorders>
              <w:top w:val="single" w:sz="12" w:space="0" w:color="auto"/>
              <w:left w:val="single" w:sz="12" w:space="0" w:color="auto"/>
              <w:bottom w:val="single" w:sz="12" w:space="0" w:color="auto"/>
            </w:tcBorders>
            <w:shd w:val="clear" w:color="auto" w:fill="auto"/>
            <w:vAlign w:val="center"/>
          </w:tcPr>
          <w:p w14:paraId="2B4739F5" w14:textId="77777777" w:rsidR="0031592A" w:rsidRPr="0031592A" w:rsidRDefault="0031592A" w:rsidP="00214C59">
            <w:pPr>
              <w:jc w:val="center"/>
              <w:rPr>
                <w:b/>
                <w:color w:val="000000"/>
              </w:rPr>
            </w:pPr>
            <w:r w:rsidRPr="0031592A">
              <w:rPr>
                <w:b/>
                <w:color w:val="000000"/>
              </w:rPr>
              <w:t>Discharger</w:t>
            </w:r>
          </w:p>
        </w:tc>
        <w:tc>
          <w:tcPr>
            <w:tcW w:w="3019" w:type="dxa"/>
            <w:tcBorders>
              <w:top w:val="single" w:sz="12" w:space="0" w:color="auto"/>
              <w:bottom w:val="single" w:sz="12" w:space="0" w:color="auto"/>
            </w:tcBorders>
            <w:shd w:val="clear" w:color="auto" w:fill="auto"/>
            <w:vAlign w:val="center"/>
          </w:tcPr>
          <w:p w14:paraId="66873AB7" w14:textId="77777777" w:rsidR="0031592A" w:rsidRPr="0031592A" w:rsidRDefault="0031592A" w:rsidP="00214C59">
            <w:pPr>
              <w:jc w:val="center"/>
              <w:rPr>
                <w:b/>
                <w:color w:val="000000"/>
              </w:rPr>
            </w:pPr>
            <w:r w:rsidRPr="0031592A">
              <w:rPr>
                <w:b/>
                <w:color w:val="000000"/>
              </w:rPr>
              <w:t>Name of Facility</w:t>
            </w:r>
          </w:p>
        </w:tc>
        <w:tc>
          <w:tcPr>
            <w:tcW w:w="3020" w:type="dxa"/>
            <w:tcBorders>
              <w:top w:val="single" w:sz="12" w:space="0" w:color="auto"/>
              <w:bottom w:val="single" w:sz="12" w:space="0" w:color="auto"/>
            </w:tcBorders>
            <w:shd w:val="clear" w:color="auto" w:fill="auto"/>
            <w:vAlign w:val="center"/>
          </w:tcPr>
          <w:p w14:paraId="6CE46458" w14:textId="77777777" w:rsidR="0031592A" w:rsidRPr="0031592A" w:rsidRDefault="0031592A" w:rsidP="00214C59">
            <w:pPr>
              <w:jc w:val="center"/>
              <w:rPr>
                <w:b/>
                <w:color w:val="000000"/>
              </w:rPr>
            </w:pPr>
            <w:r w:rsidRPr="0031592A">
              <w:rPr>
                <w:b/>
                <w:color w:val="000000"/>
              </w:rPr>
              <w:t>Facility Address</w:t>
            </w:r>
          </w:p>
        </w:tc>
        <w:tc>
          <w:tcPr>
            <w:tcW w:w="1054" w:type="dxa"/>
            <w:tcBorders>
              <w:top w:val="single" w:sz="12" w:space="0" w:color="auto"/>
              <w:bottom w:val="single" w:sz="12" w:space="0" w:color="auto"/>
              <w:right w:val="single" w:sz="12" w:space="0" w:color="auto"/>
            </w:tcBorders>
            <w:shd w:val="clear" w:color="auto" w:fill="auto"/>
          </w:tcPr>
          <w:p w14:paraId="10EA6EAB" w14:textId="77777777" w:rsidR="0031592A" w:rsidRPr="0031592A" w:rsidRDefault="0031592A" w:rsidP="00214C59">
            <w:pPr>
              <w:jc w:val="center"/>
              <w:rPr>
                <w:b/>
                <w:color w:val="000000"/>
              </w:rPr>
            </w:pPr>
            <w:r w:rsidRPr="0031592A">
              <w:rPr>
                <w:b/>
                <w:color w:val="000000"/>
              </w:rPr>
              <w:t>Minor/ Major</w:t>
            </w:r>
          </w:p>
        </w:tc>
      </w:tr>
      <w:tr w:rsidR="0031592A" w:rsidRPr="0031592A" w14:paraId="2FBA4644" w14:textId="77777777" w:rsidTr="0031592A">
        <w:trPr>
          <w:cantSplit/>
          <w:trHeight w:val="348"/>
        </w:trPr>
        <w:tc>
          <w:tcPr>
            <w:tcW w:w="10356"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96E18CE" w14:textId="77777777" w:rsidR="0031592A" w:rsidRPr="0031592A" w:rsidRDefault="00C83EA5" w:rsidP="00214C59">
            <w:pPr>
              <w:jc w:val="center"/>
              <w:rPr>
                <w:b/>
                <w:color w:val="000000"/>
              </w:rPr>
            </w:pPr>
            <w:r>
              <w:rPr>
                <w:b/>
                <w:color w:val="000000"/>
              </w:rPr>
              <w:t>Non-Petroleum Refinery</w:t>
            </w:r>
          </w:p>
        </w:tc>
      </w:tr>
      <w:tr w:rsidR="0031592A" w:rsidRPr="0031592A" w14:paraId="63D87C1E" w14:textId="77777777" w:rsidTr="00E604CE">
        <w:trPr>
          <w:cantSplit/>
        </w:trPr>
        <w:tc>
          <w:tcPr>
            <w:tcW w:w="3263" w:type="dxa"/>
            <w:tcBorders>
              <w:top w:val="single" w:sz="12" w:space="0" w:color="auto"/>
              <w:left w:val="single" w:sz="12" w:space="0" w:color="auto"/>
            </w:tcBorders>
            <w:shd w:val="clear" w:color="auto" w:fill="auto"/>
            <w:vAlign w:val="center"/>
          </w:tcPr>
          <w:p w14:paraId="182677B8" w14:textId="5C12FD4E" w:rsidR="0031592A" w:rsidRPr="0031592A" w:rsidRDefault="0031592A" w:rsidP="00214C59">
            <w:pPr>
              <w:rPr>
                <w:rFonts w:eastAsia="Arial Unicode MS"/>
              </w:rPr>
            </w:pPr>
            <w:r w:rsidRPr="0031592A">
              <w:rPr>
                <w:rFonts w:eastAsia="Arial Unicode MS"/>
              </w:rPr>
              <w:t>C&amp;H Sugar Company, Inc., and Crockett Community Services D</w:t>
            </w:r>
            <w:r w:rsidR="00CD3527">
              <w:rPr>
                <w:rFonts w:eastAsia="Arial Unicode MS"/>
              </w:rPr>
              <w:t>istrict, Crockett Sanitary Department</w:t>
            </w:r>
          </w:p>
        </w:tc>
        <w:tc>
          <w:tcPr>
            <w:tcW w:w="3019" w:type="dxa"/>
            <w:tcBorders>
              <w:top w:val="single" w:sz="12" w:space="0" w:color="auto"/>
            </w:tcBorders>
            <w:shd w:val="clear" w:color="auto" w:fill="auto"/>
            <w:vAlign w:val="center"/>
          </w:tcPr>
          <w:p w14:paraId="16CB9F98" w14:textId="77777777" w:rsidR="0031592A" w:rsidRPr="0031592A" w:rsidRDefault="0031592A" w:rsidP="00214C59">
            <w:pPr>
              <w:rPr>
                <w:bCs/>
              </w:rPr>
            </w:pPr>
            <w:r w:rsidRPr="0031592A">
              <w:rPr>
                <w:bCs/>
              </w:rPr>
              <w:t>Joint Use Phillip F. Meads Water Treatment Plant</w:t>
            </w:r>
          </w:p>
        </w:tc>
        <w:tc>
          <w:tcPr>
            <w:tcW w:w="3020" w:type="dxa"/>
            <w:tcBorders>
              <w:top w:val="single" w:sz="12" w:space="0" w:color="auto"/>
            </w:tcBorders>
            <w:shd w:val="clear" w:color="auto" w:fill="auto"/>
            <w:vAlign w:val="center"/>
          </w:tcPr>
          <w:p w14:paraId="1CB64437" w14:textId="77777777" w:rsidR="0031592A" w:rsidRPr="0031592A" w:rsidRDefault="0031592A" w:rsidP="00E604CE">
            <w:r w:rsidRPr="0031592A">
              <w:t>830 Loring Avenue</w:t>
            </w:r>
          </w:p>
          <w:p w14:paraId="1763BC16" w14:textId="77777777" w:rsidR="0031592A" w:rsidRPr="0031592A" w:rsidRDefault="0031592A" w:rsidP="00E604CE">
            <w:r w:rsidRPr="0031592A">
              <w:t>Crockett, CA 94525</w:t>
            </w:r>
          </w:p>
          <w:p w14:paraId="6833641E" w14:textId="77777777" w:rsidR="0031592A" w:rsidRPr="0031592A" w:rsidRDefault="0031592A" w:rsidP="00E604CE">
            <w:r w:rsidRPr="0031592A">
              <w:t>Contra Costa County</w:t>
            </w:r>
          </w:p>
        </w:tc>
        <w:tc>
          <w:tcPr>
            <w:tcW w:w="1054" w:type="dxa"/>
            <w:tcBorders>
              <w:top w:val="single" w:sz="12" w:space="0" w:color="auto"/>
              <w:right w:val="single" w:sz="12" w:space="0" w:color="auto"/>
            </w:tcBorders>
            <w:shd w:val="clear" w:color="auto" w:fill="auto"/>
            <w:vAlign w:val="center"/>
          </w:tcPr>
          <w:p w14:paraId="1694C1B8" w14:textId="77777777" w:rsidR="0031592A" w:rsidRPr="0031592A" w:rsidRDefault="0031592A" w:rsidP="00214C59">
            <w:pPr>
              <w:jc w:val="center"/>
              <w:rPr>
                <w:color w:val="000000"/>
              </w:rPr>
            </w:pPr>
            <w:r w:rsidRPr="0031592A">
              <w:rPr>
                <w:color w:val="000000"/>
              </w:rPr>
              <w:t>Major</w:t>
            </w:r>
          </w:p>
        </w:tc>
      </w:tr>
      <w:tr w:rsidR="0031592A" w:rsidRPr="0031592A" w14:paraId="1E1F64EE" w14:textId="77777777" w:rsidTr="00D9656A">
        <w:trPr>
          <w:cantSplit/>
        </w:trPr>
        <w:tc>
          <w:tcPr>
            <w:tcW w:w="3263" w:type="dxa"/>
            <w:tcBorders>
              <w:left w:val="single" w:sz="12" w:space="0" w:color="auto"/>
            </w:tcBorders>
            <w:shd w:val="clear" w:color="auto" w:fill="auto"/>
            <w:vAlign w:val="center"/>
          </w:tcPr>
          <w:p w14:paraId="031E87A8" w14:textId="590881AF" w:rsidR="0031592A" w:rsidRPr="0031592A" w:rsidRDefault="0031592A" w:rsidP="00D779CE">
            <w:pPr>
              <w:rPr>
                <w:rFonts w:eastAsia="Arial Unicode MS"/>
              </w:rPr>
            </w:pPr>
            <w:r w:rsidRPr="0031592A">
              <w:rPr>
                <w:rFonts w:eastAsia="Arial Unicode MS"/>
              </w:rPr>
              <w:lastRenderedPageBreak/>
              <w:t>Crockett Cogeneration, LP</w:t>
            </w:r>
          </w:p>
        </w:tc>
        <w:tc>
          <w:tcPr>
            <w:tcW w:w="3019" w:type="dxa"/>
            <w:shd w:val="clear" w:color="auto" w:fill="auto"/>
            <w:vAlign w:val="center"/>
          </w:tcPr>
          <w:p w14:paraId="4546FC11" w14:textId="77777777" w:rsidR="0031592A" w:rsidRPr="0031592A" w:rsidRDefault="0031592A" w:rsidP="00214C59">
            <w:pPr>
              <w:rPr>
                <w:bCs/>
              </w:rPr>
            </w:pPr>
            <w:r w:rsidRPr="0031592A">
              <w:rPr>
                <w:bCs/>
              </w:rPr>
              <w:t>Crockett Cogeneration Plant</w:t>
            </w:r>
          </w:p>
        </w:tc>
        <w:tc>
          <w:tcPr>
            <w:tcW w:w="3020" w:type="dxa"/>
            <w:shd w:val="clear" w:color="auto" w:fill="auto"/>
            <w:vAlign w:val="center"/>
          </w:tcPr>
          <w:p w14:paraId="4F40EF52" w14:textId="77777777" w:rsidR="0031592A" w:rsidRPr="0031592A" w:rsidRDefault="0031592A" w:rsidP="00214C59">
            <w:r w:rsidRPr="0031592A">
              <w:t>550 Loring Avenue</w:t>
            </w:r>
          </w:p>
          <w:p w14:paraId="0929F0CA" w14:textId="77777777" w:rsidR="0031592A" w:rsidRPr="0031592A" w:rsidRDefault="0031592A" w:rsidP="00214C59">
            <w:r w:rsidRPr="0031592A">
              <w:t>Crockett, CA 94525-1232</w:t>
            </w:r>
          </w:p>
          <w:p w14:paraId="29071A40" w14:textId="77777777" w:rsidR="0031592A" w:rsidRPr="0031592A" w:rsidRDefault="0031592A" w:rsidP="00214C59">
            <w:r w:rsidRPr="0031592A">
              <w:t>Contra Costa County</w:t>
            </w:r>
          </w:p>
        </w:tc>
        <w:tc>
          <w:tcPr>
            <w:tcW w:w="1054" w:type="dxa"/>
            <w:tcBorders>
              <w:right w:val="single" w:sz="12" w:space="0" w:color="auto"/>
            </w:tcBorders>
            <w:shd w:val="clear" w:color="auto" w:fill="auto"/>
            <w:vAlign w:val="center"/>
          </w:tcPr>
          <w:p w14:paraId="1086CAD1" w14:textId="77777777" w:rsidR="0031592A" w:rsidRPr="0031592A" w:rsidRDefault="0031592A" w:rsidP="00214C59">
            <w:pPr>
              <w:jc w:val="center"/>
              <w:rPr>
                <w:color w:val="000000"/>
              </w:rPr>
            </w:pPr>
            <w:r w:rsidRPr="0031592A">
              <w:rPr>
                <w:color w:val="000000"/>
              </w:rPr>
              <w:t>Minor</w:t>
            </w:r>
          </w:p>
        </w:tc>
      </w:tr>
      <w:tr w:rsidR="00D9656A" w:rsidRPr="0031592A" w14:paraId="08E72765" w14:textId="77777777" w:rsidTr="00D9656A">
        <w:trPr>
          <w:cantSplit/>
        </w:trPr>
        <w:tc>
          <w:tcPr>
            <w:tcW w:w="3263" w:type="dxa"/>
            <w:tcBorders>
              <w:left w:val="single" w:sz="12" w:space="0" w:color="auto"/>
            </w:tcBorders>
            <w:shd w:val="clear" w:color="auto" w:fill="auto"/>
            <w:vAlign w:val="center"/>
          </w:tcPr>
          <w:p w14:paraId="356FD05C" w14:textId="77777777" w:rsidR="00D9656A" w:rsidRPr="0031592A" w:rsidRDefault="00D9656A" w:rsidP="00311CE5">
            <w:pPr>
              <w:rPr>
                <w:rFonts w:eastAsia="Arial Unicode MS"/>
              </w:rPr>
            </w:pPr>
            <w:r>
              <w:rPr>
                <w:rFonts w:eastAsia="Arial Unicode MS"/>
              </w:rPr>
              <w:t>Eco Services Operations LLC</w:t>
            </w:r>
          </w:p>
        </w:tc>
        <w:tc>
          <w:tcPr>
            <w:tcW w:w="3019" w:type="dxa"/>
            <w:shd w:val="clear" w:color="auto" w:fill="auto"/>
            <w:vAlign w:val="center"/>
          </w:tcPr>
          <w:p w14:paraId="1D99215B" w14:textId="77777777" w:rsidR="00D9656A" w:rsidRPr="0031592A" w:rsidRDefault="00D9656A" w:rsidP="00311CE5">
            <w:pPr>
              <w:rPr>
                <w:bCs/>
              </w:rPr>
            </w:pPr>
            <w:r>
              <w:rPr>
                <w:bCs/>
              </w:rPr>
              <w:t xml:space="preserve">Eco Services </w:t>
            </w:r>
            <w:r w:rsidRPr="0031592A">
              <w:rPr>
                <w:bCs/>
              </w:rPr>
              <w:t xml:space="preserve"> Martinez Plant</w:t>
            </w:r>
          </w:p>
        </w:tc>
        <w:tc>
          <w:tcPr>
            <w:tcW w:w="3020" w:type="dxa"/>
            <w:shd w:val="clear" w:color="auto" w:fill="auto"/>
            <w:vAlign w:val="center"/>
          </w:tcPr>
          <w:p w14:paraId="16A161EC" w14:textId="77777777" w:rsidR="00D9656A" w:rsidRPr="0031592A" w:rsidRDefault="00D9656A" w:rsidP="00311CE5">
            <w:r w:rsidRPr="0031592A">
              <w:t>100 Mococo Road</w:t>
            </w:r>
          </w:p>
          <w:p w14:paraId="4836679C" w14:textId="77777777" w:rsidR="00D9656A" w:rsidRPr="0031592A" w:rsidRDefault="00D9656A" w:rsidP="00311CE5">
            <w:r w:rsidRPr="0031592A">
              <w:t>Martinez, CA 94553</w:t>
            </w:r>
          </w:p>
          <w:p w14:paraId="6A31B372" w14:textId="77777777" w:rsidR="00D9656A" w:rsidRPr="0031592A" w:rsidRDefault="00D9656A" w:rsidP="00311CE5">
            <w:r w:rsidRPr="0031592A">
              <w:t>Contra Costa County</w:t>
            </w:r>
          </w:p>
        </w:tc>
        <w:tc>
          <w:tcPr>
            <w:tcW w:w="1054" w:type="dxa"/>
            <w:tcBorders>
              <w:right w:val="single" w:sz="12" w:space="0" w:color="auto"/>
            </w:tcBorders>
            <w:shd w:val="clear" w:color="auto" w:fill="auto"/>
            <w:vAlign w:val="center"/>
          </w:tcPr>
          <w:p w14:paraId="0FBE0C36" w14:textId="77777777" w:rsidR="00D9656A" w:rsidRPr="0031592A" w:rsidRDefault="00D9656A" w:rsidP="00311CE5">
            <w:pPr>
              <w:jc w:val="center"/>
              <w:rPr>
                <w:color w:val="000000"/>
              </w:rPr>
            </w:pPr>
            <w:r w:rsidRPr="0031592A">
              <w:rPr>
                <w:color w:val="000000"/>
              </w:rPr>
              <w:t>Major</w:t>
            </w:r>
          </w:p>
        </w:tc>
      </w:tr>
      <w:tr w:rsidR="00D9656A" w:rsidRPr="0031592A" w14:paraId="747E81E9" w14:textId="77777777" w:rsidTr="00D9656A">
        <w:trPr>
          <w:cantSplit/>
        </w:trPr>
        <w:tc>
          <w:tcPr>
            <w:tcW w:w="3263" w:type="dxa"/>
            <w:tcBorders>
              <w:left w:val="single" w:sz="12" w:space="0" w:color="auto"/>
            </w:tcBorders>
            <w:shd w:val="clear" w:color="auto" w:fill="auto"/>
            <w:vAlign w:val="center"/>
          </w:tcPr>
          <w:p w14:paraId="26DF14E0" w14:textId="6F405981" w:rsidR="00D9656A" w:rsidRPr="0031592A" w:rsidRDefault="00D9656A" w:rsidP="00131E90">
            <w:pPr>
              <w:rPr>
                <w:rFonts w:eastAsia="Arial Unicode MS"/>
              </w:rPr>
            </w:pPr>
            <w:r w:rsidRPr="0031592A">
              <w:rPr>
                <w:rFonts w:eastAsia="Arial Unicode MS"/>
              </w:rPr>
              <w:t xml:space="preserve">GenOn Delta, LLC </w:t>
            </w:r>
          </w:p>
        </w:tc>
        <w:tc>
          <w:tcPr>
            <w:tcW w:w="3019" w:type="dxa"/>
            <w:shd w:val="clear" w:color="auto" w:fill="auto"/>
            <w:vAlign w:val="center"/>
          </w:tcPr>
          <w:p w14:paraId="57309E47" w14:textId="77777777" w:rsidR="00D9656A" w:rsidRPr="0031592A" w:rsidRDefault="00D9656A" w:rsidP="00214C59">
            <w:r w:rsidRPr="0031592A">
              <w:t>Pittsburg Power Plant</w:t>
            </w:r>
          </w:p>
        </w:tc>
        <w:tc>
          <w:tcPr>
            <w:tcW w:w="3020" w:type="dxa"/>
            <w:shd w:val="clear" w:color="auto" w:fill="auto"/>
            <w:vAlign w:val="center"/>
          </w:tcPr>
          <w:p w14:paraId="2F493EC5" w14:textId="77777777" w:rsidR="00D9656A" w:rsidRPr="0031592A" w:rsidRDefault="00D9656A" w:rsidP="00214C59">
            <w:r w:rsidRPr="0031592A">
              <w:t>696 W. 10th Street</w:t>
            </w:r>
          </w:p>
          <w:p w14:paraId="27F9D1ED" w14:textId="77777777" w:rsidR="00D9656A" w:rsidRPr="0031592A" w:rsidRDefault="00D9656A" w:rsidP="00214C59">
            <w:r w:rsidRPr="0031592A">
              <w:t>Pittsburg, CA 94565</w:t>
            </w:r>
          </w:p>
          <w:p w14:paraId="35F73A14" w14:textId="77777777" w:rsidR="00D9656A" w:rsidRPr="0031592A" w:rsidRDefault="00D9656A" w:rsidP="00214C59">
            <w:r w:rsidRPr="0031592A">
              <w:t>Contra Costa County</w:t>
            </w:r>
          </w:p>
        </w:tc>
        <w:tc>
          <w:tcPr>
            <w:tcW w:w="1054" w:type="dxa"/>
            <w:tcBorders>
              <w:right w:val="single" w:sz="12" w:space="0" w:color="auto"/>
            </w:tcBorders>
            <w:shd w:val="clear" w:color="auto" w:fill="auto"/>
            <w:vAlign w:val="center"/>
          </w:tcPr>
          <w:p w14:paraId="687BE7F5" w14:textId="77777777" w:rsidR="00D9656A" w:rsidRPr="0031592A" w:rsidRDefault="00D9656A" w:rsidP="00214C59">
            <w:pPr>
              <w:jc w:val="center"/>
              <w:rPr>
                <w:color w:val="000000"/>
              </w:rPr>
            </w:pPr>
            <w:r w:rsidRPr="0031592A">
              <w:rPr>
                <w:color w:val="000000"/>
              </w:rPr>
              <w:t>Major</w:t>
            </w:r>
          </w:p>
        </w:tc>
      </w:tr>
      <w:tr w:rsidR="00D9656A" w:rsidRPr="0031592A" w14:paraId="19B4CDE9" w14:textId="77777777" w:rsidTr="00D9656A">
        <w:trPr>
          <w:cantSplit/>
        </w:trPr>
        <w:tc>
          <w:tcPr>
            <w:tcW w:w="3263" w:type="dxa"/>
            <w:tcBorders>
              <w:left w:val="single" w:sz="12" w:space="0" w:color="auto"/>
              <w:bottom w:val="single" w:sz="12" w:space="0" w:color="auto"/>
            </w:tcBorders>
            <w:shd w:val="clear" w:color="auto" w:fill="auto"/>
            <w:vAlign w:val="center"/>
          </w:tcPr>
          <w:p w14:paraId="2BEDA2E8" w14:textId="77777777" w:rsidR="00D9656A" w:rsidRPr="0031592A" w:rsidRDefault="00D9656A" w:rsidP="00214C59">
            <w:r w:rsidRPr="0031592A">
              <w:rPr>
                <w:rFonts w:eastAsia="Arial Unicode MS"/>
              </w:rPr>
              <w:t>USS-Posco Industries</w:t>
            </w:r>
          </w:p>
        </w:tc>
        <w:tc>
          <w:tcPr>
            <w:tcW w:w="3019" w:type="dxa"/>
            <w:tcBorders>
              <w:bottom w:val="single" w:sz="12" w:space="0" w:color="auto"/>
            </w:tcBorders>
            <w:shd w:val="clear" w:color="auto" w:fill="auto"/>
            <w:vAlign w:val="center"/>
          </w:tcPr>
          <w:p w14:paraId="568F725A" w14:textId="77777777" w:rsidR="00D9656A" w:rsidRPr="0031592A" w:rsidRDefault="00D9656A" w:rsidP="00214C59">
            <w:pPr>
              <w:rPr>
                <w:bCs/>
              </w:rPr>
            </w:pPr>
            <w:r w:rsidRPr="0031592A">
              <w:rPr>
                <w:bCs/>
              </w:rPr>
              <w:t>Pittsburg Plant</w:t>
            </w:r>
          </w:p>
        </w:tc>
        <w:tc>
          <w:tcPr>
            <w:tcW w:w="3020" w:type="dxa"/>
            <w:tcBorders>
              <w:bottom w:val="single" w:sz="12" w:space="0" w:color="auto"/>
            </w:tcBorders>
            <w:shd w:val="clear" w:color="auto" w:fill="auto"/>
            <w:vAlign w:val="center"/>
          </w:tcPr>
          <w:p w14:paraId="5822B8E4" w14:textId="77777777" w:rsidR="00D9656A" w:rsidRPr="0031592A" w:rsidRDefault="00D9656A" w:rsidP="00214C59">
            <w:r w:rsidRPr="0031592A">
              <w:t>900 Loveridge Road</w:t>
            </w:r>
          </w:p>
          <w:p w14:paraId="471BE6A2" w14:textId="77777777" w:rsidR="00D9656A" w:rsidRPr="0031592A" w:rsidRDefault="00D9656A" w:rsidP="00214C59">
            <w:r w:rsidRPr="0031592A">
              <w:t>Pittsburg, CA 94565</w:t>
            </w:r>
          </w:p>
          <w:p w14:paraId="146BAC98" w14:textId="77777777" w:rsidR="00D9656A" w:rsidRPr="0031592A" w:rsidRDefault="00D9656A" w:rsidP="00214C59">
            <w:r w:rsidRPr="0031592A">
              <w:t>Contra Costa County</w:t>
            </w:r>
          </w:p>
        </w:tc>
        <w:tc>
          <w:tcPr>
            <w:tcW w:w="1054" w:type="dxa"/>
            <w:tcBorders>
              <w:bottom w:val="single" w:sz="12" w:space="0" w:color="auto"/>
              <w:right w:val="single" w:sz="12" w:space="0" w:color="auto"/>
            </w:tcBorders>
            <w:shd w:val="clear" w:color="auto" w:fill="auto"/>
            <w:vAlign w:val="center"/>
          </w:tcPr>
          <w:p w14:paraId="01C91199" w14:textId="77777777" w:rsidR="00D9656A" w:rsidRPr="0031592A" w:rsidRDefault="00D9656A" w:rsidP="00214C59">
            <w:pPr>
              <w:jc w:val="center"/>
              <w:rPr>
                <w:color w:val="000000"/>
              </w:rPr>
            </w:pPr>
            <w:r w:rsidRPr="0031592A">
              <w:rPr>
                <w:color w:val="000000"/>
              </w:rPr>
              <w:t>Major</w:t>
            </w:r>
          </w:p>
        </w:tc>
      </w:tr>
      <w:tr w:rsidR="00D9656A" w:rsidRPr="0031592A" w14:paraId="2C8FACE0" w14:textId="77777777" w:rsidTr="0031592A">
        <w:trPr>
          <w:cantSplit/>
          <w:trHeight w:val="404"/>
        </w:trPr>
        <w:tc>
          <w:tcPr>
            <w:tcW w:w="10356"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84C2762" w14:textId="77777777" w:rsidR="00D9656A" w:rsidRPr="0031592A" w:rsidRDefault="00D9656A" w:rsidP="00214C59">
            <w:pPr>
              <w:jc w:val="center"/>
              <w:rPr>
                <w:b/>
                <w:color w:val="000000"/>
              </w:rPr>
            </w:pPr>
            <w:r>
              <w:rPr>
                <w:b/>
                <w:color w:val="000000"/>
              </w:rPr>
              <w:t>Petroleum Refinery</w:t>
            </w:r>
          </w:p>
        </w:tc>
      </w:tr>
      <w:tr w:rsidR="00D9656A" w:rsidRPr="0031592A" w14:paraId="0EB9A072" w14:textId="77777777" w:rsidTr="00D9656A">
        <w:trPr>
          <w:cantSplit/>
        </w:trPr>
        <w:tc>
          <w:tcPr>
            <w:tcW w:w="3263" w:type="dxa"/>
            <w:tcBorders>
              <w:top w:val="single" w:sz="12" w:space="0" w:color="auto"/>
              <w:left w:val="single" w:sz="12" w:space="0" w:color="auto"/>
            </w:tcBorders>
            <w:shd w:val="clear" w:color="auto" w:fill="auto"/>
            <w:vAlign w:val="center"/>
          </w:tcPr>
          <w:p w14:paraId="1EE7D1C9" w14:textId="77777777" w:rsidR="00D9656A" w:rsidRPr="0031592A" w:rsidRDefault="00D9656A" w:rsidP="00214C59">
            <w:r w:rsidRPr="0031592A">
              <w:t>Chevron Products Company</w:t>
            </w:r>
          </w:p>
        </w:tc>
        <w:tc>
          <w:tcPr>
            <w:tcW w:w="3019" w:type="dxa"/>
            <w:tcBorders>
              <w:top w:val="single" w:sz="12" w:space="0" w:color="auto"/>
            </w:tcBorders>
            <w:shd w:val="clear" w:color="auto" w:fill="auto"/>
            <w:vAlign w:val="center"/>
          </w:tcPr>
          <w:p w14:paraId="3E67DFA4" w14:textId="77777777" w:rsidR="00D9656A" w:rsidRPr="0031592A" w:rsidRDefault="00D9656A" w:rsidP="00214C59">
            <w:pPr>
              <w:rPr>
                <w:bCs/>
              </w:rPr>
            </w:pPr>
            <w:r w:rsidRPr="0031592A">
              <w:rPr>
                <w:bCs/>
              </w:rPr>
              <w:t>Richmond Refinery</w:t>
            </w:r>
          </w:p>
        </w:tc>
        <w:tc>
          <w:tcPr>
            <w:tcW w:w="3020" w:type="dxa"/>
            <w:tcBorders>
              <w:top w:val="single" w:sz="12" w:space="0" w:color="auto"/>
            </w:tcBorders>
            <w:shd w:val="clear" w:color="auto" w:fill="auto"/>
            <w:vAlign w:val="center"/>
          </w:tcPr>
          <w:p w14:paraId="31FB6554" w14:textId="77777777" w:rsidR="00D9656A" w:rsidRPr="0031592A" w:rsidRDefault="00D9656A" w:rsidP="00214C59">
            <w:r w:rsidRPr="0031592A">
              <w:t>841 Chevron Way</w:t>
            </w:r>
          </w:p>
          <w:p w14:paraId="146B1DB0" w14:textId="77777777" w:rsidR="00D9656A" w:rsidRPr="0031592A" w:rsidRDefault="00D9656A" w:rsidP="00214C59">
            <w:r w:rsidRPr="0031592A">
              <w:t>Richmond, CA 94801</w:t>
            </w:r>
          </w:p>
          <w:p w14:paraId="6C5E9811" w14:textId="77777777" w:rsidR="00D9656A" w:rsidRPr="0031592A" w:rsidRDefault="00D9656A" w:rsidP="00214C59">
            <w:r w:rsidRPr="0031592A">
              <w:t>Contra Costa County</w:t>
            </w:r>
          </w:p>
        </w:tc>
        <w:tc>
          <w:tcPr>
            <w:tcW w:w="1054" w:type="dxa"/>
            <w:tcBorders>
              <w:top w:val="single" w:sz="12" w:space="0" w:color="auto"/>
              <w:right w:val="single" w:sz="12" w:space="0" w:color="auto"/>
            </w:tcBorders>
            <w:shd w:val="clear" w:color="auto" w:fill="auto"/>
            <w:vAlign w:val="center"/>
          </w:tcPr>
          <w:p w14:paraId="03FCA7AF" w14:textId="77777777" w:rsidR="00D9656A" w:rsidRPr="0031592A" w:rsidRDefault="00D9656A" w:rsidP="00214C59">
            <w:pPr>
              <w:jc w:val="center"/>
              <w:rPr>
                <w:color w:val="000000"/>
              </w:rPr>
            </w:pPr>
            <w:r w:rsidRPr="0031592A">
              <w:rPr>
                <w:color w:val="000000"/>
              </w:rPr>
              <w:t>Major</w:t>
            </w:r>
          </w:p>
        </w:tc>
      </w:tr>
      <w:tr w:rsidR="00D9656A" w:rsidRPr="0031592A" w14:paraId="188532C4" w14:textId="77777777" w:rsidTr="00D9656A">
        <w:trPr>
          <w:cantSplit/>
        </w:trPr>
        <w:tc>
          <w:tcPr>
            <w:tcW w:w="3263" w:type="dxa"/>
            <w:tcBorders>
              <w:left w:val="single" w:sz="12" w:space="0" w:color="auto"/>
            </w:tcBorders>
            <w:shd w:val="clear" w:color="auto" w:fill="auto"/>
            <w:vAlign w:val="center"/>
          </w:tcPr>
          <w:p w14:paraId="024CEDEA" w14:textId="77777777" w:rsidR="00D9656A" w:rsidRPr="0031592A" w:rsidRDefault="00D9656A" w:rsidP="00214C59">
            <w:r w:rsidRPr="0031592A">
              <w:t>Phillips 66 (formerly ConocoPhillips)</w:t>
            </w:r>
          </w:p>
        </w:tc>
        <w:tc>
          <w:tcPr>
            <w:tcW w:w="3019" w:type="dxa"/>
            <w:shd w:val="clear" w:color="auto" w:fill="auto"/>
            <w:vAlign w:val="center"/>
          </w:tcPr>
          <w:p w14:paraId="5C4FDBD5" w14:textId="77777777" w:rsidR="00D9656A" w:rsidRPr="0031592A" w:rsidRDefault="00D9656A" w:rsidP="00214C59">
            <w:pPr>
              <w:rPr>
                <w:bCs/>
              </w:rPr>
            </w:pPr>
            <w:r w:rsidRPr="0031592A">
              <w:rPr>
                <w:bCs/>
              </w:rPr>
              <w:t>San Francisco Refinery</w:t>
            </w:r>
          </w:p>
        </w:tc>
        <w:tc>
          <w:tcPr>
            <w:tcW w:w="3020" w:type="dxa"/>
            <w:shd w:val="clear" w:color="auto" w:fill="auto"/>
            <w:vAlign w:val="center"/>
          </w:tcPr>
          <w:p w14:paraId="7EB17290" w14:textId="77777777" w:rsidR="00D9656A" w:rsidRPr="0031592A" w:rsidRDefault="00D9656A" w:rsidP="00214C59">
            <w:r w:rsidRPr="0031592A">
              <w:t>1380 San Pablo Avenue</w:t>
            </w:r>
          </w:p>
          <w:p w14:paraId="7884FCA3" w14:textId="77777777" w:rsidR="00D9656A" w:rsidRPr="0031592A" w:rsidRDefault="00D9656A" w:rsidP="00214C59">
            <w:r w:rsidRPr="0031592A">
              <w:t>Rodeo, CA 94572-1354</w:t>
            </w:r>
          </w:p>
          <w:p w14:paraId="20DD0303" w14:textId="77777777" w:rsidR="00D9656A" w:rsidRPr="0031592A" w:rsidRDefault="00D9656A" w:rsidP="00214C59">
            <w:r w:rsidRPr="0031592A">
              <w:t>Contra Costa County</w:t>
            </w:r>
          </w:p>
        </w:tc>
        <w:tc>
          <w:tcPr>
            <w:tcW w:w="1054" w:type="dxa"/>
            <w:tcBorders>
              <w:right w:val="single" w:sz="12" w:space="0" w:color="auto"/>
            </w:tcBorders>
            <w:shd w:val="clear" w:color="auto" w:fill="auto"/>
            <w:vAlign w:val="center"/>
          </w:tcPr>
          <w:p w14:paraId="59C93F10" w14:textId="77777777" w:rsidR="00D9656A" w:rsidRPr="0031592A" w:rsidRDefault="00D9656A" w:rsidP="00214C59">
            <w:pPr>
              <w:jc w:val="center"/>
              <w:rPr>
                <w:color w:val="000000"/>
              </w:rPr>
            </w:pPr>
            <w:r w:rsidRPr="0031592A">
              <w:rPr>
                <w:color w:val="000000"/>
              </w:rPr>
              <w:t>Major</w:t>
            </w:r>
          </w:p>
        </w:tc>
      </w:tr>
      <w:tr w:rsidR="00D9656A" w:rsidRPr="0031592A" w14:paraId="6BC49C5A" w14:textId="77777777" w:rsidTr="00D9656A">
        <w:trPr>
          <w:cantSplit/>
        </w:trPr>
        <w:tc>
          <w:tcPr>
            <w:tcW w:w="3263" w:type="dxa"/>
            <w:tcBorders>
              <w:left w:val="single" w:sz="12" w:space="0" w:color="auto"/>
            </w:tcBorders>
            <w:shd w:val="clear" w:color="auto" w:fill="auto"/>
            <w:vAlign w:val="center"/>
          </w:tcPr>
          <w:p w14:paraId="48F93689" w14:textId="77777777" w:rsidR="00D9656A" w:rsidRPr="0031592A" w:rsidRDefault="00D9656A" w:rsidP="00D779CE">
            <w:pPr>
              <w:pStyle w:val="FootnoteText"/>
              <w:rPr>
                <w:rFonts w:eastAsia="Arial Unicode MS"/>
              </w:rPr>
            </w:pPr>
            <w:r w:rsidRPr="0031592A">
              <w:rPr>
                <w:rFonts w:eastAsia="Arial Unicode MS"/>
              </w:rPr>
              <w:t>Shell Oil Products US and Equilon Enterprises LLC</w:t>
            </w:r>
          </w:p>
        </w:tc>
        <w:tc>
          <w:tcPr>
            <w:tcW w:w="3019" w:type="dxa"/>
            <w:shd w:val="clear" w:color="auto" w:fill="auto"/>
            <w:vAlign w:val="center"/>
          </w:tcPr>
          <w:p w14:paraId="1BADFB7D" w14:textId="77777777" w:rsidR="00D9656A" w:rsidRPr="0031592A" w:rsidRDefault="00D9656A" w:rsidP="00214C59">
            <w:pPr>
              <w:rPr>
                <w:bCs/>
              </w:rPr>
            </w:pPr>
            <w:r w:rsidRPr="0031592A">
              <w:rPr>
                <w:bCs/>
              </w:rPr>
              <w:t>Shell Martinez Refinery</w:t>
            </w:r>
          </w:p>
        </w:tc>
        <w:tc>
          <w:tcPr>
            <w:tcW w:w="3020" w:type="dxa"/>
            <w:shd w:val="clear" w:color="auto" w:fill="auto"/>
            <w:vAlign w:val="center"/>
          </w:tcPr>
          <w:p w14:paraId="7C95BC74" w14:textId="77777777" w:rsidR="00D9656A" w:rsidRPr="0031592A" w:rsidRDefault="00D9656A" w:rsidP="00214C59">
            <w:r w:rsidRPr="0031592A">
              <w:t>3485 Pacheco Blvd</w:t>
            </w:r>
          </w:p>
          <w:p w14:paraId="176BAA60" w14:textId="77777777" w:rsidR="00D9656A" w:rsidRPr="0031592A" w:rsidRDefault="00D9656A" w:rsidP="00214C59">
            <w:r w:rsidRPr="0031592A">
              <w:t>Martinez CA 94553</w:t>
            </w:r>
          </w:p>
          <w:p w14:paraId="1873DEA6" w14:textId="77777777" w:rsidR="00D9656A" w:rsidRPr="0031592A" w:rsidRDefault="00D9656A" w:rsidP="00214C59">
            <w:r w:rsidRPr="0031592A">
              <w:t>Contra Costa County</w:t>
            </w:r>
          </w:p>
        </w:tc>
        <w:tc>
          <w:tcPr>
            <w:tcW w:w="1054" w:type="dxa"/>
            <w:tcBorders>
              <w:right w:val="single" w:sz="12" w:space="0" w:color="auto"/>
            </w:tcBorders>
            <w:shd w:val="clear" w:color="auto" w:fill="auto"/>
            <w:vAlign w:val="center"/>
          </w:tcPr>
          <w:p w14:paraId="30313B81" w14:textId="77777777" w:rsidR="00D9656A" w:rsidRPr="0031592A" w:rsidRDefault="00D9656A" w:rsidP="00214C59">
            <w:pPr>
              <w:jc w:val="center"/>
              <w:rPr>
                <w:color w:val="000000"/>
              </w:rPr>
            </w:pPr>
            <w:r w:rsidRPr="0031592A">
              <w:rPr>
                <w:color w:val="000000"/>
              </w:rPr>
              <w:t>Major</w:t>
            </w:r>
          </w:p>
        </w:tc>
      </w:tr>
      <w:tr w:rsidR="00D9656A" w:rsidRPr="0031592A" w14:paraId="4B4257ED" w14:textId="77777777" w:rsidTr="00D9656A">
        <w:trPr>
          <w:cantSplit/>
        </w:trPr>
        <w:tc>
          <w:tcPr>
            <w:tcW w:w="3263" w:type="dxa"/>
            <w:tcBorders>
              <w:left w:val="single" w:sz="12" w:space="0" w:color="auto"/>
            </w:tcBorders>
            <w:shd w:val="clear" w:color="auto" w:fill="auto"/>
            <w:vAlign w:val="center"/>
          </w:tcPr>
          <w:p w14:paraId="70AF1663" w14:textId="77777777" w:rsidR="00D9656A" w:rsidRPr="0031592A" w:rsidRDefault="00D9656A" w:rsidP="00214C59">
            <w:pPr>
              <w:rPr>
                <w:rFonts w:eastAsia="Arial Unicode MS"/>
              </w:rPr>
            </w:pPr>
            <w:r w:rsidRPr="0031592A">
              <w:rPr>
                <w:rFonts w:eastAsia="Arial Unicode MS"/>
              </w:rPr>
              <w:t>Tesoro Refining &amp; Marketing Co.</w:t>
            </w:r>
          </w:p>
        </w:tc>
        <w:tc>
          <w:tcPr>
            <w:tcW w:w="3019" w:type="dxa"/>
            <w:shd w:val="clear" w:color="auto" w:fill="auto"/>
            <w:vAlign w:val="center"/>
          </w:tcPr>
          <w:p w14:paraId="07FAD12C" w14:textId="77777777" w:rsidR="00D9656A" w:rsidRPr="0031592A" w:rsidRDefault="00D9656A" w:rsidP="00214C59">
            <w:pPr>
              <w:rPr>
                <w:bCs/>
              </w:rPr>
            </w:pPr>
            <w:r w:rsidRPr="0031592A">
              <w:rPr>
                <w:bCs/>
              </w:rPr>
              <w:t>Golden Eagle Refinery</w:t>
            </w:r>
          </w:p>
        </w:tc>
        <w:tc>
          <w:tcPr>
            <w:tcW w:w="3020" w:type="dxa"/>
            <w:shd w:val="clear" w:color="auto" w:fill="auto"/>
            <w:vAlign w:val="center"/>
          </w:tcPr>
          <w:p w14:paraId="3C374C8B" w14:textId="77777777" w:rsidR="00D9656A" w:rsidRPr="0031592A" w:rsidRDefault="00D9656A" w:rsidP="00214C59">
            <w:r w:rsidRPr="0031592A">
              <w:t>150 Solano Way</w:t>
            </w:r>
          </w:p>
          <w:p w14:paraId="308035E2" w14:textId="77777777" w:rsidR="00D9656A" w:rsidRPr="0031592A" w:rsidRDefault="00D9656A" w:rsidP="00214C59">
            <w:r w:rsidRPr="0031592A">
              <w:t>Martinez, CA 94553</w:t>
            </w:r>
          </w:p>
          <w:p w14:paraId="419FDA38" w14:textId="77777777" w:rsidR="00D9656A" w:rsidRPr="0031592A" w:rsidRDefault="00D9656A" w:rsidP="00214C59">
            <w:r w:rsidRPr="0031592A">
              <w:t>Contra Costa County</w:t>
            </w:r>
          </w:p>
        </w:tc>
        <w:tc>
          <w:tcPr>
            <w:tcW w:w="1054" w:type="dxa"/>
            <w:tcBorders>
              <w:right w:val="single" w:sz="12" w:space="0" w:color="auto"/>
            </w:tcBorders>
            <w:shd w:val="clear" w:color="auto" w:fill="auto"/>
            <w:vAlign w:val="center"/>
          </w:tcPr>
          <w:p w14:paraId="2C837C3F" w14:textId="77777777" w:rsidR="00D9656A" w:rsidRPr="0031592A" w:rsidRDefault="00D9656A" w:rsidP="00214C59">
            <w:pPr>
              <w:jc w:val="center"/>
              <w:rPr>
                <w:color w:val="000000"/>
              </w:rPr>
            </w:pPr>
            <w:r w:rsidRPr="0031592A">
              <w:rPr>
                <w:color w:val="000000"/>
              </w:rPr>
              <w:t>Major</w:t>
            </w:r>
          </w:p>
        </w:tc>
      </w:tr>
      <w:tr w:rsidR="00D9656A" w:rsidRPr="0031592A" w14:paraId="571F7F82" w14:textId="77777777" w:rsidTr="00D9656A">
        <w:trPr>
          <w:cantSplit/>
        </w:trPr>
        <w:tc>
          <w:tcPr>
            <w:tcW w:w="3263" w:type="dxa"/>
            <w:tcBorders>
              <w:left w:val="single" w:sz="12" w:space="0" w:color="auto"/>
              <w:bottom w:val="single" w:sz="12" w:space="0" w:color="auto"/>
            </w:tcBorders>
            <w:shd w:val="clear" w:color="auto" w:fill="auto"/>
            <w:vAlign w:val="center"/>
          </w:tcPr>
          <w:p w14:paraId="4B33ED2C" w14:textId="77777777" w:rsidR="00D9656A" w:rsidRPr="0031592A" w:rsidRDefault="00D9656A" w:rsidP="00214C59">
            <w:pPr>
              <w:rPr>
                <w:rFonts w:eastAsia="Arial Unicode MS"/>
              </w:rPr>
            </w:pPr>
            <w:r w:rsidRPr="0031592A">
              <w:rPr>
                <w:rFonts w:eastAsia="Arial Unicode MS"/>
              </w:rPr>
              <w:t>Valero Refining Company</w:t>
            </w:r>
          </w:p>
        </w:tc>
        <w:tc>
          <w:tcPr>
            <w:tcW w:w="3019" w:type="dxa"/>
            <w:tcBorders>
              <w:bottom w:val="single" w:sz="12" w:space="0" w:color="auto"/>
            </w:tcBorders>
            <w:shd w:val="clear" w:color="auto" w:fill="auto"/>
            <w:vAlign w:val="center"/>
          </w:tcPr>
          <w:p w14:paraId="221E952A" w14:textId="77777777" w:rsidR="00D9656A" w:rsidRPr="0031592A" w:rsidRDefault="00D9656A" w:rsidP="00214C59">
            <w:pPr>
              <w:rPr>
                <w:bCs/>
              </w:rPr>
            </w:pPr>
            <w:r w:rsidRPr="0031592A">
              <w:rPr>
                <w:bCs/>
              </w:rPr>
              <w:t>Valero Benicia Refinery</w:t>
            </w:r>
          </w:p>
        </w:tc>
        <w:tc>
          <w:tcPr>
            <w:tcW w:w="3020" w:type="dxa"/>
            <w:tcBorders>
              <w:bottom w:val="single" w:sz="12" w:space="0" w:color="auto"/>
            </w:tcBorders>
            <w:shd w:val="clear" w:color="auto" w:fill="auto"/>
            <w:vAlign w:val="center"/>
          </w:tcPr>
          <w:p w14:paraId="0A4D407B" w14:textId="77777777" w:rsidR="00D9656A" w:rsidRPr="0031592A" w:rsidRDefault="00D9656A" w:rsidP="00214C59">
            <w:r w:rsidRPr="0031592A">
              <w:t>3400 East Second Street</w:t>
            </w:r>
          </w:p>
          <w:p w14:paraId="50AF6874" w14:textId="77777777" w:rsidR="00D9656A" w:rsidRPr="0031592A" w:rsidRDefault="00D9656A" w:rsidP="00214C59">
            <w:r w:rsidRPr="0031592A">
              <w:t>Benicia, CA 94510-1005</w:t>
            </w:r>
          </w:p>
          <w:p w14:paraId="744705B3" w14:textId="77777777" w:rsidR="00D9656A" w:rsidRPr="0031592A" w:rsidRDefault="00D9656A" w:rsidP="00214C59">
            <w:r w:rsidRPr="0031592A">
              <w:t>Solano County</w:t>
            </w:r>
          </w:p>
        </w:tc>
        <w:tc>
          <w:tcPr>
            <w:tcW w:w="1054" w:type="dxa"/>
            <w:tcBorders>
              <w:bottom w:val="single" w:sz="12" w:space="0" w:color="auto"/>
              <w:right w:val="single" w:sz="12" w:space="0" w:color="auto"/>
            </w:tcBorders>
            <w:shd w:val="clear" w:color="auto" w:fill="auto"/>
            <w:vAlign w:val="center"/>
          </w:tcPr>
          <w:p w14:paraId="63B2A2E1" w14:textId="77777777" w:rsidR="00D9656A" w:rsidRPr="0031592A" w:rsidRDefault="00D9656A" w:rsidP="00214C59">
            <w:pPr>
              <w:jc w:val="center"/>
              <w:rPr>
                <w:color w:val="000000"/>
              </w:rPr>
            </w:pPr>
            <w:r w:rsidRPr="0031592A">
              <w:rPr>
                <w:color w:val="000000"/>
              </w:rPr>
              <w:t>Major</w:t>
            </w:r>
          </w:p>
        </w:tc>
      </w:tr>
    </w:tbl>
    <w:p w14:paraId="2C824EFF" w14:textId="5EC88AD7" w:rsidR="005465D4" w:rsidRPr="008632D9" w:rsidRDefault="005465D4">
      <w:pPr>
        <w:pStyle w:val="blankspacesaftertables"/>
        <w:rPr>
          <w:color w:val="00B0F0"/>
        </w:rPr>
      </w:pPr>
    </w:p>
    <w:p w14:paraId="1E1D4B81" w14:textId="77777777" w:rsidR="000072C3" w:rsidRPr="008F6BB8" w:rsidRDefault="00F878D4" w:rsidP="008F6BB8">
      <w:pPr>
        <w:pStyle w:val="TableHeader1"/>
        <w:jc w:val="center"/>
        <w:rPr>
          <w:rFonts w:ascii="Times New Roman" w:hAnsi="Times New Roman" w:cs="Times New Roman"/>
          <w:color w:val="000000" w:themeColor="text1"/>
          <w:sz w:val="24"/>
          <w:szCs w:val="24"/>
        </w:rPr>
      </w:pPr>
      <w:bookmarkStart w:id="1" w:name="_Toc133309177"/>
      <w:bookmarkStart w:id="2" w:name="_Toc487382086"/>
      <w:r w:rsidRPr="008F6BB8">
        <w:rPr>
          <w:rFonts w:ascii="Times New Roman" w:hAnsi="Times New Roman" w:cs="Times New Roman"/>
          <w:color w:val="000000" w:themeColor="text1"/>
          <w:sz w:val="24"/>
          <w:szCs w:val="24"/>
        </w:rPr>
        <w:t>Table 2</w:t>
      </w:r>
      <w:r w:rsidR="00424E9E" w:rsidRPr="008F6BB8">
        <w:rPr>
          <w:rFonts w:ascii="Times New Roman" w:hAnsi="Times New Roman" w:cs="Times New Roman"/>
          <w:color w:val="000000" w:themeColor="text1"/>
          <w:sz w:val="24"/>
          <w:szCs w:val="24"/>
        </w:rPr>
        <w:t>A</w:t>
      </w:r>
      <w:r w:rsidRPr="008F6BB8">
        <w:rPr>
          <w:rFonts w:ascii="Times New Roman" w:hAnsi="Times New Roman" w:cs="Times New Roman"/>
          <w:color w:val="000000" w:themeColor="text1"/>
          <w:sz w:val="24"/>
          <w:szCs w:val="24"/>
        </w:rPr>
        <w:t>. Discharge Location</w:t>
      </w:r>
      <w:bookmarkEnd w:id="1"/>
      <w:r w:rsidR="008E354A" w:rsidRPr="008F6BB8">
        <w:rPr>
          <w:rFonts w:ascii="Times New Roman" w:hAnsi="Times New Roman" w:cs="Times New Roman"/>
          <w:color w:val="000000" w:themeColor="text1"/>
          <w:sz w:val="24"/>
          <w:szCs w:val="24"/>
        </w:rPr>
        <w:t>s</w:t>
      </w:r>
      <w:bookmarkStart w:id="3" w:name="_Toc133309178"/>
      <w:bookmarkEnd w:id="2"/>
      <w:r w:rsidR="000072C3" w:rsidRPr="008F6BB8">
        <w:rPr>
          <w:color w:val="00B0F0"/>
          <w:sz w:val="24"/>
          <w:szCs w:val="24"/>
        </w:rPr>
        <w:t xml:space="preserve">  </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20"/>
        <w:gridCol w:w="1224"/>
        <w:gridCol w:w="1776"/>
        <w:gridCol w:w="1781"/>
        <w:gridCol w:w="2627"/>
      </w:tblGrid>
      <w:tr w:rsidR="000072C3" w:rsidRPr="000072C3" w14:paraId="602BD26D" w14:textId="77777777" w:rsidTr="002D2F09">
        <w:trPr>
          <w:cantSplit/>
          <w:tblHeader/>
        </w:trPr>
        <w:tc>
          <w:tcPr>
            <w:tcW w:w="3320" w:type="dxa"/>
            <w:tcBorders>
              <w:top w:val="single" w:sz="12" w:space="0" w:color="auto"/>
              <w:left w:val="single" w:sz="12" w:space="0" w:color="auto"/>
              <w:bottom w:val="single" w:sz="12" w:space="0" w:color="auto"/>
            </w:tcBorders>
            <w:shd w:val="clear" w:color="auto" w:fill="auto"/>
            <w:vAlign w:val="center"/>
          </w:tcPr>
          <w:p w14:paraId="64E6568C" w14:textId="77777777" w:rsidR="000072C3" w:rsidRPr="000072C3" w:rsidRDefault="000072C3" w:rsidP="000072C3">
            <w:pPr>
              <w:pStyle w:val="blankspacesaftertables"/>
              <w:jc w:val="center"/>
              <w:rPr>
                <w:b/>
                <w:sz w:val="20"/>
              </w:rPr>
            </w:pPr>
            <w:r w:rsidRPr="000072C3">
              <w:rPr>
                <w:b/>
                <w:sz w:val="20"/>
              </w:rPr>
              <w:t>Discharger</w:t>
            </w:r>
          </w:p>
        </w:tc>
        <w:tc>
          <w:tcPr>
            <w:tcW w:w="1224" w:type="dxa"/>
            <w:tcBorders>
              <w:top w:val="single" w:sz="12" w:space="0" w:color="auto"/>
              <w:bottom w:val="single" w:sz="12" w:space="0" w:color="auto"/>
            </w:tcBorders>
            <w:shd w:val="clear" w:color="auto" w:fill="auto"/>
            <w:vAlign w:val="center"/>
          </w:tcPr>
          <w:p w14:paraId="73932C05" w14:textId="77777777" w:rsidR="000072C3" w:rsidRPr="000072C3" w:rsidRDefault="000072C3" w:rsidP="000072C3">
            <w:pPr>
              <w:pStyle w:val="blankspacesaftertables"/>
              <w:jc w:val="center"/>
              <w:rPr>
                <w:b/>
                <w:sz w:val="20"/>
              </w:rPr>
            </w:pPr>
            <w:r w:rsidRPr="000072C3">
              <w:rPr>
                <w:b/>
                <w:sz w:val="20"/>
                <w:lang w:val="fr-FR"/>
              </w:rPr>
              <w:t>Discharge Point(s)</w:t>
            </w:r>
          </w:p>
        </w:tc>
        <w:tc>
          <w:tcPr>
            <w:tcW w:w="1776" w:type="dxa"/>
            <w:tcBorders>
              <w:top w:val="single" w:sz="12" w:space="0" w:color="auto"/>
              <w:left w:val="single" w:sz="4" w:space="0" w:color="auto"/>
              <w:bottom w:val="single" w:sz="12" w:space="0" w:color="auto"/>
              <w:right w:val="single" w:sz="4" w:space="0" w:color="auto"/>
            </w:tcBorders>
            <w:shd w:val="clear" w:color="auto" w:fill="auto"/>
          </w:tcPr>
          <w:p w14:paraId="700CC2FC" w14:textId="77777777" w:rsidR="000072C3" w:rsidRPr="000072C3" w:rsidRDefault="000072C3" w:rsidP="000072C3">
            <w:pPr>
              <w:pStyle w:val="blankspacesaftertables"/>
              <w:jc w:val="center"/>
              <w:rPr>
                <w:b/>
                <w:sz w:val="20"/>
              </w:rPr>
            </w:pPr>
            <w:r w:rsidRPr="000072C3">
              <w:rPr>
                <w:b/>
                <w:sz w:val="20"/>
                <w:lang w:val="fr-FR"/>
              </w:rPr>
              <w:t>Discharge Point Latitude</w:t>
            </w:r>
            <w:r w:rsidR="00416BA1">
              <w:rPr>
                <w:b/>
                <w:sz w:val="20"/>
                <w:lang w:val="fr-FR"/>
              </w:rPr>
              <w:t xml:space="preserve"> (North)</w:t>
            </w:r>
          </w:p>
        </w:tc>
        <w:tc>
          <w:tcPr>
            <w:tcW w:w="1781" w:type="dxa"/>
            <w:tcBorders>
              <w:top w:val="single" w:sz="12" w:space="0" w:color="auto"/>
              <w:left w:val="single" w:sz="4" w:space="0" w:color="auto"/>
              <w:bottom w:val="single" w:sz="12" w:space="0" w:color="auto"/>
              <w:right w:val="single" w:sz="4" w:space="0" w:color="auto"/>
            </w:tcBorders>
            <w:shd w:val="clear" w:color="auto" w:fill="auto"/>
          </w:tcPr>
          <w:p w14:paraId="34A13176" w14:textId="77777777" w:rsidR="000072C3" w:rsidRPr="000072C3" w:rsidRDefault="000072C3" w:rsidP="000072C3">
            <w:pPr>
              <w:pStyle w:val="blankspacesaftertables"/>
              <w:jc w:val="center"/>
              <w:rPr>
                <w:b/>
                <w:sz w:val="20"/>
              </w:rPr>
            </w:pPr>
            <w:r w:rsidRPr="000072C3">
              <w:rPr>
                <w:b/>
                <w:sz w:val="20"/>
                <w:lang w:val="fr-FR"/>
              </w:rPr>
              <w:t>Discharge Point Longitude</w:t>
            </w:r>
            <w:r w:rsidR="00416BA1">
              <w:rPr>
                <w:b/>
                <w:sz w:val="20"/>
                <w:lang w:val="fr-FR"/>
              </w:rPr>
              <w:t xml:space="preserve"> (West)</w:t>
            </w:r>
          </w:p>
        </w:tc>
        <w:tc>
          <w:tcPr>
            <w:tcW w:w="2627" w:type="dxa"/>
            <w:tcBorders>
              <w:top w:val="single" w:sz="12" w:space="0" w:color="auto"/>
              <w:left w:val="single" w:sz="4" w:space="0" w:color="auto"/>
              <w:bottom w:val="single" w:sz="12" w:space="0" w:color="auto"/>
              <w:right w:val="single" w:sz="12" w:space="0" w:color="auto"/>
            </w:tcBorders>
            <w:shd w:val="clear" w:color="auto" w:fill="auto"/>
            <w:vAlign w:val="center"/>
          </w:tcPr>
          <w:p w14:paraId="26F355B5" w14:textId="77777777" w:rsidR="000072C3" w:rsidRPr="000072C3" w:rsidRDefault="000072C3" w:rsidP="002D2F09">
            <w:pPr>
              <w:pStyle w:val="blankspacesaftertables"/>
              <w:jc w:val="center"/>
              <w:rPr>
                <w:b/>
                <w:sz w:val="20"/>
              </w:rPr>
            </w:pPr>
            <w:r w:rsidRPr="000072C3">
              <w:rPr>
                <w:b/>
                <w:sz w:val="20"/>
              </w:rPr>
              <w:t>Receiving Water</w:t>
            </w:r>
          </w:p>
        </w:tc>
      </w:tr>
      <w:tr w:rsidR="000072C3" w:rsidRPr="000072C3" w14:paraId="7AD91040" w14:textId="77777777" w:rsidTr="00122E10">
        <w:trPr>
          <w:cantSplit/>
          <w:trHeight w:val="113"/>
        </w:trPr>
        <w:tc>
          <w:tcPr>
            <w:tcW w:w="3320" w:type="dxa"/>
            <w:vMerge w:val="restart"/>
            <w:tcBorders>
              <w:top w:val="single" w:sz="12" w:space="0" w:color="auto"/>
              <w:left w:val="single" w:sz="12" w:space="0" w:color="auto"/>
            </w:tcBorders>
            <w:shd w:val="clear" w:color="auto" w:fill="auto"/>
            <w:vAlign w:val="center"/>
          </w:tcPr>
          <w:p w14:paraId="0C3478FE" w14:textId="77777777" w:rsidR="000072C3" w:rsidRPr="000072C3" w:rsidRDefault="000072C3" w:rsidP="000072C3">
            <w:pPr>
              <w:pStyle w:val="blankspacesaftertables"/>
              <w:rPr>
                <w:sz w:val="20"/>
              </w:rPr>
            </w:pPr>
            <w:r w:rsidRPr="000072C3">
              <w:rPr>
                <w:sz w:val="20"/>
              </w:rPr>
              <w:t>American Canyon, City of</w:t>
            </w:r>
          </w:p>
        </w:tc>
        <w:tc>
          <w:tcPr>
            <w:tcW w:w="1224" w:type="dxa"/>
            <w:tcBorders>
              <w:top w:val="single" w:sz="12" w:space="0" w:color="auto"/>
            </w:tcBorders>
            <w:shd w:val="clear" w:color="auto" w:fill="auto"/>
            <w:vAlign w:val="center"/>
          </w:tcPr>
          <w:p w14:paraId="54125022" w14:textId="77777777" w:rsidR="000072C3" w:rsidRPr="000072C3" w:rsidRDefault="000072C3" w:rsidP="000F59C2">
            <w:pPr>
              <w:pStyle w:val="blankspacesaftertables"/>
              <w:jc w:val="center"/>
              <w:rPr>
                <w:sz w:val="20"/>
              </w:rPr>
            </w:pPr>
            <w:r w:rsidRPr="000072C3">
              <w:rPr>
                <w:sz w:val="20"/>
              </w:rPr>
              <w:t>001</w:t>
            </w:r>
          </w:p>
        </w:tc>
        <w:tc>
          <w:tcPr>
            <w:tcW w:w="1776" w:type="dxa"/>
            <w:tcBorders>
              <w:top w:val="single" w:sz="12" w:space="0" w:color="auto"/>
              <w:left w:val="single" w:sz="4" w:space="0" w:color="auto"/>
              <w:right w:val="single" w:sz="4" w:space="0" w:color="auto"/>
            </w:tcBorders>
            <w:shd w:val="clear" w:color="auto" w:fill="auto"/>
            <w:vAlign w:val="center"/>
          </w:tcPr>
          <w:p w14:paraId="5D991A77" w14:textId="77777777" w:rsidR="000072C3" w:rsidRPr="000072C3" w:rsidRDefault="000072C3" w:rsidP="000F59C2">
            <w:pPr>
              <w:pStyle w:val="blankspacesaftertables"/>
              <w:jc w:val="center"/>
              <w:rPr>
                <w:sz w:val="20"/>
              </w:rPr>
            </w:pPr>
            <w:r w:rsidRPr="000072C3">
              <w:rPr>
                <w:sz w:val="20"/>
              </w:rPr>
              <w:t>38.187917</w:t>
            </w:r>
            <w:r w:rsidR="009D3DC7" w:rsidRPr="000072C3">
              <w:rPr>
                <w:sz w:val="20"/>
              </w:rPr>
              <w:t>º</w:t>
            </w:r>
          </w:p>
        </w:tc>
        <w:tc>
          <w:tcPr>
            <w:tcW w:w="1781" w:type="dxa"/>
            <w:tcBorders>
              <w:top w:val="single" w:sz="12" w:space="0" w:color="auto"/>
              <w:left w:val="single" w:sz="4" w:space="0" w:color="auto"/>
              <w:right w:val="single" w:sz="4" w:space="0" w:color="auto"/>
            </w:tcBorders>
            <w:shd w:val="clear" w:color="auto" w:fill="auto"/>
            <w:vAlign w:val="center"/>
          </w:tcPr>
          <w:p w14:paraId="55993992" w14:textId="77777777" w:rsidR="000072C3" w:rsidRPr="000072C3" w:rsidRDefault="000072C3" w:rsidP="000F59C2">
            <w:pPr>
              <w:pStyle w:val="blankspacesaftertables"/>
              <w:jc w:val="center"/>
              <w:rPr>
                <w:sz w:val="20"/>
              </w:rPr>
            </w:pPr>
            <w:r w:rsidRPr="000072C3">
              <w:rPr>
                <w:sz w:val="20"/>
              </w:rPr>
              <w:t>-122.277139</w:t>
            </w:r>
            <w:r w:rsidR="009D3DC7" w:rsidRPr="000072C3">
              <w:rPr>
                <w:sz w:val="20"/>
              </w:rPr>
              <w:t>º</w:t>
            </w:r>
          </w:p>
        </w:tc>
        <w:tc>
          <w:tcPr>
            <w:tcW w:w="2627" w:type="dxa"/>
            <w:tcBorders>
              <w:top w:val="single" w:sz="12" w:space="0" w:color="auto"/>
              <w:left w:val="single" w:sz="4" w:space="0" w:color="auto"/>
              <w:right w:val="single" w:sz="12" w:space="0" w:color="auto"/>
            </w:tcBorders>
            <w:shd w:val="clear" w:color="auto" w:fill="auto"/>
            <w:vAlign w:val="center"/>
          </w:tcPr>
          <w:p w14:paraId="724276EB" w14:textId="77777777" w:rsidR="000072C3" w:rsidRPr="000072C3" w:rsidRDefault="000072C3" w:rsidP="000F59C2">
            <w:pPr>
              <w:pStyle w:val="blankspacesaftertables"/>
              <w:jc w:val="center"/>
              <w:rPr>
                <w:sz w:val="20"/>
              </w:rPr>
            </w:pPr>
            <w:r w:rsidRPr="000072C3">
              <w:rPr>
                <w:sz w:val="20"/>
              </w:rPr>
              <w:t>North Slough</w:t>
            </w:r>
          </w:p>
        </w:tc>
      </w:tr>
      <w:tr w:rsidR="000072C3" w:rsidRPr="000072C3" w14:paraId="3B5EDA19" w14:textId="77777777" w:rsidTr="00122E10">
        <w:trPr>
          <w:cantSplit/>
          <w:trHeight w:val="112"/>
        </w:trPr>
        <w:tc>
          <w:tcPr>
            <w:tcW w:w="3320" w:type="dxa"/>
            <w:vMerge/>
            <w:tcBorders>
              <w:left w:val="single" w:sz="12" w:space="0" w:color="auto"/>
            </w:tcBorders>
            <w:shd w:val="clear" w:color="auto" w:fill="auto"/>
            <w:vAlign w:val="center"/>
          </w:tcPr>
          <w:p w14:paraId="74516341" w14:textId="77777777" w:rsidR="000072C3" w:rsidRPr="000072C3" w:rsidRDefault="000072C3" w:rsidP="000072C3">
            <w:pPr>
              <w:pStyle w:val="blankspacesaftertables"/>
              <w:rPr>
                <w:sz w:val="20"/>
              </w:rPr>
            </w:pPr>
          </w:p>
        </w:tc>
        <w:tc>
          <w:tcPr>
            <w:tcW w:w="1224" w:type="dxa"/>
            <w:tcBorders>
              <w:top w:val="single" w:sz="4" w:space="0" w:color="auto"/>
            </w:tcBorders>
            <w:shd w:val="clear" w:color="auto" w:fill="auto"/>
            <w:vAlign w:val="center"/>
          </w:tcPr>
          <w:p w14:paraId="7159A621" w14:textId="77777777" w:rsidR="000072C3" w:rsidRPr="000072C3" w:rsidRDefault="000072C3" w:rsidP="000F59C2">
            <w:pPr>
              <w:pStyle w:val="blankspacesaftertables"/>
              <w:jc w:val="center"/>
              <w:rPr>
                <w:sz w:val="20"/>
              </w:rPr>
            </w:pPr>
            <w:r w:rsidRPr="000072C3">
              <w:rPr>
                <w:sz w:val="20"/>
              </w:rPr>
              <w:t>003</w:t>
            </w:r>
          </w:p>
        </w:tc>
        <w:tc>
          <w:tcPr>
            <w:tcW w:w="1776" w:type="dxa"/>
            <w:tcBorders>
              <w:left w:val="single" w:sz="4" w:space="0" w:color="auto"/>
              <w:right w:val="single" w:sz="4" w:space="0" w:color="auto"/>
            </w:tcBorders>
            <w:shd w:val="clear" w:color="auto" w:fill="auto"/>
            <w:vAlign w:val="center"/>
          </w:tcPr>
          <w:p w14:paraId="17472106" w14:textId="77777777" w:rsidR="000072C3" w:rsidRPr="000072C3" w:rsidRDefault="00416BA1" w:rsidP="000F59C2">
            <w:pPr>
              <w:pStyle w:val="blankspacesaftertables"/>
              <w:jc w:val="center"/>
              <w:rPr>
                <w:sz w:val="20"/>
              </w:rPr>
            </w:pPr>
            <w:r w:rsidRPr="00416BA1">
              <w:rPr>
                <w:sz w:val="20"/>
              </w:rPr>
              <w:t>38.1849</w:t>
            </w:r>
            <w:r>
              <w:rPr>
                <w:sz w:val="20"/>
              </w:rPr>
              <w:t>17</w:t>
            </w:r>
            <w:r w:rsidR="009D3DC7" w:rsidRPr="000072C3">
              <w:rPr>
                <w:sz w:val="20"/>
              </w:rPr>
              <w:t>º</w:t>
            </w:r>
          </w:p>
        </w:tc>
        <w:tc>
          <w:tcPr>
            <w:tcW w:w="1781" w:type="dxa"/>
            <w:tcBorders>
              <w:left w:val="single" w:sz="4" w:space="0" w:color="auto"/>
              <w:right w:val="single" w:sz="4" w:space="0" w:color="auto"/>
            </w:tcBorders>
            <w:shd w:val="clear" w:color="auto" w:fill="auto"/>
            <w:vAlign w:val="center"/>
          </w:tcPr>
          <w:p w14:paraId="1ECA9F59" w14:textId="77777777" w:rsidR="000072C3" w:rsidRPr="000072C3" w:rsidRDefault="00416BA1" w:rsidP="000F59C2">
            <w:pPr>
              <w:pStyle w:val="blankspacesaftertables"/>
              <w:jc w:val="center"/>
              <w:rPr>
                <w:sz w:val="20"/>
              </w:rPr>
            </w:pPr>
            <w:r w:rsidRPr="00416BA1">
              <w:rPr>
                <w:sz w:val="20"/>
              </w:rPr>
              <w:t>-122.2791</w:t>
            </w:r>
            <w:r>
              <w:rPr>
                <w:sz w:val="20"/>
              </w:rPr>
              <w:t>11</w:t>
            </w:r>
            <w:r w:rsidR="009D3DC7" w:rsidRPr="000072C3">
              <w:rPr>
                <w:sz w:val="20"/>
              </w:rPr>
              <w:t>º</w:t>
            </w:r>
          </w:p>
        </w:tc>
        <w:tc>
          <w:tcPr>
            <w:tcW w:w="2627" w:type="dxa"/>
            <w:tcBorders>
              <w:left w:val="single" w:sz="4" w:space="0" w:color="auto"/>
              <w:right w:val="single" w:sz="12" w:space="0" w:color="auto"/>
            </w:tcBorders>
            <w:shd w:val="clear" w:color="auto" w:fill="auto"/>
            <w:vAlign w:val="center"/>
          </w:tcPr>
          <w:p w14:paraId="5E4FEDB3" w14:textId="77777777" w:rsidR="000072C3" w:rsidRPr="000072C3" w:rsidRDefault="000072C3" w:rsidP="000F59C2">
            <w:pPr>
              <w:pStyle w:val="blankspacesaftertables"/>
              <w:jc w:val="center"/>
              <w:rPr>
                <w:sz w:val="20"/>
              </w:rPr>
            </w:pPr>
            <w:r w:rsidRPr="000072C3">
              <w:rPr>
                <w:sz w:val="20"/>
              </w:rPr>
              <w:t>Constructed freshwater wetlands</w:t>
            </w:r>
          </w:p>
        </w:tc>
      </w:tr>
      <w:tr w:rsidR="000072C3" w:rsidRPr="000072C3" w14:paraId="7D117BA1" w14:textId="77777777" w:rsidTr="00122E10">
        <w:trPr>
          <w:cantSplit/>
        </w:trPr>
        <w:tc>
          <w:tcPr>
            <w:tcW w:w="3320" w:type="dxa"/>
            <w:tcBorders>
              <w:left w:val="single" w:sz="12" w:space="0" w:color="auto"/>
            </w:tcBorders>
            <w:shd w:val="clear" w:color="auto" w:fill="auto"/>
            <w:vAlign w:val="center"/>
          </w:tcPr>
          <w:p w14:paraId="40E1C467" w14:textId="77777777" w:rsidR="000072C3" w:rsidRPr="000072C3" w:rsidRDefault="000072C3" w:rsidP="000072C3">
            <w:pPr>
              <w:pStyle w:val="blankspacesaftertables"/>
              <w:rPr>
                <w:sz w:val="20"/>
              </w:rPr>
            </w:pPr>
            <w:r w:rsidRPr="000072C3">
              <w:rPr>
                <w:sz w:val="20"/>
              </w:rPr>
              <w:t>Benicia, City of</w:t>
            </w:r>
          </w:p>
        </w:tc>
        <w:tc>
          <w:tcPr>
            <w:tcW w:w="1224" w:type="dxa"/>
            <w:shd w:val="clear" w:color="auto" w:fill="auto"/>
            <w:vAlign w:val="center"/>
          </w:tcPr>
          <w:p w14:paraId="30387CA9" w14:textId="77777777" w:rsidR="000072C3" w:rsidRPr="000072C3" w:rsidRDefault="000072C3" w:rsidP="000F59C2">
            <w:pPr>
              <w:pStyle w:val="blankspacesaftertables"/>
              <w:jc w:val="center"/>
              <w:rPr>
                <w:sz w:val="20"/>
              </w:rPr>
            </w:pPr>
            <w:r w:rsidRPr="000072C3">
              <w:rPr>
                <w:sz w:val="20"/>
              </w:rPr>
              <w:t>001</w:t>
            </w:r>
          </w:p>
        </w:tc>
        <w:tc>
          <w:tcPr>
            <w:tcW w:w="1776" w:type="dxa"/>
            <w:tcBorders>
              <w:left w:val="single" w:sz="4" w:space="0" w:color="auto"/>
              <w:right w:val="single" w:sz="4" w:space="0" w:color="auto"/>
            </w:tcBorders>
            <w:shd w:val="clear" w:color="auto" w:fill="auto"/>
            <w:vAlign w:val="center"/>
          </w:tcPr>
          <w:p w14:paraId="02131FB0" w14:textId="77777777" w:rsidR="000072C3" w:rsidRPr="000072C3" w:rsidRDefault="00416BA1" w:rsidP="000F59C2">
            <w:pPr>
              <w:pStyle w:val="blankspacesaftertables"/>
              <w:jc w:val="center"/>
              <w:rPr>
                <w:sz w:val="20"/>
              </w:rPr>
            </w:pPr>
            <w:r>
              <w:rPr>
                <w:sz w:val="20"/>
              </w:rPr>
              <w:t>38.04</w:t>
            </w:r>
            <w:r>
              <w:rPr>
                <w:rFonts w:ascii="TimesNewRomanPSMT" w:hAnsi="TimesNewRomanPSMT" w:cs="TimesNewRomanPSMT"/>
                <w:sz w:val="20"/>
              </w:rPr>
              <w:t>1667</w:t>
            </w:r>
            <w:r w:rsidR="009D3DC7" w:rsidRPr="000072C3">
              <w:rPr>
                <w:sz w:val="20"/>
              </w:rPr>
              <w:t>º</w:t>
            </w:r>
          </w:p>
        </w:tc>
        <w:tc>
          <w:tcPr>
            <w:tcW w:w="1781" w:type="dxa"/>
            <w:tcBorders>
              <w:left w:val="single" w:sz="4" w:space="0" w:color="auto"/>
              <w:right w:val="single" w:sz="4" w:space="0" w:color="auto"/>
            </w:tcBorders>
            <w:shd w:val="clear" w:color="auto" w:fill="auto"/>
            <w:vAlign w:val="center"/>
          </w:tcPr>
          <w:p w14:paraId="32B35092" w14:textId="77777777" w:rsidR="000072C3" w:rsidRPr="000072C3" w:rsidRDefault="00416BA1" w:rsidP="000F59C2">
            <w:pPr>
              <w:pStyle w:val="blankspacesaftertables"/>
              <w:jc w:val="center"/>
              <w:rPr>
                <w:sz w:val="20"/>
              </w:rPr>
            </w:pPr>
            <w:r w:rsidRPr="00416BA1">
              <w:rPr>
                <w:sz w:val="20"/>
              </w:rPr>
              <w:t>-122.27911</w:t>
            </w:r>
            <w:r>
              <w:rPr>
                <w:rFonts w:ascii="TimesNewRomanPSMT" w:hAnsi="TimesNewRomanPSMT" w:cs="TimesNewRomanPSMT"/>
                <w:sz w:val="20"/>
              </w:rPr>
              <w:t>1</w:t>
            </w:r>
            <w:r w:rsidR="009D3DC7" w:rsidRPr="000072C3">
              <w:rPr>
                <w:sz w:val="20"/>
              </w:rPr>
              <w:t>º</w:t>
            </w:r>
          </w:p>
        </w:tc>
        <w:tc>
          <w:tcPr>
            <w:tcW w:w="2627" w:type="dxa"/>
            <w:tcBorders>
              <w:left w:val="single" w:sz="4" w:space="0" w:color="auto"/>
              <w:right w:val="single" w:sz="12" w:space="0" w:color="auto"/>
            </w:tcBorders>
            <w:shd w:val="clear" w:color="auto" w:fill="auto"/>
            <w:vAlign w:val="center"/>
          </w:tcPr>
          <w:p w14:paraId="2426BC45" w14:textId="77777777" w:rsidR="000072C3" w:rsidRPr="000072C3" w:rsidRDefault="000072C3" w:rsidP="000F59C2">
            <w:pPr>
              <w:pStyle w:val="blankspacesaftertables"/>
              <w:jc w:val="center"/>
              <w:rPr>
                <w:sz w:val="20"/>
              </w:rPr>
            </w:pPr>
            <w:r w:rsidRPr="000072C3">
              <w:rPr>
                <w:sz w:val="20"/>
              </w:rPr>
              <w:t>Carquinez Strait</w:t>
            </w:r>
          </w:p>
        </w:tc>
      </w:tr>
      <w:tr w:rsidR="000072C3" w:rsidRPr="000072C3" w14:paraId="36CCCFA5" w14:textId="77777777" w:rsidTr="00122E10">
        <w:trPr>
          <w:cantSplit/>
        </w:trPr>
        <w:tc>
          <w:tcPr>
            <w:tcW w:w="3320" w:type="dxa"/>
            <w:tcBorders>
              <w:left w:val="single" w:sz="12" w:space="0" w:color="auto"/>
            </w:tcBorders>
            <w:shd w:val="clear" w:color="auto" w:fill="auto"/>
            <w:vAlign w:val="center"/>
          </w:tcPr>
          <w:p w14:paraId="22C0C427" w14:textId="77777777" w:rsidR="000072C3" w:rsidRPr="000072C3" w:rsidRDefault="000072C3" w:rsidP="000072C3">
            <w:pPr>
              <w:pStyle w:val="blankspacesaftertables"/>
              <w:rPr>
                <w:sz w:val="20"/>
              </w:rPr>
            </w:pPr>
            <w:r w:rsidRPr="000072C3">
              <w:rPr>
                <w:sz w:val="20"/>
              </w:rPr>
              <w:t>Burlingame, City of</w:t>
            </w:r>
          </w:p>
        </w:tc>
        <w:tc>
          <w:tcPr>
            <w:tcW w:w="1224" w:type="dxa"/>
            <w:shd w:val="clear" w:color="auto" w:fill="auto"/>
            <w:vAlign w:val="center"/>
          </w:tcPr>
          <w:p w14:paraId="5831DEF6" w14:textId="77777777" w:rsidR="000072C3" w:rsidRPr="000072C3" w:rsidRDefault="000072C3" w:rsidP="000F59C2">
            <w:pPr>
              <w:pStyle w:val="blankspacesaftertables"/>
              <w:jc w:val="center"/>
              <w:rPr>
                <w:sz w:val="20"/>
                <w:vertAlign w:val="superscript"/>
              </w:rPr>
            </w:pPr>
            <w:r w:rsidRPr="000072C3">
              <w:rPr>
                <w:sz w:val="20"/>
              </w:rPr>
              <w:t>002</w:t>
            </w:r>
            <w:r w:rsidR="003A67DC">
              <w:rPr>
                <w:sz w:val="20"/>
                <w:vertAlign w:val="superscript"/>
              </w:rPr>
              <w:t>[</w:t>
            </w:r>
            <w:r w:rsidR="009D3DC7">
              <w:rPr>
                <w:sz w:val="20"/>
                <w:vertAlign w:val="superscript"/>
              </w:rPr>
              <w:t>1</w:t>
            </w:r>
            <w:r w:rsidR="003A67DC">
              <w:rPr>
                <w:sz w:val="20"/>
                <w:vertAlign w:val="superscript"/>
              </w:rPr>
              <w:t>]</w:t>
            </w:r>
          </w:p>
        </w:tc>
        <w:tc>
          <w:tcPr>
            <w:tcW w:w="1776" w:type="dxa"/>
            <w:tcBorders>
              <w:left w:val="single" w:sz="4" w:space="0" w:color="auto"/>
              <w:right w:val="single" w:sz="4" w:space="0" w:color="auto"/>
            </w:tcBorders>
            <w:shd w:val="clear" w:color="auto" w:fill="auto"/>
            <w:vAlign w:val="center"/>
          </w:tcPr>
          <w:p w14:paraId="0C43788F" w14:textId="77777777" w:rsidR="000072C3" w:rsidRPr="000072C3" w:rsidRDefault="009D3DC7" w:rsidP="000F59C2">
            <w:pPr>
              <w:pStyle w:val="blankspacesaftertables"/>
              <w:jc w:val="center"/>
              <w:rPr>
                <w:sz w:val="20"/>
              </w:rPr>
            </w:pPr>
            <w:r w:rsidRPr="009D3DC7">
              <w:rPr>
                <w:sz w:val="20"/>
              </w:rPr>
              <w:t>37.665278</w:t>
            </w:r>
            <w:r w:rsidRPr="000072C3">
              <w:rPr>
                <w:sz w:val="20"/>
              </w:rPr>
              <w:t>º</w:t>
            </w:r>
          </w:p>
        </w:tc>
        <w:tc>
          <w:tcPr>
            <w:tcW w:w="1781" w:type="dxa"/>
            <w:tcBorders>
              <w:left w:val="single" w:sz="4" w:space="0" w:color="auto"/>
              <w:right w:val="single" w:sz="4" w:space="0" w:color="auto"/>
            </w:tcBorders>
            <w:shd w:val="clear" w:color="auto" w:fill="auto"/>
            <w:vAlign w:val="center"/>
          </w:tcPr>
          <w:p w14:paraId="1374BCBA" w14:textId="77777777" w:rsidR="000072C3" w:rsidRPr="000072C3" w:rsidRDefault="009D3DC7" w:rsidP="000F59C2">
            <w:pPr>
              <w:pStyle w:val="blankspacesaftertables"/>
              <w:jc w:val="center"/>
              <w:rPr>
                <w:sz w:val="20"/>
              </w:rPr>
            </w:pPr>
            <w:r w:rsidRPr="009D3DC7">
              <w:rPr>
                <w:sz w:val="20"/>
              </w:rPr>
              <w:t>-122.361389</w:t>
            </w:r>
            <w:r w:rsidRPr="000072C3">
              <w:rPr>
                <w:sz w:val="20"/>
              </w:rPr>
              <w:t>º</w:t>
            </w:r>
          </w:p>
        </w:tc>
        <w:tc>
          <w:tcPr>
            <w:tcW w:w="2627" w:type="dxa"/>
            <w:tcBorders>
              <w:left w:val="single" w:sz="4" w:space="0" w:color="auto"/>
              <w:right w:val="single" w:sz="12" w:space="0" w:color="auto"/>
            </w:tcBorders>
            <w:shd w:val="clear" w:color="auto" w:fill="auto"/>
            <w:vAlign w:val="center"/>
          </w:tcPr>
          <w:p w14:paraId="0078D695" w14:textId="77777777" w:rsidR="000072C3" w:rsidRPr="000072C3" w:rsidRDefault="000072C3" w:rsidP="000F59C2">
            <w:pPr>
              <w:pStyle w:val="blankspacesaftertables"/>
              <w:jc w:val="center"/>
              <w:rPr>
                <w:sz w:val="20"/>
              </w:rPr>
            </w:pPr>
            <w:r w:rsidRPr="000072C3">
              <w:rPr>
                <w:sz w:val="20"/>
              </w:rPr>
              <w:t>Lower San Francisco Bay</w:t>
            </w:r>
          </w:p>
        </w:tc>
      </w:tr>
      <w:tr w:rsidR="000F59C2" w:rsidRPr="000072C3" w14:paraId="76E49088" w14:textId="77777777" w:rsidTr="000F59C2">
        <w:trPr>
          <w:cantSplit/>
          <w:trHeight w:val="113"/>
        </w:trPr>
        <w:tc>
          <w:tcPr>
            <w:tcW w:w="3320" w:type="dxa"/>
            <w:vMerge w:val="restart"/>
            <w:tcBorders>
              <w:left w:val="single" w:sz="12" w:space="0" w:color="auto"/>
            </w:tcBorders>
            <w:shd w:val="clear" w:color="auto" w:fill="auto"/>
            <w:vAlign w:val="center"/>
          </w:tcPr>
          <w:p w14:paraId="6A46CBA6" w14:textId="77777777" w:rsidR="000F59C2" w:rsidRPr="000072C3" w:rsidRDefault="000F59C2" w:rsidP="000F59C2">
            <w:pPr>
              <w:pStyle w:val="blankspacesaftertables"/>
              <w:rPr>
                <w:sz w:val="20"/>
              </w:rPr>
            </w:pPr>
            <w:r w:rsidRPr="000072C3">
              <w:rPr>
                <w:sz w:val="20"/>
              </w:rPr>
              <w:t>Calistoga, City of</w:t>
            </w:r>
          </w:p>
        </w:tc>
        <w:tc>
          <w:tcPr>
            <w:tcW w:w="1224" w:type="dxa"/>
            <w:shd w:val="clear" w:color="auto" w:fill="auto"/>
            <w:vAlign w:val="center"/>
          </w:tcPr>
          <w:p w14:paraId="38FF9B63" w14:textId="77777777" w:rsidR="000F59C2" w:rsidRPr="000072C3" w:rsidRDefault="000F59C2" w:rsidP="000F59C2">
            <w:pPr>
              <w:pStyle w:val="blankspacesaftertables"/>
              <w:jc w:val="center"/>
              <w:rPr>
                <w:sz w:val="20"/>
              </w:rPr>
            </w:pPr>
            <w:r w:rsidRPr="000072C3">
              <w:rPr>
                <w:sz w:val="20"/>
              </w:rPr>
              <w:t>001</w:t>
            </w:r>
          </w:p>
        </w:tc>
        <w:tc>
          <w:tcPr>
            <w:tcW w:w="1776" w:type="dxa"/>
            <w:tcBorders>
              <w:left w:val="single" w:sz="4" w:space="0" w:color="auto"/>
              <w:right w:val="single" w:sz="4" w:space="0" w:color="auto"/>
            </w:tcBorders>
            <w:shd w:val="clear" w:color="auto" w:fill="auto"/>
            <w:vAlign w:val="center"/>
          </w:tcPr>
          <w:p w14:paraId="40F8F703" w14:textId="77777777" w:rsidR="000F59C2" w:rsidRPr="000072C3" w:rsidRDefault="000F59C2" w:rsidP="000F59C2">
            <w:pPr>
              <w:pStyle w:val="blankspacesaftertables"/>
              <w:jc w:val="center"/>
              <w:rPr>
                <w:sz w:val="20"/>
              </w:rPr>
            </w:pPr>
            <w:r w:rsidRPr="000F59C2">
              <w:rPr>
                <w:sz w:val="20"/>
              </w:rPr>
              <w:t>38.559444</w:t>
            </w:r>
            <w:r w:rsidRPr="000072C3">
              <w:rPr>
                <w:sz w:val="20"/>
              </w:rPr>
              <w:t xml:space="preserve"> º</w:t>
            </w:r>
          </w:p>
        </w:tc>
        <w:tc>
          <w:tcPr>
            <w:tcW w:w="1781" w:type="dxa"/>
            <w:tcBorders>
              <w:left w:val="single" w:sz="4" w:space="0" w:color="auto"/>
              <w:right w:val="single" w:sz="4" w:space="0" w:color="auto"/>
            </w:tcBorders>
            <w:shd w:val="clear" w:color="auto" w:fill="auto"/>
            <w:vAlign w:val="center"/>
          </w:tcPr>
          <w:p w14:paraId="2A2903F6" w14:textId="77777777" w:rsidR="000F59C2" w:rsidRPr="000072C3" w:rsidRDefault="000F59C2" w:rsidP="000F59C2">
            <w:pPr>
              <w:pStyle w:val="blankspacesaftertables"/>
              <w:jc w:val="center"/>
              <w:rPr>
                <w:sz w:val="20"/>
              </w:rPr>
            </w:pPr>
            <w:r w:rsidRPr="000F59C2">
              <w:rPr>
                <w:sz w:val="20"/>
              </w:rPr>
              <w:t>-122.557778</w:t>
            </w:r>
            <w:r w:rsidRPr="000072C3">
              <w:rPr>
                <w:sz w:val="20"/>
              </w:rPr>
              <w:t xml:space="preserve"> º</w:t>
            </w:r>
          </w:p>
        </w:tc>
        <w:tc>
          <w:tcPr>
            <w:tcW w:w="2627" w:type="dxa"/>
            <w:tcBorders>
              <w:left w:val="single" w:sz="4" w:space="0" w:color="auto"/>
              <w:right w:val="single" w:sz="12" w:space="0" w:color="auto"/>
            </w:tcBorders>
            <w:shd w:val="clear" w:color="auto" w:fill="auto"/>
            <w:vAlign w:val="center"/>
          </w:tcPr>
          <w:p w14:paraId="0289ADFE" w14:textId="77777777" w:rsidR="000F59C2" w:rsidRPr="000072C3" w:rsidRDefault="000F59C2" w:rsidP="000F59C2">
            <w:pPr>
              <w:pStyle w:val="blankspacesaftertables"/>
              <w:jc w:val="center"/>
              <w:rPr>
                <w:sz w:val="20"/>
              </w:rPr>
            </w:pPr>
            <w:r w:rsidRPr="000072C3">
              <w:rPr>
                <w:sz w:val="20"/>
              </w:rPr>
              <w:t>Napa River</w:t>
            </w:r>
          </w:p>
        </w:tc>
      </w:tr>
      <w:tr w:rsidR="000F59C2" w:rsidRPr="000072C3" w14:paraId="0BEE441B" w14:textId="77777777" w:rsidTr="00122E10">
        <w:trPr>
          <w:cantSplit/>
          <w:trHeight w:val="112"/>
        </w:trPr>
        <w:tc>
          <w:tcPr>
            <w:tcW w:w="3320" w:type="dxa"/>
            <w:vMerge/>
            <w:tcBorders>
              <w:left w:val="single" w:sz="12" w:space="0" w:color="auto"/>
            </w:tcBorders>
            <w:shd w:val="clear" w:color="auto" w:fill="auto"/>
            <w:vAlign w:val="center"/>
          </w:tcPr>
          <w:p w14:paraId="3989B881" w14:textId="77777777" w:rsidR="000F59C2" w:rsidRPr="000072C3" w:rsidRDefault="000F59C2" w:rsidP="000072C3">
            <w:pPr>
              <w:pStyle w:val="blankspacesaftertables"/>
              <w:rPr>
                <w:sz w:val="20"/>
              </w:rPr>
            </w:pPr>
          </w:p>
        </w:tc>
        <w:tc>
          <w:tcPr>
            <w:tcW w:w="1224" w:type="dxa"/>
            <w:shd w:val="clear" w:color="auto" w:fill="auto"/>
            <w:vAlign w:val="center"/>
          </w:tcPr>
          <w:p w14:paraId="73780A72" w14:textId="77777777" w:rsidR="000F59C2" w:rsidRPr="000072C3" w:rsidRDefault="000F59C2" w:rsidP="000F59C2">
            <w:pPr>
              <w:pStyle w:val="blankspacesaftertables"/>
              <w:jc w:val="center"/>
              <w:rPr>
                <w:sz w:val="20"/>
              </w:rPr>
            </w:pPr>
            <w:r w:rsidRPr="000072C3">
              <w:rPr>
                <w:sz w:val="20"/>
              </w:rPr>
              <w:t>002</w:t>
            </w:r>
          </w:p>
        </w:tc>
        <w:tc>
          <w:tcPr>
            <w:tcW w:w="1776" w:type="dxa"/>
            <w:tcBorders>
              <w:left w:val="single" w:sz="4" w:space="0" w:color="auto"/>
              <w:right w:val="single" w:sz="4" w:space="0" w:color="auto"/>
            </w:tcBorders>
            <w:shd w:val="clear" w:color="auto" w:fill="auto"/>
            <w:vAlign w:val="center"/>
          </w:tcPr>
          <w:p w14:paraId="5F35B298" w14:textId="77777777" w:rsidR="000F59C2" w:rsidRPr="000072C3" w:rsidRDefault="000F59C2" w:rsidP="000F59C2">
            <w:pPr>
              <w:pStyle w:val="blankspacesaftertables"/>
              <w:jc w:val="center"/>
              <w:rPr>
                <w:sz w:val="20"/>
              </w:rPr>
            </w:pPr>
            <w:r w:rsidRPr="000F59C2">
              <w:rPr>
                <w:sz w:val="20"/>
              </w:rPr>
              <w:t>38.570278</w:t>
            </w:r>
            <w:r w:rsidRPr="000072C3">
              <w:rPr>
                <w:sz w:val="20"/>
              </w:rPr>
              <w:t>º</w:t>
            </w:r>
          </w:p>
        </w:tc>
        <w:tc>
          <w:tcPr>
            <w:tcW w:w="1781" w:type="dxa"/>
            <w:tcBorders>
              <w:left w:val="single" w:sz="4" w:space="0" w:color="auto"/>
              <w:right w:val="single" w:sz="4" w:space="0" w:color="auto"/>
            </w:tcBorders>
            <w:shd w:val="clear" w:color="auto" w:fill="auto"/>
            <w:vAlign w:val="center"/>
          </w:tcPr>
          <w:p w14:paraId="2A1162BD" w14:textId="77777777" w:rsidR="000F59C2" w:rsidRPr="000072C3" w:rsidRDefault="000F59C2" w:rsidP="000F59C2">
            <w:pPr>
              <w:pStyle w:val="blankspacesaftertables"/>
              <w:jc w:val="center"/>
              <w:rPr>
                <w:sz w:val="20"/>
              </w:rPr>
            </w:pPr>
            <w:r w:rsidRPr="000F59C2">
              <w:rPr>
                <w:sz w:val="20"/>
              </w:rPr>
              <w:t>-122.561111</w:t>
            </w:r>
            <w:r w:rsidRPr="000072C3">
              <w:rPr>
                <w:sz w:val="20"/>
              </w:rPr>
              <w:t>º</w:t>
            </w:r>
          </w:p>
        </w:tc>
        <w:tc>
          <w:tcPr>
            <w:tcW w:w="2627" w:type="dxa"/>
            <w:tcBorders>
              <w:left w:val="single" w:sz="4" w:space="0" w:color="auto"/>
              <w:right w:val="single" w:sz="12" w:space="0" w:color="auto"/>
            </w:tcBorders>
            <w:shd w:val="clear" w:color="auto" w:fill="auto"/>
            <w:vAlign w:val="center"/>
          </w:tcPr>
          <w:p w14:paraId="7805A740" w14:textId="77777777" w:rsidR="000F59C2" w:rsidRPr="000072C3" w:rsidRDefault="000F59C2" w:rsidP="000F59C2">
            <w:pPr>
              <w:pStyle w:val="blankspacesaftertables"/>
              <w:jc w:val="center"/>
              <w:rPr>
                <w:sz w:val="20"/>
              </w:rPr>
            </w:pPr>
            <w:r w:rsidRPr="000072C3">
              <w:rPr>
                <w:sz w:val="20"/>
              </w:rPr>
              <w:t>Napa River</w:t>
            </w:r>
          </w:p>
        </w:tc>
      </w:tr>
      <w:tr w:rsidR="000F59C2" w:rsidRPr="000072C3" w14:paraId="2CCEF5C5" w14:textId="77777777" w:rsidTr="00122E10">
        <w:trPr>
          <w:cantSplit/>
          <w:trHeight w:val="112"/>
        </w:trPr>
        <w:tc>
          <w:tcPr>
            <w:tcW w:w="3320" w:type="dxa"/>
            <w:vMerge/>
            <w:tcBorders>
              <w:left w:val="single" w:sz="12" w:space="0" w:color="auto"/>
            </w:tcBorders>
            <w:shd w:val="clear" w:color="auto" w:fill="auto"/>
            <w:vAlign w:val="center"/>
          </w:tcPr>
          <w:p w14:paraId="4EB76B0B" w14:textId="77777777" w:rsidR="000F59C2" w:rsidRPr="000072C3" w:rsidRDefault="000F59C2" w:rsidP="000072C3">
            <w:pPr>
              <w:pStyle w:val="blankspacesaftertables"/>
              <w:rPr>
                <w:sz w:val="20"/>
              </w:rPr>
            </w:pPr>
          </w:p>
        </w:tc>
        <w:tc>
          <w:tcPr>
            <w:tcW w:w="1224" w:type="dxa"/>
            <w:shd w:val="clear" w:color="auto" w:fill="auto"/>
            <w:vAlign w:val="center"/>
          </w:tcPr>
          <w:p w14:paraId="6D92576A" w14:textId="77777777" w:rsidR="000F59C2" w:rsidRPr="000072C3" w:rsidRDefault="000F59C2" w:rsidP="000F59C2">
            <w:pPr>
              <w:pStyle w:val="blankspacesaftertables"/>
              <w:jc w:val="center"/>
              <w:rPr>
                <w:sz w:val="20"/>
              </w:rPr>
            </w:pPr>
            <w:r>
              <w:rPr>
                <w:sz w:val="20"/>
              </w:rPr>
              <w:t>003</w:t>
            </w:r>
          </w:p>
        </w:tc>
        <w:tc>
          <w:tcPr>
            <w:tcW w:w="1776" w:type="dxa"/>
            <w:tcBorders>
              <w:left w:val="single" w:sz="4" w:space="0" w:color="auto"/>
              <w:right w:val="single" w:sz="4" w:space="0" w:color="auto"/>
            </w:tcBorders>
            <w:shd w:val="clear" w:color="auto" w:fill="auto"/>
            <w:vAlign w:val="center"/>
          </w:tcPr>
          <w:p w14:paraId="22307638" w14:textId="77777777" w:rsidR="000F59C2" w:rsidRPr="000072C3" w:rsidRDefault="000F59C2" w:rsidP="000F59C2">
            <w:pPr>
              <w:pStyle w:val="blankspacesaftertables"/>
              <w:jc w:val="center"/>
              <w:rPr>
                <w:sz w:val="20"/>
              </w:rPr>
            </w:pPr>
            <w:r w:rsidRPr="000F59C2">
              <w:rPr>
                <w:sz w:val="20"/>
              </w:rPr>
              <w:t>38.569341</w:t>
            </w:r>
            <w:r w:rsidRPr="000072C3">
              <w:rPr>
                <w:sz w:val="20"/>
              </w:rPr>
              <w:t>º</w:t>
            </w:r>
          </w:p>
        </w:tc>
        <w:tc>
          <w:tcPr>
            <w:tcW w:w="1781" w:type="dxa"/>
            <w:tcBorders>
              <w:left w:val="single" w:sz="4" w:space="0" w:color="auto"/>
              <w:right w:val="single" w:sz="4" w:space="0" w:color="auto"/>
            </w:tcBorders>
            <w:shd w:val="clear" w:color="auto" w:fill="auto"/>
            <w:vAlign w:val="center"/>
          </w:tcPr>
          <w:p w14:paraId="38340DCC" w14:textId="77777777" w:rsidR="000F59C2" w:rsidRPr="000072C3" w:rsidRDefault="000F59C2" w:rsidP="000F59C2">
            <w:pPr>
              <w:pStyle w:val="blankspacesaftertables"/>
              <w:jc w:val="center"/>
              <w:rPr>
                <w:sz w:val="20"/>
              </w:rPr>
            </w:pPr>
            <w:r w:rsidRPr="000F59C2">
              <w:rPr>
                <w:sz w:val="20"/>
              </w:rPr>
              <w:t>-122.556744</w:t>
            </w:r>
            <w:r w:rsidRPr="000072C3">
              <w:rPr>
                <w:sz w:val="20"/>
              </w:rPr>
              <w:t>º</w:t>
            </w:r>
          </w:p>
        </w:tc>
        <w:tc>
          <w:tcPr>
            <w:tcW w:w="2627" w:type="dxa"/>
            <w:tcBorders>
              <w:left w:val="single" w:sz="4" w:space="0" w:color="auto"/>
              <w:right w:val="single" w:sz="12" w:space="0" w:color="auto"/>
            </w:tcBorders>
            <w:shd w:val="clear" w:color="auto" w:fill="auto"/>
            <w:vAlign w:val="center"/>
          </w:tcPr>
          <w:p w14:paraId="40022194" w14:textId="77777777" w:rsidR="000F59C2" w:rsidRPr="000072C3" w:rsidRDefault="000F59C2" w:rsidP="000F59C2">
            <w:pPr>
              <w:pStyle w:val="blankspacesaftertables"/>
              <w:jc w:val="center"/>
              <w:rPr>
                <w:sz w:val="20"/>
              </w:rPr>
            </w:pPr>
            <w:r>
              <w:rPr>
                <w:sz w:val="20"/>
              </w:rPr>
              <w:t>Napa River</w:t>
            </w:r>
          </w:p>
        </w:tc>
      </w:tr>
      <w:tr w:rsidR="000072C3" w:rsidRPr="000072C3" w14:paraId="7645ACAB" w14:textId="77777777" w:rsidTr="00122E10">
        <w:trPr>
          <w:cantSplit/>
        </w:trPr>
        <w:tc>
          <w:tcPr>
            <w:tcW w:w="3320" w:type="dxa"/>
            <w:tcBorders>
              <w:left w:val="single" w:sz="12" w:space="0" w:color="auto"/>
            </w:tcBorders>
            <w:shd w:val="clear" w:color="auto" w:fill="auto"/>
            <w:vAlign w:val="center"/>
          </w:tcPr>
          <w:p w14:paraId="1AB75997" w14:textId="77777777" w:rsidR="000072C3" w:rsidRPr="000072C3" w:rsidRDefault="000072C3" w:rsidP="000072C3">
            <w:pPr>
              <w:pStyle w:val="blankspacesaftertables"/>
              <w:rPr>
                <w:sz w:val="20"/>
              </w:rPr>
            </w:pPr>
            <w:r w:rsidRPr="000072C3">
              <w:rPr>
                <w:sz w:val="20"/>
              </w:rPr>
              <w:t>Central Contra Costa Sanitary District</w:t>
            </w:r>
          </w:p>
        </w:tc>
        <w:tc>
          <w:tcPr>
            <w:tcW w:w="1224" w:type="dxa"/>
            <w:shd w:val="clear" w:color="auto" w:fill="auto"/>
            <w:vAlign w:val="center"/>
          </w:tcPr>
          <w:p w14:paraId="06F4B33A" w14:textId="77777777" w:rsidR="000072C3" w:rsidRPr="000072C3" w:rsidRDefault="000072C3" w:rsidP="000F59C2">
            <w:pPr>
              <w:pStyle w:val="blankspacesaftertables"/>
              <w:jc w:val="center"/>
              <w:rPr>
                <w:sz w:val="20"/>
              </w:rPr>
            </w:pPr>
            <w:r w:rsidRPr="000072C3">
              <w:rPr>
                <w:sz w:val="20"/>
              </w:rPr>
              <w:t>001</w:t>
            </w:r>
          </w:p>
        </w:tc>
        <w:tc>
          <w:tcPr>
            <w:tcW w:w="1776" w:type="dxa"/>
            <w:tcBorders>
              <w:left w:val="single" w:sz="4" w:space="0" w:color="auto"/>
              <w:right w:val="single" w:sz="4" w:space="0" w:color="auto"/>
            </w:tcBorders>
            <w:shd w:val="clear" w:color="auto" w:fill="auto"/>
            <w:vAlign w:val="center"/>
          </w:tcPr>
          <w:p w14:paraId="748C627A" w14:textId="77777777" w:rsidR="000072C3" w:rsidRPr="000072C3" w:rsidRDefault="00D60884" w:rsidP="000F59C2">
            <w:pPr>
              <w:pStyle w:val="blankspacesaftertables"/>
              <w:jc w:val="center"/>
              <w:rPr>
                <w:sz w:val="20"/>
              </w:rPr>
            </w:pPr>
            <w:r w:rsidRPr="00D60884">
              <w:rPr>
                <w:sz w:val="20"/>
              </w:rPr>
              <w:t>38.045556</w:t>
            </w:r>
            <w:r w:rsidRPr="000072C3">
              <w:rPr>
                <w:sz w:val="20"/>
              </w:rPr>
              <w:t>º</w:t>
            </w:r>
          </w:p>
        </w:tc>
        <w:tc>
          <w:tcPr>
            <w:tcW w:w="1781" w:type="dxa"/>
            <w:tcBorders>
              <w:left w:val="single" w:sz="4" w:space="0" w:color="auto"/>
              <w:right w:val="single" w:sz="4" w:space="0" w:color="auto"/>
            </w:tcBorders>
            <w:shd w:val="clear" w:color="auto" w:fill="auto"/>
            <w:vAlign w:val="center"/>
          </w:tcPr>
          <w:p w14:paraId="48AADB2E" w14:textId="77777777" w:rsidR="000072C3" w:rsidRPr="000072C3" w:rsidRDefault="00D60884" w:rsidP="000F59C2">
            <w:pPr>
              <w:pStyle w:val="blankspacesaftertables"/>
              <w:jc w:val="center"/>
              <w:rPr>
                <w:sz w:val="20"/>
              </w:rPr>
            </w:pPr>
            <w:r w:rsidRPr="00D60884">
              <w:rPr>
                <w:sz w:val="20"/>
              </w:rPr>
              <w:t>-122.098611</w:t>
            </w:r>
            <w:r w:rsidRPr="000072C3">
              <w:rPr>
                <w:sz w:val="20"/>
              </w:rPr>
              <w:t>º</w:t>
            </w:r>
          </w:p>
        </w:tc>
        <w:tc>
          <w:tcPr>
            <w:tcW w:w="2627" w:type="dxa"/>
            <w:tcBorders>
              <w:left w:val="single" w:sz="4" w:space="0" w:color="auto"/>
              <w:right w:val="single" w:sz="12" w:space="0" w:color="auto"/>
            </w:tcBorders>
            <w:shd w:val="clear" w:color="auto" w:fill="auto"/>
            <w:vAlign w:val="center"/>
          </w:tcPr>
          <w:p w14:paraId="5DA74D19" w14:textId="77777777" w:rsidR="000072C3" w:rsidRPr="000072C3" w:rsidRDefault="000072C3" w:rsidP="000F59C2">
            <w:pPr>
              <w:pStyle w:val="blankspacesaftertables"/>
              <w:jc w:val="center"/>
              <w:rPr>
                <w:sz w:val="20"/>
              </w:rPr>
            </w:pPr>
            <w:r w:rsidRPr="000072C3">
              <w:rPr>
                <w:sz w:val="20"/>
              </w:rPr>
              <w:t>Suisun Bay</w:t>
            </w:r>
          </w:p>
        </w:tc>
      </w:tr>
      <w:tr w:rsidR="000072C3" w:rsidRPr="000072C3" w14:paraId="495DB6AC" w14:textId="77777777" w:rsidTr="00122E10">
        <w:trPr>
          <w:cantSplit/>
        </w:trPr>
        <w:tc>
          <w:tcPr>
            <w:tcW w:w="3320" w:type="dxa"/>
            <w:tcBorders>
              <w:left w:val="single" w:sz="12" w:space="0" w:color="auto"/>
            </w:tcBorders>
            <w:shd w:val="clear" w:color="auto" w:fill="auto"/>
            <w:vAlign w:val="center"/>
          </w:tcPr>
          <w:p w14:paraId="69FE0E3C" w14:textId="77777777" w:rsidR="000072C3" w:rsidRPr="000072C3" w:rsidRDefault="000072C3" w:rsidP="000072C3">
            <w:pPr>
              <w:pStyle w:val="blankspacesaftertables"/>
              <w:rPr>
                <w:sz w:val="20"/>
              </w:rPr>
            </w:pPr>
            <w:r w:rsidRPr="000072C3">
              <w:rPr>
                <w:sz w:val="20"/>
              </w:rPr>
              <w:t>Central Marin Sanitation Agency</w:t>
            </w:r>
          </w:p>
        </w:tc>
        <w:tc>
          <w:tcPr>
            <w:tcW w:w="1224" w:type="dxa"/>
            <w:shd w:val="clear" w:color="auto" w:fill="auto"/>
            <w:vAlign w:val="center"/>
          </w:tcPr>
          <w:p w14:paraId="52750636" w14:textId="77777777" w:rsidR="000072C3" w:rsidRPr="000072C3" w:rsidRDefault="000072C3" w:rsidP="000F59C2">
            <w:pPr>
              <w:pStyle w:val="blankspacesaftertables"/>
              <w:jc w:val="center"/>
              <w:rPr>
                <w:sz w:val="20"/>
              </w:rPr>
            </w:pPr>
            <w:r w:rsidRPr="000072C3">
              <w:rPr>
                <w:sz w:val="20"/>
              </w:rPr>
              <w:t>001</w:t>
            </w:r>
          </w:p>
        </w:tc>
        <w:tc>
          <w:tcPr>
            <w:tcW w:w="1776" w:type="dxa"/>
            <w:tcBorders>
              <w:left w:val="single" w:sz="4" w:space="0" w:color="auto"/>
              <w:right w:val="single" w:sz="4" w:space="0" w:color="auto"/>
            </w:tcBorders>
            <w:shd w:val="clear" w:color="auto" w:fill="auto"/>
            <w:vAlign w:val="center"/>
          </w:tcPr>
          <w:p w14:paraId="6E7C2D77" w14:textId="77777777" w:rsidR="000072C3" w:rsidRPr="000072C3" w:rsidRDefault="003D55E5" w:rsidP="000F59C2">
            <w:pPr>
              <w:pStyle w:val="blankspacesaftertables"/>
              <w:jc w:val="center"/>
              <w:rPr>
                <w:sz w:val="20"/>
              </w:rPr>
            </w:pPr>
            <w:r w:rsidRPr="003D55E5">
              <w:rPr>
                <w:sz w:val="20"/>
              </w:rPr>
              <w:t>37.948333</w:t>
            </w:r>
            <w:r w:rsidRPr="000072C3">
              <w:rPr>
                <w:sz w:val="20"/>
              </w:rPr>
              <w:t>º</w:t>
            </w:r>
          </w:p>
        </w:tc>
        <w:tc>
          <w:tcPr>
            <w:tcW w:w="1781" w:type="dxa"/>
            <w:tcBorders>
              <w:left w:val="single" w:sz="4" w:space="0" w:color="auto"/>
              <w:right w:val="single" w:sz="4" w:space="0" w:color="auto"/>
            </w:tcBorders>
            <w:shd w:val="clear" w:color="auto" w:fill="auto"/>
            <w:vAlign w:val="center"/>
          </w:tcPr>
          <w:p w14:paraId="2CE924FE" w14:textId="77777777" w:rsidR="000072C3" w:rsidRPr="000072C3" w:rsidRDefault="003D55E5" w:rsidP="000F59C2">
            <w:pPr>
              <w:pStyle w:val="blankspacesaftertables"/>
              <w:jc w:val="center"/>
              <w:rPr>
                <w:sz w:val="20"/>
              </w:rPr>
            </w:pPr>
            <w:r w:rsidRPr="003D55E5">
              <w:rPr>
                <w:sz w:val="20"/>
              </w:rPr>
              <w:t>-122.456389</w:t>
            </w:r>
            <w:r w:rsidRPr="000072C3">
              <w:rPr>
                <w:sz w:val="20"/>
              </w:rPr>
              <w:t>º</w:t>
            </w:r>
          </w:p>
        </w:tc>
        <w:tc>
          <w:tcPr>
            <w:tcW w:w="2627" w:type="dxa"/>
            <w:tcBorders>
              <w:left w:val="single" w:sz="4" w:space="0" w:color="auto"/>
              <w:right w:val="single" w:sz="12" w:space="0" w:color="auto"/>
            </w:tcBorders>
            <w:shd w:val="clear" w:color="auto" w:fill="auto"/>
            <w:vAlign w:val="center"/>
          </w:tcPr>
          <w:p w14:paraId="073CFA5F" w14:textId="77777777" w:rsidR="000072C3" w:rsidRPr="000072C3" w:rsidRDefault="000072C3" w:rsidP="000F59C2">
            <w:pPr>
              <w:pStyle w:val="blankspacesaftertables"/>
              <w:jc w:val="center"/>
              <w:rPr>
                <w:sz w:val="20"/>
              </w:rPr>
            </w:pPr>
            <w:r w:rsidRPr="000072C3">
              <w:rPr>
                <w:sz w:val="20"/>
              </w:rPr>
              <w:t>Central San Francisco Bay</w:t>
            </w:r>
          </w:p>
        </w:tc>
      </w:tr>
      <w:tr w:rsidR="000072C3" w:rsidRPr="000072C3" w14:paraId="4ECC32A1" w14:textId="77777777" w:rsidTr="00122E10">
        <w:trPr>
          <w:cantSplit/>
        </w:trPr>
        <w:tc>
          <w:tcPr>
            <w:tcW w:w="3320" w:type="dxa"/>
            <w:tcBorders>
              <w:left w:val="single" w:sz="12" w:space="0" w:color="auto"/>
            </w:tcBorders>
            <w:shd w:val="clear" w:color="auto" w:fill="auto"/>
            <w:vAlign w:val="center"/>
          </w:tcPr>
          <w:p w14:paraId="2B35CC1D" w14:textId="77777777" w:rsidR="000072C3" w:rsidRPr="000072C3" w:rsidRDefault="000072C3" w:rsidP="003D55E5">
            <w:pPr>
              <w:pStyle w:val="blankspacesaftertables"/>
              <w:rPr>
                <w:sz w:val="20"/>
              </w:rPr>
            </w:pPr>
            <w:r w:rsidRPr="000072C3">
              <w:rPr>
                <w:sz w:val="20"/>
              </w:rPr>
              <w:t>Crockett Community Services District</w:t>
            </w:r>
          </w:p>
        </w:tc>
        <w:tc>
          <w:tcPr>
            <w:tcW w:w="1224" w:type="dxa"/>
            <w:shd w:val="clear" w:color="auto" w:fill="auto"/>
            <w:vAlign w:val="center"/>
          </w:tcPr>
          <w:p w14:paraId="49E43007" w14:textId="77777777" w:rsidR="000072C3" w:rsidRPr="000072C3" w:rsidRDefault="000072C3" w:rsidP="000F59C2">
            <w:pPr>
              <w:pStyle w:val="blankspacesaftertables"/>
              <w:jc w:val="center"/>
              <w:rPr>
                <w:sz w:val="20"/>
              </w:rPr>
            </w:pPr>
            <w:r w:rsidRPr="000072C3">
              <w:rPr>
                <w:sz w:val="20"/>
              </w:rPr>
              <w:t>001</w:t>
            </w:r>
          </w:p>
        </w:tc>
        <w:tc>
          <w:tcPr>
            <w:tcW w:w="1776" w:type="dxa"/>
            <w:tcBorders>
              <w:left w:val="single" w:sz="4" w:space="0" w:color="auto"/>
              <w:right w:val="single" w:sz="4" w:space="0" w:color="auto"/>
            </w:tcBorders>
            <w:shd w:val="clear" w:color="auto" w:fill="auto"/>
            <w:vAlign w:val="center"/>
          </w:tcPr>
          <w:p w14:paraId="52135EEC" w14:textId="77777777" w:rsidR="000072C3" w:rsidRPr="000072C3" w:rsidRDefault="003D55E5" w:rsidP="000F59C2">
            <w:pPr>
              <w:pStyle w:val="blankspacesaftertables"/>
              <w:jc w:val="center"/>
              <w:rPr>
                <w:sz w:val="20"/>
              </w:rPr>
            </w:pPr>
            <w:r w:rsidRPr="003D55E5">
              <w:rPr>
                <w:sz w:val="20"/>
              </w:rPr>
              <w:t>38.04861</w:t>
            </w:r>
            <w:r w:rsidR="00914EC1">
              <w:rPr>
                <w:sz w:val="20"/>
              </w:rPr>
              <w:t>1</w:t>
            </w:r>
            <w:r w:rsidRPr="003D55E5">
              <w:rPr>
                <w:sz w:val="20"/>
              </w:rPr>
              <w:t>º</w:t>
            </w:r>
          </w:p>
        </w:tc>
        <w:tc>
          <w:tcPr>
            <w:tcW w:w="1781" w:type="dxa"/>
            <w:tcBorders>
              <w:left w:val="single" w:sz="4" w:space="0" w:color="auto"/>
              <w:right w:val="single" w:sz="4" w:space="0" w:color="auto"/>
            </w:tcBorders>
            <w:shd w:val="clear" w:color="auto" w:fill="auto"/>
            <w:vAlign w:val="center"/>
          </w:tcPr>
          <w:p w14:paraId="4C2D7088" w14:textId="77777777" w:rsidR="000072C3" w:rsidRPr="000072C3" w:rsidRDefault="003D55E5" w:rsidP="000F59C2">
            <w:pPr>
              <w:pStyle w:val="blankspacesaftertables"/>
              <w:jc w:val="center"/>
              <w:rPr>
                <w:sz w:val="20"/>
              </w:rPr>
            </w:pPr>
            <w:r w:rsidRPr="003D55E5">
              <w:rPr>
                <w:sz w:val="20"/>
              </w:rPr>
              <w:t>-122.18222</w:t>
            </w:r>
            <w:r w:rsidR="00914EC1">
              <w:rPr>
                <w:sz w:val="20"/>
              </w:rPr>
              <w:t>2</w:t>
            </w:r>
            <w:r w:rsidRPr="003D55E5">
              <w:rPr>
                <w:sz w:val="20"/>
              </w:rPr>
              <w:t>º</w:t>
            </w:r>
          </w:p>
        </w:tc>
        <w:tc>
          <w:tcPr>
            <w:tcW w:w="2627" w:type="dxa"/>
            <w:tcBorders>
              <w:left w:val="single" w:sz="4" w:space="0" w:color="auto"/>
              <w:right w:val="single" w:sz="12" w:space="0" w:color="auto"/>
            </w:tcBorders>
            <w:shd w:val="clear" w:color="auto" w:fill="auto"/>
            <w:vAlign w:val="center"/>
          </w:tcPr>
          <w:p w14:paraId="0642E15C" w14:textId="77777777" w:rsidR="000072C3" w:rsidRPr="000072C3" w:rsidRDefault="000072C3" w:rsidP="000F59C2">
            <w:pPr>
              <w:pStyle w:val="blankspacesaftertables"/>
              <w:jc w:val="center"/>
              <w:rPr>
                <w:sz w:val="20"/>
              </w:rPr>
            </w:pPr>
            <w:r w:rsidRPr="000072C3">
              <w:rPr>
                <w:sz w:val="20"/>
              </w:rPr>
              <w:t>Carquinez Strait</w:t>
            </w:r>
          </w:p>
        </w:tc>
      </w:tr>
      <w:tr w:rsidR="000072C3" w:rsidRPr="000072C3" w14:paraId="0670C0BA" w14:textId="77777777" w:rsidTr="00122E10">
        <w:trPr>
          <w:cantSplit/>
        </w:trPr>
        <w:tc>
          <w:tcPr>
            <w:tcW w:w="3320" w:type="dxa"/>
            <w:tcBorders>
              <w:left w:val="single" w:sz="12" w:space="0" w:color="auto"/>
            </w:tcBorders>
            <w:shd w:val="clear" w:color="auto" w:fill="auto"/>
            <w:vAlign w:val="center"/>
          </w:tcPr>
          <w:p w14:paraId="0ABF2AC6" w14:textId="77777777" w:rsidR="000072C3" w:rsidRPr="000072C3" w:rsidRDefault="000072C3" w:rsidP="000072C3">
            <w:pPr>
              <w:pStyle w:val="blankspacesaftertables"/>
              <w:rPr>
                <w:sz w:val="20"/>
              </w:rPr>
            </w:pPr>
            <w:r w:rsidRPr="000072C3">
              <w:rPr>
                <w:sz w:val="20"/>
              </w:rPr>
              <w:t>Delta Diablo Sanitation District</w:t>
            </w:r>
          </w:p>
        </w:tc>
        <w:tc>
          <w:tcPr>
            <w:tcW w:w="1224" w:type="dxa"/>
            <w:shd w:val="clear" w:color="auto" w:fill="auto"/>
            <w:vAlign w:val="center"/>
          </w:tcPr>
          <w:p w14:paraId="62D8B110" w14:textId="77777777" w:rsidR="000072C3" w:rsidRPr="000072C3" w:rsidRDefault="000072C3" w:rsidP="000F59C2">
            <w:pPr>
              <w:pStyle w:val="blankspacesaftertables"/>
              <w:jc w:val="center"/>
              <w:rPr>
                <w:sz w:val="20"/>
              </w:rPr>
            </w:pPr>
            <w:r w:rsidRPr="000072C3">
              <w:rPr>
                <w:sz w:val="20"/>
              </w:rPr>
              <w:t>001</w:t>
            </w:r>
          </w:p>
        </w:tc>
        <w:tc>
          <w:tcPr>
            <w:tcW w:w="1776" w:type="dxa"/>
            <w:tcBorders>
              <w:left w:val="single" w:sz="4" w:space="0" w:color="auto"/>
              <w:right w:val="single" w:sz="4" w:space="0" w:color="auto"/>
            </w:tcBorders>
            <w:shd w:val="clear" w:color="auto" w:fill="auto"/>
            <w:vAlign w:val="center"/>
          </w:tcPr>
          <w:p w14:paraId="2E0DA96D" w14:textId="77777777" w:rsidR="000072C3" w:rsidRPr="000072C3" w:rsidRDefault="00914EC1" w:rsidP="00914EC1">
            <w:pPr>
              <w:pStyle w:val="blankspacesaftertables"/>
              <w:jc w:val="center"/>
              <w:rPr>
                <w:sz w:val="20"/>
              </w:rPr>
            </w:pPr>
            <w:r w:rsidRPr="003D55E5">
              <w:rPr>
                <w:sz w:val="20"/>
              </w:rPr>
              <w:t>38.0</w:t>
            </w:r>
            <w:r>
              <w:rPr>
                <w:sz w:val="20"/>
              </w:rPr>
              <w:t>27778</w:t>
            </w:r>
            <w:r w:rsidRPr="003D55E5">
              <w:rPr>
                <w:sz w:val="20"/>
              </w:rPr>
              <w:t>º</w:t>
            </w:r>
          </w:p>
        </w:tc>
        <w:tc>
          <w:tcPr>
            <w:tcW w:w="1781" w:type="dxa"/>
            <w:tcBorders>
              <w:left w:val="single" w:sz="4" w:space="0" w:color="auto"/>
              <w:right w:val="single" w:sz="4" w:space="0" w:color="auto"/>
            </w:tcBorders>
            <w:shd w:val="clear" w:color="auto" w:fill="auto"/>
            <w:vAlign w:val="center"/>
          </w:tcPr>
          <w:p w14:paraId="5D2982AD" w14:textId="77777777" w:rsidR="000072C3" w:rsidRPr="000072C3" w:rsidRDefault="00914EC1" w:rsidP="000F59C2">
            <w:pPr>
              <w:pStyle w:val="blankspacesaftertables"/>
              <w:jc w:val="center"/>
              <w:rPr>
                <w:sz w:val="20"/>
              </w:rPr>
            </w:pPr>
            <w:r>
              <w:rPr>
                <w:sz w:val="20"/>
              </w:rPr>
              <w:t>-122.837222</w:t>
            </w:r>
            <w:r w:rsidR="00B14930" w:rsidRPr="003D55E5">
              <w:rPr>
                <w:sz w:val="20"/>
              </w:rPr>
              <w:t>º</w:t>
            </w:r>
          </w:p>
        </w:tc>
        <w:tc>
          <w:tcPr>
            <w:tcW w:w="2627" w:type="dxa"/>
            <w:tcBorders>
              <w:left w:val="single" w:sz="4" w:space="0" w:color="auto"/>
              <w:right w:val="single" w:sz="12" w:space="0" w:color="auto"/>
            </w:tcBorders>
            <w:shd w:val="clear" w:color="auto" w:fill="auto"/>
            <w:vAlign w:val="center"/>
          </w:tcPr>
          <w:p w14:paraId="1C871D03" w14:textId="77777777" w:rsidR="000072C3" w:rsidRPr="000072C3" w:rsidRDefault="000072C3" w:rsidP="000F59C2">
            <w:pPr>
              <w:pStyle w:val="blankspacesaftertables"/>
              <w:jc w:val="center"/>
              <w:rPr>
                <w:sz w:val="20"/>
              </w:rPr>
            </w:pPr>
            <w:r w:rsidRPr="000072C3">
              <w:rPr>
                <w:sz w:val="20"/>
              </w:rPr>
              <w:t>New York Slough</w:t>
            </w:r>
          </w:p>
        </w:tc>
      </w:tr>
      <w:tr w:rsidR="000072C3" w:rsidRPr="000072C3" w14:paraId="375EE0DA" w14:textId="77777777" w:rsidTr="00122E10">
        <w:trPr>
          <w:cantSplit/>
        </w:trPr>
        <w:tc>
          <w:tcPr>
            <w:tcW w:w="3320" w:type="dxa"/>
            <w:tcBorders>
              <w:left w:val="single" w:sz="12" w:space="0" w:color="auto"/>
            </w:tcBorders>
            <w:shd w:val="clear" w:color="auto" w:fill="auto"/>
            <w:vAlign w:val="center"/>
          </w:tcPr>
          <w:p w14:paraId="2E9E61BC" w14:textId="77777777" w:rsidR="000072C3" w:rsidRPr="000072C3" w:rsidRDefault="000072C3" w:rsidP="000072C3">
            <w:pPr>
              <w:pStyle w:val="blankspacesaftertables"/>
              <w:rPr>
                <w:sz w:val="20"/>
              </w:rPr>
            </w:pPr>
            <w:r w:rsidRPr="000072C3">
              <w:rPr>
                <w:sz w:val="20"/>
              </w:rPr>
              <w:t>East Bay Dischargers Authority (EBDA); Cities of Hayward and San Leandro; Oro Loma Sanitary District; Castro Valley Sanitary District; Union Sanitary District; Livermore-Amador Valley Water Management Agency; Dublin San Ramon Services District; and City of Livermore</w:t>
            </w:r>
          </w:p>
        </w:tc>
        <w:tc>
          <w:tcPr>
            <w:tcW w:w="1224" w:type="dxa"/>
            <w:shd w:val="clear" w:color="auto" w:fill="auto"/>
            <w:vAlign w:val="center"/>
          </w:tcPr>
          <w:p w14:paraId="0D182BB0" w14:textId="77777777" w:rsidR="000072C3" w:rsidRPr="000072C3" w:rsidRDefault="000072C3" w:rsidP="000F59C2">
            <w:pPr>
              <w:pStyle w:val="blankspacesaftertables"/>
              <w:jc w:val="center"/>
              <w:rPr>
                <w:sz w:val="20"/>
              </w:rPr>
            </w:pPr>
            <w:r w:rsidRPr="000072C3">
              <w:rPr>
                <w:sz w:val="20"/>
              </w:rPr>
              <w:t>001</w:t>
            </w:r>
          </w:p>
        </w:tc>
        <w:tc>
          <w:tcPr>
            <w:tcW w:w="1776" w:type="dxa"/>
            <w:tcBorders>
              <w:left w:val="single" w:sz="4" w:space="0" w:color="auto"/>
              <w:right w:val="single" w:sz="4" w:space="0" w:color="auto"/>
            </w:tcBorders>
            <w:shd w:val="clear" w:color="auto" w:fill="auto"/>
            <w:vAlign w:val="center"/>
          </w:tcPr>
          <w:p w14:paraId="7350AFDD" w14:textId="77777777" w:rsidR="000072C3" w:rsidRPr="000072C3" w:rsidRDefault="00B14930" w:rsidP="000F59C2">
            <w:pPr>
              <w:pStyle w:val="blankspacesaftertables"/>
              <w:jc w:val="center"/>
              <w:rPr>
                <w:sz w:val="20"/>
              </w:rPr>
            </w:pPr>
            <w:r>
              <w:rPr>
                <w:sz w:val="20"/>
              </w:rPr>
              <w:t>37.625556</w:t>
            </w:r>
            <w:r w:rsidRPr="003D55E5">
              <w:rPr>
                <w:sz w:val="20"/>
              </w:rPr>
              <w:t>º</w:t>
            </w:r>
          </w:p>
        </w:tc>
        <w:tc>
          <w:tcPr>
            <w:tcW w:w="1781" w:type="dxa"/>
            <w:tcBorders>
              <w:left w:val="single" w:sz="4" w:space="0" w:color="auto"/>
              <w:right w:val="single" w:sz="4" w:space="0" w:color="auto"/>
            </w:tcBorders>
            <w:shd w:val="clear" w:color="auto" w:fill="auto"/>
            <w:vAlign w:val="center"/>
          </w:tcPr>
          <w:p w14:paraId="7977A293" w14:textId="77777777" w:rsidR="000072C3" w:rsidRPr="000072C3" w:rsidRDefault="00B14930" w:rsidP="000F59C2">
            <w:pPr>
              <w:pStyle w:val="blankspacesaftertables"/>
              <w:jc w:val="center"/>
              <w:rPr>
                <w:sz w:val="20"/>
              </w:rPr>
            </w:pPr>
            <w:r>
              <w:rPr>
                <w:sz w:val="20"/>
              </w:rPr>
              <w:t>-122.130556</w:t>
            </w:r>
            <w:r w:rsidRPr="003D55E5">
              <w:rPr>
                <w:sz w:val="20"/>
              </w:rPr>
              <w:t>º</w:t>
            </w:r>
          </w:p>
        </w:tc>
        <w:tc>
          <w:tcPr>
            <w:tcW w:w="2627" w:type="dxa"/>
            <w:tcBorders>
              <w:left w:val="single" w:sz="4" w:space="0" w:color="auto"/>
              <w:right w:val="single" w:sz="12" w:space="0" w:color="auto"/>
            </w:tcBorders>
            <w:shd w:val="clear" w:color="auto" w:fill="auto"/>
            <w:vAlign w:val="center"/>
          </w:tcPr>
          <w:p w14:paraId="7DA4D3D0" w14:textId="77777777" w:rsidR="000072C3" w:rsidRPr="000072C3" w:rsidRDefault="000072C3" w:rsidP="000F59C2">
            <w:pPr>
              <w:pStyle w:val="blankspacesaftertables"/>
              <w:jc w:val="center"/>
              <w:rPr>
                <w:sz w:val="20"/>
              </w:rPr>
            </w:pPr>
            <w:r w:rsidRPr="000072C3">
              <w:rPr>
                <w:sz w:val="20"/>
              </w:rPr>
              <w:t>Lower San Francisco Bay</w:t>
            </w:r>
          </w:p>
        </w:tc>
      </w:tr>
      <w:tr w:rsidR="000072C3" w:rsidRPr="000072C3" w14:paraId="7ACC3D67" w14:textId="77777777" w:rsidTr="00122E10">
        <w:trPr>
          <w:cantSplit/>
        </w:trPr>
        <w:tc>
          <w:tcPr>
            <w:tcW w:w="3320" w:type="dxa"/>
            <w:tcBorders>
              <w:left w:val="single" w:sz="12" w:space="0" w:color="auto"/>
            </w:tcBorders>
            <w:shd w:val="clear" w:color="auto" w:fill="auto"/>
            <w:vAlign w:val="center"/>
          </w:tcPr>
          <w:p w14:paraId="4DE4E2A3" w14:textId="77777777" w:rsidR="000072C3" w:rsidRPr="000072C3" w:rsidRDefault="000072C3" w:rsidP="000072C3">
            <w:pPr>
              <w:pStyle w:val="blankspacesaftertables"/>
              <w:rPr>
                <w:sz w:val="20"/>
                <w:vertAlign w:val="superscript"/>
              </w:rPr>
            </w:pPr>
            <w:r w:rsidRPr="000072C3">
              <w:rPr>
                <w:sz w:val="20"/>
              </w:rPr>
              <w:t xml:space="preserve">East Bay Municipal Utility District </w:t>
            </w:r>
          </w:p>
        </w:tc>
        <w:tc>
          <w:tcPr>
            <w:tcW w:w="1224" w:type="dxa"/>
            <w:shd w:val="clear" w:color="auto" w:fill="auto"/>
            <w:vAlign w:val="center"/>
          </w:tcPr>
          <w:p w14:paraId="60D76014" w14:textId="77777777" w:rsidR="000072C3" w:rsidRPr="000072C3" w:rsidRDefault="000072C3" w:rsidP="000F59C2">
            <w:pPr>
              <w:pStyle w:val="blankspacesaftertables"/>
              <w:jc w:val="center"/>
              <w:rPr>
                <w:sz w:val="20"/>
              </w:rPr>
            </w:pPr>
            <w:r w:rsidRPr="000072C3">
              <w:rPr>
                <w:sz w:val="20"/>
              </w:rPr>
              <w:t>001</w:t>
            </w:r>
          </w:p>
        </w:tc>
        <w:tc>
          <w:tcPr>
            <w:tcW w:w="1776" w:type="dxa"/>
            <w:tcBorders>
              <w:left w:val="single" w:sz="4" w:space="0" w:color="auto"/>
              <w:right w:val="single" w:sz="4" w:space="0" w:color="auto"/>
            </w:tcBorders>
            <w:shd w:val="clear" w:color="auto" w:fill="auto"/>
            <w:vAlign w:val="center"/>
          </w:tcPr>
          <w:p w14:paraId="418DC970" w14:textId="77777777" w:rsidR="000072C3" w:rsidRPr="000072C3" w:rsidRDefault="00E65166" w:rsidP="000F59C2">
            <w:pPr>
              <w:pStyle w:val="blankspacesaftertables"/>
              <w:jc w:val="center"/>
              <w:rPr>
                <w:sz w:val="20"/>
              </w:rPr>
            </w:pPr>
            <w:r w:rsidRPr="00E65166">
              <w:rPr>
                <w:sz w:val="20"/>
              </w:rPr>
              <w:t>37.817222</w:t>
            </w:r>
            <w:r w:rsidRPr="003D55E5">
              <w:rPr>
                <w:sz w:val="20"/>
              </w:rPr>
              <w:t>º</w:t>
            </w:r>
          </w:p>
        </w:tc>
        <w:tc>
          <w:tcPr>
            <w:tcW w:w="1781" w:type="dxa"/>
            <w:tcBorders>
              <w:left w:val="single" w:sz="4" w:space="0" w:color="auto"/>
              <w:right w:val="single" w:sz="4" w:space="0" w:color="auto"/>
            </w:tcBorders>
            <w:shd w:val="clear" w:color="auto" w:fill="auto"/>
            <w:vAlign w:val="center"/>
          </w:tcPr>
          <w:p w14:paraId="7775B649" w14:textId="77777777" w:rsidR="000072C3" w:rsidRPr="000072C3" w:rsidRDefault="00E65166" w:rsidP="000F59C2">
            <w:pPr>
              <w:pStyle w:val="blankspacesaftertables"/>
              <w:jc w:val="center"/>
              <w:rPr>
                <w:sz w:val="20"/>
              </w:rPr>
            </w:pPr>
            <w:r w:rsidRPr="00E65166">
              <w:rPr>
                <w:sz w:val="20"/>
              </w:rPr>
              <w:t>-122.348611</w:t>
            </w:r>
            <w:r w:rsidRPr="003D55E5">
              <w:rPr>
                <w:sz w:val="20"/>
              </w:rPr>
              <w:t>º</w:t>
            </w:r>
          </w:p>
        </w:tc>
        <w:tc>
          <w:tcPr>
            <w:tcW w:w="2627" w:type="dxa"/>
            <w:tcBorders>
              <w:left w:val="single" w:sz="4" w:space="0" w:color="auto"/>
              <w:right w:val="single" w:sz="12" w:space="0" w:color="auto"/>
            </w:tcBorders>
            <w:shd w:val="clear" w:color="auto" w:fill="auto"/>
            <w:vAlign w:val="center"/>
          </w:tcPr>
          <w:p w14:paraId="79DEFE3C" w14:textId="77777777" w:rsidR="000072C3" w:rsidRPr="000072C3" w:rsidRDefault="000072C3" w:rsidP="000F59C2">
            <w:pPr>
              <w:pStyle w:val="blankspacesaftertables"/>
              <w:jc w:val="center"/>
              <w:rPr>
                <w:sz w:val="20"/>
              </w:rPr>
            </w:pPr>
            <w:r w:rsidRPr="000072C3">
              <w:rPr>
                <w:sz w:val="20"/>
              </w:rPr>
              <w:t>Central San Francisco Bay</w:t>
            </w:r>
          </w:p>
        </w:tc>
      </w:tr>
      <w:tr w:rsidR="000072C3" w:rsidRPr="000072C3" w14:paraId="74EAB8ED" w14:textId="77777777" w:rsidTr="00122E10">
        <w:trPr>
          <w:cantSplit/>
        </w:trPr>
        <w:tc>
          <w:tcPr>
            <w:tcW w:w="3320" w:type="dxa"/>
            <w:vMerge w:val="restart"/>
            <w:tcBorders>
              <w:left w:val="single" w:sz="12" w:space="0" w:color="auto"/>
            </w:tcBorders>
            <w:shd w:val="clear" w:color="auto" w:fill="auto"/>
            <w:vAlign w:val="center"/>
          </w:tcPr>
          <w:p w14:paraId="085C9122" w14:textId="77777777" w:rsidR="000072C3" w:rsidRPr="000072C3" w:rsidRDefault="000072C3" w:rsidP="000072C3">
            <w:pPr>
              <w:pStyle w:val="blankspacesaftertables"/>
              <w:rPr>
                <w:sz w:val="20"/>
              </w:rPr>
            </w:pPr>
            <w:r w:rsidRPr="000072C3">
              <w:rPr>
                <w:sz w:val="20"/>
              </w:rPr>
              <w:lastRenderedPageBreak/>
              <w:t>Fairfield-Suisun Sewer District</w:t>
            </w:r>
          </w:p>
        </w:tc>
        <w:tc>
          <w:tcPr>
            <w:tcW w:w="1224" w:type="dxa"/>
            <w:shd w:val="clear" w:color="auto" w:fill="auto"/>
            <w:vAlign w:val="center"/>
          </w:tcPr>
          <w:p w14:paraId="62386A70" w14:textId="77777777" w:rsidR="000072C3" w:rsidRPr="000072C3" w:rsidRDefault="000072C3" w:rsidP="000F59C2">
            <w:pPr>
              <w:pStyle w:val="blankspacesaftertables"/>
              <w:jc w:val="center"/>
              <w:rPr>
                <w:sz w:val="20"/>
              </w:rPr>
            </w:pPr>
            <w:r w:rsidRPr="000072C3">
              <w:rPr>
                <w:sz w:val="20"/>
              </w:rPr>
              <w:t>001</w:t>
            </w:r>
          </w:p>
        </w:tc>
        <w:tc>
          <w:tcPr>
            <w:tcW w:w="1776" w:type="dxa"/>
            <w:tcBorders>
              <w:left w:val="single" w:sz="4" w:space="0" w:color="auto"/>
              <w:right w:val="single" w:sz="4" w:space="0" w:color="auto"/>
            </w:tcBorders>
            <w:shd w:val="clear" w:color="auto" w:fill="auto"/>
            <w:vAlign w:val="center"/>
          </w:tcPr>
          <w:p w14:paraId="29584785" w14:textId="77777777" w:rsidR="000072C3" w:rsidRPr="000072C3" w:rsidRDefault="004C1709" w:rsidP="000F59C2">
            <w:pPr>
              <w:pStyle w:val="blankspacesaftertables"/>
              <w:jc w:val="center"/>
              <w:rPr>
                <w:sz w:val="20"/>
              </w:rPr>
            </w:pPr>
            <w:r w:rsidRPr="004C1709">
              <w:rPr>
                <w:sz w:val="20"/>
              </w:rPr>
              <w:t>38.209167</w:t>
            </w:r>
            <w:r w:rsidRPr="003D55E5">
              <w:rPr>
                <w:sz w:val="20"/>
              </w:rPr>
              <w:t>º</w:t>
            </w:r>
          </w:p>
        </w:tc>
        <w:tc>
          <w:tcPr>
            <w:tcW w:w="1781" w:type="dxa"/>
            <w:tcBorders>
              <w:left w:val="single" w:sz="4" w:space="0" w:color="auto"/>
              <w:right w:val="single" w:sz="4" w:space="0" w:color="auto"/>
            </w:tcBorders>
            <w:shd w:val="clear" w:color="auto" w:fill="auto"/>
            <w:vAlign w:val="center"/>
          </w:tcPr>
          <w:p w14:paraId="3ABC8452" w14:textId="77777777" w:rsidR="000072C3" w:rsidRPr="000072C3" w:rsidRDefault="004C1709" w:rsidP="000F59C2">
            <w:pPr>
              <w:pStyle w:val="blankspacesaftertables"/>
              <w:jc w:val="center"/>
              <w:rPr>
                <w:sz w:val="20"/>
              </w:rPr>
            </w:pPr>
            <w:r w:rsidRPr="004C1709">
              <w:rPr>
                <w:sz w:val="20"/>
              </w:rPr>
              <w:t>-122.056667</w:t>
            </w:r>
            <w:r w:rsidRPr="003D55E5">
              <w:rPr>
                <w:sz w:val="20"/>
              </w:rPr>
              <w:t>º</w:t>
            </w:r>
          </w:p>
        </w:tc>
        <w:tc>
          <w:tcPr>
            <w:tcW w:w="2627" w:type="dxa"/>
            <w:tcBorders>
              <w:left w:val="single" w:sz="4" w:space="0" w:color="auto"/>
              <w:right w:val="single" w:sz="12" w:space="0" w:color="auto"/>
            </w:tcBorders>
            <w:shd w:val="clear" w:color="auto" w:fill="auto"/>
            <w:vAlign w:val="center"/>
          </w:tcPr>
          <w:p w14:paraId="6D2D10CF" w14:textId="77777777" w:rsidR="000072C3" w:rsidRPr="000072C3" w:rsidRDefault="000072C3" w:rsidP="000F59C2">
            <w:pPr>
              <w:pStyle w:val="blankspacesaftertables"/>
              <w:jc w:val="center"/>
              <w:rPr>
                <w:sz w:val="20"/>
              </w:rPr>
            </w:pPr>
            <w:r w:rsidRPr="000072C3">
              <w:rPr>
                <w:sz w:val="20"/>
              </w:rPr>
              <w:t>Boynton Slough</w:t>
            </w:r>
          </w:p>
        </w:tc>
      </w:tr>
      <w:tr w:rsidR="000072C3" w:rsidRPr="000072C3" w14:paraId="762EBF16" w14:textId="77777777" w:rsidTr="00122E10">
        <w:trPr>
          <w:cantSplit/>
        </w:trPr>
        <w:tc>
          <w:tcPr>
            <w:tcW w:w="3320" w:type="dxa"/>
            <w:vMerge/>
            <w:tcBorders>
              <w:left w:val="single" w:sz="12" w:space="0" w:color="auto"/>
            </w:tcBorders>
            <w:shd w:val="clear" w:color="auto" w:fill="auto"/>
            <w:vAlign w:val="center"/>
          </w:tcPr>
          <w:p w14:paraId="6BC5534E" w14:textId="77777777" w:rsidR="000072C3" w:rsidRPr="000072C3" w:rsidRDefault="000072C3" w:rsidP="000072C3">
            <w:pPr>
              <w:pStyle w:val="blankspacesaftertables"/>
              <w:rPr>
                <w:sz w:val="20"/>
              </w:rPr>
            </w:pPr>
          </w:p>
        </w:tc>
        <w:tc>
          <w:tcPr>
            <w:tcW w:w="1224" w:type="dxa"/>
            <w:shd w:val="clear" w:color="auto" w:fill="auto"/>
            <w:vAlign w:val="center"/>
          </w:tcPr>
          <w:p w14:paraId="0C19D73E" w14:textId="77777777" w:rsidR="000072C3" w:rsidRPr="000072C3" w:rsidRDefault="000072C3" w:rsidP="000F59C2">
            <w:pPr>
              <w:pStyle w:val="blankspacesaftertables"/>
              <w:jc w:val="center"/>
              <w:rPr>
                <w:sz w:val="20"/>
              </w:rPr>
            </w:pPr>
            <w:r w:rsidRPr="000072C3">
              <w:rPr>
                <w:sz w:val="20"/>
              </w:rPr>
              <w:t>002</w:t>
            </w:r>
          </w:p>
        </w:tc>
        <w:tc>
          <w:tcPr>
            <w:tcW w:w="1776" w:type="dxa"/>
            <w:tcBorders>
              <w:left w:val="single" w:sz="4" w:space="0" w:color="auto"/>
              <w:right w:val="single" w:sz="4" w:space="0" w:color="auto"/>
            </w:tcBorders>
            <w:shd w:val="clear" w:color="auto" w:fill="auto"/>
            <w:vAlign w:val="center"/>
          </w:tcPr>
          <w:p w14:paraId="56631B65" w14:textId="77777777" w:rsidR="000072C3" w:rsidRPr="000072C3" w:rsidRDefault="00283E0E" w:rsidP="000F59C2">
            <w:pPr>
              <w:pStyle w:val="blankspacesaftertables"/>
              <w:jc w:val="center"/>
              <w:rPr>
                <w:sz w:val="20"/>
              </w:rPr>
            </w:pPr>
            <w:r w:rsidRPr="00283E0E">
              <w:rPr>
                <w:sz w:val="20"/>
              </w:rPr>
              <w:t>38.214444</w:t>
            </w:r>
            <w:r w:rsidRPr="003D55E5">
              <w:rPr>
                <w:sz w:val="20"/>
              </w:rPr>
              <w:t>º</w:t>
            </w:r>
          </w:p>
        </w:tc>
        <w:tc>
          <w:tcPr>
            <w:tcW w:w="1781" w:type="dxa"/>
            <w:tcBorders>
              <w:left w:val="single" w:sz="4" w:space="0" w:color="auto"/>
              <w:right w:val="single" w:sz="4" w:space="0" w:color="auto"/>
            </w:tcBorders>
            <w:shd w:val="clear" w:color="auto" w:fill="auto"/>
            <w:vAlign w:val="center"/>
          </w:tcPr>
          <w:p w14:paraId="331EE289" w14:textId="77777777" w:rsidR="000072C3" w:rsidRPr="000072C3" w:rsidRDefault="00283E0E" w:rsidP="000F59C2">
            <w:pPr>
              <w:pStyle w:val="blankspacesaftertables"/>
              <w:jc w:val="center"/>
              <w:rPr>
                <w:sz w:val="20"/>
              </w:rPr>
            </w:pPr>
            <w:r w:rsidRPr="00283E0E">
              <w:rPr>
                <w:sz w:val="20"/>
              </w:rPr>
              <w:t>-122.065556</w:t>
            </w:r>
            <w:r w:rsidRPr="003D55E5">
              <w:rPr>
                <w:sz w:val="20"/>
              </w:rPr>
              <w:t>º</w:t>
            </w:r>
          </w:p>
        </w:tc>
        <w:tc>
          <w:tcPr>
            <w:tcW w:w="2627" w:type="dxa"/>
            <w:tcBorders>
              <w:left w:val="single" w:sz="4" w:space="0" w:color="auto"/>
              <w:right w:val="single" w:sz="12" w:space="0" w:color="auto"/>
            </w:tcBorders>
            <w:shd w:val="clear" w:color="auto" w:fill="auto"/>
            <w:vAlign w:val="center"/>
          </w:tcPr>
          <w:p w14:paraId="42E56A60" w14:textId="77777777" w:rsidR="000072C3" w:rsidRPr="000072C3" w:rsidRDefault="00C9297D" w:rsidP="000F59C2">
            <w:pPr>
              <w:pStyle w:val="blankspacesaftertables"/>
              <w:jc w:val="center"/>
              <w:rPr>
                <w:sz w:val="20"/>
              </w:rPr>
            </w:pPr>
            <w:r>
              <w:rPr>
                <w:sz w:val="20"/>
              </w:rPr>
              <w:t>Duck Pond 1</w:t>
            </w:r>
          </w:p>
        </w:tc>
      </w:tr>
      <w:tr w:rsidR="000072C3" w:rsidRPr="000072C3" w14:paraId="0BC60035" w14:textId="77777777" w:rsidTr="00122E10">
        <w:trPr>
          <w:cantSplit/>
        </w:trPr>
        <w:tc>
          <w:tcPr>
            <w:tcW w:w="3320" w:type="dxa"/>
            <w:vMerge/>
            <w:tcBorders>
              <w:left w:val="single" w:sz="12" w:space="0" w:color="auto"/>
            </w:tcBorders>
            <w:shd w:val="clear" w:color="auto" w:fill="auto"/>
            <w:vAlign w:val="center"/>
          </w:tcPr>
          <w:p w14:paraId="7A65A381" w14:textId="77777777" w:rsidR="000072C3" w:rsidRPr="000072C3" w:rsidRDefault="000072C3" w:rsidP="000072C3">
            <w:pPr>
              <w:pStyle w:val="blankspacesaftertables"/>
              <w:rPr>
                <w:sz w:val="20"/>
              </w:rPr>
            </w:pPr>
          </w:p>
        </w:tc>
        <w:tc>
          <w:tcPr>
            <w:tcW w:w="1224" w:type="dxa"/>
            <w:shd w:val="clear" w:color="auto" w:fill="auto"/>
            <w:vAlign w:val="center"/>
          </w:tcPr>
          <w:p w14:paraId="283E7716" w14:textId="77777777" w:rsidR="000072C3" w:rsidRPr="000072C3" w:rsidRDefault="000072C3" w:rsidP="000F59C2">
            <w:pPr>
              <w:pStyle w:val="blankspacesaftertables"/>
              <w:jc w:val="center"/>
              <w:rPr>
                <w:sz w:val="20"/>
              </w:rPr>
            </w:pPr>
            <w:r w:rsidRPr="000072C3">
              <w:rPr>
                <w:sz w:val="20"/>
              </w:rPr>
              <w:t>003</w:t>
            </w:r>
          </w:p>
        </w:tc>
        <w:tc>
          <w:tcPr>
            <w:tcW w:w="1776" w:type="dxa"/>
            <w:tcBorders>
              <w:left w:val="single" w:sz="4" w:space="0" w:color="auto"/>
              <w:right w:val="single" w:sz="4" w:space="0" w:color="auto"/>
            </w:tcBorders>
            <w:shd w:val="clear" w:color="auto" w:fill="auto"/>
            <w:vAlign w:val="center"/>
          </w:tcPr>
          <w:p w14:paraId="7F6B5E21" w14:textId="77777777" w:rsidR="000072C3" w:rsidRPr="000072C3" w:rsidRDefault="00283E0E" w:rsidP="000F59C2">
            <w:pPr>
              <w:pStyle w:val="blankspacesaftertables"/>
              <w:jc w:val="center"/>
              <w:rPr>
                <w:sz w:val="20"/>
              </w:rPr>
            </w:pPr>
            <w:r w:rsidRPr="00283E0E">
              <w:rPr>
                <w:sz w:val="20"/>
              </w:rPr>
              <w:t>38.209722</w:t>
            </w:r>
            <w:r w:rsidRPr="003D55E5">
              <w:rPr>
                <w:sz w:val="20"/>
              </w:rPr>
              <w:t>º</w:t>
            </w:r>
          </w:p>
        </w:tc>
        <w:tc>
          <w:tcPr>
            <w:tcW w:w="1781" w:type="dxa"/>
            <w:tcBorders>
              <w:left w:val="single" w:sz="4" w:space="0" w:color="auto"/>
              <w:right w:val="single" w:sz="4" w:space="0" w:color="auto"/>
            </w:tcBorders>
            <w:shd w:val="clear" w:color="auto" w:fill="auto"/>
            <w:vAlign w:val="center"/>
          </w:tcPr>
          <w:p w14:paraId="550721B5" w14:textId="77777777" w:rsidR="000072C3" w:rsidRPr="000072C3" w:rsidRDefault="00283E0E" w:rsidP="000F59C2">
            <w:pPr>
              <w:pStyle w:val="blankspacesaftertables"/>
              <w:jc w:val="center"/>
              <w:rPr>
                <w:sz w:val="20"/>
              </w:rPr>
            </w:pPr>
            <w:r w:rsidRPr="00283E0E">
              <w:rPr>
                <w:sz w:val="20"/>
              </w:rPr>
              <w:t>-122.058056</w:t>
            </w:r>
            <w:r w:rsidRPr="003D55E5">
              <w:rPr>
                <w:sz w:val="20"/>
              </w:rPr>
              <w:t>º</w:t>
            </w:r>
          </w:p>
        </w:tc>
        <w:tc>
          <w:tcPr>
            <w:tcW w:w="2627" w:type="dxa"/>
            <w:tcBorders>
              <w:left w:val="single" w:sz="4" w:space="0" w:color="auto"/>
              <w:right w:val="single" w:sz="12" w:space="0" w:color="auto"/>
            </w:tcBorders>
            <w:shd w:val="clear" w:color="auto" w:fill="auto"/>
            <w:vAlign w:val="center"/>
          </w:tcPr>
          <w:p w14:paraId="0DA4F134" w14:textId="77777777" w:rsidR="000072C3" w:rsidRPr="000072C3" w:rsidRDefault="00C9297D" w:rsidP="000F59C2">
            <w:pPr>
              <w:pStyle w:val="blankspacesaftertables"/>
              <w:jc w:val="center"/>
              <w:rPr>
                <w:sz w:val="20"/>
              </w:rPr>
            </w:pPr>
            <w:r>
              <w:rPr>
                <w:sz w:val="20"/>
              </w:rPr>
              <w:t>Duck Pond 2</w:t>
            </w:r>
          </w:p>
        </w:tc>
      </w:tr>
      <w:tr w:rsidR="000072C3" w:rsidRPr="000072C3" w14:paraId="566F1773" w14:textId="77777777" w:rsidTr="00122E10">
        <w:trPr>
          <w:cantSplit/>
        </w:trPr>
        <w:tc>
          <w:tcPr>
            <w:tcW w:w="3320" w:type="dxa"/>
            <w:vMerge/>
            <w:tcBorders>
              <w:left w:val="single" w:sz="12" w:space="0" w:color="auto"/>
            </w:tcBorders>
            <w:shd w:val="clear" w:color="auto" w:fill="auto"/>
            <w:vAlign w:val="center"/>
          </w:tcPr>
          <w:p w14:paraId="46029A17" w14:textId="77777777" w:rsidR="000072C3" w:rsidRPr="000072C3" w:rsidRDefault="000072C3" w:rsidP="000072C3">
            <w:pPr>
              <w:pStyle w:val="blankspacesaftertables"/>
              <w:rPr>
                <w:sz w:val="20"/>
              </w:rPr>
            </w:pPr>
          </w:p>
        </w:tc>
        <w:tc>
          <w:tcPr>
            <w:tcW w:w="1224" w:type="dxa"/>
            <w:shd w:val="clear" w:color="auto" w:fill="auto"/>
            <w:vAlign w:val="center"/>
          </w:tcPr>
          <w:p w14:paraId="6CDE3DF8" w14:textId="77777777" w:rsidR="000072C3" w:rsidRPr="000072C3" w:rsidRDefault="000072C3" w:rsidP="000F59C2">
            <w:pPr>
              <w:pStyle w:val="blankspacesaftertables"/>
              <w:jc w:val="center"/>
              <w:rPr>
                <w:sz w:val="20"/>
              </w:rPr>
            </w:pPr>
            <w:r w:rsidRPr="000072C3">
              <w:rPr>
                <w:sz w:val="20"/>
              </w:rPr>
              <w:t>005</w:t>
            </w:r>
          </w:p>
        </w:tc>
        <w:tc>
          <w:tcPr>
            <w:tcW w:w="1776" w:type="dxa"/>
            <w:tcBorders>
              <w:left w:val="single" w:sz="4" w:space="0" w:color="auto"/>
              <w:right w:val="single" w:sz="4" w:space="0" w:color="auto"/>
            </w:tcBorders>
            <w:shd w:val="clear" w:color="auto" w:fill="auto"/>
            <w:vAlign w:val="center"/>
          </w:tcPr>
          <w:p w14:paraId="24FC363A" w14:textId="77777777" w:rsidR="000072C3" w:rsidRPr="000072C3" w:rsidRDefault="00283E0E" w:rsidP="000F59C2">
            <w:pPr>
              <w:pStyle w:val="blankspacesaftertables"/>
              <w:jc w:val="center"/>
              <w:rPr>
                <w:sz w:val="20"/>
              </w:rPr>
            </w:pPr>
            <w:r w:rsidRPr="00283E0E">
              <w:rPr>
                <w:sz w:val="20"/>
              </w:rPr>
              <w:t>38.233333</w:t>
            </w:r>
            <w:r w:rsidRPr="003D55E5">
              <w:rPr>
                <w:sz w:val="20"/>
              </w:rPr>
              <w:t>º</w:t>
            </w:r>
          </w:p>
        </w:tc>
        <w:tc>
          <w:tcPr>
            <w:tcW w:w="1781" w:type="dxa"/>
            <w:tcBorders>
              <w:left w:val="single" w:sz="4" w:space="0" w:color="auto"/>
              <w:right w:val="single" w:sz="4" w:space="0" w:color="auto"/>
            </w:tcBorders>
            <w:shd w:val="clear" w:color="auto" w:fill="auto"/>
            <w:vAlign w:val="center"/>
          </w:tcPr>
          <w:p w14:paraId="7AB90E88" w14:textId="77777777" w:rsidR="000072C3" w:rsidRPr="000072C3" w:rsidRDefault="00283E0E" w:rsidP="000F59C2">
            <w:pPr>
              <w:pStyle w:val="blankspacesaftertables"/>
              <w:jc w:val="center"/>
              <w:rPr>
                <w:sz w:val="20"/>
              </w:rPr>
            </w:pPr>
            <w:r w:rsidRPr="00283E0E">
              <w:rPr>
                <w:sz w:val="20"/>
              </w:rPr>
              <w:t>-122.058889</w:t>
            </w:r>
            <w:r w:rsidRPr="003D55E5">
              <w:rPr>
                <w:sz w:val="20"/>
              </w:rPr>
              <w:t>º</w:t>
            </w:r>
          </w:p>
        </w:tc>
        <w:tc>
          <w:tcPr>
            <w:tcW w:w="2627" w:type="dxa"/>
            <w:tcBorders>
              <w:left w:val="single" w:sz="4" w:space="0" w:color="auto"/>
              <w:right w:val="single" w:sz="12" w:space="0" w:color="auto"/>
            </w:tcBorders>
            <w:shd w:val="clear" w:color="auto" w:fill="auto"/>
            <w:vAlign w:val="center"/>
          </w:tcPr>
          <w:p w14:paraId="286F71D7" w14:textId="77777777" w:rsidR="000072C3" w:rsidRPr="000072C3" w:rsidRDefault="000072C3" w:rsidP="000F59C2">
            <w:pPr>
              <w:pStyle w:val="blankspacesaftertables"/>
              <w:jc w:val="center"/>
              <w:rPr>
                <w:sz w:val="20"/>
              </w:rPr>
            </w:pPr>
            <w:r w:rsidRPr="000072C3">
              <w:rPr>
                <w:sz w:val="20"/>
              </w:rPr>
              <w:t>Ledgewood Creek</w:t>
            </w:r>
          </w:p>
        </w:tc>
      </w:tr>
      <w:tr w:rsidR="000072C3" w:rsidRPr="000072C3" w14:paraId="2F035887" w14:textId="77777777" w:rsidTr="00122E10">
        <w:trPr>
          <w:cantSplit/>
        </w:trPr>
        <w:tc>
          <w:tcPr>
            <w:tcW w:w="3320" w:type="dxa"/>
            <w:vMerge w:val="restart"/>
            <w:tcBorders>
              <w:left w:val="single" w:sz="12" w:space="0" w:color="auto"/>
            </w:tcBorders>
            <w:shd w:val="clear" w:color="auto" w:fill="auto"/>
            <w:vAlign w:val="center"/>
          </w:tcPr>
          <w:p w14:paraId="7EE38884" w14:textId="77777777" w:rsidR="000072C3" w:rsidRPr="000072C3" w:rsidRDefault="000072C3" w:rsidP="000072C3">
            <w:pPr>
              <w:pStyle w:val="blankspacesaftertables"/>
              <w:rPr>
                <w:sz w:val="20"/>
              </w:rPr>
            </w:pPr>
            <w:r w:rsidRPr="000072C3">
              <w:rPr>
                <w:sz w:val="20"/>
              </w:rPr>
              <w:t>Las Gallinas Valley Sanitary District</w:t>
            </w:r>
          </w:p>
        </w:tc>
        <w:tc>
          <w:tcPr>
            <w:tcW w:w="1224" w:type="dxa"/>
            <w:shd w:val="clear" w:color="auto" w:fill="auto"/>
            <w:vAlign w:val="center"/>
          </w:tcPr>
          <w:p w14:paraId="79F925D0" w14:textId="77777777" w:rsidR="000072C3" w:rsidRPr="000072C3" w:rsidRDefault="000072C3" w:rsidP="003819AA">
            <w:pPr>
              <w:pStyle w:val="blankspacesaftertables"/>
              <w:jc w:val="center"/>
              <w:rPr>
                <w:sz w:val="20"/>
              </w:rPr>
            </w:pPr>
            <w:r w:rsidRPr="000072C3">
              <w:rPr>
                <w:sz w:val="20"/>
              </w:rPr>
              <w:t>001</w:t>
            </w:r>
          </w:p>
        </w:tc>
        <w:tc>
          <w:tcPr>
            <w:tcW w:w="1776" w:type="dxa"/>
            <w:tcBorders>
              <w:left w:val="single" w:sz="4" w:space="0" w:color="auto"/>
              <w:right w:val="single" w:sz="4" w:space="0" w:color="auto"/>
            </w:tcBorders>
            <w:shd w:val="clear" w:color="auto" w:fill="auto"/>
            <w:vAlign w:val="center"/>
          </w:tcPr>
          <w:p w14:paraId="662C921F" w14:textId="77777777" w:rsidR="000072C3" w:rsidRPr="000072C3" w:rsidRDefault="00B06062" w:rsidP="000F59C2">
            <w:pPr>
              <w:pStyle w:val="blankspacesaftertables"/>
              <w:jc w:val="center"/>
              <w:rPr>
                <w:sz w:val="20"/>
              </w:rPr>
            </w:pPr>
            <w:r w:rsidRPr="00B06062">
              <w:rPr>
                <w:sz w:val="20"/>
              </w:rPr>
              <w:t>38.025556</w:t>
            </w:r>
            <w:r w:rsidRPr="003D55E5">
              <w:rPr>
                <w:sz w:val="20"/>
              </w:rPr>
              <w:t>º</w:t>
            </w:r>
          </w:p>
        </w:tc>
        <w:tc>
          <w:tcPr>
            <w:tcW w:w="1781" w:type="dxa"/>
            <w:tcBorders>
              <w:left w:val="single" w:sz="4" w:space="0" w:color="auto"/>
              <w:right w:val="single" w:sz="4" w:space="0" w:color="auto"/>
            </w:tcBorders>
            <w:shd w:val="clear" w:color="auto" w:fill="auto"/>
            <w:vAlign w:val="center"/>
          </w:tcPr>
          <w:p w14:paraId="56EEAF50" w14:textId="77777777" w:rsidR="000072C3" w:rsidRPr="000072C3" w:rsidRDefault="00B06062" w:rsidP="000F59C2">
            <w:pPr>
              <w:pStyle w:val="blankspacesaftertables"/>
              <w:jc w:val="center"/>
              <w:rPr>
                <w:sz w:val="20"/>
              </w:rPr>
            </w:pPr>
            <w:r>
              <w:rPr>
                <w:sz w:val="20"/>
              </w:rPr>
              <w:t>-</w:t>
            </w:r>
            <w:r w:rsidRPr="00B06062">
              <w:rPr>
                <w:sz w:val="20"/>
              </w:rPr>
              <w:t>122.516111</w:t>
            </w:r>
            <w:r w:rsidRPr="003D55E5">
              <w:rPr>
                <w:sz w:val="20"/>
              </w:rPr>
              <w:t>º</w:t>
            </w:r>
          </w:p>
        </w:tc>
        <w:tc>
          <w:tcPr>
            <w:tcW w:w="2627" w:type="dxa"/>
            <w:tcBorders>
              <w:left w:val="single" w:sz="4" w:space="0" w:color="auto"/>
              <w:right w:val="single" w:sz="12" w:space="0" w:color="auto"/>
            </w:tcBorders>
            <w:shd w:val="clear" w:color="auto" w:fill="auto"/>
            <w:vAlign w:val="center"/>
          </w:tcPr>
          <w:p w14:paraId="1DC87A2A" w14:textId="77777777" w:rsidR="000072C3" w:rsidRPr="000072C3" w:rsidRDefault="000072C3" w:rsidP="000F59C2">
            <w:pPr>
              <w:pStyle w:val="blankspacesaftertables"/>
              <w:jc w:val="center"/>
              <w:rPr>
                <w:sz w:val="20"/>
              </w:rPr>
            </w:pPr>
            <w:r w:rsidRPr="000072C3">
              <w:rPr>
                <w:sz w:val="20"/>
              </w:rPr>
              <w:t>Miller Creek</w:t>
            </w:r>
          </w:p>
        </w:tc>
      </w:tr>
      <w:tr w:rsidR="000072C3" w:rsidRPr="000072C3" w14:paraId="36D8BAAB" w14:textId="77777777" w:rsidTr="00122E10">
        <w:trPr>
          <w:cantSplit/>
        </w:trPr>
        <w:tc>
          <w:tcPr>
            <w:tcW w:w="3320" w:type="dxa"/>
            <w:vMerge/>
            <w:tcBorders>
              <w:left w:val="single" w:sz="12" w:space="0" w:color="auto"/>
            </w:tcBorders>
            <w:shd w:val="clear" w:color="auto" w:fill="auto"/>
            <w:vAlign w:val="center"/>
          </w:tcPr>
          <w:p w14:paraId="2E680085" w14:textId="77777777" w:rsidR="000072C3" w:rsidRPr="000072C3" w:rsidRDefault="000072C3" w:rsidP="000072C3">
            <w:pPr>
              <w:pStyle w:val="blankspacesaftertables"/>
              <w:rPr>
                <w:sz w:val="20"/>
              </w:rPr>
            </w:pPr>
          </w:p>
        </w:tc>
        <w:tc>
          <w:tcPr>
            <w:tcW w:w="1224" w:type="dxa"/>
            <w:shd w:val="clear" w:color="auto" w:fill="auto"/>
            <w:vAlign w:val="center"/>
          </w:tcPr>
          <w:p w14:paraId="66E8C11C" w14:textId="77777777" w:rsidR="000072C3" w:rsidRPr="000072C3" w:rsidRDefault="000072C3" w:rsidP="000F59C2">
            <w:pPr>
              <w:pStyle w:val="blankspacesaftertables"/>
              <w:jc w:val="center"/>
              <w:rPr>
                <w:sz w:val="20"/>
              </w:rPr>
            </w:pPr>
            <w:r w:rsidRPr="000072C3">
              <w:rPr>
                <w:sz w:val="20"/>
              </w:rPr>
              <w:t>002</w:t>
            </w:r>
          </w:p>
        </w:tc>
        <w:tc>
          <w:tcPr>
            <w:tcW w:w="1776" w:type="dxa"/>
            <w:tcBorders>
              <w:left w:val="single" w:sz="4" w:space="0" w:color="auto"/>
              <w:right w:val="single" w:sz="4" w:space="0" w:color="auto"/>
            </w:tcBorders>
            <w:shd w:val="clear" w:color="auto" w:fill="auto"/>
            <w:vAlign w:val="center"/>
          </w:tcPr>
          <w:p w14:paraId="0A45445D" w14:textId="77777777" w:rsidR="000072C3" w:rsidRPr="000072C3" w:rsidRDefault="00B06062" w:rsidP="000F59C2">
            <w:pPr>
              <w:pStyle w:val="blankspacesaftertables"/>
              <w:jc w:val="center"/>
              <w:rPr>
                <w:sz w:val="20"/>
              </w:rPr>
            </w:pPr>
            <w:r w:rsidRPr="00B06062">
              <w:rPr>
                <w:sz w:val="20"/>
              </w:rPr>
              <w:t>38.025278</w:t>
            </w:r>
            <w:r w:rsidRPr="003D55E5">
              <w:rPr>
                <w:sz w:val="20"/>
              </w:rPr>
              <w:t>º</w:t>
            </w:r>
          </w:p>
        </w:tc>
        <w:tc>
          <w:tcPr>
            <w:tcW w:w="1781" w:type="dxa"/>
            <w:tcBorders>
              <w:left w:val="single" w:sz="4" w:space="0" w:color="auto"/>
              <w:right w:val="single" w:sz="4" w:space="0" w:color="auto"/>
            </w:tcBorders>
            <w:shd w:val="clear" w:color="auto" w:fill="auto"/>
            <w:vAlign w:val="center"/>
          </w:tcPr>
          <w:p w14:paraId="1E5C5A8F" w14:textId="77777777" w:rsidR="000072C3" w:rsidRPr="000072C3" w:rsidRDefault="00786A0B" w:rsidP="000F59C2">
            <w:pPr>
              <w:pStyle w:val="blankspacesaftertables"/>
              <w:jc w:val="center"/>
              <w:rPr>
                <w:sz w:val="20"/>
              </w:rPr>
            </w:pPr>
            <w:r>
              <w:rPr>
                <w:sz w:val="20"/>
              </w:rPr>
              <w:t>-</w:t>
            </w:r>
            <w:r w:rsidR="00B06062" w:rsidRPr="00B06062">
              <w:rPr>
                <w:sz w:val="20"/>
              </w:rPr>
              <w:t>122.513333</w:t>
            </w:r>
            <w:r w:rsidR="00B06062" w:rsidRPr="003D55E5">
              <w:rPr>
                <w:sz w:val="20"/>
              </w:rPr>
              <w:t>º</w:t>
            </w:r>
          </w:p>
        </w:tc>
        <w:tc>
          <w:tcPr>
            <w:tcW w:w="2627" w:type="dxa"/>
            <w:tcBorders>
              <w:left w:val="single" w:sz="4" w:space="0" w:color="auto"/>
              <w:right w:val="single" w:sz="12" w:space="0" w:color="auto"/>
            </w:tcBorders>
            <w:shd w:val="clear" w:color="auto" w:fill="auto"/>
            <w:vAlign w:val="center"/>
          </w:tcPr>
          <w:p w14:paraId="580AF152" w14:textId="77777777" w:rsidR="000072C3" w:rsidRPr="000072C3" w:rsidRDefault="000072C3" w:rsidP="000F59C2">
            <w:pPr>
              <w:pStyle w:val="blankspacesaftertables"/>
              <w:jc w:val="center"/>
              <w:rPr>
                <w:sz w:val="20"/>
              </w:rPr>
            </w:pPr>
            <w:r w:rsidRPr="000072C3">
              <w:rPr>
                <w:sz w:val="20"/>
              </w:rPr>
              <w:t>Miller Creek</w:t>
            </w:r>
          </w:p>
        </w:tc>
      </w:tr>
      <w:tr w:rsidR="000072C3" w:rsidRPr="000072C3" w14:paraId="1300ACAB" w14:textId="77777777" w:rsidTr="00122E10">
        <w:trPr>
          <w:cantSplit/>
        </w:trPr>
        <w:tc>
          <w:tcPr>
            <w:tcW w:w="3320" w:type="dxa"/>
            <w:tcBorders>
              <w:left w:val="single" w:sz="12" w:space="0" w:color="auto"/>
            </w:tcBorders>
            <w:shd w:val="clear" w:color="auto" w:fill="auto"/>
            <w:vAlign w:val="center"/>
          </w:tcPr>
          <w:p w14:paraId="337E10D5" w14:textId="77777777" w:rsidR="000072C3" w:rsidRPr="000072C3" w:rsidRDefault="000072C3" w:rsidP="000072C3">
            <w:pPr>
              <w:pStyle w:val="blankspacesaftertables"/>
              <w:rPr>
                <w:sz w:val="20"/>
              </w:rPr>
            </w:pPr>
            <w:r w:rsidRPr="000072C3">
              <w:rPr>
                <w:sz w:val="20"/>
              </w:rPr>
              <w:t xml:space="preserve">Marin County (Paradise Cove), Sanitary District No. 5 of </w:t>
            </w:r>
          </w:p>
        </w:tc>
        <w:tc>
          <w:tcPr>
            <w:tcW w:w="1224" w:type="dxa"/>
            <w:shd w:val="clear" w:color="auto" w:fill="auto"/>
            <w:vAlign w:val="center"/>
          </w:tcPr>
          <w:p w14:paraId="065885A3" w14:textId="77777777" w:rsidR="000072C3" w:rsidRPr="000072C3" w:rsidRDefault="000072C3" w:rsidP="000F59C2">
            <w:pPr>
              <w:pStyle w:val="blankspacesaftertables"/>
              <w:jc w:val="center"/>
              <w:rPr>
                <w:sz w:val="20"/>
              </w:rPr>
            </w:pPr>
            <w:r w:rsidRPr="000072C3">
              <w:rPr>
                <w:sz w:val="20"/>
              </w:rPr>
              <w:t>001</w:t>
            </w:r>
          </w:p>
        </w:tc>
        <w:tc>
          <w:tcPr>
            <w:tcW w:w="1776" w:type="dxa"/>
            <w:tcBorders>
              <w:left w:val="single" w:sz="4" w:space="0" w:color="auto"/>
              <w:right w:val="single" w:sz="4" w:space="0" w:color="auto"/>
            </w:tcBorders>
            <w:shd w:val="clear" w:color="auto" w:fill="auto"/>
            <w:vAlign w:val="center"/>
          </w:tcPr>
          <w:p w14:paraId="0D0B71EB" w14:textId="77777777" w:rsidR="000072C3" w:rsidRPr="000072C3" w:rsidRDefault="00EB0557" w:rsidP="000F59C2">
            <w:pPr>
              <w:pStyle w:val="blankspacesaftertables"/>
              <w:jc w:val="center"/>
              <w:rPr>
                <w:sz w:val="20"/>
              </w:rPr>
            </w:pPr>
            <w:r w:rsidRPr="00EB0557">
              <w:rPr>
                <w:sz w:val="20"/>
              </w:rPr>
              <w:t>37.897222</w:t>
            </w:r>
            <w:r w:rsidRPr="003D55E5">
              <w:rPr>
                <w:sz w:val="20"/>
              </w:rPr>
              <w:t>º</w:t>
            </w:r>
          </w:p>
        </w:tc>
        <w:tc>
          <w:tcPr>
            <w:tcW w:w="1781" w:type="dxa"/>
            <w:tcBorders>
              <w:left w:val="single" w:sz="4" w:space="0" w:color="auto"/>
              <w:right w:val="single" w:sz="4" w:space="0" w:color="auto"/>
            </w:tcBorders>
            <w:shd w:val="clear" w:color="auto" w:fill="auto"/>
            <w:vAlign w:val="center"/>
          </w:tcPr>
          <w:p w14:paraId="0B1E0497" w14:textId="77777777" w:rsidR="000072C3" w:rsidRPr="000072C3" w:rsidRDefault="00786A0B" w:rsidP="000F59C2">
            <w:pPr>
              <w:pStyle w:val="blankspacesaftertables"/>
              <w:jc w:val="center"/>
              <w:rPr>
                <w:sz w:val="20"/>
              </w:rPr>
            </w:pPr>
            <w:r>
              <w:rPr>
                <w:sz w:val="20"/>
              </w:rPr>
              <w:t>-</w:t>
            </w:r>
            <w:r w:rsidR="00EB0557" w:rsidRPr="00EB0557">
              <w:rPr>
                <w:sz w:val="20"/>
              </w:rPr>
              <w:t>122.461111</w:t>
            </w:r>
            <w:r w:rsidR="00EB0557" w:rsidRPr="003D55E5">
              <w:rPr>
                <w:sz w:val="20"/>
              </w:rPr>
              <w:t>º</w:t>
            </w:r>
          </w:p>
        </w:tc>
        <w:tc>
          <w:tcPr>
            <w:tcW w:w="2627" w:type="dxa"/>
            <w:tcBorders>
              <w:left w:val="single" w:sz="4" w:space="0" w:color="auto"/>
              <w:right w:val="single" w:sz="12" w:space="0" w:color="auto"/>
            </w:tcBorders>
            <w:shd w:val="clear" w:color="auto" w:fill="auto"/>
            <w:vAlign w:val="center"/>
          </w:tcPr>
          <w:p w14:paraId="19A2BB85" w14:textId="77777777" w:rsidR="000072C3" w:rsidRPr="000072C3" w:rsidRDefault="000072C3" w:rsidP="000F59C2">
            <w:pPr>
              <w:pStyle w:val="blankspacesaftertables"/>
              <w:jc w:val="center"/>
              <w:rPr>
                <w:sz w:val="20"/>
              </w:rPr>
            </w:pPr>
            <w:r w:rsidRPr="000072C3">
              <w:rPr>
                <w:sz w:val="20"/>
              </w:rPr>
              <w:t>Central San Francisco Bay</w:t>
            </w:r>
          </w:p>
        </w:tc>
      </w:tr>
      <w:tr w:rsidR="000072C3" w:rsidRPr="000072C3" w14:paraId="54245587" w14:textId="77777777" w:rsidTr="00122E10">
        <w:trPr>
          <w:cantSplit/>
        </w:trPr>
        <w:tc>
          <w:tcPr>
            <w:tcW w:w="3320" w:type="dxa"/>
            <w:tcBorders>
              <w:left w:val="single" w:sz="12" w:space="0" w:color="auto"/>
            </w:tcBorders>
            <w:shd w:val="clear" w:color="auto" w:fill="auto"/>
            <w:vAlign w:val="center"/>
          </w:tcPr>
          <w:p w14:paraId="1BECDD50" w14:textId="77777777" w:rsidR="000072C3" w:rsidRPr="000072C3" w:rsidRDefault="000072C3" w:rsidP="000072C3">
            <w:pPr>
              <w:pStyle w:val="blankspacesaftertables"/>
              <w:rPr>
                <w:sz w:val="20"/>
              </w:rPr>
            </w:pPr>
            <w:r w:rsidRPr="000072C3">
              <w:rPr>
                <w:sz w:val="20"/>
              </w:rPr>
              <w:t>Marin County</w:t>
            </w:r>
            <w:r w:rsidR="00EB0557">
              <w:rPr>
                <w:sz w:val="20"/>
              </w:rPr>
              <w:t xml:space="preserve"> (Tiburon), </w:t>
            </w:r>
            <w:r w:rsidRPr="000072C3">
              <w:rPr>
                <w:sz w:val="20"/>
              </w:rPr>
              <w:t>Sanitary District No. 5 of</w:t>
            </w:r>
          </w:p>
        </w:tc>
        <w:tc>
          <w:tcPr>
            <w:tcW w:w="1224" w:type="dxa"/>
            <w:shd w:val="clear" w:color="auto" w:fill="auto"/>
            <w:vAlign w:val="center"/>
          </w:tcPr>
          <w:p w14:paraId="68F2FA96" w14:textId="77777777" w:rsidR="000072C3" w:rsidRPr="000072C3" w:rsidRDefault="000072C3" w:rsidP="000F59C2">
            <w:pPr>
              <w:pStyle w:val="blankspacesaftertables"/>
              <w:jc w:val="center"/>
              <w:rPr>
                <w:sz w:val="20"/>
              </w:rPr>
            </w:pPr>
            <w:r w:rsidRPr="000072C3">
              <w:rPr>
                <w:sz w:val="20"/>
              </w:rPr>
              <w:t>001</w:t>
            </w:r>
          </w:p>
        </w:tc>
        <w:tc>
          <w:tcPr>
            <w:tcW w:w="1776" w:type="dxa"/>
            <w:tcBorders>
              <w:left w:val="single" w:sz="4" w:space="0" w:color="auto"/>
              <w:right w:val="single" w:sz="4" w:space="0" w:color="auto"/>
            </w:tcBorders>
            <w:shd w:val="clear" w:color="auto" w:fill="auto"/>
            <w:vAlign w:val="center"/>
          </w:tcPr>
          <w:p w14:paraId="4C8432FE" w14:textId="77777777" w:rsidR="000072C3" w:rsidRPr="000072C3" w:rsidRDefault="00122E10" w:rsidP="000F59C2">
            <w:pPr>
              <w:pStyle w:val="blankspacesaftertables"/>
              <w:jc w:val="center"/>
              <w:rPr>
                <w:sz w:val="20"/>
              </w:rPr>
            </w:pPr>
            <w:r>
              <w:rPr>
                <w:sz w:val="20"/>
              </w:rPr>
              <w:t>37.870000</w:t>
            </w:r>
            <w:r w:rsidRPr="003D55E5">
              <w:rPr>
                <w:sz w:val="20"/>
              </w:rPr>
              <w:t>º</w:t>
            </w:r>
          </w:p>
        </w:tc>
        <w:tc>
          <w:tcPr>
            <w:tcW w:w="1781" w:type="dxa"/>
            <w:tcBorders>
              <w:left w:val="single" w:sz="4" w:space="0" w:color="auto"/>
              <w:right w:val="single" w:sz="4" w:space="0" w:color="auto"/>
            </w:tcBorders>
            <w:shd w:val="clear" w:color="auto" w:fill="auto"/>
            <w:vAlign w:val="center"/>
          </w:tcPr>
          <w:p w14:paraId="06A526B3" w14:textId="77777777" w:rsidR="000072C3" w:rsidRPr="000072C3" w:rsidRDefault="00786A0B" w:rsidP="000F59C2">
            <w:pPr>
              <w:pStyle w:val="blankspacesaftertables"/>
              <w:jc w:val="center"/>
              <w:rPr>
                <w:sz w:val="20"/>
              </w:rPr>
            </w:pPr>
            <w:r>
              <w:rPr>
                <w:sz w:val="20"/>
              </w:rPr>
              <w:t>-</w:t>
            </w:r>
            <w:r w:rsidR="00122E10" w:rsidRPr="00122E10">
              <w:rPr>
                <w:sz w:val="20"/>
              </w:rPr>
              <w:t>122.361389</w:t>
            </w:r>
            <w:r w:rsidR="00122E10" w:rsidRPr="003D55E5">
              <w:rPr>
                <w:sz w:val="20"/>
              </w:rPr>
              <w:t>º</w:t>
            </w:r>
          </w:p>
        </w:tc>
        <w:tc>
          <w:tcPr>
            <w:tcW w:w="2627" w:type="dxa"/>
            <w:tcBorders>
              <w:left w:val="single" w:sz="4" w:space="0" w:color="auto"/>
              <w:right w:val="single" w:sz="12" w:space="0" w:color="auto"/>
            </w:tcBorders>
            <w:shd w:val="clear" w:color="auto" w:fill="auto"/>
            <w:vAlign w:val="center"/>
          </w:tcPr>
          <w:p w14:paraId="08CA4E23" w14:textId="77777777" w:rsidR="000072C3" w:rsidRPr="000072C3" w:rsidRDefault="00122E10" w:rsidP="000F59C2">
            <w:pPr>
              <w:pStyle w:val="blankspacesaftertables"/>
              <w:jc w:val="center"/>
              <w:rPr>
                <w:sz w:val="20"/>
              </w:rPr>
            </w:pPr>
            <w:r>
              <w:rPr>
                <w:sz w:val="20"/>
              </w:rPr>
              <w:t>Raccoon Strait in</w:t>
            </w:r>
            <w:r w:rsidR="000072C3" w:rsidRPr="000072C3">
              <w:rPr>
                <w:sz w:val="20"/>
              </w:rPr>
              <w:t xml:space="preserve"> Central San Francisco Bay</w:t>
            </w:r>
          </w:p>
        </w:tc>
      </w:tr>
      <w:tr w:rsidR="000072C3" w:rsidRPr="000072C3" w14:paraId="7FE88085" w14:textId="77777777" w:rsidTr="00122E10">
        <w:trPr>
          <w:cantSplit/>
        </w:trPr>
        <w:tc>
          <w:tcPr>
            <w:tcW w:w="3320" w:type="dxa"/>
            <w:tcBorders>
              <w:left w:val="single" w:sz="12" w:space="0" w:color="auto"/>
            </w:tcBorders>
            <w:shd w:val="clear" w:color="auto" w:fill="auto"/>
            <w:vAlign w:val="center"/>
          </w:tcPr>
          <w:p w14:paraId="10F1FA75" w14:textId="77777777" w:rsidR="000072C3" w:rsidRPr="000072C3" w:rsidRDefault="000072C3" w:rsidP="000072C3">
            <w:pPr>
              <w:pStyle w:val="blankspacesaftertables"/>
              <w:rPr>
                <w:sz w:val="20"/>
              </w:rPr>
            </w:pPr>
            <w:r w:rsidRPr="000072C3">
              <w:rPr>
                <w:sz w:val="20"/>
              </w:rPr>
              <w:t>Millbrae, City of</w:t>
            </w:r>
          </w:p>
        </w:tc>
        <w:tc>
          <w:tcPr>
            <w:tcW w:w="1224" w:type="dxa"/>
            <w:shd w:val="clear" w:color="auto" w:fill="auto"/>
            <w:vAlign w:val="center"/>
          </w:tcPr>
          <w:p w14:paraId="2E2208E3" w14:textId="77777777" w:rsidR="000072C3" w:rsidRPr="000072C3" w:rsidRDefault="000072C3" w:rsidP="000F59C2">
            <w:pPr>
              <w:pStyle w:val="blankspacesaftertables"/>
              <w:jc w:val="center"/>
              <w:rPr>
                <w:sz w:val="20"/>
              </w:rPr>
            </w:pPr>
            <w:r w:rsidRPr="000072C3">
              <w:rPr>
                <w:sz w:val="20"/>
              </w:rPr>
              <w:t>001</w:t>
            </w:r>
          </w:p>
        </w:tc>
        <w:tc>
          <w:tcPr>
            <w:tcW w:w="1776" w:type="dxa"/>
            <w:tcBorders>
              <w:left w:val="single" w:sz="4" w:space="0" w:color="auto"/>
              <w:right w:val="single" w:sz="4" w:space="0" w:color="auto"/>
            </w:tcBorders>
            <w:shd w:val="clear" w:color="auto" w:fill="auto"/>
            <w:vAlign w:val="center"/>
          </w:tcPr>
          <w:p w14:paraId="6ABBB0A6" w14:textId="77777777" w:rsidR="000072C3" w:rsidRPr="000072C3" w:rsidRDefault="00193D8F" w:rsidP="000F59C2">
            <w:pPr>
              <w:pStyle w:val="blankspacesaftertables"/>
              <w:jc w:val="center"/>
              <w:rPr>
                <w:sz w:val="20"/>
              </w:rPr>
            </w:pPr>
            <w:r w:rsidRPr="00193D8F">
              <w:rPr>
                <w:sz w:val="20"/>
              </w:rPr>
              <w:t>37.665278</w:t>
            </w:r>
            <w:r w:rsidRPr="003D55E5">
              <w:rPr>
                <w:sz w:val="20"/>
              </w:rPr>
              <w:t>º</w:t>
            </w:r>
          </w:p>
        </w:tc>
        <w:tc>
          <w:tcPr>
            <w:tcW w:w="1781" w:type="dxa"/>
            <w:tcBorders>
              <w:left w:val="single" w:sz="4" w:space="0" w:color="auto"/>
              <w:right w:val="single" w:sz="4" w:space="0" w:color="auto"/>
            </w:tcBorders>
            <w:shd w:val="clear" w:color="auto" w:fill="auto"/>
            <w:vAlign w:val="center"/>
          </w:tcPr>
          <w:p w14:paraId="3D74B562" w14:textId="77777777" w:rsidR="000072C3" w:rsidRPr="000072C3" w:rsidRDefault="00193D8F" w:rsidP="000F59C2">
            <w:pPr>
              <w:pStyle w:val="blankspacesaftertables"/>
              <w:jc w:val="center"/>
              <w:rPr>
                <w:sz w:val="20"/>
              </w:rPr>
            </w:pPr>
            <w:r w:rsidRPr="00193D8F">
              <w:rPr>
                <w:sz w:val="20"/>
              </w:rPr>
              <w:t>-122.361389</w:t>
            </w:r>
            <w:r w:rsidRPr="003D55E5">
              <w:rPr>
                <w:sz w:val="20"/>
              </w:rPr>
              <w:t>º</w:t>
            </w:r>
          </w:p>
        </w:tc>
        <w:tc>
          <w:tcPr>
            <w:tcW w:w="2627" w:type="dxa"/>
            <w:tcBorders>
              <w:left w:val="single" w:sz="4" w:space="0" w:color="auto"/>
              <w:right w:val="single" w:sz="12" w:space="0" w:color="auto"/>
            </w:tcBorders>
            <w:shd w:val="clear" w:color="auto" w:fill="auto"/>
            <w:vAlign w:val="center"/>
          </w:tcPr>
          <w:p w14:paraId="415F4BB7" w14:textId="77777777" w:rsidR="000072C3" w:rsidRPr="000072C3" w:rsidRDefault="000072C3" w:rsidP="000F59C2">
            <w:pPr>
              <w:pStyle w:val="blankspacesaftertables"/>
              <w:jc w:val="center"/>
              <w:rPr>
                <w:sz w:val="20"/>
              </w:rPr>
            </w:pPr>
            <w:r w:rsidRPr="000072C3">
              <w:rPr>
                <w:sz w:val="20"/>
              </w:rPr>
              <w:t>Lower San Francisco Bay</w:t>
            </w:r>
          </w:p>
        </w:tc>
      </w:tr>
      <w:tr w:rsidR="000072C3" w:rsidRPr="000072C3" w14:paraId="561325E3" w14:textId="77777777" w:rsidTr="00122E10">
        <w:trPr>
          <w:cantSplit/>
        </w:trPr>
        <w:tc>
          <w:tcPr>
            <w:tcW w:w="3320" w:type="dxa"/>
            <w:tcBorders>
              <w:left w:val="single" w:sz="12" w:space="0" w:color="auto"/>
            </w:tcBorders>
            <w:shd w:val="clear" w:color="auto" w:fill="auto"/>
            <w:vAlign w:val="center"/>
          </w:tcPr>
          <w:p w14:paraId="159774BE" w14:textId="77777777" w:rsidR="000072C3" w:rsidRPr="000072C3" w:rsidRDefault="000072C3" w:rsidP="000072C3">
            <w:pPr>
              <w:pStyle w:val="blankspacesaftertables"/>
              <w:rPr>
                <w:sz w:val="20"/>
              </w:rPr>
            </w:pPr>
            <w:r w:rsidRPr="000072C3">
              <w:rPr>
                <w:sz w:val="20"/>
              </w:rPr>
              <w:t>Mt. View Sanitary District</w:t>
            </w:r>
          </w:p>
        </w:tc>
        <w:tc>
          <w:tcPr>
            <w:tcW w:w="1224" w:type="dxa"/>
            <w:shd w:val="clear" w:color="auto" w:fill="auto"/>
            <w:vAlign w:val="center"/>
          </w:tcPr>
          <w:p w14:paraId="6E664B67" w14:textId="77777777" w:rsidR="000072C3" w:rsidRPr="000072C3" w:rsidRDefault="000072C3" w:rsidP="000F59C2">
            <w:pPr>
              <w:pStyle w:val="blankspacesaftertables"/>
              <w:jc w:val="center"/>
              <w:rPr>
                <w:sz w:val="20"/>
              </w:rPr>
            </w:pPr>
            <w:r w:rsidRPr="000072C3">
              <w:rPr>
                <w:sz w:val="20"/>
              </w:rPr>
              <w:t>001</w:t>
            </w:r>
          </w:p>
        </w:tc>
        <w:tc>
          <w:tcPr>
            <w:tcW w:w="1776" w:type="dxa"/>
            <w:tcBorders>
              <w:left w:val="single" w:sz="4" w:space="0" w:color="auto"/>
              <w:right w:val="single" w:sz="4" w:space="0" w:color="auto"/>
            </w:tcBorders>
            <w:shd w:val="clear" w:color="auto" w:fill="auto"/>
            <w:vAlign w:val="center"/>
          </w:tcPr>
          <w:p w14:paraId="656798F7" w14:textId="77777777" w:rsidR="000072C3" w:rsidRPr="000072C3" w:rsidRDefault="00A70BEC" w:rsidP="000F59C2">
            <w:pPr>
              <w:pStyle w:val="blankspacesaftertables"/>
              <w:jc w:val="center"/>
              <w:rPr>
                <w:sz w:val="20"/>
              </w:rPr>
            </w:pPr>
            <w:r w:rsidRPr="00A70BEC">
              <w:rPr>
                <w:sz w:val="20"/>
              </w:rPr>
              <w:t>38.021111</w:t>
            </w:r>
            <w:r w:rsidRPr="003D55E5">
              <w:rPr>
                <w:sz w:val="20"/>
              </w:rPr>
              <w:t>º</w:t>
            </w:r>
          </w:p>
        </w:tc>
        <w:tc>
          <w:tcPr>
            <w:tcW w:w="1781" w:type="dxa"/>
            <w:tcBorders>
              <w:left w:val="single" w:sz="4" w:space="0" w:color="auto"/>
              <w:right w:val="single" w:sz="4" w:space="0" w:color="auto"/>
            </w:tcBorders>
            <w:shd w:val="clear" w:color="auto" w:fill="auto"/>
            <w:vAlign w:val="center"/>
          </w:tcPr>
          <w:p w14:paraId="526420F5" w14:textId="77777777" w:rsidR="000072C3" w:rsidRPr="000072C3" w:rsidRDefault="00A70BEC" w:rsidP="000F59C2">
            <w:pPr>
              <w:pStyle w:val="blankspacesaftertables"/>
              <w:jc w:val="center"/>
              <w:rPr>
                <w:sz w:val="20"/>
              </w:rPr>
            </w:pPr>
            <w:r w:rsidRPr="00A70BEC">
              <w:rPr>
                <w:sz w:val="20"/>
              </w:rPr>
              <w:t>-122.103611</w:t>
            </w:r>
            <w:r w:rsidRPr="003D55E5">
              <w:rPr>
                <w:sz w:val="20"/>
              </w:rPr>
              <w:t>º</w:t>
            </w:r>
          </w:p>
        </w:tc>
        <w:tc>
          <w:tcPr>
            <w:tcW w:w="2627" w:type="dxa"/>
            <w:tcBorders>
              <w:left w:val="single" w:sz="4" w:space="0" w:color="auto"/>
              <w:right w:val="single" w:sz="12" w:space="0" w:color="auto"/>
            </w:tcBorders>
            <w:shd w:val="clear" w:color="auto" w:fill="auto"/>
            <w:vAlign w:val="center"/>
          </w:tcPr>
          <w:p w14:paraId="6651400D" w14:textId="77777777" w:rsidR="000072C3" w:rsidRPr="000072C3" w:rsidRDefault="000072C3" w:rsidP="000F59C2">
            <w:pPr>
              <w:pStyle w:val="blankspacesaftertables"/>
              <w:jc w:val="center"/>
              <w:rPr>
                <w:sz w:val="20"/>
              </w:rPr>
            </w:pPr>
            <w:r w:rsidRPr="000072C3">
              <w:rPr>
                <w:sz w:val="20"/>
              </w:rPr>
              <w:t>Peyton Slough, a tributary to Carquinez Strait</w:t>
            </w:r>
          </w:p>
        </w:tc>
      </w:tr>
      <w:tr w:rsidR="000072C3" w:rsidRPr="000072C3" w14:paraId="5619F683" w14:textId="77777777" w:rsidTr="00122E10">
        <w:trPr>
          <w:cantSplit/>
        </w:trPr>
        <w:tc>
          <w:tcPr>
            <w:tcW w:w="3320" w:type="dxa"/>
            <w:tcBorders>
              <w:left w:val="single" w:sz="12" w:space="0" w:color="auto"/>
            </w:tcBorders>
            <w:shd w:val="clear" w:color="auto" w:fill="auto"/>
            <w:vAlign w:val="center"/>
          </w:tcPr>
          <w:p w14:paraId="37A15646" w14:textId="77777777" w:rsidR="000072C3" w:rsidRPr="000072C3" w:rsidRDefault="000072C3" w:rsidP="000072C3">
            <w:pPr>
              <w:pStyle w:val="blankspacesaftertables"/>
              <w:rPr>
                <w:sz w:val="20"/>
              </w:rPr>
            </w:pPr>
            <w:r w:rsidRPr="000072C3">
              <w:rPr>
                <w:sz w:val="20"/>
              </w:rPr>
              <w:t>Napa Sanitation District</w:t>
            </w:r>
          </w:p>
        </w:tc>
        <w:tc>
          <w:tcPr>
            <w:tcW w:w="1224" w:type="dxa"/>
            <w:shd w:val="clear" w:color="auto" w:fill="auto"/>
            <w:vAlign w:val="center"/>
          </w:tcPr>
          <w:p w14:paraId="437788FB" w14:textId="77777777" w:rsidR="000072C3" w:rsidRPr="000072C3" w:rsidRDefault="000072C3" w:rsidP="000F59C2">
            <w:pPr>
              <w:pStyle w:val="blankspacesaftertables"/>
              <w:jc w:val="center"/>
              <w:rPr>
                <w:sz w:val="20"/>
              </w:rPr>
            </w:pPr>
            <w:r w:rsidRPr="000072C3">
              <w:rPr>
                <w:sz w:val="20"/>
              </w:rPr>
              <w:t>001</w:t>
            </w:r>
          </w:p>
        </w:tc>
        <w:tc>
          <w:tcPr>
            <w:tcW w:w="1776" w:type="dxa"/>
            <w:tcBorders>
              <w:left w:val="single" w:sz="4" w:space="0" w:color="auto"/>
              <w:right w:val="single" w:sz="4" w:space="0" w:color="auto"/>
            </w:tcBorders>
            <w:shd w:val="clear" w:color="auto" w:fill="auto"/>
            <w:vAlign w:val="center"/>
          </w:tcPr>
          <w:p w14:paraId="5BCEDEF2" w14:textId="77777777" w:rsidR="000072C3" w:rsidRPr="000072C3" w:rsidRDefault="00A70BEC" w:rsidP="000F59C2">
            <w:pPr>
              <w:pStyle w:val="blankspacesaftertables"/>
              <w:jc w:val="center"/>
              <w:rPr>
                <w:sz w:val="20"/>
              </w:rPr>
            </w:pPr>
            <w:r w:rsidRPr="00A70BEC">
              <w:rPr>
                <w:sz w:val="20"/>
              </w:rPr>
              <w:t>38.235833</w:t>
            </w:r>
            <w:r w:rsidRPr="003D55E5">
              <w:rPr>
                <w:sz w:val="20"/>
              </w:rPr>
              <w:t>º</w:t>
            </w:r>
          </w:p>
        </w:tc>
        <w:tc>
          <w:tcPr>
            <w:tcW w:w="1781" w:type="dxa"/>
            <w:tcBorders>
              <w:left w:val="single" w:sz="4" w:space="0" w:color="auto"/>
              <w:right w:val="single" w:sz="4" w:space="0" w:color="auto"/>
            </w:tcBorders>
            <w:shd w:val="clear" w:color="auto" w:fill="auto"/>
            <w:vAlign w:val="center"/>
          </w:tcPr>
          <w:p w14:paraId="2A4BDAFC" w14:textId="77777777" w:rsidR="000072C3" w:rsidRPr="000072C3" w:rsidRDefault="00786A0B" w:rsidP="000F59C2">
            <w:pPr>
              <w:pStyle w:val="blankspacesaftertables"/>
              <w:jc w:val="center"/>
              <w:rPr>
                <w:sz w:val="20"/>
              </w:rPr>
            </w:pPr>
            <w:r>
              <w:rPr>
                <w:sz w:val="20"/>
              </w:rPr>
              <w:t>-</w:t>
            </w:r>
            <w:r w:rsidR="00A70BEC" w:rsidRPr="00A70BEC">
              <w:rPr>
                <w:sz w:val="20"/>
              </w:rPr>
              <w:t>122.286111</w:t>
            </w:r>
            <w:r w:rsidR="00A70BEC" w:rsidRPr="003D55E5">
              <w:rPr>
                <w:sz w:val="20"/>
              </w:rPr>
              <w:t>º</w:t>
            </w:r>
          </w:p>
        </w:tc>
        <w:tc>
          <w:tcPr>
            <w:tcW w:w="2627" w:type="dxa"/>
            <w:tcBorders>
              <w:left w:val="single" w:sz="4" w:space="0" w:color="auto"/>
              <w:right w:val="single" w:sz="12" w:space="0" w:color="auto"/>
            </w:tcBorders>
            <w:shd w:val="clear" w:color="auto" w:fill="auto"/>
            <w:vAlign w:val="center"/>
          </w:tcPr>
          <w:p w14:paraId="3B1CACB2" w14:textId="77777777" w:rsidR="000072C3" w:rsidRPr="000072C3" w:rsidRDefault="000072C3" w:rsidP="000F59C2">
            <w:pPr>
              <w:pStyle w:val="blankspacesaftertables"/>
              <w:jc w:val="center"/>
              <w:rPr>
                <w:sz w:val="20"/>
              </w:rPr>
            </w:pPr>
            <w:r w:rsidRPr="000072C3">
              <w:rPr>
                <w:sz w:val="20"/>
              </w:rPr>
              <w:t>Napa River</w:t>
            </w:r>
          </w:p>
        </w:tc>
      </w:tr>
      <w:tr w:rsidR="003A67DC" w:rsidRPr="000072C3" w14:paraId="6272FE21" w14:textId="77777777" w:rsidTr="00122E10">
        <w:trPr>
          <w:cantSplit/>
        </w:trPr>
        <w:tc>
          <w:tcPr>
            <w:tcW w:w="3320" w:type="dxa"/>
            <w:vMerge w:val="restart"/>
            <w:tcBorders>
              <w:left w:val="single" w:sz="12" w:space="0" w:color="auto"/>
            </w:tcBorders>
            <w:shd w:val="clear" w:color="auto" w:fill="auto"/>
            <w:vAlign w:val="center"/>
          </w:tcPr>
          <w:p w14:paraId="3D12F53A" w14:textId="77777777" w:rsidR="003A67DC" w:rsidRPr="000072C3" w:rsidRDefault="003A67DC" w:rsidP="000072C3">
            <w:pPr>
              <w:pStyle w:val="blankspacesaftertables"/>
              <w:rPr>
                <w:sz w:val="20"/>
              </w:rPr>
            </w:pPr>
            <w:r w:rsidRPr="000072C3">
              <w:rPr>
                <w:sz w:val="20"/>
              </w:rPr>
              <w:t>Novato Sanitary District</w:t>
            </w:r>
          </w:p>
        </w:tc>
        <w:tc>
          <w:tcPr>
            <w:tcW w:w="1224" w:type="dxa"/>
            <w:shd w:val="clear" w:color="auto" w:fill="auto"/>
            <w:vAlign w:val="center"/>
          </w:tcPr>
          <w:p w14:paraId="1B5692A8" w14:textId="77777777" w:rsidR="003A67DC" w:rsidRPr="000072C3" w:rsidRDefault="003A67DC" w:rsidP="000F59C2">
            <w:pPr>
              <w:pStyle w:val="blankspacesaftertables"/>
              <w:jc w:val="center"/>
              <w:rPr>
                <w:sz w:val="20"/>
              </w:rPr>
            </w:pPr>
            <w:r>
              <w:rPr>
                <w:sz w:val="20"/>
              </w:rPr>
              <w:t>001</w:t>
            </w:r>
          </w:p>
        </w:tc>
        <w:tc>
          <w:tcPr>
            <w:tcW w:w="1776" w:type="dxa"/>
            <w:tcBorders>
              <w:left w:val="single" w:sz="4" w:space="0" w:color="auto"/>
              <w:right w:val="single" w:sz="4" w:space="0" w:color="auto"/>
            </w:tcBorders>
            <w:shd w:val="clear" w:color="auto" w:fill="auto"/>
            <w:vAlign w:val="center"/>
          </w:tcPr>
          <w:p w14:paraId="6344EFAD" w14:textId="77777777" w:rsidR="003A67DC" w:rsidRPr="000072C3" w:rsidRDefault="003A67DC" w:rsidP="000F59C2">
            <w:pPr>
              <w:pStyle w:val="blankspacesaftertables"/>
              <w:jc w:val="center"/>
              <w:rPr>
                <w:sz w:val="20"/>
              </w:rPr>
            </w:pPr>
            <w:r>
              <w:rPr>
                <w:sz w:val="20"/>
              </w:rPr>
              <w:t>3</w:t>
            </w:r>
            <w:r w:rsidRPr="003A67DC">
              <w:rPr>
                <w:sz w:val="20"/>
              </w:rPr>
              <w:t>8.060001</w:t>
            </w:r>
            <w:r w:rsidRPr="003D55E5">
              <w:rPr>
                <w:sz w:val="20"/>
              </w:rPr>
              <w:t>º</w:t>
            </w:r>
          </w:p>
        </w:tc>
        <w:tc>
          <w:tcPr>
            <w:tcW w:w="1781" w:type="dxa"/>
            <w:tcBorders>
              <w:left w:val="single" w:sz="4" w:space="0" w:color="auto"/>
              <w:right w:val="single" w:sz="4" w:space="0" w:color="auto"/>
            </w:tcBorders>
            <w:shd w:val="clear" w:color="auto" w:fill="auto"/>
            <w:vAlign w:val="center"/>
          </w:tcPr>
          <w:p w14:paraId="66ABA5F9" w14:textId="77777777" w:rsidR="003A67DC" w:rsidRPr="000072C3" w:rsidRDefault="003A67DC" w:rsidP="000F59C2">
            <w:pPr>
              <w:pStyle w:val="blankspacesaftertables"/>
              <w:jc w:val="center"/>
              <w:rPr>
                <w:sz w:val="20"/>
              </w:rPr>
            </w:pPr>
            <w:r w:rsidRPr="003A67DC">
              <w:rPr>
                <w:sz w:val="20"/>
              </w:rPr>
              <w:t>-122.489995</w:t>
            </w:r>
            <w:r w:rsidRPr="003D55E5">
              <w:rPr>
                <w:sz w:val="20"/>
              </w:rPr>
              <w:t>º</w:t>
            </w:r>
          </w:p>
        </w:tc>
        <w:tc>
          <w:tcPr>
            <w:tcW w:w="2627" w:type="dxa"/>
            <w:tcBorders>
              <w:left w:val="single" w:sz="4" w:space="0" w:color="auto"/>
              <w:right w:val="single" w:sz="12" w:space="0" w:color="auto"/>
            </w:tcBorders>
            <w:shd w:val="clear" w:color="auto" w:fill="auto"/>
            <w:vAlign w:val="center"/>
          </w:tcPr>
          <w:p w14:paraId="620B3166" w14:textId="77777777" w:rsidR="003A67DC" w:rsidRPr="000072C3" w:rsidRDefault="003A67DC" w:rsidP="000F59C2">
            <w:pPr>
              <w:pStyle w:val="blankspacesaftertables"/>
              <w:jc w:val="center"/>
              <w:rPr>
                <w:sz w:val="20"/>
              </w:rPr>
            </w:pPr>
            <w:r w:rsidRPr="000072C3">
              <w:rPr>
                <w:sz w:val="20"/>
              </w:rPr>
              <w:t>San Pablo Bay</w:t>
            </w:r>
          </w:p>
        </w:tc>
      </w:tr>
      <w:tr w:rsidR="003A67DC" w:rsidRPr="000072C3" w14:paraId="26A832E7" w14:textId="77777777" w:rsidTr="00122E10">
        <w:trPr>
          <w:cantSplit/>
        </w:trPr>
        <w:tc>
          <w:tcPr>
            <w:tcW w:w="3320" w:type="dxa"/>
            <w:vMerge/>
            <w:tcBorders>
              <w:left w:val="single" w:sz="12" w:space="0" w:color="auto"/>
            </w:tcBorders>
            <w:shd w:val="clear" w:color="auto" w:fill="auto"/>
            <w:vAlign w:val="center"/>
          </w:tcPr>
          <w:p w14:paraId="708C1D4A" w14:textId="77777777" w:rsidR="003A67DC" w:rsidRPr="000072C3" w:rsidRDefault="003A67DC" w:rsidP="000072C3">
            <w:pPr>
              <w:pStyle w:val="blankspacesaftertables"/>
              <w:rPr>
                <w:sz w:val="20"/>
              </w:rPr>
            </w:pPr>
          </w:p>
        </w:tc>
        <w:tc>
          <w:tcPr>
            <w:tcW w:w="1224" w:type="dxa"/>
            <w:shd w:val="clear" w:color="auto" w:fill="auto"/>
            <w:vAlign w:val="center"/>
          </w:tcPr>
          <w:p w14:paraId="4A4C8FE6" w14:textId="77777777" w:rsidR="003A67DC" w:rsidRPr="003A67DC" w:rsidRDefault="003A67DC" w:rsidP="000F59C2">
            <w:pPr>
              <w:pStyle w:val="blankspacesaftertables"/>
              <w:jc w:val="center"/>
              <w:rPr>
                <w:sz w:val="20"/>
                <w:vertAlign w:val="superscript"/>
              </w:rPr>
            </w:pPr>
            <w:r>
              <w:rPr>
                <w:sz w:val="20"/>
              </w:rPr>
              <w:t>002</w:t>
            </w:r>
            <w:r>
              <w:rPr>
                <w:sz w:val="20"/>
                <w:vertAlign w:val="superscript"/>
              </w:rPr>
              <w:t>[2]</w:t>
            </w:r>
          </w:p>
        </w:tc>
        <w:tc>
          <w:tcPr>
            <w:tcW w:w="1776" w:type="dxa"/>
            <w:tcBorders>
              <w:left w:val="single" w:sz="4" w:space="0" w:color="auto"/>
              <w:right w:val="single" w:sz="4" w:space="0" w:color="auto"/>
            </w:tcBorders>
            <w:shd w:val="clear" w:color="auto" w:fill="auto"/>
            <w:vAlign w:val="center"/>
          </w:tcPr>
          <w:p w14:paraId="763959AC" w14:textId="77777777" w:rsidR="003A67DC" w:rsidRPr="000072C3" w:rsidRDefault="003A67DC" w:rsidP="000F59C2">
            <w:pPr>
              <w:pStyle w:val="blankspacesaftertables"/>
              <w:jc w:val="center"/>
              <w:rPr>
                <w:sz w:val="20"/>
              </w:rPr>
            </w:pPr>
            <w:r w:rsidRPr="003A67DC">
              <w:rPr>
                <w:sz w:val="20"/>
              </w:rPr>
              <w:t>38.063333</w:t>
            </w:r>
            <w:r w:rsidRPr="003D55E5">
              <w:rPr>
                <w:sz w:val="20"/>
              </w:rPr>
              <w:t>º</w:t>
            </w:r>
          </w:p>
        </w:tc>
        <w:tc>
          <w:tcPr>
            <w:tcW w:w="1781" w:type="dxa"/>
            <w:tcBorders>
              <w:left w:val="single" w:sz="4" w:space="0" w:color="auto"/>
              <w:right w:val="single" w:sz="4" w:space="0" w:color="auto"/>
            </w:tcBorders>
            <w:shd w:val="clear" w:color="auto" w:fill="auto"/>
            <w:vAlign w:val="center"/>
          </w:tcPr>
          <w:p w14:paraId="113203A3" w14:textId="77777777" w:rsidR="003A67DC" w:rsidRPr="000072C3" w:rsidRDefault="003A67DC" w:rsidP="000F59C2">
            <w:pPr>
              <w:pStyle w:val="blankspacesaftertables"/>
              <w:jc w:val="center"/>
              <w:rPr>
                <w:sz w:val="20"/>
              </w:rPr>
            </w:pPr>
            <w:r w:rsidRPr="003A67DC">
              <w:rPr>
                <w:sz w:val="20"/>
              </w:rPr>
              <w:t>-122.510278</w:t>
            </w:r>
            <w:r w:rsidRPr="003D55E5">
              <w:rPr>
                <w:sz w:val="20"/>
              </w:rPr>
              <w:t>º</w:t>
            </w:r>
          </w:p>
        </w:tc>
        <w:tc>
          <w:tcPr>
            <w:tcW w:w="2627" w:type="dxa"/>
            <w:tcBorders>
              <w:left w:val="single" w:sz="4" w:space="0" w:color="auto"/>
              <w:right w:val="single" w:sz="12" w:space="0" w:color="auto"/>
            </w:tcBorders>
            <w:shd w:val="clear" w:color="auto" w:fill="auto"/>
            <w:vAlign w:val="center"/>
          </w:tcPr>
          <w:p w14:paraId="46C24A46" w14:textId="77777777" w:rsidR="003A67DC" w:rsidRPr="000072C3" w:rsidRDefault="003A67DC" w:rsidP="000F59C2">
            <w:pPr>
              <w:pStyle w:val="blankspacesaftertables"/>
              <w:jc w:val="center"/>
              <w:rPr>
                <w:sz w:val="20"/>
              </w:rPr>
            </w:pPr>
            <w:r>
              <w:rPr>
                <w:sz w:val="20"/>
              </w:rPr>
              <w:t>San Pablo Bay</w:t>
            </w:r>
          </w:p>
        </w:tc>
      </w:tr>
      <w:tr w:rsidR="000072C3" w:rsidRPr="000072C3" w14:paraId="7FBDE2ED" w14:textId="77777777" w:rsidTr="00122E10">
        <w:trPr>
          <w:cantSplit/>
        </w:trPr>
        <w:tc>
          <w:tcPr>
            <w:tcW w:w="3320" w:type="dxa"/>
            <w:vMerge w:val="restart"/>
            <w:tcBorders>
              <w:left w:val="single" w:sz="12" w:space="0" w:color="auto"/>
            </w:tcBorders>
            <w:shd w:val="clear" w:color="auto" w:fill="auto"/>
            <w:vAlign w:val="center"/>
          </w:tcPr>
          <w:p w14:paraId="1DB588BC" w14:textId="77777777" w:rsidR="000072C3" w:rsidRPr="000072C3" w:rsidRDefault="000072C3" w:rsidP="000072C3">
            <w:pPr>
              <w:pStyle w:val="blankspacesaftertables"/>
              <w:rPr>
                <w:sz w:val="20"/>
              </w:rPr>
            </w:pPr>
            <w:r w:rsidRPr="000072C3">
              <w:rPr>
                <w:sz w:val="20"/>
              </w:rPr>
              <w:t>Palo Alto, City of</w:t>
            </w:r>
          </w:p>
        </w:tc>
        <w:tc>
          <w:tcPr>
            <w:tcW w:w="1224" w:type="dxa"/>
            <w:shd w:val="clear" w:color="auto" w:fill="auto"/>
            <w:vAlign w:val="center"/>
          </w:tcPr>
          <w:p w14:paraId="584B4C58" w14:textId="77777777" w:rsidR="000072C3" w:rsidRPr="000072C3" w:rsidRDefault="000072C3" w:rsidP="000F59C2">
            <w:pPr>
              <w:pStyle w:val="blankspacesaftertables"/>
              <w:jc w:val="center"/>
              <w:rPr>
                <w:sz w:val="20"/>
              </w:rPr>
            </w:pPr>
            <w:r w:rsidRPr="000072C3">
              <w:rPr>
                <w:sz w:val="20"/>
              </w:rPr>
              <w:t>001</w:t>
            </w:r>
          </w:p>
        </w:tc>
        <w:tc>
          <w:tcPr>
            <w:tcW w:w="1776" w:type="dxa"/>
            <w:tcBorders>
              <w:left w:val="single" w:sz="4" w:space="0" w:color="auto"/>
              <w:right w:val="single" w:sz="4" w:space="0" w:color="auto"/>
            </w:tcBorders>
            <w:shd w:val="clear" w:color="auto" w:fill="auto"/>
            <w:vAlign w:val="center"/>
          </w:tcPr>
          <w:p w14:paraId="5BBCA0B6" w14:textId="77777777" w:rsidR="000072C3" w:rsidRPr="000072C3" w:rsidRDefault="00B45640" w:rsidP="000F59C2">
            <w:pPr>
              <w:pStyle w:val="blankspacesaftertables"/>
              <w:jc w:val="center"/>
              <w:rPr>
                <w:sz w:val="20"/>
              </w:rPr>
            </w:pPr>
            <w:r w:rsidRPr="00B45640">
              <w:rPr>
                <w:sz w:val="20"/>
              </w:rPr>
              <w:t>37.458333</w:t>
            </w:r>
            <w:r w:rsidRPr="003D55E5">
              <w:rPr>
                <w:sz w:val="20"/>
              </w:rPr>
              <w:t>º</w:t>
            </w:r>
          </w:p>
        </w:tc>
        <w:tc>
          <w:tcPr>
            <w:tcW w:w="1781" w:type="dxa"/>
            <w:tcBorders>
              <w:left w:val="single" w:sz="4" w:space="0" w:color="auto"/>
              <w:right w:val="single" w:sz="4" w:space="0" w:color="auto"/>
            </w:tcBorders>
            <w:shd w:val="clear" w:color="auto" w:fill="auto"/>
            <w:vAlign w:val="center"/>
          </w:tcPr>
          <w:p w14:paraId="6E6E50AA" w14:textId="77777777" w:rsidR="000072C3" w:rsidRPr="000072C3" w:rsidRDefault="00786A0B" w:rsidP="000F59C2">
            <w:pPr>
              <w:pStyle w:val="blankspacesaftertables"/>
              <w:jc w:val="center"/>
              <w:rPr>
                <w:sz w:val="20"/>
              </w:rPr>
            </w:pPr>
            <w:r>
              <w:rPr>
                <w:sz w:val="20"/>
              </w:rPr>
              <w:t>-</w:t>
            </w:r>
            <w:r w:rsidR="00B45640" w:rsidRPr="00B45640">
              <w:rPr>
                <w:sz w:val="20"/>
              </w:rPr>
              <w:t>122.110278</w:t>
            </w:r>
            <w:r w:rsidR="00B45640" w:rsidRPr="003D55E5">
              <w:rPr>
                <w:sz w:val="20"/>
              </w:rPr>
              <w:t>º</w:t>
            </w:r>
          </w:p>
        </w:tc>
        <w:tc>
          <w:tcPr>
            <w:tcW w:w="2627" w:type="dxa"/>
            <w:tcBorders>
              <w:left w:val="single" w:sz="4" w:space="0" w:color="auto"/>
              <w:right w:val="single" w:sz="12" w:space="0" w:color="auto"/>
            </w:tcBorders>
            <w:shd w:val="clear" w:color="auto" w:fill="auto"/>
            <w:vAlign w:val="center"/>
          </w:tcPr>
          <w:p w14:paraId="19196ED7" w14:textId="77777777" w:rsidR="000072C3" w:rsidRPr="000072C3" w:rsidRDefault="00B45640" w:rsidP="000F59C2">
            <w:pPr>
              <w:pStyle w:val="blankspacesaftertables"/>
              <w:jc w:val="center"/>
              <w:rPr>
                <w:sz w:val="20"/>
              </w:rPr>
            </w:pPr>
            <w:r>
              <w:rPr>
                <w:sz w:val="20"/>
              </w:rPr>
              <w:t>South</w:t>
            </w:r>
            <w:r w:rsidR="000072C3" w:rsidRPr="000072C3">
              <w:rPr>
                <w:sz w:val="20"/>
              </w:rPr>
              <w:t xml:space="preserve"> San Francisco Bay</w:t>
            </w:r>
          </w:p>
        </w:tc>
      </w:tr>
      <w:tr w:rsidR="000072C3" w:rsidRPr="000072C3" w14:paraId="0285A295" w14:textId="77777777" w:rsidTr="00122E10">
        <w:trPr>
          <w:cantSplit/>
        </w:trPr>
        <w:tc>
          <w:tcPr>
            <w:tcW w:w="3320" w:type="dxa"/>
            <w:vMerge/>
            <w:tcBorders>
              <w:left w:val="single" w:sz="12" w:space="0" w:color="auto"/>
            </w:tcBorders>
            <w:shd w:val="clear" w:color="auto" w:fill="auto"/>
            <w:vAlign w:val="center"/>
          </w:tcPr>
          <w:p w14:paraId="32B7A079" w14:textId="77777777" w:rsidR="000072C3" w:rsidRPr="000072C3" w:rsidRDefault="000072C3" w:rsidP="000072C3">
            <w:pPr>
              <w:pStyle w:val="blankspacesaftertables"/>
              <w:rPr>
                <w:sz w:val="20"/>
              </w:rPr>
            </w:pPr>
          </w:p>
        </w:tc>
        <w:tc>
          <w:tcPr>
            <w:tcW w:w="1224" w:type="dxa"/>
            <w:shd w:val="clear" w:color="auto" w:fill="auto"/>
            <w:vAlign w:val="center"/>
          </w:tcPr>
          <w:p w14:paraId="49941DE5" w14:textId="77777777" w:rsidR="000072C3" w:rsidRPr="000072C3" w:rsidRDefault="000072C3" w:rsidP="000F59C2">
            <w:pPr>
              <w:pStyle w:val="blankspacesaftertables"/>
              <w:jc w:val="center"/>
              <w:rPr>
                <w:sz w:val="20"/>
              </w:rPr>
            </w:pPr>
            <w:r w:rsidRPr="000072C3">
              <w:rPr>
                <w:sz w:val="20"/>
              </w:rPr>
              <w:t>002</w:t>
            </w:r>
          </w:p>
        </w:tc>
        <w:tc>
          <w:tcPr>
            <w:tcW w:w="1776" w:type="dxa"/>
            <w:tcBorders>
              <w:left w:val="single" w:sz="4" w:space="0" w:color="auto"/>
              <w:right w:val="single" w:sz="4" w:space="0" w:color="auto"/>
            </w:tcBorders>
            <w:shd w:val="clear" w:color="auto" w:fill="auto"/>
            <w:vAlign w:val="center"/>
          </w:tcPr>
          <w:p w14:paraId="524BAF29" w14:textId="77777777" w:rsidR="000072C3" w:rsidRPr="000072C3" w:rsidRDefault="00B45640" w:rsidP="000F59C2">
            <w:pPr>
              <w:pStyle w:val="blankspacesaftertables"/>
              <w:jc w:val="center"/>
              <w:rPr>
                <w:sz w:val="20"/>
              </w:rPr>
            </w:pPr>
            <w:r w:rsidRPr="00B45640">
              <w:rPr>
                <w:sz w:val="20"/>
              </w:rPr>
              <w:t>37.441667</w:t>
            </w:r>
            <w:r w:rsidRPr="003D55E5">
              <w:rPr>
                <w:sz w:val="20"/>
              </w:rPr>
              <w:t>º</w:t>
            </w:r>
          </w:p>
        </w:tc>
        <w:tc>
          <w:tcPr>
            <w:tcW w:w="1781" w:type="dxa"/>
            <w:tcBorders>
              <w:left w:val="single" w:sz="4" w:space="0" w:color="auto"/>
              <w:right w:val="single" w:sz="4" w:space="0" w:color="auto"/>
            </w:tcBorders>
            <w:shd w:val="clear" w:color="auto" w:fill="auto"/>
            <w:vAlign w:val="center"/>
          </w:tcPr>
          <w:p w14:paraId="3C8B90FC" w14:textId="77777777" w:rsidR="000072C3" w:rsidRPr="000072C3" w:rsidRDefault="00786A0B" w:rsidP="000F59C2">
            <w:pPr>
              <w:pStyle w:val="blankspacesaftertables"/>
              <w:jc w:val="center"/>
              <w:rPr>
                <w:sz w:val="20"/>
              </w:rPr>
            </w:pPr>
            <w:r>
              <w:rPr>
                <w:sz w:val="20"/>
              </w:rPr>
              <w:t>-</w:t>
            </w:r>
            <w:r w:rsidR="00B45640" w:rsidRPr="00B45640">
              <w:rPr>
                <w:sz w:val="20"/>
              </w:rPr>
              <w:t>122.1125</w:t>
            </w:r>
            <w:r w:rsidR="00B45640">
              <w:rPr>
                <w:sz w:val="20"/>
              </w:rPr>
              <w:t>00</w:t>
            </w:r>
            <w:r w:rsidR="00B45640" w:rsidRPr="003D55E5">
              <w:rPr>
                <w:sz w:val="20"/>
              </w:rPr>
              <w:t>º</w:t>
            </w:r>
          </w:p>
        </w:tc>
        <w:tc>
          <w:tcPr>
            <w:tcW w:w="2627" w:type="dxa"/>
            <w:tcBorders>
              <w:left w:val="single" w:sz="4" w:space="0" w:color="auto"/>
              <w:right w:val="single" w:sz="12" w:space="0" w:color="auto"/>
            </w:tcBorders>
            <w:shd w:val="clear" w:color="auto" w:fill="auto"/>
            <w:vAlign w:val="center"/>
          </w:tcPr>
          <w:p w14:paraId="5145EC43" w14:textId="77777777" w:rsidR="000072C3" w:rsidRPr="000072C3" w:rsidRDefault="000072C3" w:rsidP="000F59C2">
            <w:pPr>
              <w:pStyle w:val="blankspacesaftertables"/>
              <w:jc w:val="center"/>
              <w:rPr>
                <w:sz w:val="20"/>
              </w:rPr>
            </w:pPr>
            <w:r w:rsidRPr="000072C3">
              <w:rPr>
                <w:sz w:val="20"/>
              </w:rPr>
              <w:t>Matedero Creek via Renzel Marsh Pond</w:t>
            </w:r>
          </w:p>
        </w:tc>
      </w:tr>
      <w:tr w:rsidR="000072C3" w:rsidRPr="000072C3" w14:paraId="34073FEE" w14:textId="77777777" w:rsidTr="00122E10">
        <w:trPr>
          <w:cantSplit/>
        </w:trPr>
        <w:tc>
          <w:tcPr>
            <w:tcW w:w="3320" w:type="dxa"/>
            <w:tcBorders>
              <w:left w:val="single" w:sz="12" w:space="0" w:color="auto"/>
            </w:tcBorders>
            <w:shd w:val="clear" w:color="auto" w:fill="auto"/>
            <w:vAlign w:val="center"/>
          </w:tcPr>
          <w:p w14:paraId="5BBAD23E" w14:textId="77777777" w:rsidR="000072C3" w:rsidRPr="000072C3" w:rsidRDefault="000072C3" w:rsidP="000072C3">
            <w:pPr>
              <w:pStyle w:val="blankspacesaftertables"/>
              <w:rPr>
                <w:sz w:val="20"/>
              </w:rPr>
            </w:pPr>
            <w:r w:rsidRPr="000072C3">
              <w:rPr>
                <w:sz w:val="20"/>
              </w:rPr>
              <w:t>Petaluma, City of</w:t>
            </w:r>
          </w:p>
        </w:tc>
        <w:tc>
          <w:tcPr>
            <w:tcW w:w="1224" w:type="dxa"/>
            <w:shd w:val="clear" w:color="auto" w:fill="auto"/>
            <w:vAlign w:val="center"/>
          </w:tcPr>
          <w:p w14:paraId="2920837F" w14:textId="77777777" w:rsidR="000072C3" w:rsidRPr="000072C3" w:rsidRDefault="000072C3" w:rsidP="000F59C2">
            <w:pPr>
              <w:pStyle w:val="blankspacesaftertables"/>
              <w:jc w:val="center"/>
              <w:rPr>
                <w:sz w:val="20"/>
              </w:rPr>
            </w:pPr>
            <w:r w:rsidRPr="000072C3">
              <w:rPr>
                <w:sz w:val="20"/>
              </w:rPr>
              <w:t>001</w:t>
            </w:r>
          </w:p>
        </w:tc>
        <w:tc>
          <w:tcPr>
            <w:tcW w:w="1776" w:type="dxa"/>
            <w:tcBorders>
              <w:left w:val="single" w:sz="4" w:space="0" w:color="auto"/>
              <w:right w:val="single" w:sz="4" w:space="0" w:color="auto"/>
            </w:tcBorders>
            <w:shd w:val="clear" w:color="auto" w:fill="auto"/>
            <w:vAlign w:val="center"/>
          </w:tcPr>
          <w:p w14:paraId="5F6169FD" w14:textId="77777777" w:rsidR="000072C3" w:rsidRPr="000072C3" w:rsidRDefault="007078AA" w:rsidP="000F59C2">
            <w:pPr>
              <w:pStyle w:val="blankspacesaftertables"/>
              <w:jc w:val="center"/>
              <w:rPr>
                <w:sz w:val="20"/>
              </w:rPr>
            </w:pPr>
            <w:r w:rsidRPr="007078AA">
              <w:rPr>
                <w:sz w:val="20"/>
              </w:rPr>
              <w:t>38.209167</w:t>
            </w:r>
            <w:r w:rsidRPr="003D55E5">
              <w:rPr>
                <w:sz w:val="20"/>
              </w:rPr>
              <w:t>º</w:t>
            </w:r>
          </w:p>
        </w:tc>
        <w:tc>
          <w:tcPr>
            <w:tcW w:w="1781" w:type="dxa"/>
            <w:tcBorders>
              <w:left w:val="single" w:sz="4" w:space="0" w:color="auto"/>
              <w:right w:val="single" w:sz="4" w:space="0" w:color="auto"/>
            </w:tcBorders>
            <w:shd w:val="clear" w:color="auto" w:fill="auto"/>
            <w:vAlign w:val="center"/>
          </w:tcPr>
          <w:p w14:paraId="372BFA5C" w14:textId="77777777" w:rsidR="000072C3" w:rsidRPr="000072C3" w:rsidRDefault="00786A0B" w:rsidP="000F59C2">
            <w:pPr>
              <w:pStyle w:val="blankspacesaftertables"/>
              <w:jc w:val="center"/>
              <w:rPr>
                <w:sz w:val="20"/>
              </w:rPr>
            </w:pPr>
            <w:r>
              <w:rPr>
                <w:sz w:val="20"/>
              </w:rPr>
              <w:t>-</w:t>
            </w:r>
            <w:r w:rsidR="007078AA" w:rsidRPr="007078AA">
              <w:rPr>
                <w:sz w:val="20"/>
              </w:rPr>
              <w:t>122.572778</w:t>
            </w:r>
            <w:r w:rsidR="007078AA" w:rsidRPr="003D55E5">
              <w:rPr>
                <w:sz w:val="20"/>
              </w:rPr>
              <w:t>º</w:t>
            </w:r>
          </w:p>
        </w:tc>
        <w:tc>
          <w:tcPr>
            <w:tcW w:w="2627" w:type="dxa"/>
            <w:tcBorders>
              <w:left w:val="single" w:sz="4" w:space="0" w:color="auto"/>
              <w:right w:val="single" w:sz="12" w:space="0" w:color="auto"/>
            </w:tcBorders>
            <w:shd w:val="clear" w:color="auto" w:fill="auto"/>
            <w:vAlign w:val="center"/>
          </w:tcPr>
          <w:p w14:paraId="2D306108" w14:textId="77777777" w:rsidR="000072C3" w:rsidRPr="000072C3" w:rsidRDefault="000072C3" w:rsidP="000F59C2">
            <w:pPr>
              <w:pStyle w:val="blankspacesaftertables"/>
              <w:jc w:val="center"/>
              <w:rPr>
                <w:sz w:val="20"/>
              </w:rPr>
            </w:pPr>
            <w:r w:rsidRPr="000072C3">
              <w:rPr>
                <w:sz w:val="20"/>
              </w:rPr>
              <w:t>Petaluma River</w:t>
            </w:r>
          </w:p>
        </w:tc>
      </w:tr>
      <w:tr w:rsidR="000072C3" w:rsidRPr="000072C3" w14:paraId="351117AA" w14:textId="77777777" w:rsidTr="00122E10">
        <w:trPr>
          <w:cantSplit/>
        </w:trPr>
        <w:tc>
          <w:tcPr>
            <w:tcW w:w="3320" w:type="dxa"/>
            <w:tcBorders>
              <w:left w:val="single" w:sz="12" w:space="0" w:color="auto"/>
            </w:tcBorders>
            <w:shd w:val="clear" w:color="auto" w:fill="auto"/>
            <w:vAlign w:val="center"/>
          </w:tcPr>
          <w:p w14:paraId="152C6701" w14:textId="77777777" w:rsidR="000072C3" w:rsidRPr="000072C3" w:rsidRDefault="000072C3" w:rsidP="000072C3">
            <w:pPr>
              <w:pStyle w:val="blankspacesaftertables"/>
              <w:rPr>
                <w:sz w:val="20"/>
              </w:rPr>
            </w:pPr>
            <w:r w:rsidRPr="000072C3">
              <w:rPr>
                <w:sz w:val="20"/>
              </w:rPr>
              <w:t>Pinole, City of</w:t>
            </w:r>
          </w:p>
        </w:tc>
        <w:tc>
          <w:tcPr>
            <w:tcW w:w="1224" w:type="dxa"/>
            <w:shd w:val="clear" w:color="auto" w:fill="auto"/>
            <w:vAlign w:val="center"/>
          </w:tcPr>
          <w:p w14:paraId="63784729" w14:textId="77777777" w:rsidR="000072C3" w:rsidRPr="000072C3" w:rsidRDefault="000072C3" w:rsidP="000F59C2">
            <w:pPr>
              <w:pStyle w:val="blankspacesaftertables"/>
              <w:jc w:val="center"/>
              <w:rPr>
                <w:sz w:val="20"/>
              </w:rPr>
            </w:pPr>
            <w:r w:rsidRPr="000072C3">
              <w:rPr>
                <w:sz w:val="20"/>
              </w:rPr>
              <w:t>001</w:t>
            </w:r>
          </w:p>
        </w:tc>
        <w:tc>
          <w:tcPr>
            <w:tcW w:w="1776" w:type="dxa"/>
            <w:tcBorders>
              <w:left w:val="single" w:sz="4" w:space="0" w:color="auto"/>
              <w:right w:val="single" w:sz="4" w:space="0" w:color="auto"/>
            </w:tcBorders>
            <w:shd w:val="clear" w:color="auto" w:fill="auto"/>
            <w:vAlign w:val="center"/>
          </w:tcPr>
          <w:p w14:paraId="184ED9C5" w14:textId="77777777" w:rsidR="000072C3" w:rsidRPr="000072C3" w:rsidRDefault="00532644" w:rsidP="000F59C2">
            <w:pPr>
              <w:pStyle w:val="blankspacesaftertables"/>
              <w:jc w:val="center"/>
              <w:rPr>
                <w:sz w:val="20"/>
              </w:rPr>
            </w:pPr>
            <w:r w:rsidRPr="00532644">
              <w:rPr>
                <w:sz w:val="20"/>
              </w:rPr>
              <w:t>38.051667</w:t>
            </w:r>
            <w:r w:rsidRPr="003D55E5">
              <w:rPr>
                <w:sz w:val="20"/>
              </w:rPr>
              <w:t>º</w:t>
            </w:r>
          </w:p>
        </w:tc>
        <w:tc>
          <w:tcPr>
            <w:tcW w:w="1781" w:type="dxa"/>
            <w:tcBorders>
              <w:left w:val="single" w:sz="4" w:space="0" w:color="auto"/>
              <w:right w:val="single" w:sz="4" w:space="0" w:color="auto"/>
            </w:tcBorders>
            <w:shd w:val="clear" w:color="auto" w:fill="auto"/>
            <w:vAlign w:val="center"/>
          </w:tcPr>
          <w:p w14:paraId="2405274C" w14:textId="77777777" w:rsidR="000072C3" w:rsidRPr="000072C3" w:rsidRDefault="00786A0B" w:rsidP="000F59C2">
            <w:pPr>
              <w:pStyle w:val="blankspacesaftertables"/>
              <w:jc w:val="center"/>
              <w:rPr>
                <w:sz w:val="20"/>
              </w:rPr>
            </w:pPr>
            <w:r>
              <w:rPr>
                <w:sz w:val="20"/>
              </w:rPr>
              <w:t>-</w:t>
            </w:r>
            <w:r w:rsidR="00532644" w:rsidRPr="00532644">
              <w:rPr>
                <w:sz w:val="20"/>
              </w:rPr>
              <w:t>122.27</w:t>
            </w:r>
            <w:r w:rsidR="00532644">
              <w:rPr>
                <w:sz w:val="20"/>
              </w:rPr>
              <w:t>0000</w:t>
            </w:r>
            <w:r w:rsidR="00532644" w:rsidRPr="003D55E5">
              <w:rPr>
                <w:sz w:val="20"/>
              </w:rPr>
              <w:t>º</w:t>
            </w:r>
          </w:p>
        </w:tc>
        <w:tc>
          <w:tcPr>
            <w:tcW w:w="2627" w:type="dxa"/>
            <w:tcBorders>
              <w:left w:val="single" w:sz="4" w:space="0" w:color="auto"/>
              <w:right w:val="single" w:sz="12" w:space="0" w:color="auto"/>
            </w:tcBorders>
            <w:shd w:val="clear" w:color="auto" w:fill="auto"/>
            <w:vAlign w:val="center"/>
          </w:tcPr>
          <w:p w14:paraId="74C14215" w14:textId="77777777" w:rsidR="000072C3" w:rsidRPr="000072C3" w:rsidRDefault="000072C3" w:rsidP="000F59C2">
            <w:pPr>
              <w:pStyle w:val="blankspacesaftertables"/>
              <w:jc w:val="center"/>
              <w:rPr>
                <w:sz w:val="20"/>
              </w:rPr>
            </w:pPr>
            <w:r w:rsidRPr="000072C3">
              <w:rPr>
                <w:sz w:val="20"/>
              </w:rPr>
              <w:t>San Pablo Bay</w:t>
            </w:r>
          </w:p>
        </w:tc>
      </w:tr>
      <w:tr w:rsidR="000072C3" w:rsidRPr="000072C3" w14:paraId="399A492C" w14:textId="77777777" w:rsidTr="00122E10">
        <w:trPr>
          <w:cantSplit/>
        </w:trPr>
        <w:tc>
          <w:tcPr>
            <w:tcW w:w="3320" w:type="dxa"/>
            <w:tcBorders>
              <w:left w:val="single" w:sz="12" w:space="0" w:color="auto"/>
            </w:tcBorders>
            <w:shd w:val="clear" w:color="auto" w:fill="auto"/>
            <w:vAlign w:val="center"/>
          </w:tcPr>
          <w:p w14:paraId="6BC5AE4B" w14:textId="77777777" w:rsidR="000072C3" w:rsidRPr="000072C3" w:rsidRDefault="000072C3" w:rsidP="000072C3">
            <w:pPr>
              <w:pStyle w:val="blankspacesaftertables"/>
              <w:rPr>
                <w:sz w:val="20"/>
              </w:rPr>
            </w:pPr>
            <w:r w:rsidRPr="000072C3">
              <w:rPr>
                <w:sz w:val="20"/>
              </w:rPr>
              <w:t>Rodeo Sanitary District</w:t>
            </w:r>
          </w:p>
        </w:tc>
        <w:tc>
          <w:tcPr>
            <w:tcW w:w="1224" w:type="dxa"/>
            <w:shd w:val="clear" w:color="auto" w:fill="auto"/>
            <w:vAlign w:val="center"/>
          </w:tcPr>
          <w:p w14:paraId="19BC75C6" w14:textId="77777777" w:rsidR="000072C3" w:rsidRPr="000072C3" w:rsidRDefault="000072C3" w:rsidP="000F59C2">
            <w:pPr>
              <w:pStyle w:val="blankspacesaftertables"/>
              <w:jc w:val="center"/>
              <w:rPr>
                <w:sz w:val="20"/>
              </w:rPr>
            </w:pPr>
            <w:r w:rsidRPr="000072C3">
              <w:rPr>
                <w:sz w:val="20"/>
              </w:rPr>
              <w:t>001</w:t>
            </w:r>
          </w:p>
        </w:tc>
        <w:tc>
          <w:tcPr>
            <w:tcW w:w="1776" w:type="dxa"/>
            <w:tcBorders>
              <w:left w:val="single" w:sz="4" w:space="0" w:color="auto"/>
              <w:right w:val="single" w:sz="4" w:space="0" w:color="auto"/>
            </w:tcBorders>
            <w:shd w:val="clear" w:color="auto" w:fill="auto"/>
            <w:vAlign w:val="center"/>
          </w:tcPr>
          <w:p w14:paraId="6DFEF096" w14:textId="77777777" w:rsidR="000072C3" w:rsidRPr="000072C3" w:rsidRDefault="00532644" w:rsidP="000F59C2">
            <w:pPr>
              <w:pStyle w:val="blankspacesaftertables"/>
              <w:jc w:val="center"/>
              <w:rPr>
                <w:sz w:val="20"/>
              </w:rPr>
            </w:pPr>
            <w:r w:rsidRPr="00532644">
              <w:rPr>
                <w:sz w:val="20"/>
              </w:rPr>
              <w:t>38.051667</w:t>
            </w:r>
            <w:r w:rsidRPr="003D55E5">
              <w:rPr>
                <w:sz w:val="20"/>
              </w:rPr>
              <w:t>º</w:t>
            </w:r>
          </w:p>
        </w:tc>
        <w:tc>
          <w:tcPr>
            <w:tcW w:w="1781" w:type="dxa"/>
            <w:tcBorders>
              <w:left w:val="single" w:sz="4" w:space="0" w:color="auto"/>
              <w:right w:val="single" w:sz="4" w:space="0" w:color="auto"/>
            </w:tcBorders>
            <w:shd w:val="clear" w:color="auto" w:fill="auto"/>
            <w:vAlign w:val="center"/>
          </w:tcPr>
          <w:p w14:paraId="6860AB84" w14:textId="77777777" w:rsidR="000072C3" w:rsidRPr="000072C3" w:rsidRDefault="00786A0B" w:rsidP="000F59C2">
            <w:pPr>
              <w:pStyle w:val="blankspacesaftertables"/>
              <w:jc w:val="center"/>
              <w:rPr>
                <w:sz w:val="20"/>
              </w:rPr>
            </w:pPr>
            <w:r>
              <w:rPr>
                <w:sz w:val="20"/>
              </w:rPr>
              <w:t>-</w:t>
            </w:r>
            <w:r w:rsidR="00532644" w:rsidRPr="00532644">
              <w:rPr>
                <w:sz w:val="20"/>
              </w:rPr>
              <w:t>122.27</w:t>
            </w:r>
            <w:r w:rsidR="00532644">
              <w:rPr>
                <w:sz w:val="20"/>
              </w:rPr>
              <w:t>0000</w:t>
            </w:r>
            <w:r w:rsidR="00532644" w:rsidRPr="003D55E5">
              <w:rPr>
                <w:sz w:val="20"/>
              </w:rPr>
              <w:t>º</w:t>
            </w:r>
          </w:p>
        </w:tc>
        <w:tc>
          <w:tcPr>
            <w:tcW w:w="2627" w:type="dxa"/>
            <w:tcBorders>
              <w:left w:val="single" w:sz="4" w:space="0" w:color="auto"/>
              <w:right w:val="single" w:sz="12" w:space="0" w:color="auto"/>
            </w:tcBorders>
            <w:shd w:val="clear" w:color="auto" w:fill="auto"/>
            <w:vAlign w:val="center"/>
          </w:tcPr>
          <w:p w14:paraId="5FA0DF10" w14:textId="77777777" w:rsidR="000072C3" w:rsidRPr="000072C3" w:rsidRDefault="000072C3" w:rsidP="000F59C2">
            <w:pPr>
              <w:pStyle w:val="blankspacesaftertables"/>
              <w:jc w:val="center"/>
              <w:rPr>
                <w:sz w:val="20"/>
              </w:rPr>
            </w:pPr>
            <w:r w:rsidRPr="000072C3">
              <w:rPr>
                <w:sz w:val="20"/>
              </w:rPr>
              <w:t>San Pablo Bay</w:t>
            </w:r>
          </w:p>
        </w:tc>
      </w:tr>
      <w:tr w:rsidR="000072C3" w:rsidRPr="000072C3" w14:paraId="2ADB87FE" w14:textId="77777777" w:rsidTr="00122E10">
        <w:trPr>
          <w:cantSplit/>
        </w:trPr>
        <w:tc>
          <w:tcPr>
            <w:tcW w:w="3320" w:type="dxa"/>
            <w:tcBorders>
              <w:left w:val="single" w:sz="12" w:space="0" w:color="auto"/>
            </w:tcBorders>
            <w:shd w:val="clear" w:color="auto" w:fill="auto"/>
            <w:vAlign w:val="center"/>
          </w:tcPr>
          <w:p w14:paraId="6EF5E716" w14:textId="77777777" w:rsidR="000072C3" w:rsidRPr="000072C3" w:rsidRDefault="000072C3" w:rsidP="000072C3">
            <w:pPr>
              <w:pStyle w:val="blankspacesaftertables"/>
              <w:rPr>
                <w:sz w:val="20"/>
              </w:rPr>
            </w:pPr>
            <w:r w:rsidRPr="000072C3">
              <w:rPr>
                <w:sz w:val="20"/>
              </w:rPr>
              <w:t>Saint Helena, City of</w:t>
            </w:r>
          </w:p>
        </w:tc>
        <w:tc>
          <w:tcPr>
            <w:tcW w:w="1224" w:type="dxa"/>
            <w:shd w:val="clear" w:color="auto" w:fill="auto"/>
            <w:vAlign w:val="center"/>
          </w:tcPr>
          <w:p w14:paraId="6AAF297B" w14:textId="77777777" w:rsidR="000072C3" w:rsidRPr="000072C3" w:rsidRDefault="000072C3" w:rsidP="000F59C2">
            <w:pPr>
              <w:pStyle w:val="blankspacesaftertables"/>
              <w:jc w:val="center"/>
              <w:rPr>
                <w:sz w:val="20"/>
              </w:rPr>
            </w:pPr>
            <w:r w:rsidRPr="000072C3">
              <w:rPr>
                <w:sz w:val="20"/>
              </w:rPr>
              <w:t>001</w:t>
            </w:r>
          </w:p>
        </w:tc>
        <w:tc>
          <w:tcPr>
            <w:tcW w:w="1776" w:type="dxa"/>
            <w:tcBorders>
              <w:left w:val="single" w:sz="4" w:space="0" w:color="auto"/>
              <w:right w:val="single" w:sz="4" w:space="0" w:color="auto"/>
            </w:tcBorders>
            <w:shd w:val="clear" w:color="auto" w:fill="auto"/>
            <w:vAlign w:val="center"/>
          </w:tcPr>
          <w:p w14:paraId="5CD74280" w14:textId="77777777" w:rsidR="000072C3" w:rsidRPr="000072C3" w:rsidRDefault="004448AF" w:rsidP="000F59C2">
            <w:pPr>
              <w:pStyle w:val="blankspacesaftertables"/>
              <w:jc w:val="center"/>
              <w:rPr>
                <w:sz w:val="20"/>
              </w:rPr>
            </w:pPr>
            <w:r w:rsidRPr="004448AF">
              <w:rPr>
                <w:sz w:val="20"/>
              </w:rPr>
              <w:t>38.502778</w:t>
            </w:r>
            <w:r w:rsidRPr="003D55E5">
              <w:rPr>
                <w:sz w:val="20"/>
              </w:rPr>
              <w:t>º</w:t>
            </w:r>
          </w:p>
        </w:tc>
        <w:tc>
          <w:tcPr>
            <w:tcW w:w="1781" w:type="dxa"/>
            <w:tcBorders>
              <w:left w:val="single" w:sz="4" w:space="0" w:color="auto"/>
              <w:right w:val="single" w:sz="4" w:space="0" w:color="auto"/>
            </w:tcBorders>
            <w:shd w:val="clear" w:color="auto" w:fill="auto"/>
            <w:vAlign w:val="center"/>
          </w:tcPr>
          <w:p w14:paraId="491F1B24" w14:textId="77777777" w:rsidR="000072C3" w:rsidRPr="000072C3" w:rsidRDefault="004448AF" w:rsidP="000F59C2">
            <w:pPr>
              <w:pStyle w:val="blankspacesaftertables"/>
              <w:jc w:val="center"/>
              <w:rPr>
                <w:sz w:val="20"/>
              </w:rPr>
            </w:pPr>
            <w:r w:rsidRPr="004448AF">
              <w:rPr>
                <w:sz w:val="20"/>
              </w:rPr>
              <w:t>-122.4375</w:t>
            </w:r>
            <w:r>
              <w:rPr>
                <w:sz w:val="20"/>
              </w:rPr>
              <w:t>00</w:t>
            </w:r>
            <w:r w:rsidRPr="003D55E5">
              <w:rPr>
                <w:sz w:val="20"/>
              </w:rPr>
              <w:t>º</w:t>
            </w:r>
          </w:p>
        </w:tc>
        <w:tc>
          <w:tcPr>
            <w:tcW w:w="2627" w:type="dxa"/>
            <w:tcBorders>
              <w:left w:val="single" w:sz="4" w:space="0" w:color="auto"/>
              <w:right w:val="single" w:sz="12" w:space="0" w:color="auto"/>
            </w:tcBorders>
            <w:shd w:val="clear" w:color="auto" w:fill="auto"/>
            <w:vAlign w:val="center"/>
          </w:tcPr>
          <w:p w14:paraId="49610A78" w14:textId="77777777" w:rsidR="000072C3" w:rsidRPr="000072C3" w:rsidRDefault="000072C3" w:rsidP="000F59C2">
            <w:pPr>
              <w:pStyle w:val="blankspacesaftertables"/>
              <w:jc w:val="center"/>
              <w:rPr>
                <w:sz w:val="20"/>
              </w:rPr>
            </w:pPr>
            <w:r w:rsidRPr="000072C3">
              <w:rPr>
                <w:sz w:val="20"/>
              </w:rPr>
              <w:t>Napa River</w:t>
            </w:r>
          </w:p>
        </w:tc>
      </w:tr>
      <w:tr w:rsidR="000072C3" w:rsidRPr="000072C3" w14:paraId="5C272E1C" w14:textId="77777777" w:rsidTr="00122E10">
        <w:trPr>
          <w:cantSplit/>
        </w:trPr>
        <w:tc>
          <w:tcPr>
            <w:tcW w:w="3320" w:type="dxa"/>
            <w:tcBorders>
              <w:left w:val="single" w:sz="12" w:space="0" w:color="auto"/>
            </w:tcBorders>
            <w:shd w:val="clear" w:color="auto" w:fill="auto"/>
            <w:vAlign w:val="center"/>
          </w:tcPr>
          <w:p w14:paraId="42FCF26A" w14:textId="4996D067" w:rsidR="000072C3" w:rsidRPr="000072C3" w:rsidRDefault="00EE06BE" w:rsidP="000072C3">
            <w:pPr>
              <w:pStyle w:val="blankspacesaftertables"/>
              <w:rPr>
                <w:sz w:val="20"/>
              </w:rPr>
            </w:pPr>
            <w:r w:rsidRPr="00EE06BE">
              <w:rPr>
                <w:sz w:val="20"/>
              </w:rPr>
              <w:t>San Francisco (San Francisco International Airport), City and County of</w:t>
            </w:r>
          </w:p>
        </w:tc>
        <w:tc>
          <w:tcPr>
            <w:tcW w:w="1224" w:type="dxa"/>
            <w:shd w:val="clear" w:color="auto" w:fill="auto"/>
            <w:vAlign w:val="center"/>
          </w:tcPr>
          <w:p w14:paraId="7CECAFDC" w14:textId="77777777" w:rsidR="000072C3" w:rsidRPr="000072C3" w:rsidRDefault="000072C3" w:rsidP="000F59C2">
            <w:pPr>
              <w:pStyle w:val="blankspacesaftertables"/>
              <w:jc w:val="center"/>
              <w:rPr>
                <w:sz w:val="20"/>
                <w:vertAlign w:val="superscript"/>
              </w:rPr>
            </w:pPr>
            <w:r w:rsidRPr="000072C3">
              <w:rPr>
                <w:sz w:val="20"/>
              </w:rPr>
              <w:t>002</w:t>
            </w:r>
            <w:r w:rsidR="004448AF">
              <w:rPr>
                <w:sz w:val="20"/>
                <w:vertAlign w:val="superscript"/>
              </w:rPr>
              <w:t>[1]</w:t>
            </w:r>
          </w:p>
        </w:tc>
        <w:tc>
          <w:tcPr>
            <w:tcW w:w="1776" w:type="dxa"/>
            <w:tcBorders>
              <w:left w:val="single" w:sz="4" w:space="0" w:color="auto"/>
              <w:right w:val="single" w:sz="4" w:space="0" w:color="auto"/>
            </w:tcBorders>
            <w:shd w:val="clear" w:color="auto" w:fill="auto"/>
            <w:vAlign w:val="center"/>
          </w:tcPr>
          <w:p w14:paraId="1F238595" w14:textId="77777777" w:rsidR="000072C3" w:rsidRPr="000072C3" w:rsidRDefault="00340C05" w:rsidP="000F59C2">
            <w:pPr>
              <w:pStyle w:val="blankspacesaftertables"/>
              <w:jc w:val="center"/>
              <w:rPr>
                <w:sz w:val="20"/>
              </w:rPr>
            </w:pPr>
            <w:r w:rsidRPr="00340C05">
              <w:rPr>
                <w:sz w:val="20"/>
              </w:rPr>
              <w:t>37.665278</w:t>
            </w:r>
            <w:r w:rsidRPr="003D55E5">
              <w:rPr>
                <w:sz w:val="20"/>
              </w:rPr>
              <w:t>º</w:t>
            </w:r>
          </w:p>
        </w:tc>
        <w:tc>
          <w:tcPr>
            <w:tcW w:w="1781" w:type="dxa"/>
            <w:tcBorders>
              <w:left w:val="single" w:sz="4" w:space="0" w:color="auto"/>
              <w:right w:val="single" w:sz="4" w:space="0" w:color="auto"/>
            </w:tcBorders>
            <w:shd w:val="clear" w:color="auto" w:fill="auto"/>
            <w:vAlign w:val="center"/>
          </w:tcPr>
          <w:p w14:paraId="30C865F1" w14:textId="77777777" w:rsidR="000072C3" w:rsidRPr="000072C3" w:rsidRDefault="00786A0B" w:rsidP="000F59C2">
            <w:pPr>
              <w:pStyle w:val="blankspacesaftertables"/>
              <w:jc w:val="center"/>
              <w:rPr>
                <w:sz w:val="20"/>
              </w:rPr>
            </w:pPr>
            <w:r>
              <w:rPr>
                <w:sz w:val="20"/>
              </w:rPr>
              <w:t>-</w:t>
            </w:r>
            <w:r w:rsidR="00340C05" w:rsidRPr="00340C05">
              <w:rPr>
                <w:sz w:val="20"/>
              </w:rPr>
              <w:t>122.361389</w:t>
            </w:r>
            <w:r w:rsidR="00340C05" w:rsidRPr="003D55E5">
              <w:rPr>
                <w:sz w:val="20"/>
              </w:rPr>
              <w:t>º</w:t>
            </w:r>
          </w:p>
        </w:tc>
        <w:tc>
          <w:tcPr>
            <w:tcW w:w="2627" w:type="dxa"/>
            <w:tcBorders>
              <w:left w:val="single" w:sz="4" w:space="0" w:color="auto"/>
              <w:right w:val="single" w:sz="12" w:space="0" w:color="auto"/>
            </w:tcBorders>
            <w:shd w:val="clear" w:color="auto" w:fill="auto"/>
            <w:vAlign w:val="center"/>
          </w:tcPr>
          <w:p w14:paraId="12FBACF7" w14:textId="77777777" w:rsidR="000072C3" w:rsidRPr="000072C3" w:rsidRDefault="000072C3" w:rsidP="000F59C2">
            <w:pPr>
              <w:pStyle w:val="blankspacesaftertables"/>
              <w:jc w:val="center"/>
              <w:rPr>
                <w:sz w:val="20"/>
              </w:rPr>
            </w:pPr>
            <w:r w:rsidRPr="000072C3">
              <w:rPr>
                <w:sz w:val="20"/>
              </w:rPr>
              <w:t>Lower San Francisco Bay</w:t>
            </w:r>
          </w:p>
        </w:tc>
      </w:tr>
      <w:tr w:rsidR="000072C3" w:rsidRPr="000072C3" w14:paraId="2A480DEB" w14:textId="77777777" w:rsidTr="00122E10">
        <w:trPr>
          <w:cantSplit/>
        </w:trPr>
        <w:tc>
          <w:tcPr>
            <w:tcW w:w="3320" w:type="dxa"/>
            <w:tcBorders>
              <w:left w:val="single" w:sz="12" w:space="0" w:color="auto"/>
            </w:tcBorders>
            <w:shd w:val="clear" w:color="auto" w:fill="auto"/>
            <w:vAlign w:val="center"/>
          </w:tcPr>
          <w:p w14:paraId="6620D2B8" w14:textId="77777777" w:rsidR="000072C3" w:rsidRPr="000072C3" w:rsidRDefault="000072C3" w:rsidP="000072C3">
            <w:pPr>
              <w:pStyle w:val="blankspacesaftertables"/>
              <w:rPr>
                <w:sz w:val="20"/>
              </w:rPr>
            </w:pPr>
            <w:r w:rsidRPr="000072C3">
              <w:rPr>
                <w:sz w:val="20"/>
              </w:rPr>
              <w:t>San Francisco (Southeast Plant), City and County of</w:t>
            </w:r>
          </w:p>
        </w:tc>
        <w:tc>
          <w:tcPr>
            <w:tcW w:w="1224" w:type="dxa"/>
            <w:shd w:val="clear" w:color="auto" w:fill="auto"/>
            <w:vAlign w:val="center"/>
          </w:tcPr>
          <w:p w14:paraId="1440C1ED" w14:textId="77777777" w:rsidR="000072C3" w:rsidRPr="000072C3" w:rsidRDefault="000072C3" w:rsidP="000F59C2">
            <w:pPr>
              <w:pStyle w:val="blankspacesaftertables"/>
              <w:jc w:val="center"/>
              <w:rPr>
                <w:sz w:val="20"/>
              </w:rPr>
            </w:pPr>
            <w:r w:rsidRPr="000072C3">
              <w:rPr>
                <w:sz w:val="20"/>
              </w:rPr>
              <w:t>001</w:t>
            </w:r>
          </w:p>
        </w:tc>
        <w:tc>
          <w:tcPr>
            <w:tcW w:w="1776" w:type="dxa"/>
            <w:tcBorders>
              <w:left w:val="single" w:sz="4" w:space="0" w:color="auto"/>
              <w:right w:val="single" w:sz="4" w:space="0" w:color="auto"/>
            </w:tcBorders>
            <w:shd w:val="clear" w:color="auto" w:fill="auto"/>
            <w:vAlign w:val="center"/>
          </w:tcPr>
          <w:p w14:paraId="135C55DA" w14:textId="77777777" w:rsidR="000072C3" w:rsidRPr="000072C3" w:rsidRDefault="00786A0B" w:rsidP="000F59C2">
            <w:pPr>
              <w:pStyle w:val="blankspacesaftertables"/>
              <w:jc w:val="center"/>
              <w:rPr>
                <w:sz w:val="20"/>
              </w:rPr>
            </w:pPr>
            <w:r w:rsidRPr="00786A0B">
              <w:rPr>
                <w:sz w:val="20"/>
              </w:rPr>
              <w:t>37.749444</w:t>
            </w:r>
            <w:r w:rsidRPr="003D55E5">
              <w:rPr>
                <w:sz w:val="20"/>
              </w:rPr>
              <w:t>º</w:t>
            </w:r>
          </w:p>
        </w:tc>
        <w:tc>
          <w:tcPr>
            <w:tcW w:w="1781" w:type="dxa"/>
            <w:tcBorders>
              <w:left w:val="single" w:sz="4" w:space="0" w:color="auto"/>
              <w:right w:val="single" w:sz="4" w:space="0" w:color="auto"/>
            </w:tcBorders>
            <w:shd w:val="clear" w:color="auto" w:fill="auto"/>
            <w:vAlign w:val="center"/>
          </w:tcPr>
          <w:p w14:paraId="58563AE0" w14:textId="77777777" w:rsidR="000072C3" w:rsidRPr="000072C3" w:rsidRDefault="00786A0B" w:rsidP="000F59C2">
            <w:pPr>
              <w:pStyle w:val="blankspacesaftertables"/>
              <w:jc w:val="center"/>
              <w:rPr>
                <w:sz w:val="20"/>
              </w:rPr>
            </w:pPr>
            <w:r w:rsidRPr="00786A0B">
              <w:rPr>
                <w:sz w:val="20"/>
              </w:rPr>
              <w:t>-122.372778</w:t>
            </w:r>
            <w:r w:rsidRPr="003D55E5">
              <w:rPr>
                <w:sz w:val="20"/>
              </w:rPr>
              <w:t>º</w:t>
            </w:r>
          </w:p>
        </w:tc>
        <w:tc>
          <w:tcPr>
            <w:tcW w:w="2627" w:type="dxa"/>
            <w:tcBorders>
              <w:left w:val="single" w:sz="4" w:space="0" w:color="auto"/>
              <w:right w:val="single" w:sz="12" w:space="0" w:color="auto"/>
            </w:tcBorders>
            <w:shd w:val="clear" w:color="auto" w:fill="auto"/>
            <w:vAlign w:val="center"/>
          </w:tcPr>
          <w:p w14:paraId="7F1D836E" w14:textId="77777777" w:rsidR="000072C3" w:rsidRPr="000072C3" w:rsidRDefault="000072C3" w:rsidP="000F59C2">
            <w:pPr>
              <w:pStyle w:val="blankspacesaftertables"/>
              <w:jc w:val="center"/>
              <w:rPr>
                <w:sz w:val="20"/>
              </w:rPr>
            </w:pPr>
            <w:r w:rsidRPr="000072C3">
              <w:rPr>
                <w:sz w:val="20"/>
              </w:rPr>
              <w:t>Lower San Francisco Bay</w:t>
            </w:r>
          </w:p>
        </w:tc>
      </w:tr>
      <w:tr w:rsidR="000072C3" w:rsidRPr="000072C3" w14:paraId="69FABF70" w14:textId="77777777" w:rsidTr="00122E10">
        <w:trPr>
          <w:cantSplit/>
        </w:trPr>
        <w:tc>
          <w:tcPr>
            <w:tcW w:w="3320" w:type="dxa"/>
            <w:tcBorders>
              <w:left w:val="single" w:sz="12" w:space="0" w:color="auto"/>
            </w:tcBorders>
            <w:shd w:val="clear" w:color="auto" w:fill="auto"/>
            <w:vAlign w:val="center"/>
          </w:tcPr>
          <w:p w14:paraId="294ACD0F" w14:textId="7E155DB1" w:rsidR="000072C3" w:rsidRPr="000072C3" w:rsidRDefault="0024799D" w:rsidP="000072C3">
            <w:pPr>
              <w:pStyle w:val="blankspacesaftertables"/>
              <w:rPr>
                <w:sz w:val="20"/>
              </w:rPr>
            </w:pPr>
            <w:r w:rsidRPr="0024799D">
              <w:rPr>
                <w:sz w:val="20"/>
              </w:rPr>
              <w:t>San Jose and Santa Clara, Cities of</w:t>
            </w:r>
          </w:p>
        </w:tc>
        <w:tc>
          <w:tcPr>
            <w:tcW w:w="1224" w:type="dxa"/>
            <w:shd w:val="clear" w:color="auto" w:fill="auto"/>
            <w:vAlign w:val="center"/>
          </w:tcPr>
          <w:p w14:paraId="35A98660" w14:textId="77777777" w:rsidR="000072C3" w:rsidRPr="000072C3" w:rsidRDefault="000072C3" w:rsidP="000F59C2">
            <w:pPr>
              <w:pStyle w:val="blankspacesaftertables"/>
              <w:jc w:val="center"/>
              <w:rPr>
                <w:sz w:val="20"/>
              </w:rPr>
            </w:pPr>
            <w:r w:rsidRPr="000072C3">
              <w:rPr>
                <w:sz w:val="20"/>
              </w:rPr>
              <w:t>001</w:t>
            </w:r>
          </w:p>
        </w:tc>
        <w:tc>
          <w:tcPr>
            <w:tcW w:w="1776" w:type="dxa"/>
            <w:tcBorders>
              <w:left w:val="single" w:sz="4" w:space="0" w:color="auto"/>
              <w:right w:val="single" w:sz="4" w:space="0" w:color="auto"/>
            </w:tcBorders>
            <w:shd w:val="clear" w:color="auto" w:fill="auto"/>
            <w:vAlign w:val="center"/>
          </w:tcPr>
          <w:p w14:paraId="4394E71E" w14:textId="77777777" w:rsidR="000072C3" w:rsidRPr="000072C3" w:rsidRDefault="00303287" w:rsidP="000F59C2">
            <w:pPr>
              <w:pStyle w:val="blankspacesaftertables"/>
              <w:jc w:val="center"/>
              <w:rPr>
                <w:sz w:val="20"/>
              </w:rPr>
            </w:pPr>
            <w:r w:rsidRPr="00303287">
              <w:rPr>
                <w:sz w:val="20"/>
              </w:rPr>
              <w:t>37.439722</w:t>
            </w:r>
            <w:r w:rsidRPr="003D55E5">
              <w:rPr>
                <w:sz w:val="20"/>
              </w:rPr>
              <w:t>º</w:t>
            </w:r>
          </w:p>
        </w:tc>
        <w:tc>
          <w:tcPr>
            <w:tcW w:w="1781" w:type="dxa"/>
            <w:tcBorders>
              <w:left w:val="single" w:sz="4" w:space="0" w:color="auto"/>
              <w:right w:val="single" w:sz="4" w:space="0" w:color="auto"/>
            </w:tcBorders>
            <w:shd w:val="clear" w:color="auto" w:fill="auto"/>
            <w:vAlign w:val="center"/>
          </w:tcPr>
          <w:p w14:paraId="4273465C" w14:textId="77777777" w:rsidR="000072C3" w:rsidRPr="000072C3" w:rsidRDefault="00303287" w:rsidP="000F59C2">
            <w:pPr>
              <w:pStyle w:val="blankspacesaftertables"/>
              <w:jc w:val="center"/>
              <w:rPr>
                <w:sz w:val="20"/>
              </w:rPr>
            </w:pPr>
            <w:r>
              <w:rPr>
                <w:sz w:val="20"/>
              </w:rPr>
              <w:t>-</w:t>
            </w:r>
            <w:r w:rsidRPr="00303287">
              <w:rPr>
                <w:sz w:val="20"/>
              </w:rPr>
              <w:t>121.958056</w:t>
            </w:r>
            <w:r w:rsidRPr="003D55E5">
              <w:rPr>
                <w:sz w:val="20"/>
              </w:rPr>
              <w:t>º</w:t>
            </w:r>
          </w:p>
        </w:tc>
        <w:tc>
          <w:tcPr>
            <w:tcW w:w="2627" w:type="dxa"/>
            <w:tcBorders>
              <w:left w:val="single" w:sz="4" w:space="0" w:color="auto"/>
              <w:right w:val="single" w:sz="12" w:space="0" w:color="auto"/>
            </w:tcBorders>
            <w:shd w:val="clear" w:color="auto" w:fill="auto"/>
            <w:vAlign w:val="center"/>
          </w:tcPr>
          <w:p w14:paraId="5B5F16CE" w14:textId="77777777" w:rsidR="000072C3" w:rsidRPr="000072C3" w:rsidRDefault="000072C3" w:rsidP="000F59C2">
            <w:pPr>
              <w:pStyle w:val="blankspacesaftertables"/>
              <w:jc w:val="center"/>
              <w:rPr>
                <w:sz w:val="20"/>
              </w:rPr>
            </w:pPr>
            <w:r w:rsidRPr="000072C3">
              <w:rPr>
                <w:sz w:val="20"/>
              </w:rPr>
              <w:t>Artesian Slough, a tributary to Coyote Creek and South San Francisco Bay</w:t>
            </w:r>
          </w:p>
        </w:tc>
      </w:tr>
      <w:tr w:rsidR="000072C3" w:rsidRPr="000072C3" w14:paraId="3E184149" w14:textId="77777777" w:rsidTr="00122E10">
        <w:trPr>
          <w:cantSplit/>
        </w:trPr>
        <w:tc>
          <w:tcPr>
            <w:tcW w:w="3320" w:type="dxa"/>
            <w:tcBorders>
              <w:left w:val="single" w:sz="12" w:space="0" w:color="auto"/>
            </w:tcBorders>
            <w:shd w:val="clear" w:color="auto" w:fill="auto"/>
            <w:vAlign w:val="center"/>
          </w:tcPr>
          <w:p w14:paraId="538F2D63" w14:textId="77777777" w:rsidR="000072C3" w:rsidRPr="000072C3" w:rsidRDefault="000072C3" w:rsidP="000072C3">
            <w:pPr>
              <w:pStyle w:val="blankspacesaftertables"/>
              <w:rPr>
                <w:sz w:val="20"/>
              </w:rPr>
            </w:pPr>
            <w:r w:rsidRPr="000072C3">
              <w:rPr>
                <w:sz w:val="20"/>
              </w:rPr>
              <w:t>San Mateo, City of</w:t>
            </w:r>
          </w:p>
        </w:tc>
        <w:tc>
          <w:tcPr>
            <w:tcW w:w="1224" w:type="dxa"/>
            <w:shd w:val="clear" w:color="auto" w:fill="auto"/>
            <w:vAlign w:val="center"/>
          </w:tcPr>
          <w:p w14:paraId="36CD18EA" w14:textId="77777777" w:rsidR="000072C3" w:rsidRPr="000072C3" w:rsidRDefault="000072C3" w:rsidP="000F59C2">
            <w:pPr>
              <w:pStyle w:val="blankspacesaftertables"/>
              <w:jc w:val="center"/>
              <w:rPr>
                <w:sz w:val="20"/>
              </w:rPr>
            </w:pPr>
            <w:r w:rsidRPr="000072C3">
              <w:rPr>
                <w:sz w:val="20"/>
              </w:rPr>
              <w:t>001</w:t>
            </w:r>
          </w:p>
        </w:tc>
        <w:tc>
          <w:tcPr>
            <w:tcW w:w="1776" w:type="dxa"/>
            <w:tcBorders>
              <w:left w:val="single" w:sz="4" w:space="0" w:color="auto"/>
              <w:right w:val="single" w:sz="4" w:space="0" w:color="auto"/>
            </w:tcBorders>
            <w:shd w:val="clear" w:color="auto" w:fill="auto"/>
            <w:vAlign w:val="center"/>
          </w:tcPr>
          <w:p w14:paraId="75419CB3" w14:textId="77777777" w:rsidR="000072C3" w:rsidRPr="000072C3" w:rsidRDefault="00303287" w:rsidP="000F59C2">
            <w:pPr>
              <w:pStyle w:val="blankspacesaftertables"/>
              <w:jc w:val="center"/>
              <w:rPr>
                <w:sz w:val="20"/>
              </w:rPr>
            </w:pPr>
            <w:r w:rsidRPr="00303287">
              <w:rPr>
                <w:sz w:val="20"/>
              </w:rPr>
              <w:t>37.580556</w:t>
            </w:r>
            <w:r w:rsidRPr="003D55E5">
              <w:rPr>
                <w:sz w:val="20"/>
              </w:rPr>
              <w:t>º</w:t>
            </w:r>
          </w:p>
        </w:tc>
        <w:tc>
          <w:tcPr>
            <w:tcW w:w="1781" w:type="dxa"/>
            <w:tcBorders>
              <w:left w:val="single" w:sz="4" w:space="0" w:color="auto"/>
              <w:right w:val="single" w:sz="4" w:space="0" w:color="auto"/>
            </w:tcBorders>
            <w:shd w:val="clear" w:color="auto" w:fill="auto"/>
            <w:vAlign w:val="center"/>
          </w:tcPr>
          <w:p w14:paraId="71257B1B" w14:textId="77777777" w:rsidR="000072C3" w:rsidRPr="000072C3" w:rsidRDefault="00303287" w:rsidP="000F59C2">
            <w:pPr>
              <w:pStyle w:val="blankspacesaftertables"/>
              <w:jc w:val="center"/>
              <w:rPr>
                <w:sz w:val="20"/>
              </w:rPr>
            </w:pPr>
            <w:r w:rsidRPr="00303287">
              <w:rPr>
                <w:sz w:val="20"/>
              </w:rPr>
              <w:t>-122.245833</w:t>
            </w:r>
            <w:r w:rsidRPr="003D55E5">
              <w:rPr>
                <w:sz w:val="20"/>
              </w:rPr>
              <w:t>º</w:t>
            </w:r>
          </w:p>
        </w:tc>
        <w:tc>
          <w:tcPr>
            <w:tcW w:w="2627" w:type="dxa"/>
            <w:tcBorders>
              <w:left w:val="single" w:sz="4" w:space="0" w:color="auto"/>
              <w:right w:val="single" w:sz="12" w:space="0" w:color="auto"/>
            </w:tcBorders>
            <w:shd w:val="clear" w:color="auto" w:fill="auto"/>
            <w:vAlign w:val="center"/>
          </w:tcPr>
          <w:p w14:paraId="45F0B338" w14:textId="77777777" w:rsidR="000072C3" w:rsidRPr="000072C3" w:rsidRDefault="000072C3" w:rsidP="000F59C2">
            <w:pPr>
              <w:pStyle w:val="blankspacesaftertables"/>
              <w:jc w:val="center"/>
              <w:rPr>
                <w:sz w:val="20"/>
              </w:rPr>
            </w:pPr>
            <w:r w:rsidRPr="000072C3">
              <w:rPr>
                <w:sz w:val="20"/>
              </w:rPr>
              <w:t>Lower San Francisco Bay</w:t>
            </w:r>
          </w:p>
        </w:tc>
      </w:tr>
      <w:tr w:rsidR="000072C3" w:rsidRPr="000072C3" w14:paraId="599BF1CD" w14:textId="77777777" w:rsidTr="00122E10">
        <w:trPr>
          <w:cantSplit/>
        </w:trPr>
        <w:tc>
          <w:tcPr>
            <w:tcW w:w="3320" w:type="dxa"/>
            <w:tcBorders>
              <w:left w:val="single" w:sz="12" w:space="0" w:color="auto"/>
            </w:tcBorders>
            <w:shd w:val="clear" w:color="auto" w:fill="auto"/>
            <w:vAlign w:val="center"/>
          </w:tcPr>
          <w:p w14:paraId="438D7479" w14:textId="77777777" w:rsidR="000072C3" w:rsidRPr="000072C3" w:rsidRDefault="000072C3" w:rsidP="000072C3">
            <w:pPr>
              <w:pStyle w:val="blankspacesaftertables"/>
              <w:rPr>
                <w:sz w:val="20"/>
              </w:rPr>
            </w:pPr>
            <w:r w:rsidRPr="000072C3">
              <w:rPr>
                <w:sz w:val="20"/>
              </w:rPr>
              <w:t>Sausalito-Marin City Sanitary District</w:t>
            </w:r>
          </w:p>
        </w:tc>
        <w:tc>
          <w:tcPr>
            <w:tcW w:w="1224" w:type="dxa"/>
            <w:shd w:val="clear" w:color="auto" w:fill="auto"/>
            <w:vAlign w:val="center"/>
          </w:tcPr>
          <w:p w14:paraId="24BA0F77" w14:textId="77777777" w:rsidR="000072C3" w:rsidRPr="000072C3" w:rsidRDefault="000072C3" w:rsidP="000F59C2">
            <w:pPr>
              <w:pStyle w:val="blankspacesaftertables"/>
              <w:jc w:val="center"/>
              <w:rPr>
                <w:sz w:val="20"/>
              </w:rPr>
            </w:pPr>
            <w:r w:rsidRPr="000072C3">
              <w:rPr>
                <w:sz w:val="20"/>
              </w:rPr>
              <w:t>001</w:t>
            </w:r>
          </w:p>
        </w:tc>
        <w:tc>
          <w:tcPr>
            <w:tcW w:w="1776" w:type="dxa"/>
            <w:tcBorders>
              <w:left w:val="single" w:sz="4" w:space="0" w:color="auto"/>
              <w:right w:val="single" w:sz="4" w:space="0" w:color="auto"/>
            </w:tcBorders>
            <w:shd w:val="clear" w:color="auto" w:fill="auto"/>
            <w:vAlign w:val="center"/>
          </w:tcPr>
          <w:p w14:paraId="10F002FA" w14:textId="77777777" w:rsidR="000072C3" w:rsidRPr="000072C3" w:rsidRDefault="00303287" w:rsidP="000F59C2">
            <w:pPr>
              <w:pStyle w:val="blankspacesaftertables"/>
              <w:jc w:val="center"/>
              <w:rPr>
                <w:sz w:val="20"/>
              </w:rPr>
            </w:pPr>
            <w:r w:rsidRPr="00303287">
              <w:rPr>
                <w:sz w:val="20"/>
              </w:rPr>
              <w:t>37.843333</w:t>
            </w:r>
            <w:r w:rsidR="00517624" w:rsidRPr="003D55E5">
              <w:rPr>
                <w:sz w:val="20"/>
              </w:rPr>
              <w:t>º</w:t>
            </w:r>
          </w:p>
        </w:tc>
        <w:tc>
          <w:tcPr>
            <w:tcW w:w="1781" w:type="dxa"/>
            <w:tcBorders>
              <w:left w:val="single" w:sz="4" w:space="0" w:color="auto"/>
              <w:right w:val="single" w:sz="4" w:space="0" w:color="auto"/>
            </w:tcBorders>
            <w:shd w:val="clear" w:color="auto" w:fill="auto"/>
            <w:vAlign w:val="center"/>
          </w:tcPr>
          <w:p w14:paraId="62AEF3E1" w14:textId="77777777" w:rsidR="000072C3" w:rsidRPr="000072C3" w:rsidRDefault="00303287" w:rsidP="000F59C2">
            <w:pPr>
              <w:pStyle w:val="blankspacesaftertables"/>
              <w:jc w:val="center"/>
              <w:rPr>
                <w:sz w:val="20"/>
              </w:rPr>
            </w:pPr>
            <w:r w:rsidRPr="00303287">
              <w:rPr>
                <w:sz w:val="20"/>
              </w:rPr>
              <w:t>-122.476111</w:t>
            </w:r>
            <w:r w:rsidR="00517624" w:rsidRPr="003D55E5">
              <w:rPr>
                <w:sz w:val="20"/>
              </w:rPr>
              <w:t>º</w:t>
            </w:r>
          </w:p>
        </w:tc>
        <w:tc>
          <w:tcPr>
            <w:tcW w:w="2627" w:type="dxa"/>
            <w:tcBorders>
              <w:left w:val="single" w:sz="4" w:space="0" w:color="auto"/>
              <w:right w:val="single" w:sz="12" w:space="0" w:color="auto"/>
            </w:tcBorders>
            <w:shd w:val="clear" w:color="auto" w:fill="auto"/>
            <w:vAlign w:val="center"/>
          </w:tcPr>
          <w:p w14:paraId="6CCEEE61" w14:textId="77777777" w:rsidR="000072C3" w:rsidRPr="000072C3" w:rsidRDefault="000072C3" w:rsidP="000F59C2">
            <w:pPr>
              <w:pStyle w:val="blankspacesaftertables"/>
              <w:jc w:val="center"/>
              <w:rPr>
                <w:sz w:val="20"/>
              </w:rPr>
            </w:pPr>
            <w:r w:rsidRPr="000072C3">
              <w:rPr>
                <w:sz w:val="20"/>
              </w:rPr>
              <w:t>Central San Francisco Bay</w:t>
            </w:r>
          </w:p>
        </w:tc>
      </w:tr>
      <w:tr w:rsidR="000072C3" w:rsidRPr="000072C3" w14:paraId="34F57114" w14:textId="77777777" w:rsidTr="00122E10">
        <w:trPr>
          <w:cantSplit/>
        </w:trPr>
        <w:tc>
          <w:tcPr>
            <w:tcW w:w="3320" w:type="dxa"/>
            <w:tcBorders>
              <w:left w:val="single" w:sz="12" w:space="0" w:color="auto"/>
            </w:tcBorders>
            <w:shd w:val="clear" w:color="auto" w:fill="auto"/>
            <w:vAlign w:val="center"/>
          </w:tcPr>
          <w:p w14:paraId="4E983B56" w14:textId="77777777" w:rsidR="000072C3" w:rsidRPr="000072C3" w:rsidRDefault="000072C3" w:rsidP="000072C3">
            <w:pPr>
              <w:pStyle w:val="blankspacesaftertables"/>
              <w:rPr>
                <w:sz w:val="20"/>
              </w:rPr>
            </w:pPr>
            <w:r w:rsidRPr="000072C3">
              <w:rPr>
                <w:sz w:val="20"/>
              </w:rPr>
              <w:t>Sewerage Agency of Southern Marin</w:t>
            </w:r>
          </w:p>
        </w:tc>
        <w:tc>
          <w:tcPr>
            <w:tcW w:w="1224" w:type="dxa"/>
            <w:shd w:val="clear" w:color="auto" w:fill="auto"/>
            <w:vAlign w:val="center"/>
          </w:tcPr>
          <w:p w14:paraId="4129215E" w14:textId="77777777" w:rsidR="000072C3" w:rsidRPr="000072C3" w:rsidRDefault="000072C3" w:rsidP="000F59C2">
            <w:pPr>
              <w:pStyle w:val="blankspacesaftertables"/>
              <w:jc w:val="center"/>
              <w:rPr>
                <w:sz w:val="20"/>
              </w:rPr>
            </w:pPr>
            <w:r w:rsidRPr="000072C3">
              <w:rPr>
                <w:sz w:val="20"/>
              </w:rPr>
              <w:t>001</w:t>
            </w:r>
          </w:p>
        </w:tc>
        <w:tc>
          <w:tcPr>
            <w:tcW w:w="1776" w:type="dxa"/>
            <w:tcBorders>
              <w:left w:val="single" w:sz="4" w:space="0" w:color="auto"/>
              <w:right w:val="single" w:sz="4" w:space="0" w:color="auto"/>
            </w:tcBorders>
            <w:shd w:val="clear" w:color="auto" w:fill="auto"/>
            <w:vAlign w:val="center"/>
          </w:tcPr>
          <w:p w14:paraId="61F1E5CB" w14:textId="77777777" w:rsidR="000072C3" w:rsidRPr="000072C3" w:rsidRDefault="00517624" w:rsidP="000F59C2">
            <w:pPr>
              <w:pStyle w:val="blankspacesaftertables"/>
              <w:jc w:val="center"/>
              <w:rPr>
                <w:sz w:val="20"/>
              </w:rPr>
            </w:pPr>
            <w:r w:rsidRPr="00517624">
              <w:rPr>
                <w:sz w:val="20"/>
              </w:rPr>
              <w:t>37.87</w:t>
            </w:r>
            <w:r>
              <w:rPr>
                <w:sz w:val="20"/>
              </w:rPr>
              <w:t>0000</w:t>
            </w:r>
            <w:r w:rsidRPr="003D55E5">
              <w:rPr>
                <w:sz w:val="20"/>
              </w:rPr>
              <w:t>º</w:t>
            </w:r>
          </w:p>
        </w:tc>
        <w:tc>
          <w:tcPr>
            <w:tcW w:w="1781" w:type="dxa"/>
            <w:tcBorders>
              <w:left w:val="single" w:sz="4" w:space="0" w:color="auto"/>
              <w:right w:val="single" w:sz="4" w:space="0" w:color="auto"/>
            </w:tcBorders>
            <w:shd w:val="clear" w:color="auto" w:fill="auto"/>
            <w:vAlign w:val="center"/>
          </w:tcPr>
          <w:p w14:paraId="18098400" w14:textId="77777777" w:rsidR="000072C3" w:rsidRPr="000072C3" w:rsidRDefault="00517624" w:rsidP="000F59C2">
            <w:pPr>
              <w:pStyle w:val="blankspacesaftertables"/>
              <w:jc w:val="center"/>
              <w:rPr>
                <w:sz w:val="20"/>
              </w:rPr>
            </w:pPr>
            <w:r>
              <w:rPr>
                <w:sz w:val="20"/>
              </w:rPr>
              <w:t>-</w:t>
            </w:r>
            <w:r w:rsidRPr="00517624">
              <w:rPr>
                <w:sz w:val="20"/>
              </w:rPr>
              <w:t>122.451389</w:t>
            </w:r>
            <w:r w:rsidRPr="003D55E5">
              <w:rPr>
                <w:sz w:val="20"/>
              </w:rPr>
              <w:t>º</w:t>
            </w:r>
          </w:p>
        </w:tc>
        <w:tc>
          <w:tcPr>
            <w:tcW w:w="2627" w:type="dxa"/>
            <w:tcBorders>
              <w:left w:val="single" w:sz="4" w:space="0" w:color="auto"/>
              <w:right w:val="single" w:sz="12" w:space="0" w:color="auto"/>
            </w:tcBorders>
            <w:shd w:val="clear" w:color="auto" w:fill="auto"/>
            <w:vAlign w:val="center"/>
          </w:tcPr>
          <w:p w14:paraId="4019B304" w14:textId="77777777" w:rsidR="000072C3" w:rsidRPr="000072C3" w:rsidRDefault="000072C3" w:rsidP="000F59C2">
            <w:pPr>
              <w:pStyle w:val="blankspacesaftertables"/>
              <w:jc w:val="center"/>
              <w:rPr>
                <w:sz w:val="20"/>
              </w:rPr>
            </w:pPr>
            <w:r w:rsidRPr="000072C3">
              <w:rPr>
                <w:sz w:val="20"/>
              </w:rPr>
              <w:t>Raccoon Strait</w:t>
            </w:r>
            <w:r w:rsidR="00517624">
              <w:rPr>
                <w:sz w:val="20"/>
              </w:rPr>
              <w:t xml:space="preserve"> in Central San Francisco Bay</w:t>
            </w:r>
          </w:p>
        </w:tc>
      </w:tr>
      <w:tr w:rsidR="00941C11" w:rsidRPr="000072C3" w14:paraId="263BA516" w14:textId="77777777" w:rsidTr="00122E10">
        <w:trPr>
          <w:cantSplit/>
        </w:trPr>
        <w:tc>
          <w:tcPr>
            <w:tcW w:w="3320" w:type="dxa"/>
            <w:tcBorders>
              <w:left w:val="single" w:sz="12" w:space="0" w:color="auto"/>
            </w:tcBorders>
            <w:shd w:val="clear" w:color="auto" w:fill="auto"/>
            <w:vAlign w:val="center"/>
          </w:tcPr>
          <w:p w14:paraId="0936D9A5" w14:textId="5A3A4F26" w:rsidR="00941C11" w:rsidRPr="000072C3" w:rsidRDefault="00941C11" w:rsidP="00941C11">
            <w:pPr>
              <w:pStyle w:val="blankspacesaftertables"/>
              <w:rPr>
                <w:sz w:val="20"/>
              </w:rPr>
            </w:pPr>
            <w:r>
              <w:rPr>
                <w:sz w:val="20"/>
              </w:rPr>
              <w:t>Silicon Valley Clean Water</w:t>
            </w:r>
          </w:p>
        </w:tc>
        <w:tc>
          <w:tcPr>
            <w:tcW w:w="1224" w:type="dxa"/>
            <w:shd w:val="clear" w:color="auto" w:fill="auto"/>
            <w:vAlign w:val="center"/>
          </w:tcPr>
          <w:p w14:paraId="1848438C" w14:textId="09FB3B93" w:rsidR="00941C11" w:rsidRPr="000072C3" w:rsidRDefault="00941C11" w:rsidP="00941C11">
            <w:pPr>
              <w:pStyle w:val="blankspacesaftertables"/>
              <w:jc w:val="center"/>
              <w:rPr>
                <w:sz w:val="20"/>
              </w:rPr>
            </w:pPr>
            <w:r w:rsidRPr="000072C3">
              <w:rPr>
                <w:sz w:val="20"/>
              </w:rPr>
              <w:t>001</w:t>
            </w:r>
          </w:p>
        </w:tc>
        <w:tc>
          <w:tcPr>
            <w:tcW w:w="1776" w:type="dxa"/>
            <w:tcBorders>
              <w:left w:val="single" w:sz="4" w:space="0" w:color="auto"/>
              <w:right w:val="single" w:sz="4" w:space="0" w:color="auto"/>
            </w:tcBorders>
            <w:shd w:val="clear" w:color="auto" w:fill="auto"/>
            <w:vAlign w:val="center"/>
          </w:tcPr>
          <w:p w14:paraId="27540999" w14:textId="062936EB" w:rsidR="00941C11" w:rsidRPr="00517624" w:rsidRDefault="00941C11" w:rsidP="00941C11">
            <w:pPr>
              <w:pStyle w:val="blankspacesaftertables"/>
              <w:jc w:val="center"/>
              <w:rPr>
                <w:sz w:val="20"/>
              </w:rPr>
            </w:pPr>
            <w:r w:rsidRPr="009E48D2">
              <w:rPr>
                <w:sz w:val="20"/>
              </w:rPr>
              <w:t>37.561111</w:t>
            </w:r>
            <w:r w:rsidRPr="003D55E5">
              <w:rPr>
                <w:sz w:val="20"/>
              </w:rPr>
              <w:t>º</w:t>
            </w:r>
          </w:p>
        </w:tc>
        <w:tc>
          <w:tcPr>
            <w:tcW w:w="1781" w:type="dxa"/>
            <w:tcBorders>
              <w:left w:val="single" w:sz="4" w:space="0" w:color="auto"/>
              <w:right w:val="single" w:sz="4" w:space="0" w:color="auto"/>
            </w:tcBorders>
            <w:shd w:val="clear" w:color="auto" w:fill="auto"/>
            <w:vAlign w:val="center"/>
          </w:tcPr>
          <w:p w14:paraId="5E010291" w14:textId="762C97E8" w:rsidR="00941C11" w:rsidRDefault="00941C11" w:rsidP="00941C11">
            <w:pPr>
              <w:pStyle w:val="blankspacesaftertables"/>
              <w:jc w:val="center"/>
              <w:rPr>
                <w:sz w:val="20"/>
              </w:rPr>
            </w:pPr>
            <w:r w:rsidRPr="009E48D2">
              <w:rPr>
                <w:sz w:val="20"/>
              </w:rPr>
              <w:t>-122.217222</w:t>
            </w:r>
            <w:r w:rsidRPr="003D55E5">
              <w:rPr>
                <w:sz w:val="20"/>
              </w:rPr>
              <w:t>º</w:t>
            </w:r>
          </w:p>
        </w:tc>
        <w:tc>
          <w:tcPr>
            <w:tcW w:w="2627" w:type="dxa"/>
            <w:tcBorders>
              <w:left w:val="single" w:sz="4" w:space="0" w:color="auto"/>
              <w:right w:val="single" w:sz="12" w:space="0" w:color="auto"/>
            </w:tcBorders>
            <w:shd w:val="clear" w:color="auto" w:fill="auto"/>
            <w:vAlign w:val="center"/>
          </w:tcPr>
          <w:p w14:paraId="67CC5DE9" w14:textId="27CC8483" w:rsidR="00941C11" w:rsidRPr="000072C3" w:rsidRDefault="00941C11" w:rsidP="00941C11">
            <w:pPr>
              <w:pStyle w:val="blankspacesaftertables"/>
              <w:jc w:val="center"/>
              <w:rPr>
                <w:sz w:val="20"/>
              </w:rPr>
            </w:pPr>
            <w:r w:rsidRPr="000072C3">
              <w:rPr>
                <w:sz w:val="20"/>
              </w:rPr>
              <w:t>Lower San Francisco Bay</w:t>
            </w:r>
          </w:p>
        </w:tc>
      </w:tr>
      <w:tr w:rsidR="00941C11" w:rsidRPr="000072C3" w14:paraId="75279692" w14:textId="77777777" w:rsidTr="00122E10">
        <w:trPr>
          <w:cantSplit/>
        </w:trPr>
        <w:tc>
          <w:tcPr>
            <w:tcW w:w="3320" w:type="dxa"/>
            <w:tcBorders>
              <w:left w:val="single" w:sz="12" w:space="0" w:color="auto"/>
            </w:tcBorders>
            <w:shd w:val="clear" w:color="auto" w:fill="auto"/>
            <w:vAlign w:val="center"/>
          </w:tcPr>
          <w:p w14:paraId="46FFD0D3" w14:textId="77777777" w:rsidR="00941C11" w:rsidRPr="000072C3" w:rsidRDefault="00941C11" w:rsidP="00941C11">
            <w:pPr>
              <w:pStyle w:val="blankspacesaftertables"/>
              <w:rPr>
                <w:sz w:val="20"/>
              </w:rPr>
            </w:pPr>
            <w:r w:rsidRPr="000072C3">
              <w:rPr>
                <w:sz w:val="20"/>
              </w:rPr>
              <w:t>Sonoma Valley County Sanitary District</w:t>
            </w:r>
          </w:p>
        </w:tc>
        <w:tc>
          <w:tcPr>
            <w:tcW w:w="1224" w:type="dxa"/>
            <w:shd w:val="clear" w:color="auto" w:fill="auto"/>
            <w:vAlign w:val="center"/>
          </w:tcPr>
          <w:p w14:paraId="5EFB1035" w14:textId="77777777" w:rsidR="00941C11" w:rsidRPr="000072C3" w:rsidRDefault="00941C11" w:rsidP="00941C11">
            <w:pPr>
              <w:pStyle w:val="blankspacesaftertables"/>
              <w:jc w:val="center"/>
              <w:rPr>
                <w:sz w:val="20"/>
              </w:rPr>
            </w:pPr>
            <w:r w:rsidRPr="000072C3">
              <w:rPr>
                <w:sz w:val="20"/>
              </w:rPr>
              <w:t>001</w:t>
            </w:r>
          </w:p>
        </w:tc>
        <w:tc>
          <w:tcPr>
            <w:tcW w:w="1776" w:type="dxa"/>
            <w:tcBorders>
              <w:left w:val="single" w:sz="4" w:space="0" w:color="auto"/>
              <w:right w:val="single" w:sz="4" w:space="0" w:color="auto"/>
            </w:tcBorders>
            <w:shd w:val="clear" w:color="auto" w:fill="auto"/>
            <w:vAlign w:val="center"/>
          </w:tcPr>
          <w:p w14:paraId="60A9AE1F" w14:textId="77777777" w:rsidR="00941C11" w:rsidRPr="000072C3" w:rsidRDefault="00941C11" w:rsidP="00941C11">
            <w:pPr>
              <w:pStyle w:val="blankspacesaftertables"/>
              <w:jc w:val="center"/>
              <w:rPr>
                <w:sz w:val="20"/>
              </w:rPr>
            </w:pPr>
            <w:r w:rsidRPr="00517624">
              <w:rPr>
                <w:sz w:val="20"/>
              </w:rPr>
              <w:t>38.237222</w:t>
            </w:r>
            <w:r w:rsidRPr="003D55E5">
              <w:rPr>
                <w:sz w:val="20"/>
              </w:rPr>
              <w:t>º</w:t>
            </w:r>
          </w:p>
        </w:tc>
        <w:tc>
          <w:tcPr>
            <w:tcW w:w="1781" w:type="dxa"/>
            <w:tcBorders>
              <w:left w:val="single" w:sz="4" w:space="0" w:color="auto"/>
              <w:right w:val="single" w:sz="4" w:space="0" w:color="auto"/>
            </w:tcBorders>
            <w:shd w:val="clear" w:color="auto" w:fill="auto"/>
            <w:vAlign w:val="center"/>
          </w:tcPr>
          <w:p w14:paraId="6889D88A" w14:textId="77777777" w:rsidR="00941C11" w:rsidRPr="000072C3" w:rsidRDefault="00941C11" w:rsidP="00941C11">
            <w:pPr>
              <w:pStyle w:val="blankspacesaftertables"/>
              <w:jc w:val="center"/>
              <w:rPr>
                <w:sz w:val="20"/>
              </w:rPr>
            </w:pPr>
            <w:r>
              <w:rPr>
                <w:sz w:val="20"/>
              </w:rPr>
              <w:t>-</w:t>
            </w:r>
            <w:r w:rsidRPr="00517624">
              <w:rPr>
                <w:sz w:val="20"/>
              </w:rPr>
              <w:t>122.430833</w:t>
            </w:r>
            <w:r w:rsidRPr="003D55E5">
              <w:rPr>
                <w:sz w:val="20"/>
              </w:rPr>
              <w:t>º</w:t>
            </w:r>
          </w:p>
        </w:tc>
        <w:tc>
          <w:tcPr>
            <w:tcW w:w="2627" w:type="dxa"/>
            <w:tcBorders>
              <w:left w:val="single" w:sz="4" w:space="0" w:color="auto"/>
              <w:right w:val="single" w:sz="12" w:space="0" w:color="auto"/>
            </w:tcBorders>
            <w:shd w:val="clear" w:color="auto" w:fill="auto"/>
            <w:vAlign w:val="center"/>
          </w:tcPr>
          <w:p w14:paraId="0B451AF3" w14:textId="77777777" w:rsidR="00941C11" w:rsidRPr="000072C3" w:rsidRDefault="00941C11" w:rsidP="00941C11">
            <w:pPr>
              <w:pStyle w:val="blankspacesaftertables"/>
              <w:jc w:val="center"/>
              <w:rPr>
                <w:sz w:val="20"/>
              </w:rPr>
            </w:pPr>
            <w:r w:rsidRPr="000072C3">
              <w:rPr>
                <w:sz w:val="20"/>
              </w:rPr>
              <w:t>Schell Slough, a tributary to the San Pablo Bay</w:t>
            </w:r>
          </w:p>
        </w:tc>
      </w:tr>
      <w:tr w:rsidR="00941C11" w:rsidRPr="000072C3" w14:paraId="7683B75D" w14:textId="77777777" w:rsidTr="00122E10">
        <w:trPr>
          <w:cantSplit/>
        </w:trPr>
        <w:tc>
          <w:tcPr>
            <w:tcW w:w="3320" w:type="dxa"/>
            <w:tcBorders>
              <w:left w:val="single" w:sz="12" w:space="0" w:color="auto"/>
            </w:tcBorders>
            <w:shd w:val="clear" w:color="auto" w:fill="auto"/>
            <w:vAlign w:val="center"/>
          </w:tcPr>
          <w:p w14:paraId="6C044225" w14:textId="77777777" w:rsidR="00941C11" w:rsidRPr="000072C3" w:rsidRDefault="00941C11" w:rsidP="00941C11">
            <w:pPr>
              <w:pStyle w:val="blankspacesaftertables"/>
              <w:rPr>
                <w:sz w:val="20"/>
              </w:rPr>
            </w:pPr>
            <w:r w:rsidRPr="000072C3">
              <w:rPr>
                <w:sz w:val="20"/>
              </w:rPr>
              <w:t>South San Francisco and San Bruno, Cities of</w:t>
            </w:r>
          </w:p>
        </w:tc>
        <w:tc>
          <w:tcPr>
            <w:tcW w:w="1224" w:type="dxa"/>
            <w:shd w:val="clear" w:color="auto" w:fill="auto"/>
            <w:vAlign w:val="center"/>
          </w:tcPr>
          <w:p w14:paraId="7A6A748F" w14:textId="77777777" w:rsidR="00941C11" w:rsidRPr="000072C3" w:rsidRDefault="00941C11" w:rsidP="00941C11">
            <w:pPr>
              <w:pStyle w:val="blankspacesaftertables"/>
              <w:jc w:val="center"/>
              <w:rPr>
                <w:sz w:val="20"/>
                <w:vertAlign w:val="superscript"/>
              </w:rPr>
            </w:pPr>
            <w:r w:rsidRPr="000072C3">
              <w:rPr>
                <w:sz w:val="20"/>
              </w:rPr>
              <w:t>002</w:t>
            </w:r>
            <w:r>
              <w:rPr>
                <w:sz w:val="20"/>
                <w:vertAlign w:val="superscript"/>
              </w:rPr>
              <w:t>[1]</w:t>
            </w:r>
          </w:p>
        </w:tc>
        <w:tc>
          <w:tcPr>
            <w:tcW w:w="1776" w:type="dxa"/>
            <w:tcBorders>
              <w:left w:val="single" w:sz="4" w:space="0" w:color="auto"/>
              <w:right w:val="single" w:sz="4" w:space="0" w:color="auto"/>
            </w:tcBorders>
            <w:shd w:val="clear" w:color="auto" w:fill="auto"/>
            <w:vAlign w:val="center"/>
          </w:tcPr>
          <w:p w14:paraId="61067A2C" w14:textId="77777777" w:rsidR="00941C11" w:rsidRPr="000072C3" w:rsidRDefault="00941C11" w:rsidP="00941C11">
            <w:pPr>
              <w:pStyle w:val="blankspacesaftertables"/>
              <w:jc w:val="center"/>
              <w:rPr>
                <w:sz w:val="20"/>
              </w:rPr>
            </w:pPr>
            <w:r w:rsidRPr="00BE6AD1">
              <w:rPr>
                <w:sz w:val="20"/>
              </w:rPr>
              <w:t>37.665278</w:t>
            </w:r>
            <w:r w:rsidRPr="003D55E5">
              <w:rPr>
                <w:sz w:val="20"/>
              </w:rPr>
              <w:t>º</w:t>
            </w:r>
          </w:p>
        </w:tc>
        <w:tc>
          <w:tcPr>
            <w:tcW w:w="1781" w:type="dxa"/>
            <w:tcBorders>
              <w:left w:val="single" w:sz="4" w:space="0" w:color="auto"/>
              <w:right w:val="single" w:sz="4" w:space="0" w:color="auto"/>
            </w:tcBorders>
            <w:shd w:val="clear" w:color="auto" w:fill="auto"/>
            <w:vAlign w:val="center"/>
          </w:tcPr>
          <w:p w14:paraId="5089DD4C" w14:textId="77777777" w:rsidR="00941C11" w:rsidRPr="000072C3" w:rsidRDefault="00941C11" w:rsidP="00941C11">
            <w:pPr>
              <w:pStyle w:val="blankspacesaftertables"/>
              <w:jc w:val="center"/>
              <w:rPr>
                <w:sz w:val="20"/>
              </w:rPr>
            </w:pPr>
            <w:r w:rsidRPr="00BE6AD1">
              <w:rPr>
                <w:sz w:val="20"/>
              </w:rPr>
              <w:t>-122.361389</w:t>
            </w:r>
            <w:r w:rsidRPr="003D55E5">
              <w:rPr>
                <w:sz w:val="20"/>
              </w:rPr>
              <w:t>º</w:t>
            </w:r>
          </w:p>
        </w:tc>
        <w:tc>
          <w:tcPr>
            <w:tcW w:w="2627" w:type="dxa"/>
            <w:tcBorders>
              <w:left w:val="single" w:sz="4" w:space="0" w:color="auto"/>
              <w:right w:val="single" w:sz="12" w:space="0" w:color="auto"/>
            </w:tcBorders>
            <w:shd w:val="clear" w:color="auto" w:fill="auto"/>
            <w:vAlign w:val="center"/>
          </w:tcPr>
          <w:p w14:paraId="53FB9B5A" w14:textId="77777777" w:rsidR="00941C11" w:rsidRPr="000072C3" w:rsidRDefault="00941C11" w:rsidP="00941C11">
            <w:pPr>
              <w:pStyle w:val="blankspacesaftertables"/>
              <w:jc w:val="center"/>
              <w:rPr>
                <w:sz w:val="20"/>
              </w:rPr>
            </w:pPr>
            <w:r w:rsidRPr="000072C3">
              <w:rPr>
                <w:sz w:val="20"/>
              </w:rPr>
              <w:t>Lower San Francisco Bay</w:t>
            </w:r>
          </w:p>
        </w:tc>
      </w:tr>
      <w:tr w:rsidR="00941C11" w:rsidRPr="000072C3" w14:paraId="4EA80741" w14:textId="77777777" w:rsidTr="00122E10">
        <w:trPr>
          <w:cantSplit/>
        </w:trPr>
        <w:tc>
          <w:tcPr>
            <w:tcW w:w="3320" w:type="dxa"/>
            <w:tcBorders>
              <w:left w:val="single" w:sz="12" w:space="0" w:color="auto"/>
            </w:tcBorders>
            <w:shd w:val="clear" w:color="auto" w:fill="auto"/>
            <w:vAlign w:val="center"/>
          </w:tcPr>
          <w:p w14:paraId="361E6BAA" w14:textId="77777777" w:rsidR="00941C11" w:rsidRPr="000072C3" w:rsidRDefault="00941C11" w:rsidP="00941C11">
            <w:pPr>
              <w:pStyle w:val="blankspacesaftertables"/>
              <w:rPr>
                <w:sz w:val="20"/>
              </w:rPr>
            </w:pPr>
            <w:r w:rsidRPr="000072C3">
              <w:rPr>
                <w:sz w:val="20"/>
              </w:rPr>
              <w:t>Sunnyvale, City of</w:t>
            </w:r>
          </w:p>
        </w:tc>
        <w:tc>
          <w:tcPr>
            <w:tcW w:w="1224" w:type="dxa"/>
            <w:shd w:val="clear" w:color="auto" w:fill="auto"/>
            <w:vAlign w:val="center"/>
          </w:tcPr>
          <w:p w14:paraId="48151C6B" w14:textId="77777777" w:rsidR="00941C11" w:rsidRPr="000072C3" w:rsidRDefault="00941C11" w:rsidP="00941C11">
            <w:pPr>
              <w:pStyle w:val="blankspacesaftertables"/>
              <w:jc w:val="center"/>
              <w:rPr>
                <w:sz w:val="20"/>
              </w:rPr>
            </w:pPr>
            <w:r w:rsidRPr="000072C3">
              <w:rPr>
                <w:sz w:val="20"/>
              </w:rPr>
              <w:t>001</w:t>
            </w:r>
          </w:p>
        </w:tc>
        <w:tc>
          <w:tcPr>
            <w:tcW w:w="1776" w:type="dxa"/>
            <w:tcBorders>
              <w:left w:val="single" w:sz="4" w:space="0" w:color="auto"/>
              <w:right w:val="single" w:sz="4" w:space="0" w:color="auto"/>
            </w:tcBorders>
            <w:shd w:val="clear" w:color="auto" w:fill="auto"/>
            <w:vAlign w:val="center"/>
          </w:tcPr>
          <w:p w14:paraId="6CF00F88" w14:textId="77777777" w:rsidR="00941C11" w:rsidRPr="000072C3" w:rsidRDefault="00941C11" w:rsidP="00941C11">
            <w:pPr>
              <w:pStyle w:val="blankspacesaftertables"/>
              <w:jc w:val="center"/>
              <w:rPr>
                <w:sz w:val="20"/>
              </w:rPr>
            </w:pPr>
            <w:r w:rsidRPr="007518E1">
              <w:rPr>
                <w:sz w:val="20"/>
              </w:rPr>
              <w:t>37.420278</w:t>
            </w:r>
            <w:r w:rsidRPr="003D55E5">
              <w:rPr>
                <w:sz w:val="20"/>
              </w:rPr>
              <w:t>º</w:t>
            </w:r>
          </w:p>
        </w:tc>
        <w:tc>
          <w:tcPr>
            <w:tcW w:w="1781" w:type="dxa"/>
            <w:tcBorders>
              <w:left w:val="single" w:sz="4" w:space="0" w:color="auto"/>
              <w:right w:val="single" w:sz="4" w:space="0" w:color="auto"/>
            </w:tcBorders>
            <w:shd w:val="clear" w:color="auto" w:fill="auto"/>
            <w:vAlign w:val="center"/>
          </w:tcPr>
          <w:p w14:paraId="5090CC5E" w14:textId="77777777" w:rsidR="00941C11" w:rsidRPr="000072C3" w:rsidRDefault="00941C11" w:rsidP="00941C11">
            <w:pPr>
              <w:pStyle w:val="blankspacesaftertables"/>
              <w:jc w:val="center"/>
              <w:rPr>
                <w:sz w:val="20"/>
              </w:rPr>
            </w:pPr>
            <w:r>
              <w:rPr>
                <w:sz w:val="20"/>
              </w:rPr>
              <w:t>-</w:t>
            </w:r>
            <w:r w:rsidRPr="007518E1">
              <w:rPr>
                <w:sz w:val="20"/>
              </w:rPr>
              <w:t>122.016667</w:t>
            </w:r>
            <w:r w:rsidRPr="003D55E5">
              <w:rPr>
                <w:sz w:val="20"/>
              </w:rPr>
              <w:t>º</w:t>
            </w:r>
          </w:p>
        </w:tc>
        <w:tc>
          <w:tcPr>
            <w:tcW w:w="2627" w:type="dxa"/>
            <w:tcBorders>
              <w:left w:val="single" w:sz="4" w:space="0" w:color="auto"/>
              <w:right w:val="single" w:sz="12" w:space="0" w:color="auto"/>
            </w:tcBorders>
            <w:shd w:val="clear" w:color="auto" w:fill="auto"/>
            <w:vAlign w:val="center"/>
          </w:tcPr>
          <w:p w14:paraId="5DFD04A5" w14:textId="77777777" w:rsidR="00941C11" w:rsidRPr="000072C3" w:rsidRDefault="00941C11" w:rsidP="00941C11">
            <w:pPr>
              <w:pStyle w:val="blankspacesaftertables"/>
              <w:jc w:val="center"/>
              <w:rPr>
                <w:sz w:val="20"/>
              </w:rPr>
            </w:pPr>
            <w:r w:rsidRPr="000072C3">
              <w:rPr>
                <w:sz w:val="20"/>
              </w:rPr>
              <w:t>Moffett Channel, a tributary to South San Francisco Bay</w:t>
            </w:r>
            <w:r>
              <w:rPr>
                <w:sz w:val="20"/>
              </w:rPr>
              <w:t xml:space="preserve"> via Guadalupe Slough</w:t>
            </w:r>
          </w:p>
        </w:tc>
      </w:tr>
      <w:tr w:rsidR="00941C11" w:rsidRPr="000072C3" w14:paraId="6DE509B1" w14:textId="77777777" w:rsidTr="007B6D34">
        <w:trPr>
          <w:cantSplit/>
        </w:trPr>
        <w:tc>
          <w:tcPr>
            <w:tcW w:w="3320" w:type="dxa"/>
            <w:tcBorders>
              <w:left w:val="single" w:sz="12" w:space="0" w:color="auto"/>
            </w:tcBorders>
            <w:shd w:val="clear" w:color="auto" w:fill="auto"/>
            <w:vAlign w:val="center"/>
          </w:tcPr>
          <w:p w14:paraId="1F2B363C" w14:textId="50D1C04F" w:rsidR="007B6D34" w:rsidRPr="000072C3" w:rsidRDefault="00941C11" w:rsidP="007B6D34">
            <w:pPr>
              <w:pStyle w:val="blankspacesaftertables"/>
              <w:spacing w:before="60" w:after="60"/>
              <w:rPr>
                <w:sz w:val="20"/>
              </w:rPr>
            </w:pPr>
            <w:r w:rsidRPr="000072C3">
              <w:rPr>
                <w:sz w:val="20"/>
              </w:rPr>
              <w:t>U</w:t>
            </w:r>
            <w:r>
              <w:rPr>
                <w:sz w:val="20"/>
              </w:rPr>
              <w:t xml:space="preserve">.S. </w:t>
            </w:r>
            <w:r w:rsidRPr="000072C3">
              <w:rPr>
                <w:sz w:val="20"/>
              </w:rPr>
              <w:t>Department of Navy</w:t>
            </w:r>
            <w:r w:rsidR="00EE06BE">
              <w:rPr>
                <w:sz w:val="20"/>
              </w:rPr>
              <w:t xml:space="preserve"> (Treasure Island)</w:t>
            </w:r>
          </w:p>
        </w:tc>
        <w:tc>
          <w:tcPr>
            <w:tcW w:w="1224" w:type="dxa"/>
            <w:shd w:val="clear" w:color="auto" w:fill="auto"/>
            <w:vAlign w:val="center"/>
          </w:tcPr>
          <w:p w14:paraId="57CC6BAB" w14:textId="77777777" w:rsidR="00941C11" w:rsidRPr="000072C3" w:rsidRDefault="00941C11" w:rsidP="00941C11">
            <w:pPr>
              <w:pStyle w:val="blankspacesaftertables"/>
              <w:jc w:val="center"/>
              <w:rPr>
                <w:sz w:val="20"/>
              </w:rPr>
            </w:pPr>
            <w:r w:rsidRPr="000072C3">
              <w:rPr>
                <w:sz w:val="20"/>
              </w:rPr>
              <w:t>001</w:t>
            </w:r>
          </w:p>
        </w:tc>
        <w:tc>
          <w:tcPr>
            <w:tcW w:w="1776" w:type="dxa"/>
            <w:tcBorders>
              <w:left w:val="single" w:sz="4" w:space="0" w:color="auto"/>
              <w:right w:val="single" w:sz="4" w:space="0" w:color="auto"/>
            </w:tcBorders>
            <w:shd w:val="clear" w:color="auto" w:fill="auto"/>
            <w:vAlign w:val="center"/>
          </w:tcPr>
          <w:p w14:paraId="584B7116" w14:textId="77777777" w:rsidR="00941C11" w:rsidRPr="000072C3" w:rsidRDefault="00941C11" w:rsidP="00941C11">
            <w:pPr>
              <w:pStyle w:val="blankspacesaftertables"/>
              <w:jc w:val="center"/>
              <w:rPr>
                <w:sz w:val="20"/>
              </w:rPr>
            </w:pPr>
            <w:r w:rsidRPr="007518E1">
              <w:rPr>
                <w:sz w:val="20"/>
              </w:rPr>
              <w:t>37.832778</w:t>
            </w:r>
            <w:r w:rsidRPr="003D55E5">
              <w:rPr>
                <w:sz w:val="20"/>
              </w:rPr>
              <w:t>º</w:t>
            </w:r>
          </w:p>
        </w:tc>
        <w:tc>
          <w:tcPr>
            <w:tcW w:w="1781" w:type="dxa"/>
            <w:tcBorders>
              <w:left w:val="single" w:sz="4" w:space="0" w:color="auto"/>
              <w:right w:val="single" w:sz="4" w:space="0" w:color="auto"/>
            </w:tcBorders>
            <w:shd w:val="clear" w:color="auto" w:fill="auto"/>
            <w:vAlign w:val="center"/>
          </w:tcPr>
          <w:p w14:paraId="613E3D65" w14:textId="77777777" w:rsidR="00941C11" w:rsidRPr="000072C3" w:rsidRDefault="00941C11" w:rsidP="00941C11">
            <w:pPr>
              <w:pStyle w:val="blankspacesaftertables"/>
              <w:jc w:val="center"/>
              <w:rPr>
                <w:sz w:val="20"/>
              </w:rPr>
            </w:pPr>
            <w:r w:rsidRPr="007518E1">
              <w:rPr>
                <w:sz w:val="20"/>
              </w:rPr>
              <w:t>-122.369444</w:t>
            </w:r>
            <w:r w:rsidRPr="003D55E5">
              <w:rPr>
                <w:sz w:val="20"/>
              </w:rPr>
              <w:t>º</w:t>
            </w:r>
          </w:p>
        </w:tc>
        <w:tc>
          <w:tcPr>
            <w:tcW w:w="2627" w:type="dxa"/>
            <w:tcBorders>
              <w:left w:val="single" w:sz="4" w:space="0" w:color="auto"/>
              <w:right w:val="single" w:sz="12" w:space="0" w:color="auto"/>
            </w:tcBorders>
            <w:shd w:val="clear" w:color="auto" w:fill="auto"/>
            <w:vAlign w:val="center"/>
          </w:tcPr>
          <w:p w14:paraId="2BC634D1" w14:textId="77777777" w:rsidR="00941C11" w:rsidRPr="000072C3" w:rsidRDefault="00941C11" w:rsidP="00941C11">
            <w:pPr>
              <w:pStyle w:val="blankspacesaftertables"/>
              <w:jc w:val="center"/>
              <w:rPr>
                <w:sz w:val="20"/>
              </w:rPr>
            </w:pPr>
            <w:r>
              <w:rPr>
                <w:sz w:val="20"/>
              </w:rPr>
              <w:t xml:space="preserve">Central </w:t>
            </w:r>
            <w:r w:rsidRPr="000072C3">
              <w:rPr>
                <w:sz w:val="20"/>
              </w:rPr>
              <w:t>San Francisco Bay</w:t>
            </w:r>
          </w:p>
        </w:tc>
      </w:tr>
      <w:tr w:rsidR="00941C11" w:rsidRPr="000072C3" w14:paraId="79E4DD3E" w14:textId="77777777" w:rsidTr="00EE06BE">
        <w:trPr>
          <w:cantSplit/>
        </w:trPr>
        <w:tc>
          <w:tcPr>
            <w:tcW w:w="3320" w:type="dxa"/>
            <w:vMerge w:val="restart"/>
            <w:tcBorders>
              <w:left w:val="single" w:sz="12" w:space="0" w:color="auto"/>
            </w:tcBorders>
            <w:shd w:val="clear" w:color="auto" w:fill="auto"/>
            <w:vAlign w:val="center"/>
          </w:tcPr>
          <w:p w14:paraId="06B1CE5B" w14:textId="77777777" w:rsidR="00941C11" w:rsidRPr="000072C3" w:rsidRDefault="00941C11" w:rsidP="00324C5F">
            <w:pPr>
              <w:pStyle w:val="blankspacesaftertables"/>
              <w:rPr>
                <w:sz w:val="20"/>
              </w:rPr>
            </w:pPr>
            <w:r w:rsidRPr="000072C3">
              <w:rPr>
                <w:sz w:val="20"/>
              </w:rPr>
              <w:t>Vallejo Sanitation and Flood Control District</w:t>
            </w:r>
          </w:p>
        </w:tc>
        <w:tc>
          <w:tcPr>
            <w:tcW w:w="1224" w:type="dxa"/>
            <w:shd w:val="clear" w:color="auto" w:fill="auto"/>
            <w:vAlign w:val="center"/>
          </w:tcPr>
          <w:p w14:paraId="6E4620B1" w14:textId="139455BC" w:rsidR="00941C11" w:rsidRPr="000072C3" w:rsidRDefault="00941C11" w:rsidP="00EE06BE">
            <w:pPr>
              <w:pStyle w:val="blankspacesaftertables"/>
              <w:keepNext/>
              <w:jc w:val="center"/>
              <w:rPr>
                <w:sz w:val="20"/>
              </w:rPr>
            </w:pPr>
            <w:r w:rsidRPr="000072C3">
              <w:rPr>
                <w:sz w:val="20"/>
              </w:rPr>
              <w:t>001</w:t>
            </w:r>
          </w:p>
        </w:tc>
        <w:tc>
          <w:tcPr>
            <w:tcW w:w="1776" w:type="dxa"/>
            <w:tcBorders>
              <w:left w:val="single" w:sz="4" w:space="0" w:color="auto"/>
              <w:right w:val="single" w:sz="4" w:space="0" w:color="auto"/>
            </w:tcBorders>
            <w:shd w:val="clear" w:color="auto" w:fill="auto"/>
            <w:vAlign w:val="center"/>
          </w:tcPr>
          <w:p w14:paraId="136129E1" w14:textId="77777777" w:rsidR="00941C11" w:rsidRPr="000072C3" w:rsidRDefault="00941C11" w:rsidP="00EE06BE">
            <w:pPr>
              <w:pStyle w:val="blankspacesaftertables"/>
              <w:keepNext/>
              <w:jc w:val="center"/>
              <w:rPr>
                <w:sz w:val="20"/>
              </w:rPr>
            </w:pPr>
            <w:r w:rsidRPr="00324A7F">
              <w:rPr>
                <w:sz w:val="20"/>
              </w:rPr>
              <w:t>38.064722</w:t>
            </w:r>
            <w:r w:rsidRPr="003D55E5">
              <w:rPr>
                <w:sz w:val="20"/>
              </w:rPr>
              <w:t>º</w:t>
            </w:r>
          </w:p>
        </w:tc>
        <w:tc>
          <w:tcPr>
            <w:tcW w:w="1781" w:type="dxa"/>
            <w:tcBorders>
              <w:left w:val="single" w:sz="4" w:space="0" w:color="auto"/>
              <w:right w:val="single" w:sz="4" w:space="0" w:color="auto"/>
            </w:tcBorders>
            <w:shd w:val="clear" w:color="auto" w:fill="auto"/>
            <w:vAlign w:val="center"/>
          </w:tcPr>
          <w:p w14:paraId="11904EB8" w14:textId="77777777" w:rsidR="00941C11" w:rsidRPr="000072C3" w:rsidRDefault="00941C11" w:rsidP="00EE06BE">
            <w:pPr>
              <w:pStyle w:val="blankspacesaftertables"/>
              <w:keepNext/>
              <w:jc w:val="center"/>
              <w:rPr>
                <w:sz w:val="20"/>
              </w:rPr>
            </w:pPr>
            <w:r w:rsidRPr="00324A7F">
              <w:rPr>
                <w:sz w:val="20"/>
              </w:rPr>
              <w:t>-122.228333</w:t>
            </w:r>
            <w:r w:rsidRPr="003D55E5">
              <w:rPr>
                <w:sz w:val="20"/>
              </w:rPr>
              <w:t>º</w:t>
            </w:r>
          </w:p>
        </w:tc>
        <w:tc>
          <w:tcPr>
            <w:tcW w:w="2627" w:type="dxa"/>
            <w:tcBorders>
              <w:left w:val="single" w:sz="4" w:space="0" w:color="auto"/>
              <w:right w:val="single" w:sz="12" w:space="0" w:color="auto"/>
            </w:tcBorders>
            <w:shd w:val="clear" w:color="auto" w:fill="auto"/>
            <w:vAlign w:val="center"/>
          </w:tcPr>
          <w:p w14:paraId="6828A23D" w14:textId="77777777" w:rsidR="00941C11" w:rsidRPr="000072C3" w:rsidRDefault="00941C11" w:rsidP="00EE06BE">
            <w:pPr>
              <w:pStyle w:val="blankspacesaftertables"/>
              <w:keepNext/>
              <w:jc w:val="center"/>
              <w:rPr>
                <w:sz w:val="20"/>
              </w:rPr>
            </w:pPr>
            <w:r w:rsidRPr="000072C3">
              <w:rPr>
                <w:sz w:val="20"/>
              </w:rPr>
              <w:t>Carquinez Strait</w:t>
            </w:r>
          </w:p>
        </w:tc>
      </w:tr>
      <w:tr w:rsidR="00941C11" w:rsidRPr="000072C3" w14:paraId="625B8AED" w14:textId="77777777" w:rsidTr="00122E10">
        <w:trPr>
          <w:cantSplit/>
        </w:trPr>
        <w:tc>
          <w:tcPr>
            <w:tcW w:w="3320" w:type="dxa"/>
            <w:vMerge/>
            <w:tcBorders>
              <w:left w:val="single" w:sz="12" w:space="0" w:color="auto"/>
            </w:tcBorders>
            <w:shd w:val="clear" w:color="auto" w:fill="auto"/>
            <w:vAlign w:val="center"/>
          </w:tcPr>
          <w:p w14:paraId="5C08809E" w14:textId="77777777" w:rsidR="00941C11" w:rsidRPr="000072C3" w:rsidRDefault="00941C11" w:rsidP="00941C11">
            <w:pPr>
              <w:pStyle w:val="blankspacesaftertables"/>
              <w:rPr>
                <w:sz w:val="20"/>
              </w:rPr>
            </w:pPr>
          </w:p>
        </w:tc>
        <w:tc>
          <w:tcPr>
            <w:tcW w:w="1224" w:type="dxa"/>
            <w:shd w:val="clear" w:color="auto" w:fill="auto"/>
            <w:vAlign w:val="center"/>
          </w:tcPr>
          <w:p w14:paraId="4D3B1938" w14:textId="77777777" w:rsidR="00941C11" w:rsidRPr="000072C3" w:rsidRDefault="00941C11" w:rsidP="00EE06BE">
            <w:pPr>
              <w:pStyle w:val="blankspacesaftertables"/>
              <w:keepNext/>
              <w:jc w:val="center"/>
              <w:rPr>
                <w:sz w:val="20"/>
              </w:rPr>
            </w:pPr>
            <w:r w:rsidRPr="000072C3">
              <w:rPr>
                <w:sz w:val="20"/>
              </w:rPr>
              <w:t>002</w:t>
            </w:r>
          </w:p>
        </w:tc>
        <w:tc>
          <w:tcPr>
            <w:tcW w:w="1776" w:type="dxa"/>
            <w:tcBorders>
              <w:left w:val="single" w:sz="4" w:space="0" w:color="auto"/>
              <w:right w:val="single" w:sz="4" w:space="0" w:color="auto"/>
            </w:tcBorders>
            <w:shd w:val="clear" w:color="auto" w:fill="auto"/>
            <w:vAlign w:val="center"/>
          </w:tcPr>
          <w:p w14:paraId="6F4361CB" w14:textId="77777777" w:rsidR="00941C11" w:rsidRPr="000072C3" w:rsidRDefault="00941C11" w:rsidP="00EE06BE">
            <w:pPr>
              <w:pStyle w:val="blankspacesaftertables"/>
              <w:keepNext/>
              <w:jc w:val="center"/>
              <w:rPr>
                <w:sz w:val="20"/>
              </w:rPr>
            </w:pPr>
            <w:r w:rsidRPr="00324A7F">
              <w:rPr>
                <w:sz w:val="20"/>
              </w:rPr>
              <w:t>38.089722</w:t>
            </w:r>
            <w:r w:rsidRPr="003D55E5">
              <w:rPr>
                <w:sz w:val="20"/>
              </w:rPr>
              <w:t>º</w:t>
            </w:r>
          </w:p>
        </w:tc>
        <w:tc>
          <w:tcPr>
            <w:tcW w:w="1781" w:type="dxa"/>
            <w:tcBorders>
              <w:left w:val="single" w:sz="4" w:space="0" w:color="auto"/>
              <w:right w:val="single" w:sz="4" w:space="0" w:color="auto"/>
            </w:tcBorders>
            <w:shd w:val="clear" w:color="auto" w:fill="auto"/>
            <w:vAlign w:val="center"/>
          </w:tcPr>
          <w:p w14:paraId="070B8A88" w14:textId="77777777" w:rsidR="00941C11" w:rsidRPr="000072C3" w:rsidRDefault="00941C11" w:rsidP="00EE06BE">
            <w:pPr>
              <w:pStyle w:val="blankspacesaftertables"/>
              <w:keepNext/>
              <w:jc w:val="center"/>
              <w:rPr>
                <w:sz w:val="20"/>
              </w:rPr>
            </w:pPr>
            <w:r>
              <w:rPr>
                <w:sz w:val="20"/>
              </w:rPr>
              <w:t>-</w:t>
            </w:r>
            <w:r w:rsidRPr="00324A7F">
              <w:rPr>
                <w:sz w:val="20"/>
              </w:rPr>
              <w:t>122.253333</w:t>
            </w:r>
            <w:r w:rsidRPr="003D55E5">
              <w:rPr>
                <w:sz w:val="20"/>
              </w:rPr>
              <w:t>º</w:t>
            </w:r>
          </w:p>
        </w:tc>
        <w:tc>
          <w:tcPr>
            <w:tcW w:w="2627" w:type="dxa"/>
            <w:tcBorders>
              <w:left w:val="single" w:sz="4" w:space="0" w:color="auto"/>
              <w:right w:val="single" w:sz="12" w:space="0" w:color="auto"/>
            </w:tcBorders>
            <w:shd w:val="clear" w:color="auto" w:fill="auto"/>
            <w:vAlign w:val="center"/>
          </w:tcPr>
          <w:p w14:paraId="60CE3887" w14:textId="77777777" w:rsidR="00941C11" w:rsidRPr="000072C3" w:rsidRDefault="00941C11" w:rsidP="00EE06BE">
            <w:pPr>
              <w:pStyle w:val="blankspacesaftertables"/>
              <w:keepNext/>
              <w:jc w:val="center"/>
              <w:rPr>
                <w:sz w:val="20"/>
              </w:rPr>
            </w:pPr>
            <w:r w:rsidRPr="000072C3">
              <w:rPr>
                <w:sz w:val="20"/>
              </w:rPr>
              <w:t>Mare Island Strait, a tributary to Carquinez Strait</w:t>
            </w:r>
          </w:p>
        </w:tc>
      </w:tr>
      <w:tr w:rsidR="00941C11" w:rsidRPr="000072C3" w14:paraId="6925B70C" w14:textId="77777777" w:rsidTr="00122E10">
        <w:trPr>
          <w:cantSplit/>
        </w:trPr>
        <w:tc>
          <w:tcPr>
            <w:tcW w:w="3320" w:type="dxa"/>
            <w:tcBorders>
              <w:left w:val="single" w:sz="12" w:space="0" w:color="auto"/>
            </w:tcBorders>
            <w:shd w:val="clear" w:color="auto" w:fill="auto"/>
            <w:vAlign w:val="center"/>
          </w:tcPr>
          <w:p w14:paraId="6CED97E9" w14:textId="77777777" w:rsidR="00941C11" w:rsidRPr="000072C3" w:rsidRDefault="00941C11" w:rsidP="00941C11">
            <w:pPr>
              <w:pStyle w:val="blankspacesaftertables"/>
              <w:rPr>
                <w:sz w:val="20"/>
              </w:rPr>
            </w:pPr>
            <w:r w:rsidRPr="000072C3">
              <w:rPr>
                <w:sz w:val="20"/>
              </w:rPr>
              <w:t xml:space="preserve">West County Agency; West County Wastewater District;  </w:t>
            </w:r>
          </w:p>
          <w:p w14:paraId="71E9C279" w14:textId="77777777" w:rsidR="00941C11" w:rsidRPr="000072C3" w:rsidRDefault="00941C11" w:rsidP="00941C11">
            <w:pPr>
              <w:pStyle w:val="blankspacesaftertables"/>
              <w:rPr>
                <w:sz w:val="20"/>
              </w:rPr>
            </w:pPr>
            <w:r w:rsidRPr="000072C3">
              <w:rPr>
                <w:sz w:val="20"/>
              </w:rPr>
              <w:t>City of Richmond ; and Richmond Municipal Sewer District No. 1</w:t>
            </w:r>
          </w:p>
        </w:tc>
        <w:tc>
          <w:tcPr>
            <w:tcW w:w="1224" w:type="dxa"/>
            <w:shd w:val="clear" w:color="auto" w:fill="auto"/>
            <w:vAlign w:val="center"/>
          </w:tcPr>
          <w:p w14:paraId="2FD68D7A" w14:textId="77777777" w:rsidR="00941C11" w:rsidRPr="000072C3" w:rsidRDefault="00941C11" w:rsidP="00941C11">
            <w:pPr>
              <w:pStyle w:val="blankspacesaftertables"/>
              <w:jc w:val="center"/>
              <w:rPr>
                <w:sz w:val="20"/>
              </w:rPr>
            </w:pPr>
            <w:r w:rsidRPr="000072C3">
              <w:rPr>
                <w:sz w:val="20"/>
              </w:rPr>
              <w:t>001</w:t>
            </w:r>
          </w:p>
        </w:tc>
        <w:tc>
          <w:tcPr>
            <w:tcW w:w="1776" w:type="dxa"/>
            <w:tcBorders>
              <w:left w:val="single" w:sz="4" w:space="0" w:color="auto"/>
              <w:right w:val="single" w:sz="4" w:space="0" w:color="auto"/>
            </w:tcBorders>
            <w:shd w:val="clear" w:color="auto" w:fill="auto"/>
            <w:vAlign w:val="center"/>
          </w:tcPr>
          <w:p w14:paraId="54FE3BFD" w14:textId="77777777" w:rsidR="00941C11" w:rsidRPr="000072C3" w:rsidRDefault="00941C11" w:rsidP="00941C11">
            <w:pPr>
              <w:pStyle w:val="blankspacesaftertables"/>
              <w:jc w:val="center"/>
              <w:rPr>
                <w:sz w:val="20"/>
              </w:rPr>
            </w:pPr>
            <w:r w:rsidRPr="00324A7F">
              <w:rPr>
                <w:sz w:val="20"/>
              </w:rPr>
              <w:t>37.913056</w:t>
            </w:r>
            <w:r w:rsidRPr="003D55E5">
              <w:rPr>
                <w:sz w:val="20"/>
              </w:rPr>
              <w:t>º</w:t>
            </w:r>
          </w:p>
        </w:tc>
        <w:tc>
          <w:tcPr>
            <w:tcW w:w="1781" w:type="dxa"/>
            <w:tcBorders>
              <w:left w:val="single" w:sz="4" w:space="0" w:color="auto"/>
              <w:right w:val="single" w:sz="4" w:space="0" w:color="auto"/>
            </w:tcBorders>
            <w:shd w:val="clear" w:color="auto" w:fill="auto"/>
            <w:vAlign w:val="center"/>
          </w:tcPr>
          <w:p w14:paraId="38503B5E" w14:textId="77777777" w:rsidR="00941C11" w:rsidRPr="000072C3" w:rsidRDefault="00941C11" w:rsidP="00941C11">
            <w:pPr>
              <w:pStyle w:val="blankspacesaftertables"/>
              <w:jc w:val="center"/>
              <w:rPr>
                <w:sz w:val="20"/>
              </w:rPr>
            </w:pPr>
            <w:r w:rsidRPr="00324A7F">
              <w:rPr>
                <w:sz w:val="20"/>
              </w:rPr>
              <w:t>-122.418333</w:t>
            </w:r>
            <w:r w:rsidRPr="003D55E5">
              <w:rPr>
                <w:sz w:val="20"/>
              </w:rPr>
              <w:t>º</w:t>
            </w:r>
          </w:p>
        </w:tc>
        <w:tc>
          <w:tcPr>
            <w:tcW w:w="2627" w:type="dxa"/>
            <w:tcBorders>
              <w:left w:val="single" w:sz="4" w:space="0" w:color="auto"/>
              <w:right w:val="single" w:sz="12" w:space="0" w:color="auto"/>
            </w:tcBorders>
            <w:shd w:val="clear" w:color="auto" w:fill="auto"/>
            <w:vAlign w:val="center"/>
          </w:tcPr>
          <w:p w14:paraId="7902528C" w14:textId="77777777" w:rsidR="00941C11" w:rsidRPr="000072C3" w:rsidRDefault="00941C11" w:rsidP="00941C11">
            <w:pPr>
              <w:pStyle w:val="blankspacesaftertables"/>
              <w:jc w:val="center"/>
              <w:rPr>
                <w:sz w:val="20"/>
              </w:rPr>
            </w:pPr>
            <w:r w:rsidRPr="000072C3">
              <w:rPr>
                <w:sz w:val="20"/>
              </w:rPr>
              <w:t>Central San Francisco Bay</w:t>
            </w:r>
          </w:p>
        </w:tc>
      </w:tr>
      <w:tr w:rsidR="00941C11" w:rsidRPr="000072C3" w14:paraId="59C7EA00" w14:textId="77777777" w:rsidTr="00122E10">
        <w:trPr>
          <w:cantSplit/>
        </w:trPr>
        <w:tc>
          <w:tcPr>
            <w:tcW w:w="3320" w:type="dxa"/>
            <w:tcBorders>
              <w:left w:val="single" w:sz="12" w:space="0" w:color="auto"/>
              <w:bottom w:val="single" w:sz="12" w:space="0" w:color="auto"/>
            </w:tcBorders>
            <w:shd w:val="clear" w:color="auto" w:fill="auto"/>
            <w:vAlign w:val="center"/>
          </w:tcPr>
          <w:p w14:paraId="66EC40AB" w14:textId="77777777" w:rsidR="00941C11" w:rsidRPr="000072C3" w:rsidRDefault="00941C11" w:rsidP="00941C11">
            <w:pPr>
              <w:pStyle w:val="blankspacesaftertables"/>
              <w:rPr>
                <w:sz w:val="20"/>
              </w:rPr>
            </w:pPr>
            <w:r w:rsidRPr="000072C3">
              <w:rPr>
                <w:sz w:val="20"/>
              </w:rPr>
              <w:t>Yountville, Town of</w:t>
            </w:r>
          </w:p>
        </w:tc>
        <w:tc>
          <w:tcPr>
            <w:tcW w:w="1224" w:type="dxa"/>
            <w:tcBorders>
              <w:bottom w:val="single" w:sz="12" w:space="0" w:color="auto"/>
            </w:tcBorders>
            <w:shd w:val="clear" w:color="auto" w:fill="auto"/>
            <w:vAlign w:val="center"/>
          </w:tcPr>
          <w:p w14:paraId="1079BCE3" w14:textId="77777777" w:rsidR="00941C11" w:rsidRPr="000072C3" w:rsidRDefault="00941C11" w:rsidP="00941C11">
            <w:pPr>
              <w:pStyle w:val="blankspacesaftertables"/>
              <w:jc w:val="center"/>
              <w:rPr>
                <w:sz w:val="20"/>
              </w:rPr>
            </w:pPr>
            <w:r w:rsidRPr="000072C3">
              <w:rPr>
                <w:sz w:val="20"/>
              </w:rPr>
              <w:t>001</w:t>
            </w:r>
          </w:p>
        </w:tc>
        <w:tc>
          <w:tcPr>
            <w:tcW w:w="1776" w:type="dxa"/>
            <w:tcBorders>
              <w:left w:val="single" w:sz="4" w:space="0" w:color="auto"/>
              <w:bottom w:val="single" w:sz="12" w:space="0" w:color="auto"/>
              <w:right w:val="single" w:sz="4" w:space="0" w:color="auto"/>
            </w:tcBorders>
            <w:shd w:val="clear" w:color="auto" w:fill="auto"/>
            <w:vAlign w:val="center"/>
          </w:tcPr>
          <w:p w14:paraId="294FFEFF" w14:textId="77777777" w:rsidR="00941C11" w:rsidRPr="000072C3" w:rsidRDefault="00941C11" w:rsidP="00941C11">
            <w:pPr>
              <w:pStyle w:val="blankspacesaftertables"/>
              <w:jc w:val="center"/>
              <w:rPr>
                <w:sz w:val="20"/>
              </w:rPr>
            </w:pPr>
            <w:r w:rsidRPr="00324A7F">
              <w:rPr>
                <w:sz w:val="20"/>
              </w:rPr>
              <w:t>38.406114</w:t>
            </w:r>
            <w:r w:rsidRPr="003D55E5">
              <w:rPr>
                <w:sz w:val="20"/>
              </w:rPr>
              <w:t>º</w:t>
            </w:r>
          </w:p>
        </w:tc>
        <w:tc>
          <w:tcPr>
            <w:tcW w:w="1781" w:type="dxa"/>
            <w:tcBorders>
              <w:left w:val="single" w:sz="4" w:space="0" w:color="auto"/>
              <w:bottom w:val="single" w:sz="12" w:space="0" w:color="auto"/>
              <w:right w:val="single" w:sz="4" w:space="0" w:color="auto"/>
            </w:tcBorders>
            <w:shd w:val="clear" w:color="auto" w:fill="auto"/>
            <w:vAlign w:val="center"/>
          </w:tcPr>
          <w:p w14:paraId="7CF64EC1" w14:textId="77777777" w:rsidR="00941C11" w:rsidRPr="000072C3" w:rsidRDefault="00941C11" w:rsidP="00941C11">
            <w:pPr>
              <w:pStyle w:val="blankspacesaftertables"/>
              <w:jc w:val="center"/>
              <w:rPr>
                <w:sz w:val="20"/>
              </w:rPr>
            </w:pPr>
            <w:r w:rsidRPr="00324A7F">
              <w:rPr>
                <w:sz w:val="20"/>
              </w:rPr>
              <w:t>-122.342233</w:t>
            </w:r>
            <w:r w:rsidRPr="003D55E5">
              <w:rPr>
                <w:sz w:val="20"/>
              </w:rPr>
              <w:t>º</w:t>
            </w:r>
          </w:p>
        </w:tc>
        <w:tc>
          <w:tcPr>
            <w:tcW w:w="2627" w:type="dxa"/>
            <w:tcBorders>
              <w:left w:val="single" w:sz="4" w:space="0" w:color="auto"/>
              <w:bottom w:val="single" w:sz="12" w:space="0" w:color="auto"/>
              <w:right w:val="single" w:sz="12" w:space="0" w:color="auto"/>
            </w:tcBorders>
            <w:shd w:val="clear" w:color="auto" w:fill="auto"/>
            <w:vAlign w:val="center"/>
          </w:tcPr>
          <w:p w14:paraId="10384551" w14:textId="77777777" w:rsidR="00941C11" w:rsidRPr="000072C3" w:rsidRDefault="00941C11" w:rsidP="00941C11">
            <w:pPr>
              <w:pStyle w:val="blankspacesaftertables"/>
              <w:jc w:val="center"/>
              <w:rPr>
                <w:sz w:val="20"/>
              </w:rPr>
            </w:pPr>
            <w:r w:rsidRPr="000072C3">
              <w:rPr>
                <w:sz w:val="20"/>
              </w:rPr>
              <w:t>Napa River</w:t>
            </w:r>
          </w:p>
        </w:tc>
      </w:tr>
    </w:tbl>
    <w:p w14:paraId="6568D6F7" w14:textId="77777777" w:rsidR="006C1D74" w:rsidRPr="00274418" w:rsidRDefault="006C1D74" w:rsidP="00A32F22">
      <w:pPr>
        <w:pStyle w:val="blankspacesaftertables"/>
        <w:spacing w:before="60" w:after="60"/>
        <w:ind w:left="270" w:hanging="360"/>
        <w:rPr>
          <w:szCs w:val="18"/>
          <w:u w:val="single"/>
        </w:rPr>
      </w:pPr>
      <w:r>
        <w:rPr>
          <w:sz w:val="18"/>
          <w:szCs w:val="18"/>
          <w:u w:val="single"/>
        </w:rPr>
        <w:t>Footnotes</w:t>
      </w:r>
      <w:r w:rsidRPr="00643973">
        <w:rPr>
          <w:sz w:val="18"/>
          <w:szCs w:val="18"/>
          <w:u w:val="single"/>
        </w:rPr>
        <w:t>:</w:t>
      </w:r>
    </w:p>
    <w:p w14:paraId="020BC130" w14:textId="3F445558" w:rsidR="006C1D74" w:rsidRPr="00643973" w:rsidRDefault="006C1D74" w:rsidP="00A32F22">
      <w:pPr>
        <w:pStyle w:val="TableFootnotes"/>
        <w:tabs>
          <w:tab w:val="left" w:pos="360"/>
        </w:tabs>
        <w:spacing w:after="0"/>
        <w:ind w:left="360" w:hanging="360"/>
        <w:rPr>
          <w:rFonts w:ascii="Times New Roman" w:hAnsi="Times New Roman" w:cs="Times New Roman"/>
          <w:spacing w:val="-3"/>
          <w:szCs w:val="22"/>
        </w:rPr>
      </w:pPr>
      <w:r w:rsidRPr="00643973">
        <w:rPr>
          <w:rFonts w:ascii="Times New Roman" w:hAnsi="Times New Roman" w:cs="Times New Roman"/>
          <w:vertAlign w:val="superscript"/>
        </w:rPr>
        <w:lastRenderedPageBreak/>
        <w:t>[</w:t>
      </w:r>
      <w:r>
        <w:rPr>
          <w:rFonts w:ascii="Times New Roman" w:hAnsi="Times New Roman" w:cs="Times New Roman"/>
          <w:vertAlign w:val="superscript"/>
        </w:rPr>
        <w:t>1</w:t>
      </w:r>
      <w:r w:rsidRPr="00643973">
        <w:rPr>
          <w:rFonts w:ascii="Times New Roman" w:hAnsi="Times New Roman" w:cs="Times New Roman"/>
          <w:vertAlign w:val="superscript"/>
        </w:rPr>
        <w:t>]</w:t>
      </w:r>
      <w:r w:rsidRPr="00643973">
        <w:rPr>
          <w:rFonts w:ascii="Times New Roman" w:hAnsi="Times New Roman" w:cs="Times New Roman"/>
        </w:rPr>
        <w:tab/>
      </w:r>
      <w:r w:rsidRPr="006C1D74">
        <w:rPr>
          <w:rFonts w:ascii="Times New Roman" w:hAnsi="Times New Roman" w:cs="Times New Roman"/>
          <w:szCs w:val="22"/>
        </w:rPr>
        <w:t>These Dischargers share the North Bayside System Unit outfall which serves as combined Discharge Point No. 002 into San Francisco Bay. However, compliance with the requirements of this Order are by each Discharger at its individual compliance station specified in Dischargers’ individual NPDES permits listed in Attachment B of this Order.</w:t>
      </w:r>
    </w:p>
    <w:p w14:paraId="17FF00CB" w14:textId="77777777" w:rsidR="006C1D74" w:rsidRDefault="006C1D74" w:rsidP="00A32F22">
      <w:pPr>
        <w:pStyle w:val="TableFootnotes"/>
        <w:tabs>
          <w:tab w:val="left" w:pos="360"/>
        </w:tabs>
        <w:spacing w:after="0"/>
        <w:ind w:left="360" w:hanging="360"/>
        <w:rPr>
          <w:rFonts w:ascii="Times New Roman" w:hAnsi="Times New Roman" w:cs="Times New Roman"/>
          <w:szCs w:val="22"/>
        </w:rPr>
      </w:pPr>
      <w:r w:rsidRPr="00643973">
        <w:rPr>
          <w:rFonts w:ascii="Times New Roman" w:hAnsi="Times New Roman" w:cs="Times New Roman"/>
          <w:vertAlign w:val="superscript"/>
        </w:rPr>
        <w:t xml:space="preserve"> [</w:t>
      </w:r>
      <w:r>
        <w:rPr>
          <w:rFonts w:ascii="Times New Roman" w:hAnsi="Times New Roman" w:cs="Times New Roman"/>
          <w:vertAlign w:val="superscript"/>
        </w:rPr>
        <w:t>2</w:t>
      </w:r>
      <w:r w:rsidRPr="00643973">
        <w:rPr>
          <w:rFonts w:ascii="Times New Roman" w:hAnsi="Times New Roman" w:cs="Times New Roman"/>
          <w:vertAlign w:val="superscript"/>
        </w:rPr>
        <w:t>]</w:t>
      </w:r>
      <w:r w:rsidRPr="00643973">
        <w:rPr>
          <w:rFonts w:ascii="Times New Roman" w:hAnsi="Times New Roman" w:cs="Times New Roman"/>
        </w:rPr>
        <w:tab/>
      </w:r>
      <w:r w:rsidRPr="006C1D74">
        <w:rPr>
          <w:rFonts w:ascii="Times New Roman" w:hAnsi="Times New Roman" w:cs="Times New Roman"/>
          <w:szCs w:val="22"/>
        </w:rPr>
        <w:t xml:space="preserve">Discharge Point No. 002 is subsequent to relocation of discharge to a new San Pablo Bay wetland. The exact location (latitude and longitude) may change slightly from what is indicated </w:t>
      </w:r>
      <w:r w:rsidR="00D44545">
        <w:rPr>
          <w:rFonts w:ascii="Times New Roman" w:hAnsi="Times New Roman" w:cs="Times New Roman"/>
          <w:szCs w:val="22"/>
        </w:rPr>
        <w:t>in this table</w:t>
      </w:r>
      <w:r>
        <w:rPr>
          <w:rFonts w:ascii="Times New Roman" w:hAnsi="Times New Roman" w:cs="Times New Roman"/>
          <w:szCs w:val="22"/>
        </w:rPr>
        <w:t>.</w:t>
      </w:r>
    </w:p>
    <w:p w14:paraId="2CCE21A0" w14:textId="77777777" w:rsidR="000A5289" w:rsidRPr="008F6BB8" w:rsidRDefault="000A5289" w:rsidP="008F6BB8">
      <w:pPr>
        <w:pStyle w:val="TableFootnotes"/>
        <w:tabs>
          <w:tab w:val="left" w:pos="360"/>
        </w:tabs>
        <w:spacing w:before="0" w:after="0"/>
        <w:ind w:left="360" w:hanging="360"/>
        <w:rPr>
          <w:rFonts w:ascii="Times New Roman" w:hAnsi="Times New Roman" w:cs="Times New Roman"/>
          <w:sz w:val="24"/>
          <w:szCs w:val="24"/>
        </w:rPr>
      </w:pPr>
    </w:p>
    <w:p w14:paraId="7AECB23D" w14:textId="77777777" w:rsidR="000A5289" w:rsidRPr="00424E9E" w:rsidRDefault="000A5289" w:rsidP="000A5289">
      <w:pPr>
        <w:pStyle w:val="blankspacesaftertables"/>
        <w:jc w:val="center"/>
        <w:rPr>
          <w:b/>
          <w:szCs w:val="24"/>
        </w:rPr>
      </w:pPr>
      <w:r w:rsidRPr="00424E9E">
        <w:rPr>
          <w:b/>
          <w:szCs w:val="24"/>
        </w:rPr>
        <w:t>Table 2B.  Industrial Discharger Location Information</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0"/>
        <w:gridCol w:w="1224"/>
        <w:gridCol w:w="1776"/>
        <w:gridCol w:w="1781"/>
        <w:gridCol w:w="2627"/>
      </w:tblGrid>
      <w:tr w:rsidR="000A5289" w:rsidRPr="000A5289" w14:paraId="5BD3610A" w14:textId="77777777" w:rsidTr="00424E9E">
        <w:trPr>
          <w:cantSplit/>
          <w:tblHeader/>
        </w:trPr>
        <w:tc>
          <w:tcPr>
            <w:tcW w:w="3320" w:type="dxa"/>
            <w:tcBorders>
              <w:top w:val="single" w:sz="12" w:space="0" w:color="auto"/>
              <w:left w:val="single" w:sz="12" w:space="0" w:color="auto"/>
              <w:bottom w:val="single" w:sz="12" w:space="0" w:color="auto"/>
            </w:tcBorders>
            <w:shd w:val="clear" w:color="auto" w:fill="auto"/>
            <w:vAlign w:val="center"/>
          </w:tcPr>
          <w:p w14:paraId="657EDA6D" w14:textId="77777777" w:rsidR="000A5289" w:rsidRPr="000A5289" w:rsidRDefault="000A5289" w:rsidP="00424E9E">
            <w:pPr>
              <w:pStyle w:val="blankspacesaftertables"/>
              <w:jc w:val="center"/>
              <w:rPr>
                <w:b/>
                <w:sz w:val="20"/>
              </w:rPr>
            </w:pPr>
            <w:r w:rsidRPr="000A5289">
              <w:rPr>
                <w:b/>
                <w:sz w:val="20"/>
              </w:rPr>
              <w:t>Discharger</w:t>
            </w:r>
          </w:p>
        </w:tc>
        <w:tc>
          <w:tcPr>
            <w:tcW w:w="1224" w:type="dxa"/>
            <w:tcBorders>
              <w:top w:val="single" w:sz="12" w:space="0" w:color="auto"/>
              <w:bottom w:val="single" w:sz="12" w:space="0" w:color="auto"/>
            </w:tcBorders>
            <w:shd w:val="clear" w:color="auto" w:fill="auto"/>
            <w:vAlign w:val="center"/>
          </w:tcPr>
          <w:p w14:paraId="4E8E62A3" w14:textId="77777777" w:rsidR="000A5289" w:rsidRPr="000A5289" w:rsidRDefault="000A5289" w:rsidP="00424E9E">
            <w:pPr>
              <w:pStyle w:val="blankspacesaftertables"/>
              <w:jc w:val="center"/>
              <w:rPr>
                <w:b/>
                <w:sz w:val="20"/>
              </w:rPr>
            </w:pPr>
            <w:r w:rsidRPr="000A5289">
              <w:rPr>
                <w:b/>
                <w:sz w:val="20"/>
                <w:lang w:val="fr-FR"/>
              </w:rPr>
              <w:t>Discharge Point</w:t>
            </w:r>
          </w:p>
        </w:tc>
        <w:tc>
          <w:tcPr>
            <w:tcW w:w="1776" w:type="dxa"/>
            <w:tcBorders>
              <w:top w:val="single" w:sz="12" w:space="0" w:color="auto"/>
              <w:bottom w:val="single" w:sz="12" w:space="0" w:color="auto"/>
              <w:right w:val="single" w:sz="12" w:space="0" w:color="auto"/>
            </w:tcBorders>
            <w:shd w:val="clear" w:color="auto" w:fill="auto"/>
            <w:vAlign w:val="center"/>
          </w:tcPr>
          <w:p w14:paraId="476AD54A" w14:textId="77777777" w:rsidR="000A5289" w:rsidRPr="000A5289" w:rsidRDefault="000A5289" w:rsidP="00424E9E">
            <w:pPr>
              <w:pStyle w:val="blankspacesaftertables"/>
              <w:jc w:val="center"/>
              <w:rPr>
                <w:b/>
                <w:sz w:val="20"/>
              </w:rPr>
            </w:pPr>
            <w:r w:rsidRPr="000A5289">
              <w:rPr>
                <w:b/>
                <w:sz w:val="20"/>
                <w:lang w:val="fr-FR"/>
              </w:rPr>
              <w:t>Discharge Point Latitude</w:t>
            </w:r>
          </w:p>
        </w:tc>
        <w:tc>
          <w:tcPr>
            <w:tcW w:w="1781" w:type="dxa"/>
            <w:tcBorders>
              <w:top w:val="single" w:sz="12" w:space="0" w:color="auto"/>
              <w:bottom w:val="single" w:sz="12" w:space="0" w:color="auto"/>
              <w:right w:val="single" w:sz="12" w:space="0" w:color="auto"/>
            </w:tcBorders>
            <w:shd w:val="clear" w:color="auto" w:fill="auto"/>
            <w:vAlign w:val="center"/>
          </w:tcPr>
          <w:p w14:paraId="68855C0F" w14:textId="77777777" w:rsidR="000A5289" w:rsidRPr="000A5289" w:rsidRDefault="000A5289" w:rsidP="00424E9E">
            <w:pPr>
              <w:pStyle w:val="blankspacesaftertables"/>
              <w:jc w:val="center"/>
              <w:rPr>
                <w:b/>
                <w:sz w:val="20"/>
              </w:rPr>
            </w:pPr>
            <w:r w:rsidRPr="000A5289">
              <w:rPr>
                <w:b/>
                <w:sz w:val="20"/>
                <w:lang w:val="fr-FR"/>
              </w:rPr>
              <w:t>Discharge Point Longitude</w:t>
            </w:r>
          </w:p>
        </w:tc>
        <w:tc>
          <w:tcPr>
            <w:tcW w:w="2627" w:type="dxa"/>
            <w:tcBorders>
              <w:top w:val="single" w:sz="12" w:space="0" w:color="auto"/>
              <w:bottom w:val="single" w:sz="12" w:space="0" w:color="auto"/>
              <w:right w:val="single" w:sz="12" w:space="0" w:color="auto"/>
            </w:tcBorders>
            <w:shd w:val="clear" w:color="auto" w:fill="auto"/>
            <w:vAlign w:val="center"/>
          </w:tcPr>
          <w:p w14:paraId="5F29A608" w14:textId="77777777" w:rsidR="000A5289" w:rsidRPr="000A5289" w:rsidRDefault="000A5289" w:rsidP="00424E9E">
            <w:pPr>
              <w:pStyle w:val="blankspacesaftertables"/>
              <w:jc w:val="center"/>
              <w:rPr>
                <w:b/>
                <w:sz w:val="20"/>
              </w:rPr>
            </w:pPr>
            <w:r w:rsidRPr="000A5289">
              <w:rPr>
                <w:b/>
                <w:sz w:val="20"/>
              </w:rPr>
              <w:t>Receiving Water</w:t>
            </w:r>
          </w:p>
        </w:tc>
      </w:tr>
      <w:tr w:rsidR="000A5289" w:rsidRPr="000A5289" w14:paraId="17618EA8" w14:textId="77777777" w:rsidTr="00D9656A">
        <w:trPr>
          <w:cantSplit/>
        </w:trPr>
        <w:tc>
          <w:tcPr>
            <w:tcW w:w="10728" w:type="dxa"/>
            <w:gridSpan w:val="5"/>
            <w:tcBorders>
              <w:top w:val="single" w:sz="12" w:space="0" w:color="auto"/>
              <w:left w:val="single" w:sz="12" w:space="0" w:color="auto"/>
              <w:right w:val="single" w:sz="12" w:space="0" w:color="auto"/>
            </w:tcBorders>
            <w:shd w:val="clear" w:color="auto" w:fill="D9D9D9" w:themeFill="background1" w:themeFillShade="D9"/>
          </w:tcPr>
          <w:p w14:paraId="573E9832" w14:textId="77777777" w:rsidR="000A5289" w:rsidRPr="000A5289" w:rsidRDefault="000A5289" w:rsidP="008968A7">
            <w:pPr>
              <w:pStyle w:val="blankspacesaftertables"/>
              <w:jc w:val="center"/>
              <w:rPr>
                <w:b/>
                <w:sz w:val="20"/>
              </w:rPr>
            </w:pPr>
            <w:r w:rsidRPr="000A5289">
              <w:rPr>
                <w:b/>
                <w:sz w:val="20"/>
              </w:rPr>
              <w:t>Industrial Wastewater Discharger (Non-Petroleum Refinery)</w:t>
            </w:r>
          </w:p>
        </w:tc>
      </w:tr>
      <w:tr w:rsidR="000A5289" w:rsidRPr="000A5289" w14:paraId="0AF73959" w14:textId="77777777" w:rsidTr="00311CE5">
        <w:trPr>
          <w:cantSplit/>
        </w:trPr>
        <w:tc>
          <w:tcPr>
            <w:tcW w:w="3320" w:type="dxa"/>
            <w:tcBorders>
              <w:left w:val="single" w:sz="12" w:space="0" w:color="auto"/>
            </w:tcBorders>
            <w:shd w:val="clear" w:color="auto" w:fill="auto"/>
          </w:tcPr>
          <w:p w14:paraId="14AA8A5E" w14:textId="77777777" w:rsidR="000A5289" w:rsidRPr="000A5289" w:rsidRDefault="000A5289" w:rsidP="000A5289">
            <w:pPr>
              <w:pStyle w:val="blankspacesaftertables"/>
              <w:rPr>
                <w:sz w:val="20"/>
              </w:rPr>
            </w:pPr>
            <w:r w:rsidRPr="000A5289">
              <w:rPr>
                <w:sz w:val="20"/>
              </w:rPr>
              <w:t>C&amp;H Sugar Company, Inc., and Crockett Community Services District, Crockett Sanitary Dept.</w:t>
            </w:r>
          </w:p>
        </w:tc>
        <w:tc>
          <w:tcPr>
            <w:tcW w:w="1224" w:type="dxa"/>
            <w:shd w:val="clear" w:color="auto" w:fill="auto"/>
            <w:vAlign w:val="center"/>
          </w:tcPr>
          <w:p w14:paraId="6D8AE8A0" w14:textId="77777777" w:rsidR="000A5289" w:rsidRPr="000A5289" w:rsidRDefault="000A5289" w:rsidP="008968A7">
            <w:pPr>
              <w:pStyle w:val="blankspacesaftertables"/>
              <w:jc w:val="center"/>
              <w:rPr>
                <w:sz w:val="20"/>
              </w:rPr>
            </w:pPr>
            <w:r w:rsidRPr="000A5289">
              <w:rPr>
                <w:sz w:val="20"/>
              </w:rPr>
              <w:t>002</w:t>
            </w:r>
          </w:p>
        </w:tc>
        <w:tc>
          <w:tcPr>
            <w:tcW w:w="1776" w:type="dxa"/>
            <w:tcBorders>
              <w:right w:val="single" w:sz="4" w:space="0" w:color="auto"/>
            </w:tcBorders>
            <w:shd w:val="clear" w:color="auto" w:fill="auto"/>
            <w:vAlign w:val="center"/>
          </w:tcPr>
          <w:p w14:paraId="050B2FF9" w14:textId="77777777" w:rsidR="000A5289" w:rsidRPr="000A5289" w:rsidRDefault="00C123FD" w:rsidP="008968A7">
            <w:pPr>
              <w:pStyle w:val="blankspacesaftertables"/>
              <w:jc w:val="center"/>
              <w:rPr>
                <w:sz w:val="20"/>
              </w:rPr>
            </w:pPr>
            <w:r w:rsidRPr="00C123FD">
              <w:rPr>
                <w:sz w:val="20"/>
              </w:rPr>
              <w:t>38.058333</w:t>
            </w:r>
            <w:r w:rsidRPr="003D55E5">
              <w:rPr>
                <w:sz w:val="20"/>
              </w:rPr>
              <w:t>º</w:t>
            </w:r>
          </w:p>
        </w:tc>
        <w:tc>
          <w:tcPr>
            <w:tcW w:w="1781" w:type="dxa"/>
            <w:tcBorders>
              <w:left w:val="single" w:sz="4" w:space="0" w:color="auto"/>
              <w:right w:val="single" w:sz="4" w:space="0" w:color="auto"/>
            </w:tcBorders>
            <w:shd w:val="clear" w:color="auto" w:fill="auto"/>
            <w:vAlign w:val="center"/>
          </w:tcPr>
          <w:p w14:paraId="193C2206" w14:textId="77777777" w:rsidR="000A5289" w:rsidRPr="000A5289" w:rsidRDefault="00C123FD" w:rsidP="008968A7">
            <w:pPr>
              <w:pStyle w:val="blankspacesaftertables"/>
              <w:jc w:val="center"/>
              <w:rPr>
                <w:sz w:val="20"/>
              </w:rPr>
            </w:pPr>
            <w:r w:rsidRPr="00C123FD">
              <w:rPr>
                <w:sz w:val="20"/>
              </w:rPr>
              <w:t>-122.224444</w:t>
            </w:r>
            <w:r w:rsidRPr="003D55E5">
              <w:rPr>
                <w:sz w:val="20"/>
              </w:rPr>
              <w:t>º</w:t>
            </w:r>
          </w:p>
        </w:tc>
        <w:tc>
          <w:tcPr>
            <w:tcW w:w="2627" w:type="dxa"/>
            <w:tcBorders>
              <w:left w:val="single" w:sz="4" w:space="0" w:color="auto"/>
              <w:right w:val="single" w:sz="12" w:space="0" w:color="auto"/>
            </w:tcBorders>
            <w:shd w:val="clear" w:color="auto" w:fill="auto"/>
            <w:vAlign w:val="center"/>
          </w:tcPr>
          <w:p w14:paraId="32F20D5B" w14:textId="77777777" w:rsidR="000A5289" w:rsidRPr="000A5289" w:rsidRDefault="000A5289" w:rsidP="008968A7">
            <w:pPr>
              <w:pStyle w:val="blankspacesaftertables"/>
              <w:jc w:val="center"/>
              <w:rPr>
                <w:sz w:val="20"/>
              </w:rPr>
            </w:pPr>
            <w:r w:rsidRPr="000A5289">
              <w:rPr>
                <w:sz w:val="20"/>
              </w:rPr>
              <w:t>Carquinez Strait</w:t>
            </w:r>
          </w:p>
        </w:tc>
      </w:tr>
      <w:tr w:rsidR="000A5289" w:rsidRPr="000A5289" w14:paraId="5C8A6689" w14:textId="77777777" w:rsidTr="00311CE5">
        <w:trPr>
          <w:cantSplit/>
        </w:trPr>
        <w:tc>
          <w:tcPr>
            <w:tcW w:w="3320" w:type="dxa"/>
            <w:tcBorders>
              <w:left w:val="single" w:sz="12" w:space="0" w:color="auto"/>
            </w:tcBorders>
            <w:shd w:val="clear" w:color="auto" w:fill="auto"/>
          </w:tcPr>
          <w:p w14:paraId="495FC447" w14:textId="7FD1E2E1" w:rsidR="000A5289" w:rsidRPr="000A5289" w:rsidRDefault="000A5289" w:rsidP="00967F70">
            <w:pPr>
              <w:pStyle w:val="blankspacesaftertables"/>
              <w:rPr>
                <w:sz w:val="20"/>
              </w:rPr>
            </w:pPr>
            <w:r w:rsidRPr="000A5289">
              <w:rPr>
                <w:sz w:val="20"/>
              </w:rPr>
              <w:t>Crockett Cogeneration, LP</w:t>
            </w:r>
          </w:p>
        </w:tc>
        <w:tc>
          <w:tcPr>
            <w:tcW w:w="1224" w:type="dxa"/>
            <w:shd w:val="clear" w:color="auto" w:fill="auto"/>
            <w:vAlign w:val="center"/>
          </w:tcPr>
          <w:p w14:paraId="79F9B36D" w14:textId="77777777" w:rsidR="000A5289" w:rsidRPr="000A5289" w:rsidRDefault="000A5289" w:rsidP="008968A7">
            <w:pPr>
              <w:pStyle w:val="blankspacesaftertables"/>
              <w:jc w:val="center"/>
              <w:rPr>
                <w:sz w:val="20"/>
              </w:rPr>
            </w:pPr>
            <w:r w:rsidRPr="000A5289">
              <w:rPr>
                <w:sz w:val="20"/>
              </w:rPr>
              <w:t>001</w:t>
            </w:r>
          </w:p>
        </w:tc>
        <w:tc>
          <w:tcPr>
            <w:tcW w:w="1776" w:type="dxa"/>
            <w:tcBorders>
              <w:right w:val="single" w:sz="4" w:space="0" w:color="auto"/>
            </w:tcBorders>
            <w:shd w:val="clear" w:color="auto" w:fill="auto"/>
            <w:vAlign w:val="center"/>
          </w:tcPr>
          <w:p w14:paraId="7B65626B" w14:textId="77777777" w:rsidR="000A5289" w:rsidRPr="000A5289" w:rsidRDefault="00C123FD" w:rsidP="008968A7">
            <w:pPr>
              <w:pStyle w:val="blankspacesaftertables"/>
              <w:jc w:val="center"/>
              <w:rPr>
                <w:sz w:val="20"/>
              </w:rPr>
            </w:pPr>
            <w:r w:rsidRPr="00C123FD">
              <w:rPr>
                <w:sz w:val="20"/>
              </w:rPr>
              <w:t>38.056111</w:t>
            </w:r>
            <w:r w:rsidRPr="003D55E5">
              <w:rPr>
                <w:sz w:val="20"/>
              </w:rPr>
              <w:t>º</w:t>
            </w:r>
          </w:p>
        </w:tc>
        <w:tc>
          <w:tcPr>
            <w:tcW w:w="1781" w:type="dxa"/>
            <w:tcBorders>
              <w:left w:val="single" w:sz="4" w:space="0" w:color="auto"/>
              <w:right w:val="single" w:sz="4" w:space="0" w:color="auto"/>
            </w:tcBorders>
            <w:shd w:val="clear" w:color="auto" w:fill="auto"/>
            <w:vAlign w:val="center"/>
          </w:tcPr>
          <w:p w14:paraId="7B7D8C97" w14:textId="77777777" w:rsidR="000A5289" w:rsidRPr="000A5289" w:rsidRDefault="00C123FD" w:rsidP="008968A7">
            <w:pPr>
              <w:pStyle w:val="blankspacesaftertables"/>
              <w:jc w:val="center"/>
              <w:rPr>
                <w:sz w:val="20"/>
              </w:rPr>
            </w:pPr>
            <w:r>
              <w:rPr>
                <w:sz w:val="20"/>
              </w:rPr>
              <w:t>-</w:t>
            </w:r>
            <w:r w:rsidRPr="00C123FD">
              <w:rPr>
                <w:sz w:val="20"/>
              </w:rPr>
              <w:t>122.218056</w:t>
            </w:r>
            <w:r w:rsidRPr="003D55E5">
              <w:rPr>
                <w:sz w:val="20"/>
              </w:rPr>
              <w:t>º</w:t>
            </w:r>
          </w:p>
        </w:tc>
        <w:tc>
          <w:tcPr>
            <w:tcW w:w="2627" w:type="dxa"/>
            <w:tcBorders>
              <w:left w:val="single" w:sz="4" w:space="0" w:color="auto"/>
              <w:right w:val="single" w:sz="12" w:space="0" w:color="auto"/>
            </w:tcBorders>
            <w:shd w:val="clear" w:color="auto" w:fill="auto"/>
            <w:vAlign w:val="center"/>
          </w:tcPr>
          <w:p w14:paraId="1A878873" w14:textId="77777777" w:rsidR="000A5289" w:rsidRPr="000A5289" w:rsidRDefault="000A5289" w:rsidP="008968A7">
            <w:pPr>
              <w:pStyle w:val="blankspacesaftertables"/>
              <w:jc w:val="center"/>
              <w:rPr>
                <w:sz w:val="20"/>
              </w:rPr>
            </w:pPr>
            <w:r w:rsidRPr="000A5289">
              <w:rPr>
                <w:sz w:val="20"/>
              </w:rPr>
              <w:t>Carquinez Strait</w:t>
            </w:r>
          </w:p>
        </w:tc>
      </w:tr>
      <w:tr w:rsidR="00D9656A" w:rsidRPr="000A5289" w14:paraId="51887D1A" w14:textId="77777777" w:rsidTr="00311CE5">
        <w:trPr>
          <w:cantSplit/>
        </w:trPr>
        <w:tc>
          <w:tcPr>
            <w:tcW w:w="3320" w:type="dxa"/>
            <w:tcBorders>
              <w:left w:val="single" w:sz="12" w:space="0" w:color="auto"/>
            </w:tcBorders>
            <w:shd w:val="clear" w:color="auto" w:fill="auto"/>
          </w:tcPr>
          <w:p w14:paraId="448C8FE7" w14:textId="77777777" w:rsidR="00D9656A" w:rsidRPr="000A5289" w:rsidRDefault="00D9656A" w:rsidP="00311CE5">
            <w:pPr>
              <w:pStyle w:val="blankspacesaftertables"/>
              <w:rPr>
                <w:sz w:val="20"/>
              </w:rPr>
            </w:pPr>
            <w:r>
              <w:rPr>
                <w:sz w:val="20"/>
              </w:rPr>
              <w:t>Eco Services Operations LLC</w:t>
            </w:r>
          </w:p>
        </w:tc>
        <w:tc>
          <w:tcPr>
            <w:tcW w:w="1224" w:type="dxa"/>
            <w:shd w:val="clear" w:color="auto" w:fill="auto"/>
            <w:vAlign w:val="center"/>
          </w:tcPr>
          <w:p w14:paraId="5F796D9A" w14:textId="77777777" w:rsidR="00D9656A" w:rsidRPr="000A5289" w:rsidRDefault="00D9656A" w:rsidP="00311CE5">
            <w:pPr>
              <w:pStyle w:val="blankspacesaftertables"/>
              <w:jc w:val="center"/>
              <w:rPr>
                <w:sz w:val="20"/>
              </w:rPr>
            </w:pPr>
            <w:r w:rsidRPr="000A5289">
              <w:rPr>
                <w:sz w:val="20"/>
              </w:rPr>
              <w:t>001</w:t>
            </w:r>
          </w:p>
        </w:tc>
        <w:tc>
          <w:tcPr>
            <w:tcW w:w="1776" w:type="dxa"/>
            <w:tcBorders>
              <w:right w:val="single" w:sz="4" w:space="0" w:color="auto"/>
            </w:tcBorders>
            <w:shd w:val="clear" w:color="auto" w:fill="auto"/>
            <w:vAlign w:val="center"/>
          </w:tcPr>
          <w:p w14:paraId="506EA13C" w14:textId="77777777" w:rsidR="00D9656A" w:rsidRPr="000A5289" w:rsidRDefault="00D9656A" w:rsidP="00311CE5">
            <w:pPr>
              <w:pStyle w:val="blankspacesaftertables"/>
              <w:jc w:val="center"/>
              <w:rPr>
                <w:sz w:val="20"/>
              </w:rPr>
            </w:pPr>
            <w:r w:rsidRPr="00C123FD">
              <w:rPr>
                <w:sz w:val="20"/>
              </w:rPr>
              <w:t>38.038333</w:t>
            </w:r>
            <w:r w:rsidRPr="003D55E5">
              <w:rPr>
                <w:sz w:val="20"/>
              </w:rPr>
              <w:t>º</w:t>
            </w:r>
          </w:p>
        </w:tc>
        <w:tc>
          <w:tcPr>
            <w:tcW w:w="1781" w:type="dxa"/>
            <w:tcBorders>
              <w:left w:val="single" w:sz="4" w:space="0" w:color="auto"/>
              <w:right w:val="single" w:sz="4" w:space="0" w:color="auto"/>
            </w:tcBorders>
            <w:shd w:val="clear" w:color="auto" w:fill="auto"/>
            <w:vAlign w:val="center"/>
          </w:tcPr>
          <w:p w14:paraId="3F2C510A" w14:textId="77777777" w:rsidR="00D9656A" w:rsidRPr="000A5289" w:rsidRDefault="00D9656A" w:rsidP="00311CE5">
            <w:pPr>
              <w:pStyle w:val="blankspacesaftertables"/>
              <w:jc w:val="center"/>
              <w:rPr>
                <w:sz w:val="20"/>
              </w:rPr>
            </w:pPr>
            <w:r>
              <w:rPr>
                <w:sz w:val="20"/>
              </w:rPr>
              <w:t>-</w:t>
            </w:r>
            <w:r w:rsidRPr="00C123FD">
              <w:rPr>
                <w:sz w:val="20"/>
              </w:rPr>
              <w:t>122.116944</w:t>
            </w:r>
            <w:r w:rsidRPr="003D55E5">
              <w:rPr>
                <w:sz w:val="20"/>
              </w:rPr>
              <w:t>º</w:t>
            </w:r>
          </w:p>
        </w:tc>
        <w:tc>
          <w:tcPr>
            <w:tcW w:w="2627" w:type="dxa"/>
            <w:tcBorders>
              <w:left w:val="single" w:sz="4" w:space="0" w:color="auto"/>
              <w:right w:val="single" w:sz="12" w:space="0" w:color="auto"/>
            </w:tcBorders>
            <w:shd w:val="clear" w:color="auto" w:fill="auto"/>
            <w:vAlign w:val="center"/>
          </w:tcPr>
          <w:p w14:paraId="222DC919" w14:textId="77777777" w:rsidR="00D9656A" w:rsidRPr="000A5289" w:rsidRDefault="00D9656A" w:rsidP="00311CE5">
            <w:pPr>
              <w:pStyle w:val="blankspacesaftertables"/>
              <w:jc w:val="center"/>
              <w:rPr>
                <w:sz w:val="20"/>
              </w:rPr>
            </w:pPr>
            <w:r>
              <w:rPr>
                <w:sz w:val="20"/>
              </w:rPr>
              <w:t>Carquinez Strait</w:t>
            </w:r>
          </w:p>
        </w:tc>
      </w:tr>
      <w:tr w:rsidR="00D9656A" w:rsidRPr="000A5289" w14:paraId="0EC44D97" w14:textId="77777777" w:rsidTr="00311CE5">
        <w:trPr>
          <w:cantSplit/>
        </w:trPr>
        <w:tc>
          <w:tcPr>
            <w:tcW w:w="3320" w:type="dxa"/>
            <w:tcBorders>
              <w:left w:val="single" w:sz="12" w:space="0" w:color="auto"/>
            </w:tcBorders>
            <w:shd w:val="clear" w:color="auto" w:fill="auto"/>
          </w:tcPr>
          <w:p w14:paraId="14A2F526" w14:textId="77777777" w:rsidR="00D9656A" w:rsidRPr="000A5289" w:rsidRDefault="00D9656A" w:rsidP="000A5289">
            <w:pPr>
              <w:pStyle w:val="blankspacesaftertables"/>
              <w:rPr>
                <w:sz w:val="20"/>
              </w:rPr>
            </w:pPr>
            <w:r w:rsidRPr="000A5289">
              <w:rPr>
                <w:sz w:val="20"/>
              </w:rPr>
              <w:t>GenOn Delta, LLC</w:t>
            </w:r>
          </w:p>
        </w:tc>
        <w:tc>
          <w:tcPr>
            <w:tcW w:w="1224" w:type="dxa"/>
            <w:shd w:val="clear" w:color="auto" w:fill="auto"/>
            <w:vAlign w:val="center"/>
          </w:tcPr>
          <w:p w14:paraId="4AA36681" w14:textId="77777777" w:rsidR="00D9656A" w:rsidRPr="000A5289" w:rsidRDefault="00D9656A" w:rsidP="008968A7">
            <w:pPr>
              <w:pStyle w:val="blankspacesaftertables"/>
              <w:jc w:val="center"/>
              <w:rPr>
                <w:sz w:val="20"/>
                <w:vertAlign w:val="superscript"/>
              </w:rPr>
            </w:pPr>
            <w:r w:rsidRPr="000A5289">
              <w:rPr>
                <w:sz w:val="20"/>
              </w:rPr>
              <w:t>001</w:t>
            </w:r>
            <w:r>
              <w:rPr>
                <w:sz w:val="20"/>
                <w:vertAlign w:val="superscript"/>
              </w:rPr>
              <w:t>[1]</w:t>
            </w:r>
          </w:p>
        </w:tc>
        <w:tc>
          <w:tcPr>
            <w:tcW w:w="1776" w:type="dxa"/>
            <w:tcBorders>
              <w:right w:val="single" w:sz="4" w:space="0" w:color="auto"/>
            </w:tcBorders>
            <w:shd w:val="clear" w:color="auto" w:fill="auto"/>
            <w:vAlign w:val="center"/>
          </w:tcPr>
          <w:p w14:paraId="79A04970" w14:textId="1087C601" w:rsidR="00D9656A" w:rsidRPr="000A5289" w:rsidRDefault="00D9656A" w:rsidP="008968A7">
            <w:pPr>
              <w:pStyle w:val="blankspacesaftertables"/>
              <w:jc w:val="center"/>
              <w:rPr>
                <w:sz w:val="20"/>
              </w:rPr>
            </w:pPr>
            <w:r w:rsidRPr="000A5289">
              <w:rPr>
                <w:sz w:val="20"/>
              </w:rPr>
              <w:t xml:space="preserve">38º 2' 29" </w:t>
            </w:r>
          </w:p>
        </w:tc>
        <w:tc>
          <w:tcPr>
            <w:tcW w:w="1781" w:type="dxa"/>
            <w:tcBorders>
              <w:left w:val="single" w:sz="4" w:space="0" w:color="auto"/>
              <w:right w:val="single" w:sz="4" w:space="0" w:color="auto"/>
            </w:tcBorders>
            <w:shd w:val="clear" w:color="auto" w:fill="auto"/>
            <w:vAlign w:val="center"/>
          </w:tcPr>
          <w:p w14:paraId="152E4114" w14:textId="25FE9FF5" w:rsidR="00D9656A" w:rsidRPr="000A5289" w:rsidRDefault="00D9656A" w:rsidP="008968A7">
            <w:pPr>
              <w:pStyle w:val="blankspacesaftertables"/>
              <w:jc w:val="center"/>
              <w:rPr>
                <w:sz w:val="20"/>
              </w:rPr>
            </w:pPr>
            <w:r w:rsidRPr="000A5289">
              <w:rPr>
                <w:sz w:val="20"/>
              </w:rPr>
              <w:t xml:space="preserve">121º 53' 25" </w:t>
            </w:r>
          </w:p>
        </w:tc>
        <w:tc>
          <w:tcPr>
            <w:tcW w:w="2627" w:type="dxa"/>
            <w:tcBorders>
              <w:left w:val="single" w:sz="4" w:space="0" w:color="auto"/>
              <w:right w:val="single" w:sz="12" w:space="0" w:color="auto"/>
            </w:tcBorders>
            <w:shd w:val="clear" w:color="auto" w:fill="auto"/>
            <w:vAlign w:val="center"/>
          </w:tcPr>
          <w:p w14:paraId="2A836B9E" w14:textId="77777777" w:rsidR="00D9656A" w:rsidRPr="000A5289" w:rsidRDefault="00D9656A" w:rsidP="008968A7">
            <w:pPr>
              <w:pStyle w:val="blankspacesaftertables"/>
              <w:jc w:val="center"/>
              <w:rPr>
                <w:sz w:val="20"/>
              </w:rPr>
            </w:pPr>
            <w:r w:rsidRPr="000A5289">
              <w:rPr>
                <w:sz w:val="20"/>
              </w:rPr>
              <w:t>Suisun Bay</w:t>
            </w:r>
          </w:p>
        </w:tc>
      </w:tr>
      <w:tr w:rsidR="00D9656A" w:rsidRPr="000A5289" w14:paraId="3C1E6121" w14:textId="77777777" w:rsidTr="00311CE5">
        <w:trPr>
          <w:cantSplit/>
          <w:trHeight w:val="113"/>
        </w:trPr>
        <w:tc>
          <w:tcPr>
            <w:tcW w:w="3320" w:type="dxa"/>
            <w:vMerge w:val="restart"/>
            <w:tcBorders>
              <w:left w:val="single" w:sz="12" w:space="0" w:color="auto"/>
            </w:tcBorders>
            <w:shd w:val="clear" w:color="auto" w:fill="auto"/>
            <w:vAlign w:val="center"/>
          </w:tcPr>
          <w:p w14:paraId="1BE14E62" w14:textId="77777777" w:rsidR="00D9656A" w:rsidRPr="000A5289" w:rsidRDefault="00D9656A" w:rsidP="000A5289">
            <w:pPr>
              <w:pStyle w:val="blankspacesaftertables"/>
              <w:rPr>
                <w:sz w:val="20"/>
              </w:rPr>
            </w:pPr>
            <w:r w:rsidRPr="000A5289">
              <w:rPr>
                <w:sz w:val="20"/>
              </w:rPr>
              <w:t>USS-Posco Industries</w:t>
            </w:r>
          </w:p>
        </w:tc>
        <w:tc>
          <w:tcPr>
            <w:tcW w:w="1224" w:type="dxa"/>
            <w:shd w:val="clear" w:color="auto" w:fill="auto"/>
            <w:vAlign w:val="center"/>
          </w:tcPr>
          <w:p w14:paraId="2D88C5BE" w14:textId="77777777" w:rsidR="00D9656A" w:rsidRPr="000A5289" w:rsidRDefault="00D9656A" w:rsidP="008968A7">
            <w:pPr>
              <w:pStyle w:val="blankspacesaftertables"/>
              <w:jc w:val="center"/>
              <w:rPr>
                <w:sz w:val="20"/>
              </w:rPr>
            </w:pPr>
            <w:r w:rsidRPr="000A5289">
              <w:rPr>
                <w:sz w:val="20"/>
              </w:rPr>
              <w:t>001</w:t>
            </w:r>
          </w:p>
        </w:tc>
        <w:tc>
          <w:tcPr>
            <w:tcW w:w="1776" w:type="dxa"/>
            <w:tcBorders>
              <w:right w:val="single" w:sz="4" w:space="0" w:color="auto"/>
            </w:tcBorders>
            <w:shd w:val="clear" w:color="auto" w:fill="auto"/>
            <w:vAlign w:val="center"/>
          </w:tcPr>
          <w:p w14:paraId="7316D014" w14:textId="77777777" w:rsidR="00D9656A" w:rsidRPr="000A5289" w:rsidRDefault="00B319F3" w:rsidP="008968A7">
            <w:pPr>
              <w:pStyle w:val="blankspacesaftertables"/>
              <w:jc w:val="center"/>
              <w:rPr>
                <w:sz w:val="20"/>
              </w:rPr>
            </w:pPr>
            <w:r w:rsidRPr="00B319F3">
              <w:rPr>
                <w:sz w:val="20"/>
              </w:rPr>
              <w:t>38.03</w:t>
            </w:r>
            <w:r>
              <w:rPr>
                <w:sz w:val="20"/>
              </w:rPr>
              <w:t>0000</w:t>
            </w:r>
            <w:r w:rsidRPr="003D55E5">
              <w:rPr>
                <w:sz w:val="20"/>
              </w:rPr>
              <w:t>º</w:t>
            </w:r>
          </w:p>
        </w:tc>
        <w:tc>
          <w:tcPr>
            <w:tcW w:w="1781" w:type="dxa"/>
            <w:tcBorders>
              <w:right w:val="single" w:sz="4" w:space="0" w:color="auto"/>
            </w:tcBorders>
            <w:shd w:val="clear" w:color="auto" w:fill="auto"/>
            <w:vAlign w:val="center"/>
          </w:tcPr>
          <w:p w14:paraId="4D398919" w14:textId="77777777" w:rsidR="00D9656A" w:rsidRPr="000A5289" w:rsidRDefault="00DA5C06" w:rsidP="008968A7">
            <w:pPr>
              <w:pStyle w:val="blankspacesaftertables"/>
              <w:jc w:val="center"/>
              <w:rPr>
                <w:sz w:val="20"/>
              </w:rPr>
            </w:pPr>
            <w:r>
              <w:rPr>
                <w:sz w:val="20"/>
              </w:rPr>
              <w:t>-</w:t>
            </w:r>
            <w:r w:rsidR="00B319F3" w:rsidRPr="00B319F3">
              <w:rPr>
                <w:sz w:val="20"/>
              </w:rPr>
              <w:t>121.86444</w:t>
            </w:r>
            <w:r w:rsidR="00B319F3" w:rsidRPr="003D55E5">
              <w:rPr>
                <w:sz w:val="20"/>
              </w:rPr>
              <w:t>º</w:t>
            </w:r>
          </w:p>
        </w:tc>
        <w:tc>
          <w:tcPr>
            <w:tcW w:w="2627" w:type="dxa"/>
            <w:tcBorders>
              <w:left w:val="single" w:sz="4" w:space="0" w:color="auto"/>
              <w:right w:val="single" w:sz="12" w:space="0" w:color="auto"/>
            </w:tcBorders>
            <w:shd w:val="clear" w:color="auto" w:fill="auto"/>
            <w:vAlign w:val="center"/>
          </w:tcPr>
          <w:p w14:paraId="334D6B69" w14:textId="77777777" w:rsidR="00D9656A" w:rsidRPr="000A5289" w:rsidRDefault="00B319F3" w:rsidP="008968A7">
            <w:pPr>
              <w:pStyle w:val="blankspacesaftertables"/>
              <w:jc w:val="center"/>
              <w:rPr>
                <w:sz w:val="20"/>
              </w:rPr>
            </w:pPr>
            <w:r>
              <w:rPr>
                <w:sz w:val="20"/>
              </w:rPr>
              <w:t>New York Slough</w:t>
            </w:r>
          </w:p>
        </w:tc>
      </w:tr>
      <w:tr w:rsidR="00D9656A" w:rsidRPr="000A5289" w14:paraId="784A4BEC" w14:textId="77777777" w:rsidTr="00311CE5">
        <w:trPr>
          <w:cantSplit/>
          <w:trHeight w:val="112"/>
        </w:trPr>
        <w:tc>
          <w:tcPr>
            <w:tcW w:w="3320" w:type="dxa"/>
            <w:vMerge/>
            <w:tcBorders>
              <w:left w:val="single" w:sz="12" w:space="0" w:color="auto"/>
            </w:tcBorders>
            <w:shd w:val="clear" w:color="auto" w:fill="auto"/>
          </w:tcPr>
          <w:p w14:paraId="7480FB7D" w14:textId="77777777" w:rsidR="00D9656A" w:rsidRPr="000A5289" w:rsidRDefault="00D9656A" w:rsidP="000A5289">
            <w:pPr>
              <w:pStyle w:val="blankspacesaftertables"/>
              <w:rPr>
                <w:sz w:val="20"/>
              </w:rPr>
            </w:pPr>
          </w:p>
        </w:tc>
        <w:tc>
          <w:tcPr>
            <w:tcW w:w="1224" w:type="dxa"/>
            <w:shd w:val="clear" w:color="auto" w:fill="auto"/>
            <w:vAlign w:val="center"/>
          </w:tcPr>
          <w:p w14:paraId="133CD5B6" w14:textId="77777777" w:rsidR="00D9656A" w:rsidRPr="000A5289" w:rsidRDefault="00D9656A" w:rsidP="008968A7">
            <w:pPr>
              <w:pStyle w:val="blankspacesaftertables"/>
              <w:jc w:val="center"/>
              <w:rPr>
                <w:sz w:val="20"/>
              </w:rPr>
            </w:pPr>
            <w:r w:rsidRPr="000A5289">
              <w:rPr>
                <w:sz w:val="20"/>
              </w:rPr>
              <w:t>002</w:t>
            </w:r>
          </w:p>
        </w:tc>
        <w:tc>
          <w:tcPr>
            <w:tcW w:w="1776" w:type="dxa"/>
            <w:tcBorders>
              <w:right w:val="single" w:sz="4" w:space="0" w:color="auto"/>
            </w:tcBorders>
            <w:shd w:val="clear" w:color="auto" w:fill="auto"/>
            <w:vAlign w:val="center"/>
          </w:tcPr>
          <w:p w14:paraId="1FDF5ECB" w14:textId="77777777" w:rsidR="00D9656A" w:rsidRPr="000A5289" w:rsidRDefault="00B319F3" w:rsidP="008968A7">
            <w:pPr>
              <w:pStyle w:val="blankspacesaftertables"/>
              <w:jc w:val="center"/>
              <w:rPr>
                <w:sz w:val="20"/>
              </w:rPr>
            </w:pPr>
            <w:r w:rsidRPr="00B319F3">
              <w:rPr>
                <w:sz w:val="20"/>
              </w:rPr>
              <w:t>38.030833</w:t>
            </w:r>
            <w:r w:rsidRPr="003D55E5">
              <w:rPr>
                <w:sz w:val="20"/>
              </w:rPr>
              <w:t>º</w:t>
            </w:r>
          </w:p>
        </w:tc>
        <w:tc>
          <w:tcPr>
            <w:tcW w:w="1781" w:type="dxa"/>
            <w:tcBorders>
              <w:right w:val="single" w:sz="4" w:space="0" w:color="auto"/>
            </w:tcBorders>
            <w:shd w:val="clear" w:color="auto" w:fill="auto"/>
            <w:vAlign w:val="center"/>
          </w:tcPr>
          <w:p w14:paraId="574443A6" w14:textId="77777777" w:rsidR="00D9656A" w:rsidRPr="000A5289" w:rsidRDefault="00DA5C06" w:rsidP="008968A7">
            <w:pPr>
              <w:pStyle w:val="blankspacesaftertables"/>
              <w:jc w:val="center"/>
              <w:rPr>
                <w:sz w:val="20"/>
              </w:rPr>
            </w:pPr>
            <w:r>
              <w:rPr>
                <w:sz w:val="20"/>
              </w:rPr>
              <w:t>-</w:t>
            </w:r>
            <w:r w:rsidR="00B319F3" w:rsidRPr="00B319F3">
              <w:rPr>
                <w:sz w:val="20"/>
              </w:rPr>
              <w:t>121.86611</w:t>
            </w:r>
            <w:r w:rsidR="00B319F3">
              <w:rPr>
                <w:sz w:val="20"/>
              </w:rPr>
              <w:t>0</w:t>
            </w:r>
            <w:r w:rsidR="00B319F3" w:rsidRPr="003D55E5">
              <w:rPr>
                <w:sz w:val="20"/>
              </w:rPr>
              <w:t>º</w:t>
            </w:r>
          </w:p>
        </w:tc>
        <w:tc>
          <w:tcPr>
            <w:tcW w:w="2627" w:type="dxa"/>
            <w:tcBorders>
              <w:left w:val="single" w:sz="4" w:space="0" w:color="auto"/>
              <w:right w:val="single" w:sz="12" w:space="0" w:color="auto"/>
            </w:tcBorders>
            <w:shd w:val="clear" w:color="auto" w:fill="auto"/>
            <w:vAlign w:val="center"/>
          </w:tcPr>
          <w:p w14:paraId="70E41018" w14:textId="77777777" w:rsidR="00D9656A" w:rsidRPr="000A5289" w:rsidRDefault="00B319F3" w:rsidP="008968A7">
            <w:pPr>
              <w:pStyle w:val="blankspacesaftertables"/>
              <w:jc w:val="center"/>
              <w:rPr>
                <w:sz w:val="20"/>
              </w:rPr>
            </w:pPr>
            <w:r>
              <w:rPr>
                <w:sz w:val="20"/>
              </w:rPr>
              <w:t>New York Slough</w:t>
            </w:r>
          </w:p>
        </w:tc>
      </w:tr>
      <w:tr w:rsidR="00D9656A" w:rsidRPr="000A5289" w14:paraId="6759168F" w14:textId="77777777" w:rsidTr="00D9656A">
        <w:trPr>
          <w:cantSplit/>
        </w:trPr>
        <w:tc>
          <w:tcPr>
            <w:tcW w:w="10728" w:type="dxa"/>
            <w:gridSpan w:val="5"/>
            <w:tcBorders>
              <w:left w:val="single" w:sz="12" w:space="0" w:color="auto"/>
              <w:right w:val="single" w:sz="12" w:space="0" w:color="auto"/>
            </w:tcBorders>
            <w:shd w:val="clear" w:color="auto" w:fill="D9D9D9" w:themeFill="background1" w:themeFillShade="D9"/>
          </w:tcPr>
          <w:p w14:paraId="554F8974" w14:textId="77777777" w:rsidR="00D9656A" w:rsidRPr="000A5289" w:rsidRDefault="00D9656A" w:rsidP="008968A7">
            <w:pPr>
              <w:pStyle w:val="blankspacesaftertables"/>
              <w:jc w:val="center"/>
              <w:rPr>
                <w:b/>
                <w:sz w:val="20"/>
              </w:rPr>
            </w:pPr>
            <w:r w:rsidRPr="000A5289">
              <w:rPr>
                <w:b/>
                <w:sz w:val="20"/>
              </w:rPr>
              <w:t>Industrial Wastewater Discharger (Petroleum Refinery)</w:t>
            </w:r>
          </w:p>
        </w:tc>
      </w:tr>
      <w:tr w:rsidR="00D9656A" w:rsidRPr="000A5289" w14:paraId="120F3D3E" w14:textId="77777777" w:rsidTr="00311CE5">
        <w:trPr>
          <w:cantSplit/>
        </w:trPr>
        <w:tc>
          <w:tcPr>
            <w:tcW w:w="3320" w:type="dxa"/>
            <w:tcBorders>
              <w:left w:val="single" w:sz="12" w:space="0" w:color="auto"/>
            </w:tcBorders>
            <w:shd w:val="clear" w:color="auto" w:fill="auto"/>
          </w:tcPr>
          <w:p w14:paraId="5FC3499C" w14:textId="77777777" w:rsidR="00D9656A" w:rsidRPr="000A5289" w:rsidRDefault="00D9656A" w:rsidP="000A5289">
            <w:pPr>
              <w:pStyle w:val="blankspacesaftertables"/>
              <w:rPr>
                <w:sz w:val="20"/>
              </w:rPr>
            </w:pPr>
            <w:r w:rsidRPr="000A5289">
              <w:rPr>
                <w:sz w:val="20"/>
              </w:rPr>
              <w:t>Chevron Products Company</w:t>
            </w:r>
          </w:p>
        </w:tc>
        <w:tc>
          <w:tcPr>
            <w:tcW w:w="1224" w:type="dxa"/>
            <w:shd w:val="clear" w:color="auto" w:fill="auto"/>
            <w:vAlign w:val="center"/>
          </w:tcPr>
          <w:p w14:paraId="61EBC175" w14:textId="77777777" w:rsidR="00D9656A" w:rsidRPr="000A5289" w:rsidRDefault="00D9656A" w:rsidP="00424E9E">
            <w:pPr>
              <w:pStyle w:val="blankspacesaftertables"/>
              <w:jc w:val="center"/>
              <w:rPr>
                <w:sz w:val="20"/>
              </w:rPr>
            </w:pPr>
            <w:r w:rsidRPr="000A5289">
              <w:rPr>
                <w:sz w:val="20"/>
              </w:rPr>
              <w:t>001</w:t>
            </w:r>
          </w:p>
        </w:tc>
        <w:tc>
          <w:tcPr>
            <w:tcW w:w="1776" w:type="dxa"/>
            <w:tcBorders>
              <w:right w:val="single" w:sz="4" w:space="0" w:color="auto"/>
            </w:tcBorders>
            <w:shd w:val="clear" w:color="auto" w:fill="auto"/>
            <w:vAlign w:val="center"/>
          </w:tcPr>
          <w:p w14:paraId="2C6992E7" w14:textId="77777777" w:rsidR="00D9656A" w:rsidRPr="000A5289" w:rsidRDefault="00DA5C06" w:rsidP="00424E9E">
            <w:pPr>
              <w:pStyle w:val="blankspacesaftertables"/>
              <w:jc w:val="center"/>
              <w:rPr>
                <w:sz w:val="20"/>
              </w:rPr>
            </w:pPr>
            <w:r w:rsidRPr="00DA5C06">
              <w:rPr>
                <w:sz w:val="20"/>
              </w:rPr>
              <w:t>37.970833</w:t>
            </w:r>
            <w:r w:rsidRPr="003D55E5">
              <w:rPr>
                <w:sz w:val="20"/>
              </w:rPr>
              <w:t>º</w:t>
            </w:r>
          </w:p>
        </w:tc>
        <w:tc>
          <w:tcPr>
            <w:tcW w:w="1781" w:type="dxa"/>
            <w:tcBorders>
              <w:left w:val="single" w:sz="4" w:space="0" w:color="auto"/>
              <w:right w:val="single" w:sz="4" w:space="0" w:color="auto"/>
            </w:tcBorders>
            <w:shd w:val="clear" w:color="auto" w:fill="auto"/>
            <w:vAlign w:val="center"/>
          </w:tcPr>
          <w:p w14:paraId="693562E2" w14:textId="77777777" w:rsidR="00D9656A" w:rsidRPr="000A5289" w:rsidRDefault="00DA5C06" w:rsidP="00424E9E">
            <w:pPr>
              <w:pStyle w:val="blankspacesaftertables"/>
              <w:jc w:val="center"/>
              <w:rPr>
                <w:sz w:val="20"/>
              </w:rPr>
            </w:pPr>
            <w:r>
              <w:rPr>
                <w:sz w:val="20"/>
              </w:rPr>
              <w:t>-</w:t>
            </w:r>
            <w:r w:rsidRPr="00DA5C06">
              <w:rPr>
                <w:sz w:val="20"/>
              </w:rPr>
              <w:t>122.429167</w:t>
            </w:r>
            <w:r w:rsidRPr="003D55E5">
              <w:rPr>
                <w:sz w:val="20"/>
              </w:rPr>
              <w:t>º</w:t>
            </w:r>
          </w:p>
        </w:tc>
        <w:tc>
          <w:tcPr>
            <w:tcW w:w="2627" w:type="dxa"/>
            <w:tcBorders>
              <w:left w:val="single" w:sz="4" w:space="0" w:color="auto"/>
              <w:right w:val="single" w:sz="12" w:space="0" w:color="auto"/>
            </w:tcBorders>
            <w:shd w:val="clear" w:color="auto" w:fill="auto"/>
            <w:vAlign w:val="center"/>
          </w:tcPr>
          <w:p w14:paraId="401F766E" w14:textId="77777777" w:rsidR="00D9656A" w:rsidRPr="000A5289" w:rsidRDefault="00D9656A" w:rsidP="00424E9E">
            <w:pPr>
              <w:pStyle w:val="blankspacesaftertables"/>
              <w:jc w:val="center"/>
              <w:rPr>
                <w:sz w:val="20"/>
              </w:rPr>
            </w:pPr>
            <w:r w:rsidRPr="000A5289">
              <w:rPr>
                <w:sz w:val="20"/>
              </w:rPr>
              <w:t>San Pablo Bay</w:t>
            </w:r>
          </w:p>
        </w:tc>
      </w:tr>
      <w:tr w:rsidR="00D9656A" w:rsidRPr="000A5289" w14:paraId="266F4AAC" w14:textId="77777777" w:rsidTr="00311CE5">
        <w:trPr>
          <w:cantSplit/>
        </w:trPr>
        <w:tc>
          <w:tcPr>
            <w:tcW w:w="3320" w:type="dxa"/>
            <w:tcBorders>
              <w:left w:val="single" w:sz="12" w:space="0" w:color="auto"/>
            </w:tcBorders>
            <w:shd w:val="clear" w:color="auto" w:fill="auto"/>
          </w:tcPr>
          <w:p w14:paraId="6DAD40D9" w14:textId="77777777" w:rsidR="00D9656A" w:rsidRPr="000A5289" w:rsidRDefault="00D9656A" w:rsidP="00DA5C06">
            <w:pPr>
              <w:pStyle w:val="blankspacesaftertables"/>
              <w:rPr>
                <w:sz w:val="20"/>
              </w:rPr>
            </w:pPr>
            <w:r w:rsidRPr="000A5289">
              <w:rPr>
                <w:sz w:val="20"/>
              </w:rPr>
              <w:t xml:space="preserve">Phillips 66 </w:t>
            </w:r>
          </w:p>
        </w:tc>
        <w:tc>
          <w:tcPr>
            <w:tcW w:w="1224" w:type="dxa"/>
            <w:shd w:val="clear" w:color="auto" w:fill="auto"/>
            <w:vAlign w:val="center"/>
          </w:tcPr>
          <w:p w14:paraId="2A9DB00E" w14:textId="77777777" w:rsidR="00D9656A" w:rsidRPr="000A5289" w:rsidRDefault="00D9656A" w:rsidP="00424E9E">
            <w:pPr>
              <w:pStyle w:val="blankspacesaftertables"/>
              <w:jc w:val="center"/>
              <w:rPr>
                <w:sz w:val="20"/>
              </w:rPr>
            </w:pPr>
            <w:r w:rsidRPr="000A5289">
              <w:rPr>
                <w:sz w:val="20"/>
              </w:rPr>
              <w:t>002</w:t>
            </w:r>
          </w:p>
        </w:tc>
        <w:tc>
          <w:tcPr>
            <w:tcW w:w="1776" w:type="dxa"/>
            <w:tcBorders>
              <w:right w:val="single" w:sz="4" w:space="0" w:color="auto"/>
            </w:tcBorders>
            <w:shd w:val="clear" w:color="auto" w:fill="auto"/>
            <w:vAlign w:val="center"/>
          </w:tcPr>
          <w:p w14:paraId="7E77E039" w14:textId="77777777" w:rsidR="00D9656A" w:rsidRPr="000A5289" w:rsidRDefault="00DA5C06" w:rsidP="00424E9E">
            <w:pPr>
              <w:pStyle w:val="blankspacesaftertables"/>
              <w:jc w:val="center"/>
              <w:rPr>
                <w:sz w:val="20"/>
              </w:rPr>
            </w:pPr>
            <w:r w:rsidRPr="00DA5C06">
              <w:rPr>
                <w:sz w:val="20"/>
              </w:rPr>
              <w:t>38.056111</w:t>
            </w:r>
            <w:r w:rsidRPr="003D55E5">
              <w:rPr>
                <w:sz w:val="20"/>
              </w:rPr>
              <w:t>º</w:t>
            </w:r>
          </w:p>
        </w:tc>
        <w:tc>
          <w:tcPr>
            <w:tcW w:w="1781" w:type="dxa"/>
            <w:tcBorders>
              <w:left w:val="single" w:sz="4" w:space="0" w:color="auto"/>
              <w:right w:val="single" w:sz="4" w:space="0" w:color="auto"/>
            </w:tcBorders>
            <w:shd w:val="clear" w:color="auto" w:fill="auto"/>
            <w:vAlign w:val="center"/>
          </w:tcPr>
          <w:p w14:paraId="57E1F46D" w14:textId="77777777" w:rsidR="00D9656A" w:rsidRPr="000A5289" w:rsidRDefault="00DA5C06" w:rsidP="00424E9E">
            <w:pPr>
              <w:pStyle w:val="blankspacesaftertables"/>
              <w:jc w:val="center"/>
              <w:rPr>
                <w:sz w:val="20"/>
              </w:rPr>
            </w:pPr>
            <w:r w:rsidRPr="00DA5C06">
              <w:rPr>
                <w:sz w:val="20"/>
              </w:rPr>
              <w:t>-122.261430</w:t>
            </w:r>
            <w:r w:rsidRPr="003D55E5">
              <w:rPr>
                <w:sz w:val="20"/>
              </w:rPr>
              <w:t>º</w:t>
            </w:r>
          </w:p>
        </w:tc>
        <w:tc>
          <w:tcPr>
            <w:tcW w:w="2627" w:type="dxa"/>
            <w:tcBorders>
              <w:left w:val="single" w:sz="4" w:space="0" w:color="auto"/>
              <w:right w:val="single" w:sz="12" w:space="0" w:color="auto"/>
            </w:tcBorders>
            <w:shd w:val="clear" w:color="auto" w:fill="auto"/>
            <w:vAlign w:val="center"/>
          </w:tcPr>
          <w:p w14:paraId="126ACE0C" w14:textId="77777777" w:rsidR="00D9656A" w:rsidRPr="000A5289" w:rsidRDefault="00D9656A" w:rsidP="00424E9E">
            <w:pPr>
              <w:pStyle w:val="blankspacesaftertables"/>
              <w:jc w:val="center"/>
              <w:rPr>
                <w:sz w:val="20"/>
              </w:rPr>
            </w:pPr>
            <w:r w:rsidRPr="000A5289">
              <w:rPr>
                <w:sz w:val="20"/>
              </w:rPr>
              <w:t>San Pablo Bay</w:t>
            </w:r>
          </w:p>
        </w:tc>
      </w:tr>
      <w:tr w:rsidR="00D9656A" w:rsidRPr="000A5289" w14:paraId="5F9032DF" w14:textId="77777777" w:rsidTr="00311CE5">
        <w:trPr>
          <w:cantSplit/>
        </w:trPr>
        <w:tc>
          <w:tcPr>
            <w:tcW w:w="3320" w:type="dxa"/>
            <w:tcBorders>
              <w:left w:val="single" w:sz="12" w:space="0" w:color="auto"/>
            </w:tcBorders>
            <w:shd w:val="clear" w:color="auto" w:fill="auto"/>
          </w:tcPr>
          <w:p w14:paraId="169077B0" w14:textId="77777777" w:rsidR="00D9656A" w:rsidRPr="000A5289" w:rsidRDefault="00D9656A" w:rsidP="000A5289">
            <w:pPr>
              <w:pStyle w:val="blankspacesaftertables"/>
              <w:rPr>
                <w:sz w:val="20"/>
              </w:rPr>
            </w:pPr>
            <w:r w:rsidRPr="000A5289">
              <w:rPr>
                <w:sz w:val="20"/>
              </w:rPr>
              <w:t>Shell Oil Products US and Equilon Enterprises LLC</w:t>
            </w:r>
          </w:p>
        </w:tc>
        <w:tc>
          <w:tcPr>
            <w:tcW w:w="1224" w:type="dxa"/>
            <w:shd w:val="clear" w:color="auto" w:fill="auto"/>
            <w:vAlign w:val="center"/>
          </w:tcPr>
          <w:p w14:paraId="3F4C4E30" w14:textId="77777777" w:rsidR="00D9656A" w:rsidRPr="000A5289" w:rsidRDefault="00D9656A" w:rsidP="00424E9E">
            <w:pPr>
              <w:pStyle w:val="blankspacesaftertables"/>
              <w:jc w:val="center"/>
              <w:rPr>
                <w:sz w:val="20"/>
              </w:rPr>
            </w:pPr>
            <w:r w:rsidRPr="000A5289">
              <w:rPr>
                <w:sz w:val="20"/>
              </w:rPr>
              <w:t>001</w:t>
            </w:r>
          </w:p>
        </w:tc>
        <w:tc>
          <w:tcPr>
            <w:tcW w:w="1776" w:type="dxa"/>
            <w:tcBorders>
              <w:right w:val="single" w:sz="4" w:space="0" w:color="auto"/>
            </w:tcBorders>
            <w:shd w:val="clear" w:color="auto" w:fill="auto"/>
            <w:vAlign w:val="center"/>
          </w:tcPr>
          <w:p w14:paraId="6D606A91" w14:textId="77777777" w:rsidR="00D9656A" w:rsidRPr="000A5289" w:rsidRDefault="00DA5C06" w:rsidP="00DA5C06">
            <w:pPr>
              <w:pStyle w:val="blankspacesaftertables"/>
              <w:jc w:val="center"/>
              <w:rPr>
                <w:sz w:val="20"/>
              </w:rPr>
            </w:pPr>
            <w:r w:rsidRPr="00DA5C06">
              <w:rPr>
                <w:sz w:val="20"/>
              </w:rPr>
              <w:t>38.032222</w:t>
            </w:r>
            <w:r w:rsidRPr="003D55E5">
              <w:rPr>
                <w:sz w:val="20"/>
              </w:rPr>
              <w:t>º</w:t>
            </w:r>
            <w:r>
              <w:t xml:space="preserve"> </w:t>
            </w:r>
          </w:p>
        </w:tc>
        <w:tc>
          <w:tcPr>
            <w:tcW w:w="1781" w:type="dxa"/>
            <w:tcBorders>
              <w:left w:val="single" w:sz="4" w:space="0" w:color="auto"/>
              <w:right w:val="single" w:sz="4" w:space="0" w:color="auto"/>
            </w:tcBorders>
            <w:shd w:val="clear" w:color="auto" w:fill="auto"/>
            <w:vAlign w:val="center"/>
          </w:tcPr>
          <w:p w14:paraId="26E5226E" w14:textId="77777777" w:rsidR="00D9656A" w:rsidRPr="000A5289" w:rsidRDefault="00DA5C06" w:rsidP="00424E9E">
            <w:pPr>
              <w:pStyle w:val="blankspacesaftertables"/>
              <w:jc w:val="center"/>
              <w:rPr>
                <w:sz w:val="20"/>
              </w:rPr>
            </w:pPr>
            <w:r>
              <w:rPr>
                <w:sz w:val="20"/>
              </w:rPr>
              <w:t>-</w:t>
            </w:r>
            <w:r w:rsidRPr="00DA5C06">
              <w:rPr>
                <w:sz w:val="20"/>
              </w:rPr>
              <w:t>122.128889</w:t>
            </w:r>
            <w:r w:rsidRPr="003D55E5">
              <w:rPr>
                <w:sz w:val="20"/>
              </w:rPr>
              <w:t>º</w:t>
            </w:r>
          </w:p>
        </w:tc>
        <w:tc>
          <w:tcPr>
            <w:tcW w:w="2627" w:type="dxa"/>
            <w:tcBorders>
              <w:left w:val="single" w:sz="4" w:space="0" w:color="auto"/>
              <w:right w:val="single" w:sz="12" w:space="0" w:color="auto"/>
            </w:tcBorders>
            <w:shd w:val="clear" w:color="auto" w:fill="auto"/>
            <w:vAlign w:val="center"/>
          </w:tcPr>
          <w:p w14:paraId="3F66A336" w14:textId="77777777" w:rsidR="00D9656A" w:rsidRPr="000A5289" w:rsidRDefault="00D9656A" w:rsidP="00424E9E">
            <w:pPr>
              <w:pStyle w:val="blankspacesaftertables"/>
              <w:jc w:val="center"/>
              <w:rPr>
                <w:sz w:val="20"/>
              </w:rPr>
            </w:pPr>
            <w:r w:rsidRPr="000A5289">
              <w:rPr>
                <w:sz w:val="20"/>
              </w:rPr>
              <w:t>Carquinez Strait</w:t>
            </w:r>
          </w:p>
        </w:tc>
      </w:tr>
      <w:tr w:rsidR="00D9656A" w:rsidRPr="000A5289" w14:paraId="36D920F5" w14:textId="77777777" w:rsidTr="00311CE5">
        <w:trPr>
          <w:cantSplit/>
        </w:trPr>
        <w:tc>
          <w:tcPr>
            <w:tcW w:w="3320" w:type="dxa"/>
            <w:tcBorders>
              <w:left w:val="single" w:sz="12" w:space="0" w:color="auto"/>
            </w:tcBorders>
            <w:shd w:val="clear" w:color="auto" w:fill="auto"/>
          </w:tcPr>
          <w:p w14:paraId="39FC7033" w14:textId="77777777" w:rsidR="00D9656A" w:rsidRPr="000A5289" w:rsidRDefault="00D9656A" w:rsidP="000A5289">
            <w:pPr>
              <w:pStyle w:val="blankspacesaftertables"/>
              <w:rPr>
                <w:sz w:val="20"/>
              </w:rPr>
            </w:pPr>
            <w:r w:rsidRPr="000A5289">
              <w:rPr>
                <w:sz w:val="20"/>
              </w:rPr>
              <w:t>Tesoro Refining &amp; Marketing Co.</w:t>
            </w:r>
          </w:p>
        </w:tc>
        <w:tc>
          <w:tcPr>
            <w:tcW w:w="1224" w:type="dxa"/>
            <w:shd w:val="clear" w:color="auto" w:fill="auto"/>
            <w:vAlign w:val="center"/>
          </w:tcPr>
          <w:p w14:paraId="2469308B" w14:textId="77777777" w:rsidR="00D9656A" w:rsidRPr="000A5289" w:rsidRDefault="00D9656A" w:rsidP="00424E9E">
            <w:pPr>
              <w:pStyle w:val="blankspacesaftertables"/>
              <w:jc w:val="center"/>
              <w:rPr>
                <w:sz w:val="20"/>
              </w:rPr>
            </w:pPr>
            <w:r w:rsidRPr="000A5289">
              <w:rPr>
                <w:sz w:val="20"/>
              </w:rPr>
              <w:t>001</w:t>
            </w:r>
          </w:p>
        </w:tc>
        <w:tc>
          <w:tcPr>
            <w:tcW w:w="1776" w:type="dxa"/>
            <w:tcBorders>
              <w:right w:val="single" w:sz="4" w:space="0" w:color="auto"/>
            </w:tcBorders>
            <w:shd w:val="clear" w:color="auto" w:fill="auto"/>
            <w:vAlign w:val="center"/>
          </w:tcPr>
          <w:p w14:paraId="7277FA11" w14:textId="77777777" w:rsidR="00D9656A" w:rsidRPr="000A5289" w:rsidRDefault="00DA5C06" w:rsidP="00424E9E">
            <w:pPr>
              <w:pStyle w:val="blankspacesaftertables"/>
              <w:jc w:val="center"/>
              <w:rPr>
                <w:sz w:val="20"/>
              </w:rPr>
            </w:pPr>
            <w:r w:rsidRPr="00DA5C06">
              <w:rPr>
                <w:sz w:val="20"/>
              </w:rPr>
              <w:t>38.048333</w:t>
            </w:r>
            <w:r w:rsidRPr="003D55E5">
              <w:rPr>
                <w:sz w:val="20"/>
              </w:rPr>
              <w:t>º</w:t>
            </w:r>
          </w:p>
        </w:tc>
        <w:tc>
          <w:tcPr>
            <w:tcW w:w="1781" w:type="dxa"/>
            <w:tcBorders>
              <w:left w:val="single" w:sz="4" w:space="0" w:color="auto"/>
              <w:right w:val="single" w:sz="4" w:space="0" w:color="auto"/>
            </w:tcBorders>
            <w:shd w:val="clear" w:color="auto" w:fill="auto"/>
            <w:vAlign w:val="center"/>
          </w:tcPr>
          <w:p w14:paraId="7FC15981" w14:textId="77777777" w:rsidR="00D9656A" w:rsidRPr="000A5289" w:rsidRDefault="00B51A7A" w:rsidP="00424E9E">
            <w:pPr>
              <w:pStyle w:val="blankspacesaftertables"/>
              <w:jc w:val="center"/>
              <w:rPr>
                <w:sz w:val="20"/>
              </w:rPr>
            </w:pPr>
            <w:r>
              <w:rPr>
                <w:sz w:val="20"/>
              </w:rPr>
              <w:t>-</w:t>
            </w:r>
            <w:r w:rsidR="00DA5C06" w:rsidRPr="00DA5C06">
              <w:rPr>
                <w:sz w:val="20"/>
              </w:rPr>
              <w:t>122.089444</w:t>
            </w:r>
            <w:r w:rsidR="00DA5C06" w:rsidRPr="003D55E5">
              <w:rPr>
                <w:sz w:val="20"/>
              </w:rPr>
              <w:t>º</w:t>
            </w:r>
          </w:p>
        </w:tc>
        <w:tc>
          <w:tcPr>
            <w:tcW w:w="2627" w:type="dxa"/>
            <w:tcBorders>
              <w:left w:val="single" w:sz="4" w:space="0" w:color="auto"/>
              <w:right w:val="single" w:sz="12" w:space="0" w:color="auto"/>
            </w:tcBorders>
            <w:shd w:val="clear" w:color="auto" w:fill="auto"/>
            <w:vAlign w:val="center"/>
          </w:tcPr>
          <w:p w14:paraId="3793A978" w14:textId="77777777" w:rsidR="00D9656A" w:rsidRPr="000A5289" w:rsidRDefault="00D9656A" w:rsidP="00424E9E">
            <w:pPr>
              <w:pStyle w:val="blankspacesaftertables"/>
              <w:jc w:val="center"/>
              <w:rPr>
                <w:sz w:val="20"/>
              </w:rPr>
            </w:pPr>
            <w:r w:rsidRPr="000A5289">
              <w:rPr>
                <w:sz w:val="20"/>
              </w:rPr>
              <w:t>Suisun Bay</w:t>
            </w:r>
          </w:p>
        </w:tc>
      </w:tr>
      <w:tr w:rsidR="00D9656A" w:rsidRPr="000A5289" w14:paraId="5E9FB8B8" w14:textId="77777777" w:rsidTr="00311CE5">
        <w:trPr>
          <w:cantSplit/>
        </w:trPr>
        <w:tc>
          <w:tcPr>
            <w:tcW w:w="3320" w:type="dxa"/>
            <w:tcBorders>
              <w:left w:val="single" w:sz="12" w:space="0" w:color="auto"/>
              <w:bottom w:val="single" w:sz="12" w:space="0" w:color="auto"/>
            </w:tcBorders>
            <w:shd w:val="clear" w:color="auto" w:fill="auto"/>
          </w:tcPr>
          <w:p w14:paraId="42D231F8" w14:textId="77777777" w:rsidR="00D9656A" w:rsidRPr="000A5289" w:rsidRDefault="00D9656A" w:rsidP="000A5289">
            <w:pPr>
              <w:pStyle w:val="blankspacesaftertables"/>
              <w:rPr>
                <w:sz w:val="20"/>
              </w:rPr>
            </w:pPr>
            <w:r w:rsidRPr="000A5289">
              <w:rPr>
                <w:sz w:val="20"/>
              </w:rPr>
              <w:t>Valero Refining Company</w:t>
            </w:r>
          </w:p>
        </w:tc>
        <w:tc>
          <w:tcPr>
            <w:tcW w:w="1224" w:type="dxa"/>
            <w:tcBorders>
              <w:bottom w:val="single" w:sz="12" w:space="0" w:color="auto"/>
            </w:tcBorders>
            <w:shd w:val="clear" w:color="auto" w:fill="auto"/>
            <w:vAlign w:val="center"/>
          </w:tcPr>
          <w:p w14:paraId="14D3BE34" w14:textId="77777777" w:rsidR="00D9656A" w:rsidRPr="000A5289" w:rsidRDefault="00D9656A" w:rsidP="00424E9E">
            <w:pPr>
              <w:pStyle w:val="blankspacesaftertables"/>
              <w:jc w:val="center"/>
              <w:rPr>
                <w:sz w:val="20"/>
              </w:rPr>
            </w:pPr>
            <w:r w:rsidRPr="000A5289">
              <w:rPr>
                <w:sz w:val="20"/>
              </w:rPr>
              <w:t>001</w:t>
            </w:r>
          </w:p>
        </w:tc>
        <w:tc>
          <w:tcPr>
            <w:tcW w:w="1776" w:type="dxa"/>
            <w:tcBorders>
              <w:bottom w:val="single" w:sz="12" w:space="0" w:color="auto"/>
              <w:right w:val="single" w:sz="4" w:space="0" w:color="auto"/>
            </w:tcBorders>
            <w:shd w:val="clear" w:color="auto" w:fill="auto"/>
            <w:vAlign w:val="center"/>
          </w:tcPr>
          <w:p w14:paraId="1A3492D5" w14:textId="77777777" w:rsidR="00D9656A" w:rsidRPr="000A5289" w:rsidRDefault="00DA5C06" w:rsidP="00413DC6">
            <w:pPr>
              <w:pStyle w:val="blankspacesaftertables"/>
              <w:jc w:val="center"/>
              <w:rPr>
                <w:sz w:val="20"/>
              </w:rPr>
            </w:pPr>
            <w:r w:rsidRPr="00DA5C06">
              <w:rPr>
                <w:sz w:val="20"/>
              </w:rPr>
              <w:t>38.055</w:t>
            </w:r>
            <w:r>
              <w:rPr>
                <w:sz w:val="20"/>
              </w:rPr>
              <w:t>000</w:t>
            </w:r>
            <w:r w:rsidRPr="003D55E5">
              <w:rPr>
                <w:sz w:val="20"/>
              </w:rPr>
              <w:t>º</w:t>
            </w:r>
            <w:r w:rsidR="00413DC6">
              <w:rPr>
                <w:sz w:val="20"/>
              </w:rPr>
              <w:t xml:space="preserve"> </w:t>
            </w:r>
            <w:r w:rsidR="00897EF8">
              <w:rPr>
                <w:sz w:val="20"/>
                <w:vertAlign w:val="superscript"/>
              </w:rPr>
              <w:t>[</w:t>
            </w:r>
            <w:r w:rsidR="00413DC6">
              <w:rPr>
                <w:sz w:val="20"/>
                <w:vertAlign w:val="superscript"/>
              </w:rPr>
              <w:t>2</w:t>
            </w:r>
            <w:r w:rsidR="00897EF8">
              <w:rPr>
                <w:sz w:val="20"/>
                <w:vertAlign w:val="superscript"/>
              </w:rPr>
              <w:t>]</w:t>
            </w:r>
          </w:p>
        </w:tc>
        <w:tc>
          <w:tcPr>
            <w:tcW w:w="1781" w:type="dxa"/>
            <w:tcBorders>
              <w:left w:val="single" w:sz="4" w:space="0" w:color="auto"/>
              <w:bottom w:val="single" w:sz="12" w:space="0" w:color="auto"/>
              <w:right w:val="single" w:sz="4" w:space="0" w:color="auto"/>
            </w:tcBorders>
            <w:shd w:val="clear" w:color="auto" w:fill="auto"/>
            <w:vAlign w:val="center"/>
          </w:tcPr>
          <w:p w14:paraId="6DF1A2DC" w14:textId="77777777" w:rsidR="00D9656A" w:rsidRPr="000A5289" w:rsidRDefault="00B51A7A" w:rsidP="00413DC6">
            <w:pPr>
              <w:pStyle w:val="blankspacesaftertables"/>
              <w:jc w:val="center"/>
              <w:rPr>
                <w:sz w:val="20"/>
              </w:rPr>
            </w:pPr>
            <w:r>
              <w:rPr>
                <w:sz w:val="20"/>
              </w:rPr>
              <w:t>-</w:t>
            </w:r>
            <w:r w:rsidR="00DA5C06" w:rsidRPr="00DA5C06">
              <w:rPr>
                <w:sz w:val="20"/>
              </w:rPr>
              <w:t>122.118611</w:t>
            </w:r>
            <w:r w:rsidR="00DA5C06" w:rsidRPr="003D55E5">
              <w:rPr>
                <w:sz w:val="20"/>
              </w:rPr>
              <w:t>º</w:t>
            </w:r>
            <w:r w:rsidR="00413DC6">
              <w:rPr>
                <w:sz w:val="20"/>
              </w:rPr>
              <w:t xml:space="preserve"> </w:t>
            </w:r>
            <w:r w:rsidR="00897EF8">
              <w:rPr>
                <w:sz w:val="20"/>
                <w:vertAlign w:val="superscript"/>
              </w:rPr>
              <w:t>[</w:t>
            </w:r>
            <w:r w:rsidR="00413DC6">
              <w:rPr>
                <w:sz w:val="20"/>
                <w:vertAlign w:val="superscript"/>
              </w:rPr>
              <w:t>2</w:t>
            </w:r>
            <w:r w:rsidR="00897EF8">
              <w:rPr>
                <w:sz w:val="20"/>
                <w:vertAlign w:val="superscript"/>
              </w:rPr>
              <w:t>]</w:t>
            </w:r>
          </w:p>
        </w:tc>
        <w:tc>
          <w:tcPr>
            <w:tcW w:w="2627" w:type="dxa"/>
            <w:tcBorders>
              <w:left w:val="single" w:sz="4" w:space="0" w:color="auto"/>
              <w:bottom w:val="single" w:sz="12" w:space="0" w:color="auto"/>
              <w:right w:val="single" w:sz="12" w:space="0" w:color="auto"/>
            </w:tcBorders>
            <w:shd w:val="clear" w:color="auto" w:fill="auto"/>
            <w:vAlign w:val="center"/>
          </w:tcPr>
          <w:p w14:paraId="6A01B593" w14:textId="77777777" w:rsidR="00D9656A" w:rsidRPr="000A5289" w:rsidRDefault="00D9656A" w:rsidP="00424E9E">
            <w:pPr>
              <w:pStyle w:val="blankspacesaftertables"/>
              <w:jc w:val="center"/>
              <w:rPr>
                <w:sz w:val="20"/>
              </w:rPr>
            </w:pPr>
            <w:r w:rsidRPr="000A5289">
              <w:rPr>
                <w:sz w:val="20"/>
              </w:rPr>
              <w:t>Suisun Bay</w:t>
            </w:r>
          </w:p>
        </w:tc>
      </w:tr>
    </w:tbl>
    <w:p w14:paraId="307E4F66" w14:textId="77777777" w:rsidR="00424E9E" w:rsidRPr="00274418" w:rsidRDefault="00424E9E" w:rsidP="00424E9E">
      <w:pPr>
        <w:pStyle w:val="blankspacesaftertables"/>
        <w:spacing w:before="60" w:after="60"/>
        <w:ind w:left="270" w:hanging="360"/>
        <w:rPr>
          <w:szCs w:val="18"/>
          <w:u w:val="single"/>
        </w:rPr>
      </w:pPr>
      <w:r>
        <w:rPr>
          <w:sz w:val="18"/>
          <w:szCs w:val="18"/>
          <w:u w:val="single"/>
        </w:rPr>
        <w:t>Footnote</w:t>
      </w:r>
      <w:r w:rsidRPr="00643973">
        <w:rPr>
          <w:sz w:val="18"/>
          <w:szCs w:val="18"/>
          <w:u w:val="single"/>
        </w:rPr>
        <w:t>:</w:t>
      </w:r>
    </w:p>
    <w:p w14:paraId="78B8CCC0" w14:textId="77777777" w:rsidR="00424E9E" w:rsidRDefault="00424E9E" w:rsidP="00424E9E">
      <w:pPr>
        <w:pStyle w:val="TableFootnotes"/>
        <w:tabs>
          <w:tab w:val="left" w:pos="360"/>
        </w:tabs>
        <w:spacing w:after="0"/>
        <w:ind w:left="360" w:hanging="360"/>
        <w:rPr>
          <w:rFonts w:ascii="Times New Roman" w:hAnsi="Times New Roman" w:cs="Times New Roman"/>
          <w:szCs w:val="22"/>
        </w:rPr>
      </w:pPr>
      <w:r w:rsidRPr="00643973">
        <w:rPr>
          <w:rFonts w:ascii="Times New Roman" w:hAnsi="Times New Roman" w:cs="Times New Roman"/>
          <w:vertAlign w:val="superscript"/>
        </w:rPr>
        <w:t>[</w:t>
      </w:r>
      <w:r>
        <w:rPr>
          <w:rFonts w:ascii="Times New Roman" w:hAnsi="Times New Roman" w:cs="Times New Roman"/>
          <w:vertAlign w:val="superscript"/>
        </w:rPr>
        <w:t>1</w:t>
      </w:r>
      <w:r w:rsidRPr="00643973">
        <w:rPr>
          <w:rFonts w:ascii="Times New Roman" w:hAnsi="Times New Roman" w:cs="Times New Roman"/>
          <w:vertAlign w:val="superscript"/>
        </w:rPr>
        <w:t>]</w:t>
      </w:r>
      <w:r w:rsidRPr="00643973">
        <w:rPr>
          <w:rFonts w:ascii="Times New Roman" w:hAnsi="Times New Roman" w:cs="Times New Roman"/>
        </w:rPr>
        <w:tab/>
      </w:r>
      <w:r w:rsidRPr="00424E9E">
        <w:rPr>
          <w:rFonts w:ascii="Times New Roman" w:hAnsi="Times New Roman" w:cs="Times New Roman"/>
          <w:szCs w:val="22"/>
        </w:rPr>
        <w:t>This Order applies to the mercury discharges from internal waste streams discharged through these discharge points, and not to the once through cooling water discharges of these discharge points.</w:t>
      </w:r>
    </w:p>
    <w:p w14:paraId="6493D3A4" w14:textId="77777777" w:rsidR="00413DC6" w:rsidRPr="00643973" w:rsidRDefault="00413DC6" w:rsidP="00722C08">
      <w:pPr>
        <w:pStyle w:val="TableFootnotes"/>
        <w:tabs>
          <w:tab w:val="left" w:pos="360"/>
        </w:tabs>
        <w:spacing w:after="0"/>
        <w:ind w:left="360" w:hanging="360"/>
        <w:rPr>
          <w:rFonts w:ascii="Times New Roman" w:hAnsi="Times New Roman" w:cs="Times New Roman"/>
          <w:spacing w:val="-3"/>
          <w:szCs w:val="22"/>
        </w:rPr>
      </w:pPr>
      <w:r w:rsidRPr="00643973">
        <w:rPr>
          <w:rFonts w:ascii="Times New Roman" w:hAnsi="Times New Roman" w:cs="Times New Roman"/>
          <w:vertAlign w:val="superscript"/>
        </w:rPr>
        <w:t>[</w:t>
      </w:r>
      <w:r>
        <w:rPr>
          <w:rFonts w:ascii="Times New Roman" w:hAnsi="Times New Roman" w:cs="Times New Roman"/>
          <w:vertAlign w:val="superscript"/>
        </w:rPr>
        <w:t>2</w:t>
      </w:r>
      <w:r w:rsidRPr="00643973">
        <w:rPr>
          <w:rFonts w:ascii="Times New Roman" w:hAnsi="Times New Roman" w:cs="Times New Roman"/>
          <w:vertAlign w:val="superscript"/>
        </w:rPr>
        <w:t>]</w:t>
      </w:r>
      <w:r w:rsidRPr="00643973">
        <w:rPr>
          <w:rFonts w:ascii="Times New Roman" w:hAnsi="Times New Roman" w:cs="Times New Roman"/>
        </w:rPr>
        <w:tab/>
      </w:r>
      <w:r w:rsidRPr="00413DC6">
        <w:rPr>
          <w:rFonts w:ascii="Times New Roman" w:hAnsi="Times New Roman" w:cs="Times New Roman"/>
          <w:szCs w:val="22"/>
        </w:rPr>
        <w:t>Latitude and longitude may change with outfall upgrade</w:t>
      </w:r>
      <w:r>
        <w:rPr>
          <w:rFonts w:ascii="Times New Roman" w:hAnsi="Times New Roman" w:cs="Times New Roman"/>
          <w:szCs w:val="22"/>
        </w:rPr>
        <w:t xml:space="preserve"> as </w:t>
      </w:r>
      <w:r w:rsidRPr="00413DC6">
        <w:rPr>
          <w:rFonts w:ascii="Times New Roman" w:hAnsi="Times New Roman" w:cs="Times New Roman"/>
          <w:szCs w:val="22"/>
        </w:rPr>
        <w:t xml:space="preserve">specified in </w:t>
      </w:r>
      <w:r>
        <w:rPr>
          <w:rFonts w:ascii="Times New Roman" w:hAnsi="Times New Roman" w:cs="Times New Roman"/>
          <w:szCs w:val="22"/>
        </w:rPr>
        <w:t>the Discharger’s individual NPDES permit</w:t>
      </w:r>
      <w:r w:rsidRPr="00413DC6">
        <w:rPr>
          <w:rFonts w:ascii="Times New Roman" w:hAnsi="Times New Roman" w:cs="Times New Roman"/>
          <w:szCs w:val="22"/>
        </w:rPr>
        <w:t xml:space="preserve"> listed in Attachment B of this Order.</w:t>
      </w:r>
    </w:p>
    <w:p w14:paraId="162B1804" w14:textId="77777777" w:rsidR="000072C3" w:rsidRPr="000072C3" w:rsidRDefault="000A5289" w:rsidP="00E46DEF">
      <w:pPr>
        <w:pStyle w:val="blankspacesaftertables"/>
        <w:rPr>
          <w:sz w:val="20"/>
        </w:rPr>
      </w:pPr>
      <w:r w:rsidRPr="000A5289">
        <w:rPr>
          <w:sz w:val="20"/>
        </w:rPr>
        <w:tab/>
      </w:r>
    </w:p>
    <w:p w14:paraId="0E451857" w14:textId="77777777" w:rsidR="00F878D4" w:rsidRPr="008F6BB8" w:rsidRDefault="00F878D4" w:rsidP="00341719">
      <w:pPr>
        <w:pStyle w:val="TableHeader1"/>
        <w:jc w:val="center"/>
        <w:rPr>
          <w:rFonts w:ascii="Times New Roman" w:hAnsi="Times New Roman" w:cs="Times New Roman"/>
          <w:color w:val="000000" w:themeColor="text1"/>
          <w:sz w:val="24"/>
          <w:szCs w:val="24"/>
        </w:rPr>
      </w:pPr>
      <w:bookmarkStart w:id="4" w:name="_Toc487382087"/>
      <w:r w:rsidRPr="008F6BB8">
        <w:rPr>
          <w:rFonts w:ascii="Times New Roman" w:hAnsi="Times New Roman" w:cs="Times New Roman"/>
          <w:color w:val="000000" w:themeColor="text1"/>
          <w:sz w:val="24"/>
          <w:szCs w:val="24"/>
        </w:rPr>
        <w:t>Table 3. Administrative Information</w:t>
      </w:r>
      <w:bookmarkEnd w:id="3"/>
      <w:bookmarkEnd w:id="4"/>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80" w:firstRow="0" w:lastRow="0" w:firstColumn="1" w:lastColumn="0" w:noHBand="0" w:noVBand="0"/>
      </w:tblPr>
      <w:tblGrid>
        <w:gridCol w:w="6885"/>
        <w:gridCol w:w="2745"/>
      </w:tblGrid>
      <w:tr w:rsidR="008632D9" w:rsidRPr="008632D9" w14:paraId="17BF68C5" w14:textId="77777777" w:rsidTr="00577BF0">
        <w:trPr>
          <w:cantSplit/>
          <w:jc w:val="center"/>
        </w:trPr>
        <w:tc>
          <w:tcPr>
            <w:tcW w:w="6885" w:type="dxa"/>
            <w:tcBorders>
              <w:top w:val="single" w:sz="12" w:space="0" w:color="000000"/>
            </w:tcBorders>
            <w:shd w:val="clear" w:color="auto" w:fill="FFFFFF"/>
            <w:vAlign w:val="center"/>
          </w:tcPr>
          <w:p w14:paraId="0BC36EA4" w14:textId="77777777" w:rsidR="00F878D4" w:rsidRPr="008632D9" w:rsidRDefault="00F878D4" w:rsidP="00577BF0">
            <w:pPr>
              <w:pStyle w:val="TableText"/>
              <w:jc w:val="left"/>
              <w:rPr>
                <w:rFonts w:ascii="Times New Roman" w:hAnsi="Times New Roman" w:cs="Times New Roman"/>
                <w:color w:val="000000" w:themeColor="text1"/>
                <w:sz w:val="24"/>
              </w:rPr>
            </w:pPr>
            <w:r w:rsidRPr="008632D9">
              <w:rPr>
                <w:rFonts w:ascii="Times New Roman" w:hAnsi="Times New Roman" w:cs="Times New Roman"/>
                <w:color w:val="000000" w:themeColor="text1"/>
              </w:rPr>
              <w:t xml:space="preserve">This </w:t>
            </w:r>
            <w:r w:rsidR="0005714F" w:rsidRPr="008632D9">
              <w:rPr>
                <w:rFonts w:ascii="Times New Roman" w:hAnsi="Times New Roman" w:cs="Times New Roman"/>
                <w:color w:val="000000" w:themeColor="text1"/>
              </w:rPr>
              <w:t>Order</w:t>
            </w:r>
            <w:r w:rsidRPr="008632D9">
              <w:rPr>
                <w:rFonts w:ascii="Times New Roman" w:hAnsi="Times New Roman" w:cs="Times New Roman"/>
                <w:color w:val="000000" w:themeColor="text1"/>
              </w:rPr>
              <w:t xml:space="preserve"> was adopted on:</w:t>
            </w:r>
          </w:p>
        </w:tc>
        <w:tc>
          <w:tcPr>
            <w:tcW w:w="2745" w:type="dxa"/>
            <w:tcBorders>
              <w:top w:val="single" w:sz="12" w:space="0" w:color="000000"/>
            </w:tcBorders>
            <w:vAlign w:val="center"/>
          </w:tcPr>
          <w:p w14:paraId="6378436C" w14:textId="77777777" w:rsidR="00F878D4" w:rsidRPr="005712D3" w:rsidRDefault="00C0139A" w:rsidP="00577BF0">
            <w:pPr>
              <w:pStyle w:val="TableText"/>
              <w:rPr>
                <w:rFonts w:ascii="Times New Roman" w:hAnsi="Times New Roman" w:cs="Times New Roman"/>
                <w:color w:val="000000" w:themeColor="text1"/>
                <w:highlight w:val="cyan"/>
              </w:rPr>
            </w:pPr>
            <w:r>
              <w:rPr>
                <w:rFonts w:ascii="Times New Roman" w:hAnsi="Times New Roman" w:cs="Times New Roman"/>
                <w:color w:val="000000" w:themeColor="text1"/>
              </w:rPr>
              <w:t>November 8</w:t>
            </w:r>
            <w:r w:rsidR="00125AEF">
              <w:rPr>
                <w:rFonts w:ascii="Times New Roman" w:hAnsi="Times New Roman" w:cs="Times New Roman"/>
                <w:color w:val="000000" w:themeColor="text1"/>
              </w:rPr>
              <w:t>, 2017</w:t>
            </w:r>
          </w:p>
        </w:tc>
      </w:tr>
      <w:tr w:rsidR="008632D9" w:rsidRPr="008632D9" w14:paraId="62364B7E" w14:textId="77777777" w:rsidTr="00E824E6">
        <w:trPr>
          <w:cantSplit/>
          <w:jc w:val="center"/>
        </w:trPr>
        <w:tc>
          <w:tcPr>
            <w:tcW w:w="6885" w:type="dxa"/>
            <w:shd w:val="clear" w:color="auto" w:fill="FFFFFF"/>
            <w:vAlign w:val="center"/>
          </w:tcPr>
          <w:p w14:paraId="2522FB93" w14:textId="77777777" w:rsidR="008632D9" w:rsidRPr="008632D9" w:rsidRDefault="008632D9" w:rsidP="008632D9">
            <w:pPr>
              <w:pStyle w:val="TableText"/>
              <w:jc w:val="left"/>
              <w:rPr>
                <w:rFonts w:ascii="Times New Roman" w:hAnsi="Times New Roman" w:cs="Times New Roman"/>
                <w:color w:val="000000" w:themeColor="text1"/>
                <w:sz w:val="24"/>
              </w:rPr>
            </w:pPr>
            <w:r w:rsidRPr="008632D9">
              <w:rPr>
                <w:rFonts w:ascii="Times New Roman" w:hAnsi="Times New Roman" w:cs="Times New Roman"/>
                <w:color w:val="000000" w:themeColor="text1"/>
              </w:rPr>
              <w:t xml:space="preserve">This Order shall become effective on: </w:t>
            </w:r>
          </w:p>
        </w:tc>
        <w:tc>
          <w:tcPr>
            <w:tcW w:w="2745" w:type="dxa"/>
          </w:tcPr>
          <w:p w14:paraId="4A19FE1C" w14:textId="77777777" w:rsidR="008632D9" w:rsidRPr="006B4D31" w:rsidRDefault="00C0139A" w:rsidP="008632D9">
            <w:pPr>
              <w:pStyle w:val="TableText"/>
              <w:rPr>
                <w:rFonts w:ascii="Times New Roman" w:hAnsi="Times New Roman" w:cs="Times New Roman"/>
                <w:color w:val="000000" w:themeColor="text1"/>
                <w:sz w:val="24"/>
              </w:rPr>
            </w:pPr>
            <w:r>
              <w:rPr>
                <w:rFonts w:ascii="Times New Roman" w:hAnsi="Times New Roman" w:cs="Times New Roman"/>
                <w:color w:val="000000" w:themeColor="text1"/>
              </w:rPr>
              <w:t>January 1, 2018</w:t>
            </w:r>
          </w:p>
        </w:tc>
      </w:tr>
      <w:tr w:rsidR="008632D9" w:rsidRPr="008632D9" w14:paraId="4ED8EC04" w14:textId="77777777" w:rsidTr="00E824E6">
        <w:trPr>
          <w:cantSplit/>
          <w:jc w:val="center"/>
        </w:trPr>
        <w:tc>
          <w:tcPr>
            <w:tcW w:w="6885" w:type="dxa"/>
            <w:shd w:val="clear" w:color="auto" w:fill="FFFFFF"/>
            <w:vAlign w:val="center"/>
          </w:tcPr>
          <w:p w14:paraId="57FAFA03" w14:textId="77777777" w:rsidR="008632D9" w:rsidRPr="008632D9" w:rsidRDefault="008632D9" w:rsidP="008632D9">
            <w:pPr>
              <w:pStyle w:val="TableText"/>
              <w:jc w:val="left"/>
              <w:rPr>
                <w:rFonts w:ascii="Times New Roman" w:hAnsi="Times New Roman" w:cs="Times New Roman"/>
                <w:color w:val="000000" w:themeColor="text1"/>
                <w:sz w:val="24"/>
              </w:rPr>
            </w:pPr>
            <w:r w:rsidRPr="008632D9">
              <w:rPr>
                <w:rFonts w:ascii="Times New Roman" w:hAnsi="Times New Roman" w:cs="Times New Roman"/>
                <w:color w:val="000000" w:themeColor="text1"/>
              </w:rPr>
              <w:t>This Order shall expire on:</w:t>
            </w:r>
          </w:p>
        </w:tc>
        <w:tc>
          <w:tcPr>
            <w:tcW w:w="2745" w:type="dxa"/>
          </w:tcPr>
          <w:p w14:paraId="52562BBE" w14:textId="77777777" w:rsidR="008632D9" w:rsidRPr="006B4D31" w:rsidRDefault="00C0139A" w:rsidP="008632D9">
            <w:pPr>
              <w:pStyle w:val="TableText"/>
              <w:rPr>
                <w:rFonts w:ascii="Times New Roman" w:hAnsi="Times New Roman" w:cs="Times New Roman"/>
                <w:color w:val="000000" w:themeColor="text1"/>
                <w:sz w:val="24"/>
              </w:rPr>
            </w:pPr>
            <w:r>
              <w:rPr>
                <w:rFonts w:ascii="Times New Roman" w:hAnsi="Times New Roman" w:cs="Times New Roman"/>
                <w:color w:val="000000" w:themeColor="text1"/>
              </w:rPr>
              <w:t>December 31</w:t>
            </w:r>
            <w:r w:rsidR="005712D3" w:rsidRPr="006B4D31">
              <w:rPr>
                <w:rFonts w:ascii="Times New Roman" w:hAnsi="Times New Roman" w:cs="Times New Roman"/>
                <w:color w:val="000000" w:themeColor="text1"/>
              </w:rPr>
              <w:t>, 202</w:t>
            </w:r>
            <w:r w:rsidR="00CD6ED5">
              <w:rPr>
                <w:rFonts w:ascii="Times New Roman" w:hAnsi="Times New Roman" w:cs="Times New Roman"/>
                <w:color w:val="000000" w:themeColor="text1"/>
              </w:rPr>
              <w:t>2</w:t>
            </w:r>
          </w:p>
        </w:tc>
      </w:tr>
    </w:tbl>
    <w:p w14:paraId="72E3470B" w14:textId="77777777" w:rsidR="00F878D4" w:rsidRPr="00DE24AF" w:rsidRDefault="00F878D4" w:rsidP="00DE24AF"/>
    <w:p w14:paraId="142958ED" w14:textId="77777777" w:rsidR="00F878D4" w:rsidRPr="002A5B99" w:rsidRDefault="00F878D4" w:rsidP="002A5B99">
      <w:pPr>
        <w:pStyle w:val="Paratext"/>
        <w:keepNext/>
        <w:spacing w:after="120"/>
        <w:rPr>
          <w:color w:val="000000" w:themeColor="text1"/>
        </w:rPr>
      </w:pPr>
      <w:r w:rsidRPr="002A5B99">
        <w:rPr>
          <w:color w:val="000000" w:themeColor="text1"/>
        </w:rPr>
        <w:t xml:space="preserve">I, Bruce H. Wolfe, Executive Officer, do hereby certify that this </w:t>
      </w:r>
      <w:r w:rsidR="0005714F" w:rsidRPr="002A5B99">
        <w:rPr>
          <w:color w:val="000000" w:themeColor="text1"/>
        </w:rPr>
        <w:t>Order</w:t>
      </w:r>
      <w:r w:rsidRPr="002A5B99">
        <w:rPr>
          <w:color w:val="000000" w:themeColor="text1"/>
        </w:rPr>
        <w:t xml:space="preserve"> with all attachments is a full, true, and correct copy of </w:t>
      </w:r>
      <w:r w:rsidR="00AF4055" w:rsidRPr="002A5B99">
        <w:rPr>
          <w:color w:val="000000" w:themeColor="text1"/>
        </w:rPr>
        <w:t>the</w:t>
      </w:r>
      <w:r w:rsidRPr="002A5B99">
        <w:rPr>
          <w:color w:val="000000" w:themeColor="text1"/>
        </w:rPr>
        <w:t xml:space="preserve"> </w:t>
      </w:r>
      <w:r w:rsidR="0005714F" w:rsidRPr="002A5B99">
        <w:rPr>
          <w:color w:val="000000" w:themeColor="text1"/>
        </w:rPr>
        <w:t>Order</w:t>
      </w:r>
      <w:r w:rsidRPr="002A5B99">
        <w:rPr>
          <w:color w:val="000000" w:themeColor="text1"/>
        </w:rPr>
        <w:t xml:space="preserve"> adopted by the California Regional Water Quality Control Board, San Francisco Bay</w:t>
      </w:r>
      <w:r w:rsidRPr="002A5B99">
        <w:rPr>
          <w:b/>
          <w:color w:val="000000" w:themeColor="text1"/>
        </w:rPr>
        <w:t xml:space="preserve"> </w:t>
      </w:r>
      <w:r w:rsidRPr="002A5B99">
        <w:rPr>
          <w:color w:val="000000" w:themeColor="text1"/>
        </w:rPr>
        <w:t>Region, on the date indicated above.</w:t>
      </w:r>
    </w:p>
    <w:p w14:paraId="11452D2E" w14:textId="77777777" w:rsidR="00F878D4" w:rsidRPr="002A5B99" w:rsidRDefault="00F878D4" w:rsidP="002A5B99">
      <w:pPr>
        <w:pStyle w:val="Paratext"/>
        <w:keepNext/>
        <w:spacing w:after="120"/>
        <w:rPr>
          <w:color w:val="000000" w:themeColor="text1"/>
        </w:rPr>
      </w:pPr>
    </w:p>
    <w:p w14:paraId="25E2F037" w14:textId="77777777" w:rsidR="00D0694F" w:rsidRPr="002A5B99" w:rsidRDefault="00D0694F" w:rsidP="002A5B99">
      <w:pPr>
        <w:pStyle w:val="Paratext"/>
        <w:keepNext/>
        <w:spacing w:after="0"/>
        <w:rPr>
          <w:color w:val="000000" w:themeColor="text1"/>
        </w:rPr>
      </w:pPr>
    </w:p>
    <w:p w14:paraId="0E2631CB" w14:textId="77777777" w:rsidR="00E46DEF" w:rsidRPr="002A5B99" w:rsidRDefault="00E46DEF" w:rsidP="002A5B99">
      <w:pPr>
        <w:pStyle w:val="Paratext"/>
        <w:keepNext/>
        <w:spacing w:after="0"/>
        <w:rPr>
          <w:color w:val="000000" w:themeColor="text1"/>
        </w:rPr>
      </w:pPr>
    </w:p>
    <w:p w14:paraId="6A50FAFB" w14:textId="77777777" w:rsidR="00F878D4" w:rsidRPr="002A5B99" w:rsidRDefault="00F878D4" w:rsidP="002A5B99">
      <w:pPr>
        <w:keepNext/>
        <w:ind w:left="4320"/>
        <w:rPr>
          <w:color w:val="000000" w:themeColor="text1"/>
          <w:sz w:val="24"/>
          <w:szCs w:val="24"/>
        </w:rPr>
      </w:pPr>
      <w:r w:rsidRPr="002A5B99">
        <w:rPr>
          <w:color w:val="000000" w:themeColor="text1"/>
          <w:sz w:val="24"/>
          <w:szCs w:val="24"/>
        </w:rPr>
        <w:t>____________________________________</w:t>
      </w:r>
    </w:p>
    <w:p w14:paraId="3FB95EE7" w14:textId="77777777" w:rsidR="00F878D4" w:rsidRPr="002A5B99" w:rsidRDefault="00F878D4" w:rsidP="002A5B99">
      <w:pPr>
        <w:keepNext/>
        <w:tabs>
          <w:tab w:val="left" w:pos="4320"/>
        </w:tabs>
        <w:ind w:left="4320"/>
        <w:rPr>
          <w:color w:val="000000" w:themeColor="text1"/>
          <w:sz w:val="24"/>
          <w:szCs w:val="24"/>
          <w:lang w:val="en-CA"/>
        </w:rPr>
        <w:sectPr w:rsidR="00F878D4" w:rsidRPr="002A5B99" w:rsidSect="00861AAD">
          <w:headerReference w:type="default" r:id="rId11"/>
          <w:footerReference w:type="even" r:id="rId12"/>
          <w:footerReference w:type="default" r:id="rId13"/>
          <w:headerReference w:type="first" r:id="rId14"/>
          <w:footerReference w:type="first" r:id="rId15"/>
          <w:footnotePr>
            <w:numRestart w:val="eachSect"/>
          </w:footnotePr>
          <w:endnotePr>
            <w:numFmt w:val="decimal"/>
          </w:endnotePr>
          <w:pgSz w:w="12240" w:h="15840" w:code="1"/>
          <w:pgMar w:top="1080" w:right="1080" w:bottom="1080" w:left="1080" w:header="547" w:footer="720" w:gutter="0"/>
          <w:cols w:space="720"/>
          <w:noEndnote/>
          <w:titlePg/>
          <w:docGrid w:linePitch="326"/>
        </w:sectPr>
      </w:pPr>
      <w:r w:rsidRPr="002A5B99">
        <w:rPr>
          <w:color w:val="000000" w:themeColor="text1"/>
          <w:sz w:val="24"/>
          <w:szCs w:val="24"/>
        </w:rPr>
        <w:t>Bruce H. Wolfe</w:t>
      </w:r>
      <w:r w:rsidRPr="002A5B99">
        <w:rPr>
          <w:b/>
          <w:color w:val="000000" w:themeColor="text1"/>
          <w:sz w:val="24"/>
          <w:szCs w:val="24"/>
        </w:rPr>
        <w:t>,</w:t>
      </w:r>
      <w:r w:rsidRPr="002A5B99">
        <w:rPr>
          <w:color w:val="000000" w:themeColor="text1"/>
          <w:sz w:val="24"/>
          <w:szCs w:val="24"/>
        </w:rPr>
        <w:t xml:space="preserve"> Executive Officer</w:t>
      </w:r>
    </w:p>
    <w:p w14:paraId="457A9717" w14:textId="77777777" w:rsidR="00F878D4" w:rsidRPr="002A5B99" w:rsidRDefault="00F878D4">
      <w:pPr>
        <w:pStyle w:val="Title"/>
        <w:rPr>
          <w:rFonts w:ascii="Times New Roman" w:hAnsi="Times New Roman"/>
          <w:color w:val="000000" w:themeColor="text1"/>
          <w:sz w:val="24"/>
          <w:szCs w:val="24"/>
        </w:rPr>
      </w:pPr>
      <w:r w:rsidRPr="002A5B99">
        <w:rPr>
          <w:rFonts w:ascii="Times New Roman" w:hAnsi="Times New Roman"/>
          <w:color w:val="000000" w:themeColor="text1"/>
          <w:sz w:val="24"/>
          <w:szCs w:val="24"/>
        </w:rPr>
        <w:lastRenderedPageBreak/>
        <w:t>Contents</w:t>
      </w:r>
    </w:p>
    <w:p w14:paraId="4541740F" w14:textId="45F802F8" w:rsidR="00803030" w:rsidRPr="00803030" w:rsidRDefault="00BD2B3E">
      <w:pPr>
        <w:pStyle w:val="TOC1"/>
        <w:rPr>
          <w:rFonts w:asciiTheme="minorHAnsi" w:eastAsiaTheme="minorEastAsia" w:hAnsiTheme="minorHAnsi" w:cstheme="minorBidi"/>
          <w:sz w:val="24"/>
          <w:szCs w:val="24"/>
        </w:rPr>
      </w:pPr>
      <w:r w:rsidRPr="002A5B99">
        <w:rPr>
          <w:noProof w:val="0"/>
          <w:color w:val="000000" w:themeColor="text1"/>
          <w:sz w:val="24"/>
          <w:szCs w:val="24"/>
        </w:rPr>
        <w:fldChar w:fldCharType="begin"/>
      </w:r>
      <w:r w:rsidR="00D93491" w:rsidRPr="002A5B99">
        <w:rPr>
          <w:noProof w:val="0"/>
          <w:color w:val="000000" w:themeColor="text1"/>
          <w:sz w:val="24"/>
          <w:szCs w:val="24"/>
        </w:rPr>
        <w:instrText xml:space="preserve"> TOC \h \z \u \t "Heading 1,1,Heading 2,2,Heading 3,3" </w:instrText>
      </w:r>
      <w:r w:rsidRPr="002A5B99">
        <w:rPr>
          <w:noProof w:val="0"/>
          <w:color w:val="000000" w:themeColor="text1"/>
          <w:sz w:val="24"/>
          <w:szCs w:val="24"/>
        </w:rPr>
        <w:fldChar w:fldCharType="separate"/>
      </w:r>
      <w:hyperlink w:anchor="_Toc488046251" w:history="1">
        <w:r w:rsidR="00803030" w:rsidRPr="00803030">
          <w:rPr>
            <w:rStyle w:val="Hyperlink"/>
            <w:sz w:val="24"/>
            <w:szCs w:val="24"/>
          </w:rPr>
          <w:t>I.</w:t>
        </w:r>
        <w:r w:rsidR="00803030" w:rsidRPr="00803030">
          <w:rPr>
            <w:rFonts w:asciiTheme="minorHAnsi" w:eastAsiaTheme="minorEastAsia" w:hAnsiTheme="minorHAnsi" w:cstheme="minorBidi"/>
            <w:sz w:val="24"/>
            <w:szCs w:val="24"/>
          </w:rPr>
          <w:tab/>
        </w:r>
        <w:r w:rsidR="00803030" w:rsidRPr="00803030">
          <w:rPr>
            <w:rStyle w:val="Hyperlink"/>
            <w:sz w:val="24"/>
            <w:szCs w:val="24"/>
          </w:rPr>
          <w:t>Facility Information</w:t>
        </w:r>
        <w:r w:rsidR="00803030" w:rsidRPr="00803030">
          <w:rPr>
            <w:webHidden/>
            <w:sz w:val="24"/>
            <w:szCs w:val="24"/>
          </w:rPr>
          <w:tab/>
        </w:r>
        <w:r w:rsidR="00803030" w:rsidRPr="00803030">
          <w:rPr>
            <w:webHidden/>
            <w:sz w:val="24"/>
            <w:szCs w:val="24"/>
          </w:rPr>
          <w:fldChar w:fldCharType="begin"/>
        </w:r>
        <w:r w:rsidR="00803030" w:rsidRPr="00803030">
          <w:rPr>
            <w:webHidden/>
            <w:sz w:val="24"/>
            <w:szCs w:val="24"/>
          </w:rPr>
          <w:instrText xml:space="preserve"> PAGEREF _Toc488046251 \h </w:instrText>
        </w:r>
        <w:r w:rsidR="00803030" w:rsidRPr="00803030">
          <w:rPr>
            <w:webHidden/>
            <w:sz w:val="24"/>
            <w:szCs w:val="24"/>
          </w:rPr>
        </w:r>
        <w:r w:rsidR="00803030" w:rsidRPr="00803030">
          <w:rPr>
            <w:webHidden/>
            <w:sz w:val="24"/>
            <w:szCs w:val="24"/>
          </w:rPr>
          <w:fldChar w:fldCharType="separate"/>
        </w:r>
        <w:r w:rsidR="000018F2">
          <w:rPr>
            <w:webHidden/>
            <w:sz w:val="24"/>
            <w:szCs w:val="24"/>
          </w:rPr>
          <w:t>8</w:t>
        </w:r>
        <w:r w:rsidR="00803030" w:rsidRPr="00803030">
          <w:rPr>
            <w:webHidden/>
            <w:sz w:val="24"/>
            <w:szCs w:val="24"/>
          </w:rPr>
          <w:fldChar w:fldCharType="end"/>
        </w:r>
      </w:hyperlink>
    </w:p>
    <w:p w14:paraId="7B0E436E" w14:textId="24366201" w:rsidR="00803030" w:rsidRPr="00803030" w:rsidRDefault="0013573F">
      <w:pPr>
        <w:pStyle w:val="TOC1"/>
        <w:rPr>
          <w:rFonts w:asciiTheme="minorHAnsi" w:eastAsiaTheme="minorEastAsia" w:hAnsiTheme="minorHAnsi" w:cstheme="minorBidi"/>
          <w:sz w:val="24"/>
          <w:szCs w:val="24"/>
        </w:rPr>
      </w:pPr>
      <w:hyperlink w:anchor="_Toc488046252" w:history="1">
        <w:r w:rsidR="00803030" w:rsidRPr="00803030">
          <w:rPr>
            <w:rStyle w:val="Hyperlink"/>
            <w:sz w:val="24"/>
            <w:szCs w:val="24"/>
          </w:rPr>
          <w:t>II.</w:t>
        </w:r>
        <w:r w:rsidR="00803030" w:rsidRPr="00803030">
          <w:rPr>
            <w:rFonts w:asciiTheme="minorHAnsi" w:eastAsiaTheme="minorEastAsia" w:hAnsiTheme="minorHAnsi" w:cstheme="minorBidi"/>
            <w:sz w:val="24"/>
            <w:szCs w:val="24"/>
          </w:rPr>
          <w:tab/>
        </w:r>
        <w:r w:rsidR="00803030" w:rsidRPr="00803030">
          <w:rPr>
            <w:rStyle w:val="Hyperlink"/>
            <w:sz w:val="24"/>
            <w:szCs w:val="24"/>
          </w:rPr>
          <w:t>Findings</w:t>
        </w:r>
        <w:r w:rsidR="00803030" w:rsidRPr="00803030">
          <w:rPr>
            <w:webHidden/>
            <w:sz w:val="24"/>
            <w:szCs w:val="24"/>
          </w:rPr>
          <w:tab/>
        </w:r>
        <w:r w:rsidR="00803030" w:rsidRPr="00803030">
          <w:rPr>
            <w:webHidden/>
            <w:sz w:val="24"/>
            <w:szCs w:val="24"/>
          </w:rPr>
          <w:fldChar w:fldCharType="begin"/>
        </w:r>
        <w:r w:rsidR="00803030" w:rsidRPr="00803030">
          <w:rPr>
            <w:webHidden/>
            <w:sz w:val="24"/>
            <w:szCs w:val="24"/>
          </w:rPr>
          <w:instrText xml:space="preserve"> PAGEREF _Toc488046252 \h </w:instrText>
        </w:r>
        <w:r w:rsidR="00803030" w:rsidRPr="00803030">
          <w:rPr>
            <w:webHidden/>
            <w:sz w:val="24"/>
            <w:szCs w:val="24"/>
          </w:rPr>
        </w:r>
        <w:r w:rsidR="00803030" w:rsidRPr="00803030">
          <w:rPr>
            <w:webHidden/>
            <w:sz w:val="24"/>
            <w:szCs w:val="24"/>
          </w:rPr>
          <w:fldChar w:fldCharType="separate"/>
        </w:r>
        <w:r w:rsidR="000018F2">
          <w:rPr>
            <w:webHidden/>
            <w:sz w:val="24"/>
            <w:szCs w:val="24"/>
          </w:rPr>
          <w:t>8</w:t>
        </w:r>
        <w:r w:rsidR="00803030" w:rsidRPr="00803030">
          <w:rPr>
            <w:webHidden/>
            <w:sz w:val="24"/>
            <w:szCs w:val="24"/>
          </w:rPr>
          <w:fldChar w:fldCharType="end"/>
        </w:r>
      </w:hyperlink>
    </w:p>
    <w:p w14:paraId="6D3DC6F3" w14:textId="464EA761" w:rsidR="00803030" w:rsidRPr="00803030" w:rsidRDefault="0013573F">
      <w:pPr>
        <w:pStyle w:val="TOC1"/>
        <w:rPr>
          <w:rFonts w:asciiTheme="minorHAnsi" w:eastAsiaTheme="minorEastAsia" w:hAnsiTheme="minorHAnsi" w:cstheme="minorBidi"/>
          <w:sz w:val="24"/>
          <w:szCs w:val="24"/>
        </w:rPr>
      </w:pPr>
      <w:hyperlink w:anchor="_Toc488046253" w:history="1">
        <w:r w:rsidR="00803030" w:rsidRPr="00803030">
          <w:rPr>
            <w:rStyle w:val="Hyperlink"/>
            <w:sz w:val="24"/>
            <w:szCs w:val="24"/>
          </w:rPr>
          <w:t>III.</w:t>
        </w:r>
        <w:r w:rsidR="00803030" w:rsidRPr="00803030">
          <w:rPr>
            <w:rFonts w:asciiTheme="minorHAnsi" w:eastAsiaTheme="minorEastAsia" w:hAnsiTheme="minorHAnsi" w:cstheme="minorBidi"/>
            <w:sz w:val="24"/>
            <w:szCs w:val="24"/>
          </w:rPr>
          <w:tab/>
        </w:r>
        <w:r w:rsidR="00803030" w:rsidRPr="00803030">
          <w:rPr>
            <w:rStyle w:val="Hyperlink"/>
            <w:sz w:val="24"/>
            <w:szCs w:val="24"/>
          </w:rPr>
          <w:t>Discharge Prohibitions</w:t>
        </w:r>
        <w:r w:rsidR="00803030" w:rsidRPr="00803030">
          <w:rPr>
            <w:webHidden/>
            <w:sz w:val="24"/>
            <w:szCs w:val="24"/>
          </w:rPr>
          <w:tab/>
        </w:r>
        <w:r w:rsidR="00803030" w:rsidRPr="00803030">
          <w:rPr>
            <w:webHidden/>
            <w:sz w:val="24"/>
            <w:szCs w:val="24"/>
          </w:rPr>
          <w:fldChar w:fldCharType="begin"/>
        </w:r>
        <w:r w:rsidR="00803030" w:rsidRPr="00803030">
          <w:rPr>
            <w:webHidden/>
            <w:sz w:val="24"/>
            <w:szCs w:val="24"/>
          </w:rPr>
          <w:instrText xml:space="preserve"> PAGEREF _Toc488046253 \h </w:instrText>
        </w:r>
        <w:r w:rsidR="00803030" w:rsidRPr="00803030">
          <w:rPr>
            <w:webHidden/>
            <w:sz w:val="24"/>
            <w:szCs w:val="24"/>
          </w:rPr>
        </w:r>
        <w:r w:rsidR="00803030" w:rsidRPr="00803030">
          <w:rPr>
            <w:webHidden/>
            <w:sz w:val="24"/>
            <w:szCs w:val="24"/>
          </w:rPr>
          <w:fldChar w:fldCharType="separate"/>
        </w:r>
        <w:r w:rsidR="000018F2">
          <w:rPr>
            <w:webHidden/>
            <w:sz w:val="24"/>
            <w:szCs w:val="24"/>
          </w:rPr>
          <w:t>8</w:t>
        </w:r>
        <w:r w:rsidR="00803030" w:rsidRPr="00803030">
          <w:rPr>
            <w:webHidden/>
            <w:sz w:val="24"/>
            <w:szCs w:val="24"/>
          </w:rPr>
          <w:fldChar w:fldCharType="end"/>
        </w:r>
      </w:hyperlink>
    </w:p>
    <w:p w14:paraId="76063902" w14:textId="45CBAC64" w:rsidR="00803030" w:rsidRPr="00803030" w:rsidRDefault="0013573F">
      <w:pPr>
        <w:pStyle w:val="TOC1"/>
        <w:rPr>
          <w:rFonts w:asciiTheme="minorHAnsi" w:eastAsiaTheme="minorEastAsia" w:hAnsiTheme="minorHAnsi" w:cstheme="minorBidi"/>
          <w:sz w:val="24"/>
          <w:szCs w:val="24"/>
        </w:rPr>
      </w:pPr>
      <w:hyperlink w:anchor="_Toc488046254" w:history="1">
        <w:r w:rsidR="00803030" w:rsidRPr="00803030">
          <w:rPr>
            <w:rStyle w:val="Hyperlink"/>
            <w:sz w:val="24"/>
            <w:szCs w:val="24"/>
          </w:rPr>
          <w:t>IV.</w:t>
        </w:r>
        <w:r w:rsidR="00803030" w:rsidRPr="00803030">
          <w:rPr>
            <w:rFonts w:asciiTheme="minorHAnsi" w:eastAsiaTheme="minorEastAsia" w:hAnsiTheme="minorHAnsi" w:cstheme="minorBidi"/>
            <w:sz w:val="24"/>
            <w:szCs w:val="24"/>
          </w:rPr>
          <w:tab/>
        </w:r>
        <w:r w:rsidR="00803030" w:rsidRPr="00803030">
          <w:rPr>
            <w:rStyle w:val="Hyperlink"/>
            <w:sz w:val="24"/>
            <w:szCs w:val="24"/>
          </w:rPr>
          <w:t>Effluent Limitations and Discharge Specifications</w:t>
        </w:r>
        <w:r w:rsidR="00803030" w:rsidRPr="00803030">
          <w:rPr>
            <w:webHidden/>
            <w:sz w:val="24"/>
            <w:szCs w:val="24"/>
          </w:rPr>
          <w:tab/>
        </w:r>
        <w:r w:rsidR="00803030" w:rsidRPr="00803030">
          <w:rPr>
            <w:webHidden/>
            <w:sz w:val="24"/>
            <w:szCs w:val="24"/>
          </w:rPr>
          <w:fldChar w:fldCharType="begin"/>
        </w:r>
        <w:r w:rsidR="00803030" w:rsidRPr="00803030">
          <w:rPr>
            <w:webHidden/>
            <w:sz w:val="24"/>
            <w:szCs w:val="24"/>
          </w:rPr>
          <w:instrText xml:space="preserve"> PAGEREF _Toc488046254 \h </w:instrText>
        </w:r>
        <w:r w:rsidR="00803030" w:rsidRPr="00803030">
          <w:rPr>
            <w:webHidden/>
            <w:sz w:val="24"/>
            <w:szCs w:val="24"/>
          </w:rPr>
        </w:r>
        <w:r w:rsidR="00803030" w:rsidRPr="00803030">
          <w:rPr>
            <w:webHidden/>
            <w:sz w:val="24"/>
            <w:szCs w:val="24"/>
          </w:rPr>
          <w:fldChar w:fldCharType="separate"/>
        </w:r>
        <w:r w:rsidR="000018F2">
          <w:rPr>
            <w:webHidden/>
            <w:sz w:val="24"/>
            <w:szCs w:val="24"/>
          </w:rPr>
          <w:t>9</w:t>
        </w:r>
        <w:r w:rsidR="00803030" w:rsidRPr="00803030">
          <w:rPr>
            <w:webHidden/>
            <w:sz w:val="24"/>
            <w:szCs w:val="24"/>
          </w:rPr>
          <w:fldChar w:fldCharType="end"/>
        </w:r>
      </w:hyperlink>
    </w:p>
    <w:p w14:paraId="67C5EEBF" w14:textId="4E77D99F" w:rsidR="00803030" w:rsidRPr="00803030" w:rsidRDefault="0013573F">
      <w:pPr>
        <w:pStyle w:val="TOC1"/>
        <w:rPr>
          <w:rFonts w:asciiTheme="minorHAnsi" w:eastAsiaTheme="minorEastAsia" w:hAnsiTheme="minorHAnsi" w:cstheme="minorBidi"/>
          <w:sz w:val="24"/>
          <w:szCs w:val="24"/>
        </w:rPr>
      </w:pPr>
      <w:hyperlink w:anchor="_Toc488046255" w:history="1">
        <w:r w:rsidR="00803030" w:rsidRPr="00803030">
          <w:rPr>
            <w:rStyle w:val="Hyperlink"/>
            <w:sz w:val="24"/>
            <w:szCs w:val="24"/>
          </w:rPr>
          <w:t>V.</w:t>
        </w:r>
        <w:r w:rsidR="00803030" w:rsidRPr="00803030">
          <w:rPr>
            <w:rFonts w:asciiTheme="minorHAnsi" w:eastAsiaTheme="minorEastAsia" w:hAnsiTheme="minorHAnsi" w:cstheme="minorBidi"/>
            <w:sz w:val="24"/>
            <w:szCs w:val="24"/>
          </w:rPr>
          <w:tab/>
        </w:r>
        <w:r w:rsidR="00803030" w:rsidRPr="00803030">
          <w:rPr>
            <w:rStyle w:val="Hyperlink"/>
            <w:sz w:val="24"/>
            <w:szCs w:val="24"/>
          </w:rPr>
          <w:t>Receiving Water Limitations</w:t>
        </w:r>
        <w:r w:rsidR="00803030" w:rsidRPr="00803030">
          <w:rPr>
            <w:webHidden/>
            <w:sz w:val="24"/>
            <w:szCs w:val="24"/>
          </w:rPr>
          <w:tab/>
        </w:r>
        <w:r w:rsidR="00803030" w:rsidRPr="00803030">
          <w:rPr>
            <w:webHidden/>
            <w:sz w:val="24"/>
            <w:szCs w:val="24"/>
          </w:rPr>
          <w:fldChar w:fldCharType="begin"/>
        </w:r>
        <w:r w:rsidR="00803030" w:rsidRPr="00803030">
          <w:rPr>
            <w:webHidden/>
            <w:sz w:val="24"/>
            <w:szCs w:val="24"/>
          </w:rPr>
          <w:instrText xml:space="preserve"> PAGEREF _Toc488046255 \h </w:instrText>
        </w:r>
        <w:r w:rsidR="00803030" w:rsidRPr="00803030">
          <w:rPr>
            <w:webHidden/>
            <w:sz w:val="24"/>
            <w:szCs w:val="24"/>
          </w:rPr>
        </w:r>
        <w:r w:rsidR="00803030" w:rsidRPr="00803030">
          <w:rPr>
            <w:webHidden/>
            <w:sz w:val="24"/>
            <w:szCs w:val="24"/>
          </w:rPr>
          <w:fldChar w:fldCharType="separate"/>
        </w:r>
        <w:r w:rsidR="000018F2">
          <w:rPr>
            <w:webHidden/>
            <w:sz w:val="24"/>
            <w:szCs w:val="24"/>
          </w:rPr>
          <w:t>14</w:t>
        </w:r>
        <w:r w:rsidR="00803030" w:rsidRPr="00803030">
          <w:rPr>
            <w:webHidden/>
            <w:sz w:val="24"/>
            <w:szCs w:val="24"/>
          </w:rPr>
          <w:fldChar w:fldCharType="end"/>
        </w:r>
      </w:hyperlink>
    </w:p>
    <w:p w14:paraId="2F64FA51" w14:textId="6B1BC27E" w:rsidR="00803030" w:rsidRPr="00803030" w:rsidRDefault="0013573F">
      <w:pPr>
        <w:pStyle w:val="TOC1"/>
        <w:rPr>
          <w:rFonts w:asciiTheme="minorHAnsi" w:eastAsiaTheme="minorEastAsia" w:hAnsiTheme="minorHAnsi" w:cstheme="minorBidi"/>
          <w:sz w:val="24"/>
          <w:szCs w:val="24"/>
        </w:rPr>
      </w:pPr>
      <w:hyperlink w:anchor="_Toc488046256" w:history="1">
        <w:r w:rsidR="00803030" w:rsidRPr="00803030">
          <w:rPr>
            <w:rStyle w:val="Hyperlink"/>
            <w:sz w:val="24"/>
            <w:szCs w:val="24"/>
          </w:rPr>
          <w:t>VI.</w:t>
        </w:r>
        <w:r w:rsidR="00803030" w:rsidRPr="00803030">
          <w:rPr>
            <w:rFonts w:asciiTheme="minorHAnsi" w:eastAsiaTheme="minorEastAsia" w:hAnsiTheme="minorHAnsi" w:cstheme="minorBidi"/>
            <w:sz w:val="24"/>
            <w:szCs w:val="24"/>
          </w:rPr>
          <w:tab/>
        </w:r>
        <w:r w:rsidR="00803030" w:rsidRPr="00803030">
          <w:rPr>
            <w:rStyle w:val="Hyperlink"/>
            <w:sz w:val="24"/>
            <w:szCs w:val="24"/>
          </w:rPr>
          <w:t>Provisions</w:t>
        </w:r>
        <w:r w:rsidR="00803030" w:rsidRPr="00803030">
          <w:rPr>
            <w:webHidden/>
            <w:sz w:val="24"/>
            <w:szCs w:val="24"/>
          </w:rPr>
          <w:tab/>
        </w:r>
        <w:r w:rsidR="00803030" w:rsidRPr="00803030">
          <w:rPr>
            <w:webHidden/>
            <w:sz w:val="24"/>
            <w:szCs w:val="24"/>
          </w:rPr>
          <w:fldChar w:fldCharType="begin"/>
        </w:r>
        <w:r w:rsidR="00803030" w:rsidRPr="00803030">
          <w:rPr>
            <w:webHidden/>
            <w:sz w:val="24"/>
            <w:szCs w:val="24"/>
          </w:rPr>
          <w:instrText xml:space="preserve"> PAGEREF _Toc488046256 \h </w:instrText>
        </w:r>
        <w:r w:rsidR="00803030" w:rsidRPr="00803030">
          <w:rPr>
            <w:webHidden/>
            <w:sz w:val="24"/>
            <w:szCs w:val="24"/>
          </w:rPr>
        </w:r>
        <w:r w:rsidR="00803030" w:rsidRPr="00803030">
          <w:rPr>
            <w:webHidden/>
            <w:sz w:val="24"/>
            <w:szCs w:val="24"/>
          </w:rPr>
          <w:fldChar w:fldCharType="separate"/>
        </w:r>
        <w:r w:rsidR="000018F2">
          <w:rPr>
            <w:webHidden/>
            <w:sz w:val="24"/>
            <w:szCs w:val="24"/>
          </w:rPr>
          <w:t>14</w:t>
        </w:r>
        <w:r w:rsidR="00803030" w:rsidRPr="00803030">
          <w:rPr>
            <w:webHidden/>
            <w:sz w:val="24"/>
            <w:szCs w:val="24"/>
          </w:rPr>
          <w:fldChar w:fldCharType="end"/>
        </w:r>
      </w:hyperlink>
    </w:p>
    <w:p w14:paraId="4FE3C29A" w14:textId="0058B7FF" w:rsidR="00803030" w:rsidRPr="00803030" w:rsidRDefault="0013573F">
      <w:pPr>
        <w:pStyle w:val="TOC2"/>
        <w:rPr>
          <w:rFonts w:asciiTheme="minorHAnsi" w:eastAsiaTheme="minorEastAsia" w:hAnsiTheme="minorHAnsi" w:cstheme="minorBidi"/>
          <w:sz w:val="24"/>
        </w:rPr>
      </w:pPr>
      <w:hyperlink w:anchor="_Toc488046257" w:history="1">
        <w:r w:rsidR="00803030" w:rsidRPr="00803030">
          <w:rPr>
            <w:rStyle w:val="Hyperlink"/>
            <w:sz w:val="24"/>
          </w:rPr>
          <w:t>A.</w:t>
        </w:r>
        <w:r w:rsidR="00803030" w:rsidRPr="00803030">
          <w:rPr>
            <w:rFonts w:asciiTheme="minorHAnsi" w:eastAsiaTheme="minorEastAsia" w:hAnsiTheme="minorHAnsi" w:cstheme="minorBidi"/>
            <w:sz w:val="24"/>
          </w:rPr>
          <w:tab/>
        </w:r>
        <w:r w:rsidR="00803030" w:rsidRPr="00803030">
          <w:rPr>
            <w:rStyle w:val="Hyperlink"/>
            <w:sz w:val="24"/>
          </w:rPr>
          <w:t>Standard Provisions</w:t>
        </w:r>
        <w:r w:rsidR="00803030" w:rsidRPr="00803030">
          <w:rPr>
            <w:webHidden/>
            <w:sz w:val="24"/>
          </w:rPr>
          <w:tab/>
        </w:r>
        <w:r w:rsidR="00803030" w:rsidRPr="00803030">
          <w:rPr>
            <w:webHidden/>
            <w:sz w:val="24"/>
          </w:rPr>
          <w:fldChar w:fldCharType="begin"/>
        </w:r>
        <w:r w:rsidR="00803030" w:rsidRPr="00803030">
          <w:rPr>
            <w:webHidden/>
            <w:sz w:val="24"/>
          </w:rPr>
          <w:instrText xml:space="preserve"> PAGEREF _Toc488046257 \h </w:instrText>
        </w:r>
        <w:r w:rsidR="00803030" w:rsidRPr="00803030">
          <w:rPr>
            <w:webHidden/>
            <w:sz w:val="24"/>
          </w:rPr>
        </w:r>
        <w:r w:rsidR="00803030" w:rsidRPr="00803030">
          <w:rPr>
            <w:webHidden/>
            <w:sz w:val="24"/>
          </w:rPr>
          <w:fldChar w:fldCharType="separate"/>
        </w:r>
        <w:r w:rsidR="000018F2">
          <w:rPr>
            <w:webHidden/>
            <w:sz w:val="24"/>
          </w:rPr>
          <w:t>14</w:t>
        </w:r>
        <w:r w:rsidR="00803030" w:rsidRPr="00803030">
          <w:rPr>
            <w:webHidden/>
            <w:sz w:val="24"/>
          </w:rPr>
          <w:fldChar w:fldCharType="end"/>
        </w:r>
      </w:hyperlink>
    </w:p>
    <w:p w14:paraId="6FAD6B3A" w14:textId="34464FB3" w:rsidR="00803030" w:rsidRPr="00803030" w:rsidRDefault="0013573F">
      <w:pPr>
        <w:pStyle w:val="TOC2"/>
        <w:rPr>
          <w:rFonts w:asciiTheme="minorHAnsi" w:eastAsiaTheme="minorEastAsia" w:hAnsiTheme="minorHAnsi" w:cstheme="minorBidi"/>
          <w:sz w:val="24"/>
        </w:rPr>
      </w:pPr>
      <w:hyperlink w:anchor="_Toc488046258" w:history="1">
        <w:r w:rsidR="00803030" w:rsidRPr="00803030">
          <w:rPr>
            <w:rStyle w:val="Hyperlink"/>
            <w:sz w:val="24"/>
          </w:rPr>
          <w:t>B.</w:t>
        </w:r>
        <w:r w:rsidR="00803030" w:rsidRPr="00803030">
          <w:rPr>
            <w:rFonts w:asciiTheme="minorHAnsi" w:eastAsiaTheme="minorEastAsia" w:hAnsiTheme="minorHAnsi" w:cstheme="minorBidi"/>
            <w:sz w:val="24"/>
          </w:rPr>
          <w:tab/>
        </w:r>
        <w:r w:rsidR="00803030" w:rsidRPr="00803030">
          <w:rPr>
            <w:rStyle w:val="Hyperlink"/>
            <w:sz w:val="24"/>
          </w:rPr>
          <w:t>Monitoring and Reporting</w:t>
        </w:r>
        <w:r w:rsidR="00803030" w:rsidRPr="00803030">
          <w:rPr>
            <w:webHidden/>
            <w:sz w:val="24"/>
          </w:rPr>
          <w:tab/>
        </w:r>
        <w:r w:rsidR="00803030" w:rsidRPr="00803030">
          <w:rPr>
            <w:webHidden/>
            <w:sz w:val="24"/>
          </w:rPr>
          <w:fldChar w:fldCharType="begin"/>
        </w:r>
        <w:r w:rsidR="00803030" w:rsidRPr="00803030">
          <w:rPr>
            <w:webHidden/>
            <w:sz w:val="24"/>
          </w:rPr>
          <w:instrText xml:space="preserve"> PAGEREF _Toc488046258 \h </w:instrText>
        </w:r>
        <w:r w:rsidR="00803030" w:rsidRPr="00803030">
          <w:rPr>
            <w:webHidden/>
            <w:sz w:val="24"/>
          </w:rPr>
        </w:r>
        <w:r w:rsidR="00803030" w:rsidRPr="00803030">
          <w:rPr>
            <w:webHidden/>
            <w:sz w:val="24"/>
          </w:rPr>
          <w:fldChar w:fldCharType="separate"/>
        </w:r>
        <w:r w:rsidR="000018F2">
          <w:rPr>
            <w:webHidden/>
            <w:sz w:val="24"/>
          </w:rPr>
          <w:t>15</w:t>
        </w:r>
        <w:r w:rsidR="00803030" w:rsidRPr="00803030">
          <w:rPr>
            <w:webHidden/>
            <w:sz w:val="24"/>
          </w:rPr>
          <w:fldChar w:fldCharType="end"/>
        </w:r>
      </w:hyperlink>
    </w:p>
    <w:p w14:paraId="6AF795BD" w14:textId="233522E6" w:rsidR="00803030" w:rsidRPr="00803030" w:rsidRDefault="0013573F">
      <w:pPr>
        <w:pStyle w:val="TOC2"/>
        <w:rPr>
          <w:rFonts w:asciiTheme="minorHAnsi" w:eastAsiaTheme="minorEastAsia" w:hAnsiTheme="minorHAnsi" w:cstheme="minorBidi"/>
          <w:sz w:val="24"/>
        </w:rPr>
      </w:pPr>
      <w:hyperlink w:anchor="_Toc488046259" w:history="1">
        <w:r w:rsidR="00803030" w:rsidRPr="00803030">
          <w:rPr>
            <w:rStyle w:val="Hyperlink"/>
            <w:sz w:val="24"/>
          </w:rPr>
          <w:t>C.</w:t>
        </w:r>
        <w:r w:rsidR="00803030" w:rsidRPr="00803030">
          <w:rPr>
            <w:rFonts w:asciiTheme="minorHAnsi" w:eastAsiaTheme="minorEastAsia" w:hAnsiTheme="minorHAnsi" w:cstheme="minorBidi"/>
            <w:sz w:val="24"/>
          </w:rPr>
          <w:tab/>
        </w:r>
        <w:r w:rsidR="00803030" w:rsidRPr="00803030">
          <w:rPr>
            <w:rStyle w:val="Hyperlink"/>
            <w:sz w:val="24"/>
          </w:rPr>
          <w:t>Special Provisions</w:t>
        </w:r>
        <w:r w:rsidR="00803030" w:rsidRPr="00803030">
          <w:rPr>
            <w:webHidden/>
            <w:sz w:val="24"/>
          </w:rPr>
          <w:tab/>
        </w:r>
        <w:r w:rsidR="00803030" w:rsidRPr="00803030">
          <w:rPr>
            <w:webHidden/>
            <w:sz w:val="24"/>
          </w:rPr>
          <w:fldChar w:fldCharType="begin"/>
        </w:r>
        <w:r w:rsidR="00803030" w:rsidRPr="00803030">
          <w:rPr>
            <w:webHidden/>
            <w:sz w:val="24"/>
          </w:rPr>
          <w:instrText xml:space="preserve"> PAGEREF _Toc488046259 \h </w:instrText>
        </w:r>
        <w:r w:rsidR="00803030" w:rsidRPr="00803030">
          <w:rPr>
            <w:webHidden/>
            <w:sz w:val="24"/>
          </w:rPr>
        </w:r>
        <w:r w:rsidR="00803030" w:rsidRPr="00803030">
          <w:rPr>
            <w:webHidden/>
            <w:sz w:val="24"/>
          </w:rPr>
          <w:fldChar w:fldCharType="separate"/>
        </w:r>
        <w:r w:rsidR="000018F2">
          <w:rPr>
            <w:webHidden/>
            <w:sz w:val="24"/>
          </w:rPr>
          <w:t>15</w:t>
        </w:r>
        <w:r w:rsidR="00803030" w:rsidRPr="00803030">
          <w:rPr>
            <w:webHidden/>
            <w:sz w:val="24"/>
          </w:rPr>
          <w:fldChar w:fldCharType="end"/>
        </w:r>
      </w:hyperlink>
    </w:p>
    <w:p w14:paraId="373875A9" w14:textId="32C86B68" w:rsidR="00803030" w:rsidRPr="00803030" w:rsidRDefault="0013573F">
      <w:pPr>
        <w:pStyle w:val="TOC3"/>
        <w:rPr>
          <w:rFonts w:asciiTheme="minorHAnsi" w:eastAsiaTheme="minorEastAsia" w:hAnsiTheme="minorHAnsi" w:cstheme="minorBidi"/>
          <w:sz w:val="24"/>
        </w:rPr>
      </w:pPr>
      <w:hyperlink w:anchor="_Toc488046260" w:history="1">
        <w:r w:rsidR="00803030" w:rsidRPr="00803030">
          <w:rPr>
            <w:rStyle w:val="Hyperlink"/>
            <w:sz w:val="24"/>
          </w:rPr>
          <w:t>1.</w:t>
        </w:r>
        <w:r w:rsidR="00803030" w:rsidRPr="00803030">
          <w:rPr>
            <w:rFonts w:asciiTheme="minorHAnsi" w:eastAsiaTheme="minorEastAsia" w:hAnsiTheme="minorHAnsi" w:cstheme="minorBidi"/>
            <w:sz w:val="24"/>
          </w:rPr>
          <w:tab/>
        </w:r>
        <w:r w:rsidR="00803030" w:rsidRPr="00803030">
          <w:rPr>
            <w:rStyle w:val="Hyperlink"/>
            <w:sz w:val="24"/>
          </w:rPr>
          <w:t>Reopener Provisions</w:t>
        </w:r>
        <w:r w:rsidR="00803030" w:rsidRPr="00803030">
          <w:rPr>
            <w:webHidden/>
            <w:sz w:val="24"/>
          </w:rPr>
          <w:tab/>
        </w:r>
        <w:r w:rsidR="00803030" w:rsidRPr="00803030">
          <w:rPr>
            <w:webHidden/>
            <w:sz w:val="24"/>
          </w:rPr>
          <w:fldChar w:fldCharType="begin"/>
        </w:r>
        <w:r w:rsidR="00803030" w:rsidRPr="00803030">
          <w:rPr>
            <w:webHidden/>
            <w:sz w:val="24"/>
          </w:rPr>
          <w:instrText xml:space="preserve"> PAGEREF _Toc488046260 \h </w:instrText>
        </w:r>
        <w:r w:rsidR="00803030" w:rsidRPr="00803030">
          <w:rPr>
            <w:webHidden/>
            <w:sz w:val="24"/>
          </w:rPr>
        </w:r>
        <w:r w:rsidR="00803030" w:rsidRPr="00803030">
          <w:rPr>
            <w:webHidden/>
            <w:sz w:val="24"/>
          </w:rPr>
          <w:fldChar w:fldCharType="separate"/>
        </w:r>
        <w:r w:rsidR="000018F2">
          <w:rPr>
            <w:webHidden/>
            <w:sz w:val="24"/>
          </w:rPr>
          <w:t>15</w:t>
        </w:r>
        <w:r w:rsidR="00803030" w:rsidRPr="00803030">
          <w:rPr>
            <w:webHidden/>
            <w:sz w:val="24"/>
          </w:rPr>
          <w:fldChar w:fldCharType="end"/>
        </w:r>
      </w:hyperlink>
    </w:p>
    <w:p w14:paraId="0C06B3EE" w14:textId="4D51B19C" w:rsidR="00803030" w:rsidRPr="00803030" w:rsidRDefault="0013573F">
      <w:pPr>
        <w:pStyle w:val="TOC3"/>
        <w:rPr>
          <w:rFonts w:asciiTheme="minorHAnsi" w:eastAsiaTheme="minorEastAsia" w:hAnsiTheme="minorHAnsi" w:cstheme="minorBidi"/>
          <w:sz w:val="24"/>
        </w:rPr>
      </w:pPr>
      <w:hyperlink w:anchor="_Toc488046261" w:history="1">
        <w:r w:rsidR="00803030" w:rsidRPr="00803030">
          <w:rPr>
            <w:rStyle w:val="Hyperlink"/>
            <w:sz w:val="24"/>
          </w:rPr>
          <w:t>2.</w:t>
        </w:r>
        <w:r w:rsidR="00803030" w:rsidRPr="00803030">
          <w:rPr>
            <w:rFonts w:asciiTheme="minorHAnsi" w:eastAsiaTheme="minorEastAsia" w:hAnsiTheme="minorHAnsi" w:cstheme="minorBidi"/>
            <w:sz w:val="24"/>
          </w:rPr>
          <w:tab/>
        </w:r>
        <w:r w:rsidR="00803030" w:rsidRPr="00803030">
          <w:rPr>
            <w:rStyle w:val="Hyperlink"/>
            <w:sz w:val="24"/>
          </w:rPr>
          <w:t>Triggers for Additional Mercury Control</w:t>
        </w:r>
        <w:r w:rsidR="00803030" w:rsidRPr="00803030">
          <w:rPr>
            <w:webHidden/>
            <w:sz w:val="24"/>
          </w:rPr>
          <w:tab/>
        </w:r>
        <w:r w:rsidR="00803030" w:rsidRPr="00803030">
          <w:rPr>
            <w:webHidden/>
            <w:sz w:val="24"/>
          </w:rPr>
          <w:fldChar w:fldCharType="begin"/>
        </w:r>
        <w:r w:rsidR="00803030" w:rsidRPr="00803030">
          <w:rPr>
            <w:webHidden/>
            <w:sz w:val="24"/>
          </w:rPr>
          <w:instrText xml:space="preserve"> PAGEREF _Toc488046261 \h </w:instrText>
        </w:r>
        <w:r w:rsidR="00803030" w:rsidRPr="00803030">
          <w:rPr>
            <w:webHidden/>
            <w:sz w:val="24"/>
          </w:rPr>
        </w:r>
        <w:r w:rsidR="00803030" w:rsidRPr="00803030">
          <w:rPr>
            <w:webHidden/>
            <w:sz w:val="24"/>
          </w:rPr>
          <w:fldChar w:fldCharType="separate"/>
        </w:r>
        <w:r w:rsidR="000018F2">
          <w:rPr>
            <w:webHidden/>
            <w:sz w:val="24"/>
          </w:rPr>
          <w:t>15</w:t>
        </w:r>
        <w:r w:rsidR="00803030" w:rsidRPr="00803030">
          <w:rPr>
            <w:webHidden/>
            <w:sz w:val="24"/>
          </w:rPr>
          <w:fldChar w:fldCharType="end"/>
        </w:r>
      </w:hyperlink>
    </w:p>
    <w:p w14:paraId="78317BA3" w14:textId="4D29A495" w:rsidR="00803030" w:rsidRPr="00803030" w:rsidRDefault="0013573F">
      <w:pPr>
        <w:pStyle w:val="TOC3"/>
        <w:rPr>
          <w:rFonts w:asciiTheme="minorHAnsi" w:eastAsiaTheme="minorEastAsia" w:hAnsiTheme="minorHAnsi" w:cstheme="minorBidi"/>
          <w:sz w:val="24"/>
        </w:rPr>
      </w:pPr>
      <w:hyperlink w:anchor="_Toc488046262" w:history="1">
        <w:r w:rsidR="00803030" w:rsidRPr="00803030">
          <w:rPr>
            <w:rStyle w:val="Hyperlink"/>
            <w:bCs/>
            <w:sz w:val="24"/>
          </w:rPr>
          <w:t>3.</w:t>
        </w:r>
        <w:r w:rsidR="00803030" w:rsidRPr="00803030">
          <w:rPr>
            <w:rFonts w:asciiTheme="minorHAnsi" w:eastAsiaTheme="minorEastAsia" w:hAnsiTheme="minorHAnsi" w:cstheme="minorBidi"/>
            <w:sz w:val="24"/>
          </w:rPr>
          <w:tab/>
        </w:r>
        <w:r w:rsidR="00803030" w:rsidRPr="00803030">
          <w:rPr>
            <w:rStyle w:val="Hyperlink"/>
            <w:bCs/>
            <w:sz w:val="24"/>
          </w:rPr>
          <w:t>Mercury and PCBs Source Control Program</w:t>
        </w:r>
        <w:r w:rsidR="00803030" w:rsidRPr="00803030">
          <w:rPr>
            <w:webHidden/>
            <w:sz w:val="24"/>
          </w:rPr>
          <w:tab/>
        </w:r>
        <w:r w:rsidR="00803030" w:rsidRPr="00803030">
          <w:rPr>
            <w:webHidden/>
            <w:sz w:val="24"/>
          </w:rPr>
          <w:fldChar w:fldCharType="begin"/>
        </w:r>
        <w:r w:rsidR="00803030" w:rsidRPr="00803030">
          <w:rPr>
            <w:webHidden/>
            <w:sz w:val="24"/>
          </w:rPr>
          <w:instrText xml:space="preserve"> PAGEREF _Toc488046262 \h </w:instrText>
        </w:r>
        <w:r w:rsidR="00803030" w:rsidRPr="00803030">
          <w:rPr>
            <w:webHidden/>
            <w:sz w:val="24"/>
          </w:rPr>
        </w:r>
        <w:r w:rsidR="00803030" w:rsidRPr="00803030">
          <w:rPr>
            <w:webHidden/>
            <w:sz w:val="24"/>
          </w:rPr>
          <w:fldChar w:fldCharType="separate"/>
        </w:r>
        <w:r w:rsidR="000018F2">
          <w:rPr>
            <w:webHidden/>
            <w:sz w:val="24"/>
          </w:rPr>
          <w:t>17</w:t>
        </w:r>
        <w:r w:rsidR="00803030" w:rsidRPr="00803030">
          <w:rPr>
            <w:webHidden/>
            <w:sz w:val="24"/>
          </w:rPr>
          <w:fldChar w:fldCharType="end"/>
        </w:r>
      </w:hyperlink>
    </w:p>
    <w:p w14:paraId="1D6115AD" w14:textId="0AF25045" w:rsidR="00803030" w:rsidRPr="00803030" w:rsidRDefault="0013573F">
      <w:pPr>
        <w:pStyle w:val="TOC3"/>
        <w:rPr>
          <w:rFonts w:asciiTheme="minorHAnsi" w:eastAsiaTheme="minorEastAsia" w:hAnsiTheme="minorHAnsi" w:cstheme="minorBidi"/>
          <w:sz w:val="24"/>
        </w:rPr>
      </w:pPr>
      <w:hyperlink w:anchor="_Toc488046263" w:history="1">
        <w:r w:rsidR="00803030" w:rsidRPr="00803030">
          <w:rPr>
            <w:rStyle w:val="Hyperlink"/>
            <w:sz w:val="24"/>
          </w:rPr>
          <w:t>4.</w:t>
        </w:r>
        <w:r w:rsidR="00803030" w:rsidRPr="00803030">
          <w:rPr>
            <w:rFonts w:asciiTheme="minorHAnsi" w:eastAsiaTheme="minorEastAsia" w:hAnsiTheme="minorHAnsi" w:cstheme="minorBidi"/>
            <w:sz w:val="24"/>
          </w:rPr>
          <w:tab/>
        </w:r>
        <w:r w:rsidR="00803030" w:rsidRPr="00803030">
          <w:rPr>
            <w:rStyle w:val="Hyperlink"/>
            <w:sz w:val="24"/>
          </w:rPr>
          <w:t>Risk Reduction Programs</w:t>
        </w:r>
        <w:r w:rsidR="00803030" w:rsidRPr="00803030">
          <w:rPr>
            <w:webHidden/>
            <w:sz w:val="24"/>
          </w:rPr>
          <w:tab/>
        </w:r>
        <w:r w:rsidR="00803030" w:rsidRPr="00803030">
          <w:rPr>
            <w:webHidden/>
            <w:sz w:val="24"/>
          </w:rPr>
          <w:fldChar w:fldCharType="begin"/>
        </w:r>
        <w:r w:rsidR="00803030" w:rsidRPr="00803030">
          <w:rPr>
            <w:webHidden/>
            <w:sz w:val="24"/>
          </w:rPr>
          <w:instrText xml:space="preserve"> PAGEREF _Toc488046263 \h </w:instrText>
        </w:r>
        <w:r w:rsidR="00803030" w:rsidRPr="00803030">
          <w:rPr>
            <w:webHidden/>
            <w:sz w:val="24"/>
          </w:rPr>
        </w:r>
        <w:r w:rsidR="00803030" w:rsidRPr="00803030">
          <w:rPr>
            <w:webHidden/>
            <w:sz w:val="24"/>
          </w:rPr>
          <w:fldChar w:fldCharType="separate"/>
        </w:r>
        <w:r w:rsidR="000018F2">
          <w:rPr>
            <w:webHidden/>
            <w:sz w:val="24"/>
          </w:rPr>
          <w:t>17</w:t>
        </w:r>
        <w:r w:rsidR="00803030" w:rsidRPr="00803030">
          <w:rPr>
            <w:webHidden/>
            <w:sz w:val="24"/>
          </w:rPr>
          <w:fldChar w:fldCharType="end"/>
        </w:r>
      </w:hyperlink>
    </w:p>
    <w:p w14:paraId="30895242" w14:textId="58A3EF42" w:rsidR="00803030" w:rsidRPr="00803030" w:rsidRDefault="0013573F">
      <w:pPr>
        <w:pStyle w:val="TOC3"/>
        <w:rPr>
          <w:rFonts w:asciiTheme="minorHAnsi" w:eastAsiaTheme="minorEastAsia" w:hAnsiTheme="minorHAnsi" w:cstheme="minorBidi"/>
          <w:sz w:val="24"/>
        </w:rPr>
      </w:pPr>
      <w:hyperlink w:anchor="_Toc488046264" w:history="1">
        <w:r w:rsidR="00803030" w:rsidRPr="00803030">
          <w:rPr>
            <w:rStyle w:val="Hyperlink"/>
            <w:sz w:val="24"/>
          </w:rPr>
          <w:t>5.</w:t>
        </w:r>
        <w:r w:rsidR="00803030" w:rsidRPr="00803030">
          <w:rPr>
            <w:rFonts w:asciiTheme="minorHAnsi" w:eastAsiaTheme="minorEastAsia" w:hAnsiTheme="minorHAnsi" w:cstheme="minorBidi"/>
            <w:sz w:val="24"/>
          </w:rPr>
          <w:tab/>
        </w:r>
        <w:r w:rsidR="00803030" w:rsidRPr="00803030">
          <w:rPr>
            <w:rStyle w:val="Hyperlink"/>
            <w:sz w:val="24"/>
          </w:rPr>
          <w:t>Mercury and PCBs Discharge Adjustments for Recycled Wastewater Use by Industrial Dischargers</w:t>
        </w:r>
        <w:r w:rsidR="00803030" w:rsidRPr="00803030">
          <w:rPr>
            <w:webHidden/>
            <w:sz w:val="24"/>
          </w:rPr>
          <w:tab/>
        </w:r>
        <w:r w:rsidR="00803030" w:rsidRPr="00803030">
          <w:rPr>
            <w:webHidden/>
            <w:sz w:val="24"/>
          </w:rPr>
          <w:fldChar w:fldCharType="begin"/>
        </w:r>
        <w:r w:rsidR="00803030" w:rsidRPr="00803030">
          <w:rPr>
            <w:webHidden/>
            <w:sz w:val="24"/>
          </w:rPr>
          <w:instrText xml:space="preserve"> PAGEREF _Toc488046264 \h </w:instrText>
        </w:r>
        <w:r w:rsidR="00803030" w:rsidRPr="00803030">
          <w:rPr>
            <w:webHidden/>
            <w:sz w:val="24"/>
          </w:rPr>
        </w:r>
        <w:r w:rsidR="00803030" w:rsidRPr="00803030">
          <w:rPr>
            <w:webHidden/>
            <w:sz w:val="24"/>
          </w:rPr>
          <w:fldChar w:fldCharType="separate"/>
        </w:r>
        <w:r w:rsidR="000018F2">
          <w:rPr>
            <w:webHidden/>
            <w:sz w:val="24"/>
          </w:rPr>
          <w:t>18</w:t>
        </w:r>
        <w:r w:rsidR="00803030" w:rsidRPr="00803030">
          <w:rPr>
            <w:webHidden/>
            <w:sz w:val="24"/>
          </w:rPr>
          <w:fldChar w:fldCharType="end"/>
        </w:r>
      </w:hyperlink>
    </w:p>
    <w:p w14:paraId="1F258199" w14:textId="327265FD" w:rsidR="00803030" w:rsidRPr="00803030" w:rsidRDefault="0013573F">
      <w:pPr>
        <w:pStyle w:val="TOC3"/>
        <w:rPr>
          <w:rFonts w:asciiTheme="minorHAnsi" w:eastAsiaTheme="minorEastAsia" w:hAnsiTheme="minorHAnsi" w:cstheme="minorBidi"/>
          <w:sz w:val="24"/>
        </w:rPr>
      </w:pPr>
      <w:hyperlink w:anchor="_Toc488046265" w:history="1">
        <w:r w:rsidR="00803030" w:rsidRPr="00803030">
          <w:rPr>
            <w:rStyle w:val="Hyperlink"/>
            <w:sz w:val="24"/>
          </w:rPr>
          <w:t>6.</w:t>
        </w:r>
        <w:r w:rsidR="00803030" w:rsidRPr="00803030">
          <w:rPr>
            <w:rFonts w:asciiTheme="minorHAnsi" w:eastAsiaTheme="minorEastAsia" w:hAnsiTheme="minorHAnsi" w:cstheme="minorBidi"/>
            <w:sz w:val="24"/>
          </w:rPr>
          <w:tab/>
        </w:r>
        <w:r w:rsidR="00803030" w:rsidRPr="00803030">
          <w:rPr>
            <w:rStyle w:val="Hyperlink"/>
            <w:sz w:val="24"/>
          </w:rPr>
          <w:t>PCBs Discharge Adjustment for Urban Stormwater Treatment by Municipal Dischargers</w:t>
        </w:r>
        <w:r w:rsidR="00803030" w:rsidRPr="00803030">
          <w:rPr>
            <w:webHidden/>
            <w:sz w:val="24"/>
          </w:rPr>
          <w:tab/>
        </w:r>
        <w:r w:rsidR="00803030" w:rsidRPr="00803030">
          <w:rPr>
            <w:webHidden/>
            <w:sz w:val="24"/>
          </w:rPr>
          <w:fldChar w:fldCharType="begin"/>
        </w:r>
        <w:r w:rsidR="00803030" w:rsidRPr="00803030">
          <w:rPr>
            <w:webHidden/>
            <w:sz w:val="24"/>
          </w:rPr>
          <w:instrText xml:space="preserve"> PAGEREF _Toc488046265 \h </w:instrText>
        </w:r>
        <w:r w:rsidR="00803030" w:rsidRPr="00803030">
          <w:rPr>
            <w:webHidden/>
            <w:sz w:val="24"/>
          </w:rPr>
        </w:r>
        <w:r w:rsidR="00803030" w:rsidRPr="00803030">
          <w:rPr>
            <w:webHidden/>
            <w:sz w:val="24"/>
          </w:rPr>
          <w:fldChar w:fldCharType="separate"/>
        </w:r>
        <w:r w:rsidR="000018F2">
          <w:rPr>
            <w:webHidden/>
            <w:sz w:val="24"/>
          </w:rPr>
          <w:t>19</w:t>
        </w:r>
        <w:r w:rsidR="00803030" w:rsidRPr="00803030">
          <w:rPr>
            <w:webHidden/>
            <w:sz w:val="24"/>
          </w:rPr>
          <w:fldChar w:fldCharType="end"/>
        </w:r>
      </w:hyperlink>
    </w:p>
    <w:p w14:paraId="7CE99954" w14:textId="7F028104" w:rsidR="00803030" w:rsidRPr="00803030" w:rsidRDefault="0013573F">
      <w:pPr>
        <w:pStyle w:val="TOC3"/>
        <w:rPr>
          <w:rFonts w:asciiTheme="minorHAnsi" w:eastAsiaTheme="minorEastAsia" w:hAnsiTheme="minorHAnsi" w:cstheme="minorBidi"/>
          <w:sz w:val="24"/>
        </w:rPr>
      </w:pPr>
      <w:hyperlink w:anchor="_Toc488046266" w:history="1">
        <w:r w:rsidR="00803030" w:rsidRPr="00803030">
          <w:rPr>
            <w:rStyle w:val="Hyperlink"/>
            <w:sz w:val="24"/>
          </w:rPr>
          <w:t xml:space="preserve"> </w:t>
        </w:r>
      </w:hyperlink>
    </w:p>
    <w:p w14:paraId="3D976925" w14:textId="3CFCB1E5" w:rsidR="00A27623" w:rsidRPr="002A5B99" w:rsidRDefault="00BD2B3E" w:rsidP="002A2128">
      <w:pPr>
        <w:pStyle w:val="TOC2"/>
        <w:rPr>
          <w:sz w:val="24"/>
        </w:rPr>
      </w:pPr>
      <w:r w:rsidRPr="002A5B99">
        <w:rPr>
          <w:noProof w:val="0"/>
          <w:sz w:val="24"/>
        </w:rPr>
        <w:fldChar w:fldCharType="end"/>
      </w:r>
    </w:p>
    <w:p w14:paraId="74A97DD7" w14:textId="77777777" w:rsidR="00F878D4" w:rsidRPr="002A5B99" w:rsidRDefault="00F878D4" w:rsidP="00FC4FAB">
      <w:pPr>
        <w:pStyle w:val="Title"/>
        <w:tabs>
          <w:tab w:val="right" w:leader="dot" w:pos="10080"/>
        </w:tabs>
        <w:rPr>
          <w:rFonts w:ascii="Times New Roman" w:hAnsi="Times New Roman"/>
          <w:color w:val="000000" w:themeColor="text1"/>
          <w:sz w:val="24"/>
          <w:szCs w:val="24"/>
        </w:rPr>
      </w:pPr>
      <w:r w:rsidRPr="002A5B99">
        <w:rPr>
          <w:rFonts w:ascii="Times New Roman" w:hAnsi="Times New Roman"/>
          <w:color w:val="000000" w:themeColor="text1"/>
          <w:sz w:val="24"/>
          <w:szCs w:val="24"/>
        </w:rPr>
        <w:t>Tables</w:t>
      </w:r>
    </w:p>
    <w:p w14:paraId="1BA85827" w14:textId="183F299C" w:rsidR="009408BA" w:rsidRPr="009408BA" w:rsidRDefault="00BD2B3E">
      <w:pPr>
        <w:pStyle w:val="TableofFigures"/>
        <w:tabs>
          <w:tab w:val="right" w:leader="dot" w:pos="10070"/>
        </w:tabs>
        <w:rPr>
          <w:rFonts w:asciiTheme="minorHAnsi" w:eastAsiaTheme="minorEastAsia" w:hAnsiTheme="minorHAnsi" w:cstheme="minorBidi"/>
          <w:noProof/>
          <w:sz w:val="28"/>
          <w:szCs w:val="22"/>
        </w:rPr>
      </w:pPr>
      <w:r w:rsidRPr="009408BA">
        <w:rPr>
          <w:color w:val="000000" w:themeColor="text1"/>
          <w:sz w:val="32"/>
        </w:rPr>
        <w:fldChar w:fldCharType="begin"/>
      </w:r>
      <w:r w:rsidR="00F878D4" w:rsidRPr="009408BA">
        <w:rPr>
          <w:color w:val="000000" w:themeColor="text1"/>
          <w:sz w:val="32"/>
        </w:rPr>
        <w:instrText xml:space="preserve"> TOC \h \z \t "Table Header1,1" \c "Figure" </w:instrText>
      </w:r>
      <w:r w:rsidRPr="009408BA">
        <w:rPr>
          <w:color w:val="000000" w:themeColor="text1"/>
          <w:sz w:val="32"/>
        </w:rPr>
        <w:fldChar w:fldCharType="separate"/>
      </w:r>
      <w:hyperlink w:anchor="_Toc487382085" w:history="1">
        <w:r w:rsidR="009408BA" w:rsidRPr="009408BA">
          <w:rPr>
            <w:rStyle w:val="Hyperlink"/>
            <w:noProof/>
            <w:sz w:val="24"/>
          </w:rPr>
          <w:t>Table 1A. Municipal Discharger Information</w:t>
        </w:r>
        <w:r w:rsidR="009408BA" w:rsidRPr="009408BA">
          <w:rPr>
            <w:noProof/>
            <w:webHidden/>
            <w:sz w:val="24"/>
          </w:rPr>
          <w:tab/>
        </w:r>
        <w:r w:rsidR="009408BA" w:rsidRPr="009408BA">
          <w:rPr>
            <w:noProof/>
            <w:webHidden/>
            <w:sz w:val="24"/>
          </w:rPr>
          <w:fldChar w:fldCharType="begin"/>
        </w:r>
        <w:r w:rsidR="009408BA" w:rsidRPr="009408BA">
          <w:rPr>
            <w:noProof/>
            <w:webHidden/>
            <w:sz w:val="24"/>
          </w:rPr>
          <w:instrText xml:space="preserve"> PAGEREF _Toc487382085 \h </w:instrText>
        </w:r>
        <w:r w:rsidR="009408BA" w:rsidRPr="009408BA">
          <w:rPr>
            <w:noProof/>
            <w:webHidden/>
            <w:sz w:val="24"/>
          </w:rPr>
        </w:r>
        <w:r w:rsidR="009408BA" w:rsidRPr="009408BA">
          <w:rPr>
            <w:noProof/>
            <w:webHidden/>
            <w:sz w:val="24"/>
          </w:rPr>
          <w:fldChar w:fldCharType="separate"/>
        </w:r>
        <w:r w:rsidR="000018F2">
          <w:rPr>
            <w:noProof/>
            <w:webHidden/>
            <w:sz w:val="24"/>
          </w:rPr>
          <w:t>1</w:t>
        </w:r>
        <w:r w:rsidR="009408BA" w:rsidRPr="009408BA">
          <w:rPr>
            <w:noProof/>
            <w:webHidden/>
            <w:sz w:val="24"/>
          </w:rPr>
          <w:fldChar w:fldCharType="end"/>
        </w:r>
      </w:hyperlink>
    </w:p>
    <w:p w14:paraId="244A975A" w14:textId="48FC2AFE" w:rsidR="009408BA" w:rsidRPr="009408BA" w:rsidRDefault="0013573F">
      <w:pPr>
        <w:pStyle w:val="TableofFigures"/>
        <w:tabs>
          <w:tab w:val="right" w:leader="dot" w:pos="10070"/>
        </w:tabs>
        <w:rPr>
          <w:rFonts w:asciiTheme="minorHAnsi" w:eastAsiaTheme="minorEastAsia" w:hAnsiTheme="minorHAnsi" w:cstheme="minorBidi"/>
          <w:noProof/>
          <w:sz w:val="28"/>
          <w:szCs w:val="22"/>
        </w:rPr>
      </w:pPr>
      <w:hyperlink w:anchor="_Toc487382086" w:history="1">
        <w:r w:rsidR="009408BA" w:rsidRPr="009408BA">
          <w:rPr>
            <w:rStyle w:val="Hyperlink"/>
            <w:noProof/>
            <w:sz w:val="24"/>
          </w:rPr>
          <w:t>Table 2A. Discharge Locations</w:t>
        </w:r>
        <w:r w:rsidR="009408BA" w:rsidRPr="009408BA">
          <w:rPr>
            <w:noProof/>
            <w:webHidden/>
            <w:sz w:val="24"/>
          </w:rPr>
          <w:tab/>
        </w:r>
        <w:r w:rsidR="009408BA" w:rsidRPr="009408BA">
          <w:rPr>
            <w:noProof/>
            <w:webHidden/>
            <w:sz w:val="24"/>
          </w:rPr>
          <w:fldChar w:fldCharType="begin"/>
        </w:r>
        <w:r w:rsidR="009408BA" w:rsidRPr="009408BA">
          <w:rPr>
            <w:noProof/>
            <w:webHidden/>
            <w:sz w:val="24"/>
          </w:rPr>
          <w:instrText xml:space="preserve"> PAGEREF _Toc487382086 \h </w:instrText>
        </w:r>
        <w:r w:rsidR="009408BA" w:rsidRPr="009408BA">
          <w:rPr>
            <w:noProof/>
            <w:webHidden/>
            <w:sz w:val="24"/>
          </w:rPr>
        </w:r>
        <w:r w:rsidR="009408BA" w:rsidRPr="009408BA">
          <w:rPr>
            <w:noProof/>
            <w:webHidden/>
            <w:sz w:val="24"/>
          </w:rPr>
          <w:fldChar w:fldCharType="separate"/>
        </w:r>
        <w:r w:rsidR="000018F2">
          <w:rPr>
            <w:noProof/>
            <w:webHidden/>
            <w:sz w:val="24"/>
          </w:rPr>
          <w:t>4</w:t>
        </w:r>
        <w:r w:rsidR="009408BA" w:rsidRPr="009408BA">
          <w:rPr>
            <w:noProof/>
            <w:webHidden/>
            <w:sz w:val="24"/>
          </w:rPr>
          <w:fldChar w:fldCharType="end"/>
        </w:r>
      </w:hyperlink>
    </w:p>
    <w:p w14:paraId="5C9D2099" w14:textId="10E22E2A" w:rsidR="009408BA" w:rsidRPr="009408BA" w:rsidRDefault="0013573F">
      <w:pPr>
        <w:pStyle w:val="TableofFigures"/>
        <w:tabs>
          <w:tab w:val="right" w:leader="dot" w:pos="10070"/>
        </w:tabs>
        <w:rPr>
          <w:rFonts w:asciiTheme="minorHAnsi" w:eastAsiaTheme="minorEastAsia" w:hAnsiTheme="minorHAnsi" w:cstheme="minorBidi"/>
          <w:noProof/>
          <w:sz w:val="24"/>
        </w:rPr>
      </w:pPr>
      <w:hyperlink w:anchor="_Toc487382087" w:history="1">
        <w:r w:rsidR="009408BA" w:rsidRPr="009408BA">
          <w:rPr>
            <w:rStyle w:val="Hyperlink"/>
            <w:noProof/>
            <w:sz w:val="24"/>
          </w:rPr>
          <w:t>Table 3. Administrative Information</w:t>
        </w:r>
        <w:r w:rsidR="009408BA" w:rsidRPr="009408BA">
          <w:rPr>
            <w:noProof/>
            <w:webHidden/>
            <w:sz w:val="24"/>
          </w:rPr>
          <w:tab/>
        </w:r>
        <w:r w:rsidR="009408BA" w:rsidRPr="009408BA">
          <w:rPr>
            <w:noProof/>
            <w:webHidden/>
            <w:sz w:val="24"/>
          </w:rPr>
          <w:fldChar w:fldCharType="begin"/>
        </w:r>
        <w:r w:rsidR="009408BA" w:rsidRPr="009408BA">
          <w:rPr>
            <w:noProof/>
            <w:webHidden/>
            <w:sz w:val="24"/>
          </w:rPr>
          <w:instrText xml:space="preserve"> PAGEREF _Toc487382087 \h </w:instrText>
        </w:r>
        <w:r w:rsidR="009408BA" w:rsidRPr="009408BA">
          <w:rPr>
            <w:noProof/>
            <w:webHidden/>
            <w:sz w:val="24"/>
          </w:rPr>
        </w:r>
        <w:r w:rsidR="009408BA" w:rsidRPr="009408BA">
          <w:rPr>
            <w:noProof/>
            <w:webHidden/>
            <w:sz w:val="24"/>
          </w:rPr>
          <w:fldChar w:fldCharType="separate"/>
        </w:r>
        <w:r w:rsidR="000018F2">
          <w:rPr>
            <w:noProof/>
            <w:webHidden/>
            <w:sz w:val="24"/>
          </w:rPr>
          <w:t>6</w:t>
        </w:r>
        <w:r w:rsidR="009408BA" w:rsidRPr="009408BA">
          <w:rPr>
            <w:noProof/>
            <w:webHidden/>
            <w:sz w:val="24"/>
          </w:rPr>
          <w:fldChar w:fldCharType="end"/>
        </w:r>
      </w:hyperlink>
    </w:p>
    <w:p w14:paraId="12F883AC" w14:textId="4A2A1E52" w:rsidR="009408BA" w:rsidRPr="009408BA" w:rsidRDefault="0013573F">
      <w:pPr>
        <w:pStyle w:val="TableofFigures"/>
        <w:tabs>
          <w:tab w:val="right" w:leader="dot" w:pos="10070"/>
        </w:tabs>
        <w:rPr>
          <w:rFonts w:asciiTheme="minorHAnsi" w:eastAsiaTheme="minorEastAsia" w:hAnsiTheme="minorHAnsi" w:cstheme="minorBidi"/>
          <w:noProof/>
          <w:sz w:val="28"/>
          <w:szCs w:val="22"/>
        </w:rPr>
      </w:pPr>
      <w:hyperlink w:anchor="_Toc487382088" w:history="1">
        <w:r w:rsidR="009408BA" w:rsidRPr="009408BA">
          <w:rPr>
            <w:rStyle w:val="Hyperlink"/>
            <w:noProof/>
            <w:sz w:val="24"/>
          </w:rPr>
          <w:t>Table 4A. Individual Mercury Effluent Limitations</w:t>
        </w:r>
        <w:r w:rsidR="009408BA" w:rsidRPr="009408BA">
          <w:rPr>
            <w:noProof/>
            <w:webHidden/>
            <w:sz w:val="24"/>
          </w:rPr>
          <w:tab/>
        </w:r>
        <w:r w:rsidR="009408BA" w:rsidRPr="009408BA">
          <w:rPr>
            <w:noProof/>
            <w:webHidden/>
            <w:sz w:val="24"/>
          </w:rPr>
          <w:fldChar w:fldCharType="begin"/>
        </w:r>
        <w:r w:rsidR="009408BA" w:rsidRPr="009408BA">
          <w:rPr>
            <w:noProof/>
            <w:webHidden/>
            <w:sz w:val="24"/>
          </w:rPr>
          <w:instrText xml:space="preserve"> PAGEREF _Toc487382088 \h </w:instrText>
        </w:r>
        <w:r w:rsidR="009408BA" w:rsidRPr="009408BA">
          <w:rPr>
            <w:noProof/>
            <w:webHidden/>
            <w:sz w:val="24"/>
          </w:rPr>
        </w:r>
        <w:r w:rsidR="009408BA" w:rsidRPr="009408BA">
          <w:rPr>
            <w:noProof/>
            <w:webHidden/>
            <w:sz w:val="24"/>
          </w:rPr>
          <w:fldChar w:fldCharType="separate"/>
        </w:r>
        <w:r w:rsidR="000018F2">
          <w:rPr>
            <w:noProof/>
            <w:webHidden/>
            <w:sz w:val="24"/>
          </w:rPr>
          <w:t>9</w:t>
        </w:r>
        <w:r w:rsidR="009408BA" w:rsidRPr="009408BA">
          <w:rPr>
            <w:noProof/>
            <w:webHidden/>
            <w:sz w:val="24"/>
          </w:rPr>
          <w:fldChar w:fldCharType="end"/>
        </w:r>
      </w:hyperlink>
    </w:p>
    <w:p w14:paraId="3D5A9C14" w14:textId="0A3B2FE0" w:rsidR="00F878D4" w:rsidRPr="009408BA" w:rsidRDefault="00BD2B3E" w:rsidP="004A5527">
      <w:pPr>
        <w:pStyle w:val="TOC1"/>
        <w:rPr>
          <w:sz w:val="32"/>
          <w:szCs w:val="24"/>
        </w:rPr>
      </w:pPr>
      <w:r w:rsidRPr="009408BA">
        <w:rPr>
          <w:sz w:val="32"/>
          <w:szCs w:val="24"/>
        </w:rPr>
        <w:fldChar w:fldCharType="end"/>
      </w:r>
    </w:p>
    <w:p w14:paraId="58227944" w14:textId="77777777" w:rsidR="00F878D4" w:rsidRPr="002A5B99" w:rsidRDefault="00F878D4">
      <w:pPr>
        <w:pStyle w:val="Title"/>
        <w:rPr>
          <w:rFonts w:ascii="Times New Roman" w:hAnsi="Times New Roman"/>
          <w:color w:val="000000" w:themeColor="text1"/>
          <w:sz w:val="24"/>
          <w:szCs w:val="24"/>
        </w:rPr>
      </w:pPr>
      <w:r w:rsidRPr="002A5B99">
        <w:rPr>
          <w:rFonts w:ascii="Times New Roman" w:hAnsi="Times New Roman"/>
          <w:color w:val="000000" w:themeColor="text1"/>
          <w:sz w:val="24"/>
          <w:szCs w:val="24"/>
        </w:rPr>
        <w:t>Attachments</w:t>
      </w:r>
    </w:p>
    <w:p w14:paraId="3D9302EA" w14:textId="77777777" w:rsidR="00F878D4" w:rsidRPr="002A5B99" w:rsidRDefault="00F878D4" w:rsidP="004A5527">
      <w:pPr>
        <w:pStyle w:val="TOC1"/>
        <w:rPr>
          <w:sz w:val="24"/>
          <w:szCs w:val="24"/>
        </w:rPr>
      </w:pPr>
      <w:r w:rsidRPr="002A5B99">
        <w:rPr>
          <w:sz w:val="24"/>
          <w:szCs w:val="24"/>
        </w:rPr>
        <w:t>Attachment A – Definitions</w:t>
      </w:r>
      <w:r w:rsidR="00C316F4" w:rsidRPr="002A5B99">
        <w:rPr>
          <w:sz w:val="24"/>
          <w:szCs w:val="24"/>
        </w:rPr>
        <w:tab/>
      </w:r>
      <w:r w:rsidRPr="002A5B99">
        <w:rPr>
          <w:sz w:val="24"/>
          <w:szCs w:val="24"/>
        </w:rPr>
        <w:t>A-1</w:t>
      </w:r>
    </w:p>
    <w:p w14:paraId="4BE3A359" w14:textId="0006B54C" w:rsidR="00F878D4" w:rsidRPr="002A5B99" w:rsidRDefault="00F878D4" w:rsidP="004A5527">
      <w:pPr>
        <w:pStyle w:val="TOC1"/>
        <w:rPr>
          <w:sz w:val="24"/>
          <w:szCs w:val="24"/>
        </w:rPr>
      </w:pPr>
      <w:r w:rsidRPr="002A5B99">
        <w:rPr>
          <w:sz w:val="24"/>
          <w:szCs w:val="24"/>
        </w:rPr>
        <w:t xml:space="preserve">Attachment B – </w:t>
      </w:r>
      <w:r w:rsidR="002841FB">
        <w:rPr>
          <w:sz w:val="24"/>
          <w:szCs w:val="24"/>
        </w:rPr>
        <w:t>Individual NPDES Permit and Order Numbers</w:t>
      </w:r>
      <w:r w:rsidRPr="002A5B99">
        <w:rPr>
          <w:sz w:val="24"/>
          <w:szCs w:val="24"/>
        </w:rPr>
        <w:tab/>
        <w:t>B-1</w:t>
      </w:r>
    </w:p>
    <w:p w14:paraId="76FE6D16" w14:textId="48118704" w:rsidR="00F878D4" w:rsidRPr="002A5B99" w:rsidRDefault="00F878D4" w:rsidP="004A5527">
      <w:pPr>
        <w:pStyle w:val="TOC1"/>
        <w:rPr>
          <w:sz w:val="24"/>
          <w:szCs w:val="24"/>
        </w:rPr>
      </w:pPr>
      <w:r w:rsidRPr="002A5B99">
        <w:rPr>
          <w:sz w:val="24"/>
          <w:szCs w:val="24"/>
        </w:rPr>
        <w:t xml:space="preserve">Attachment C – </w:t>
      </w:r>
      <w:r w:rsidR="002841FB">
        <w:rPr>
          <w:sz w:val="24"/>
          <w:szCs w:val="24"/>
        </w:rPr>
        <w:t>Maps of Municipal and Industrial Dischargers</w:t>
      </w:r>
      <w:r w:rsidRPr="002A5B99">
        <w:rPr>
          <w:sz w:val="24"/>
          <w:szCs w:val="24"/>
        </w:rPr>
        <w:tab/>
        <w:t>C-1</w:t>
      </w:r>
    </w:p>
    <w:p w14:paraId="734DB7DB" w14:textId="77777777" w:rsidR="00F878D4" w:rsidRPr="002A5B99" w:rsidRDefault="00F878D4" w:rsidP="004A5527">
      <w:pPr>
        <w:pStyle w:val="TOC1"/>
        <w:rPr>
          <w:sz w:val="24"/>
          <w:szCs w:val="24"/>
        </w:rPr>
      </w:pPr>
      <w:r w:rsidRPr="002A5B99">
        <w:rPr>
          <w:sz w:val="24"/>
          <w:szCs w:val="24"/>
        </w:rPr>
        <w:t>Attachment E – Monitoring and Reporting Program (MRP)</w:t>
      </w:r>
      <w:r w:rsidRPr="002A5B99">
        <w:rPr>
          <w:sz w:val="24"/>
          <w:szCs w:val="24"/>
        </w:rPr>
        <w:tab/>
        <w:t>E-1</w:t>
      </w:r>
    </w:p>
    <w:p w14:paraId="36F21DA9" w14:textId="09FDB54B" w:rsidR="00AE328F" w:rsidRPr="002A5B99" w:rsidRDefault="00F878D4" w:rsidP="00803030">
      <w:pPr>
        <w:pStyle w:val="TOC1"/>
        <w:rPr>
          <w:sz w:val="24"/>
          <w:szCs w:val="24"/>
        </w:rPr>
      </w:pPr>
      <w:r w:rsidRPr="002A5B99">
        <w:rPr>
          <w:sz w:val="24"/>
          <w:szCs w:val="24"/>
        </w:rPr>
        <w:t>Attachment F – Fact Sheet</w:t>
      </w:r>
      <w:r w:rsidRPr="002A5B99">
        <w:rPr>
          <w:sz w:val="24"/>
          <w:szCs w:val="24"/>
        </w:rPr>
        <w:tab/>
        <w:t>F-1</w:t>
      </w:r>
      <w:r w:rsidR="00252C4A" w:rsidRPr="002A5B99">
        <w:rPr>
          <w:sz w:val="24"/>
          <w:szCs w:val="24"/>
        </w:rPr>
        <w:br/>
      </w:r>
    </w:p>
    <w:p w14:paraId="0168BE8E" w14:textId="77777777" w:rsidR="00F878D4" w:rsidRPr="0072218F" w:rsidRDefault="00F878D4" w:rsidP="006A3A0E">
      <w:pPr>
        <w:tabs>
          <w:tab w:val="right" w:leader="dot" w:pos="10080"/>
        </w:tabs>
        <w:rPr>
          <w:color w:val="000000" w:themeColor="text1"/>
        </w:rPr>
        <w:sectPr w:rsidR="00F878D4" w:rsidRPr="0072218F" w:rsidSect="00817502">
          <w:footerReference w:type="default" r:id="rId16"/>
          <w:headerReference w:type="first" r:id="rId17"/>
          <w:footerReference w:type="first" r:id="rId18"/>
          <w:footnotePr>
            <w:numRestart w:val="eachSect"/>
          </w:footnotePr>
          <w:endnotePr>
            <w:numFmt w:val="decimal"/>
          </w:endnotePr>
          <w:pgSz w:w="12240" w:h="15840" w:code="1"/>
          <w:pgMar w:top="1080" w:right="1080" w:bottom="1080" w:left="1080" w:header="547" w:footer="720" w:gutter="0"/>
          <w:cols w:space="720"/>
          <w:noEndnote/>
          <w:titlePg/>
          <w:docGrid w:linePitch="326"/>
        </w:sectPr>
      </w:pPr>
    </w:p>
    <w:p w14:paraId="2A62FF1D" w14:textId="77777777" w:rsidR="00F878D4" w:rsidRPr="002A5B99" w:rsidRDefault="00F878D4">
      <w:pPr>
        <w:pStyle w:val="Heading1"/>
        <w:rPr>
          <w:rFonts w:ascii="Times New Roman" w:hAnsi="Times New Roman"/>
          <w:color w:val="000000" w:themeColor="text1"/>
          <w:sz w:val="24"/>
        </w:rPr>
      </w:pPr>
      <w:bookmarkStart w:id="5" w:name="_Toc93309567"/>
      <w:bookmarkStart w:id="6" w:name="_Toc340137573"/>
      <w:bookmarkStart w:id="7" w:name="_Toc488046251"/>
      <w:r w:rsidRPr="002A5B99">
        <w:rPr>
          <w:rFonts w:ascii="Times New Roman" w:hAnsi="Times New Roman"/>
          <w:color w:val="000000" w:themeColor="text1"/>
          <w:sz w:val="24"/>
        </w:rPr>
        <w:lastRenderedPageBreak/>
        <w:t>I.</w:t>
      </w:r>
      <w:r w:rsidRPr="002A5B99">
        <w:rPr>
          <w:rFonts w:ascii="Times New Roman" w:hAnsi="Times New Roman"/>
          <w:color w:val="000000" w:themeColor="text1"/>
          <w:sz w:val="24"/>
        </w:rPr>
        <w:tab/>
        <w:t>Facility Information</w:t>
      </w:r>
      <w:bookmarkEnd w:id="5"/>
      <w:bookmarkEnd w:id="6"/>
      <w:bookmarkEnd w:id="7"/>
    </w:p>
    <w:p w14:paraId="32E1D7D9" w14:textId="77777777" w:rsidR="00F878D4" w:rsidRPr="002A5B99" w:rsidRDefault="00E122FE">
      <w:pPr>
        <w:pStyle w:val="paratextindented"/>
        <w:rPr>
          <w:rFonts w:ascii="Times New Roman" w:hAnsi="Times New Roman" w:cs="Times New Roman"/>
          <w:color w:val="000000" w:themeColor="text1"/>
          <w:szCs w:val="24"/>
        </w:rPr>
      </w:pPr>
      <w:r w:rsidRPr="002A5B99">
        <w:rPr>
          <w:rFonts w:ascii="Times New Roman" w:hAnsi="Times New Roman" w:cs="Times New Roman"/>
          <w:color w:val="000000" w:themeColor="text1"/>
          <w:szCs w:val="24"/>
        </w:rPr>
        <w:t xml:space="preserve">Information describing the </w:t>
      </w:r>
      <w:r w:rsidR="00214C59" w:rsidRPr="002A5B99">
        <w:rPr>
          <w:rFonts w:ascii="Times New Roman" w:hAnsi="Times New Roman" w:cs="Times New Roman"/>
          <w:color w:val="000000" w:themeColor="text1"/>
          <w:szCs w:val="24"/>
        </w:rPr>
        <w:t>facilities subject to this Order is summarized in Table</w:t>
      </w:r>
      <w:r w:rsidR="00552138" w:rsidRPr="002A5B99">
        <w:rPr>
          <w:rFonts w:ascii="Times New Roman" w:hAnsi="Times New Roman" w:cs="Times New Roman"/>
          <w:color w:val="000000" w:themeColor="text1"/>
          <w:szCs w:val="24"/>
        </w:rPr>
        <w:t>s</w:t>
      </w:r>
      <w:r w:rsidR="00214C59" w:rsidRPr="002A5B99">
        <w:rPr>
          <w:rFonts w:ascii="Times New Roman" w:hAnsi="Times New Roman" w:cs="Times New Roman"/>
          <w:color w:val="000000" w:themeColor="text1"/>
          <w:szCs w:val="24"/>
        </w:rPr>
        <w:t xml:space="preserve"> 1</w:t>
      </w:r>
      <w:r w:rsidR="00552138" w:rsidRPr="002A5B99">
        <w:rPr>
          <w:rFonts w:ascii="Times New Roman" w:hAnsi="Times New Roman" w:cs="Times New Roman"/>
          <w:color w:val="000000" w:themeColor="text1"/>
          <w:szCs w:val="24"/>
        </w:rPr>
        <w:t>A and 1B</w:t>
      </w:r>
      <w:r w:rsidR="00214C59" w:rsidRPr="002A5B99">
        <w:rPr>
          <w:rFonts w:ascii="Times New Roman" w:hAnsi="Times New Roman" w:cs="Times New Roman"/>
          <w:color w:val="000000" w:themeColor="text1"/>
          <w:szCs w:val="24"/>
        </w:rPr>
        <w:t xml:space="preserve"> and in Fact Sheet </w:t>
      </w:r>
      <w:r w:rsidRPr="002A5B99">
        <w:rPr>
          <w:rFonts w:ascii="Times New Roman" w:hAnsi="Times New Roman" w:cs="Times New Roman"/>
          <w:color w:val="000000" w:themeColor="text1"/>
          <w:szCs w:val="24"/>
        </w:rPr>
        <w:t>(Attachment F)</w:t>
      </w:r>
      <w:r w:rsidR="008421EC" w:rsidRPr="002A5B99">
        <w:rPr>
          <w:rFonts w:ascii="Times New Roman" w:hAnsi="Times New Roman" w:cs="Times New Roman"/>
          <w:color w:val="000000" w:themeColor="text1"/>
          <w:szCs w:val="24"/>
        </w:rPr>
        <w:t xml:space="preserve"> sections I and </w:t>
      </w:r>
      <w:r w:rsidR="00630541" w:rsidRPr="002A5B99">
        <w:rPr>
          <w:rFonts w:ascii="Times New Roman" w:hAnsi="Times New Roman" w:cs="Times New Roman"/>
          <w:color w:val="000000" w:themeColor="text1"/>
          <w:szCs w:val="24"/>
        </w:rPr>
        <w:t>II</w:t>
      </w:r>
      <w:r w:rsidRPr="002A5B99">
        <w:rPr>
          <w:rFonts w:ascii="Times New Roman" w:hAnsi="Times New Roman" w:cs="Times New Roman"/>
          <w:color w:val="000000" w:themeColor="text1"/>
          <w:szCs w:val="24"/>
        </w:rPr>
        <w:t xml:space="preserve">. </w:t>
      </w:r>
    </w:p>
    <w:p w14:paraId="1D227CC8" w14:textId="77777777" w:rsidR="00F878D4" w:rsidRPr="002A5B99" w:rsidRDefault="00F878D4">
      <w:pPr>
        <w:pStyle w:val="Heading1"/>
        <w:rPr>
          <w:rFonts w:ascii="Times New Roman" w:hAnsi="Times New Roman"/>
          <w:color w:val="000000" w:themeColor="text1"/>
          <w:sz w:val="24"/>
        </w:rPr>
      </w:pPr>
      <w:bookmarkStart w:id="8" w:name="_Toc93309568"/>
      <w:bookmarkStart w:id="9" w:name="_Toc340137574"/>
      <w:bookmarkStart w:id="10" w:name="_Toc488046252"/>
      <w:r w:rsidRPr="002A5B99">
        <w:rPr>
          <w:rFonts w:ascii="Times New Roman" w:hAnsi="Times New Roman"/>
          <w:color w:val="000000" w:themeColor="text1"/>
          <w:sz w:val="24"/>
        </w:rPr>
        <w:t>II.</w:t>
      </w:r>
      <w:r w:rsidRPr="002A5B99">
        <w:rPr>
          <w:rFonts w:ascii="Times New Roman" w:hAnsi="Times New Roman"/>
          <w:color w:val="000000" w:themeColor="text1"/>
          <w:sz w:val="24"/>
        </w:rPr>
        <w:tab/>
        <w:t>Findings</w:t>
      </w:r>
      <w:bookmarkEnd w:id="8"/>
      <w:bookmarkEnd w:id="9"/>
      <w:bookmarkEnd w:id="10"/>
    </w:p>
    <w:p w14:paraId="4F19D7CA" w14:textId="77777777" w:rsidR="00F878D4" w:rsidRPr="002A5B99" w:rsidRDefault="00F878D4" w:rsidP="00974334">
      <w:pPr>
        <w:pStyle w:val="paratextindented"/>
        <w:spacing w:after="120"/>
        <w:rPr>
          <w:rFonts w:ascii="Times New Roman" w:hAnsi="Times New Roman" w:cs="Times New Roman"/>
          <w:color w:val="000000" w:themeColor="text1"/>
          <w:szCs w:val="24"/>
        </w:rPr>
      </w:pPr>
      <w:r w:rsidRPr="002A5B99">
        <w:rPr>
          <w:rFonts w:ascii="Times New Roman" w:hAnsi="Times New Roman" w:cs="Times New Roman"/>
          <w:color w:val="000000" w:themeColor="text1"/>
          <w:szCs w:val="24"/>
        </w:rPr>
        <w:t>The California Regional Water Quality Control Board, San Francisco Bay Region (Regional Water Board), finds:</w:t>
      </w:r>
    </w:p>
    <w:p w14:paraId="2D783B62" w14:textId="20DB0E1E" w:rsidR="0016072C" w:rsidRPr="002A5B99" w:rsidRDefault="0016072C" w:rsidP="00F009DF">
      <w:pPr>
        <w:pStyle w:val="H-indent2525"/>
        <w:numPr>
          <w:ilvl w:val="0"/>
          <w:numId w:val="12"/>
        </w:numPr>
        <w:rPr>
          <w:rFonts w:ascii="Times New Roman" w:hAnsi="Times New Roman" w:cs="Times New Roman"/>
          <w:color w:val="000000" w:themeColor="text1"/>
          <w:sz w:val="24"/>
        </w:rPr>
      </w:pPr>
      <w:r w:rsidRPr="002A5B99">
        <w:rPr>
          <w:rFonts w:ascii="Times New Roman" w:hAnsi="Times New Roman" w:cs="Times New Roman"/>
          <w:b/>
          <w:color w:val="000000" w:themeColor="text1"/>
          <w:sz w:val="24"/>
        </w:rPr>
        <w:t>Legal Authorities.</w:t>
      </w:r>
      <w:r w:rsidRPr="002A5B99">
        <w:rPr>
          <w:rFonts w:ascii="Times New Roman" w:hAnsi="Times New Roman" w:cs="Times New Roman"/>
          <w:color w:val="000000" w:themeColor="text1"/>
          <w:sz w:val="24"/>
        </w:rPr>
        <w:t xml:space="preserve"> This </w:t>
      </w:r>
      <w:r w:rsidR="0005714F" w:rsidRPr="002A5B99">
        <w:rPr>
          <w:rFonts w:ascii="Times New Roman" w:hAnsi="Times New Roman" w:cs="Times New Roman"/>
          <w:color w:val="000000" w:themeColor="text1"/>
          <w:sz w:val="24"/>
        </w:rPr>
        <w:t>Order</w:t>
      </w:r>
      <w:r w:rsidRPr="002A5B99">
        <w:rPr>
          <w:rFonts w:ascii="Times New Roman" w:hAnsi="Times New Roman" w:cs="Times New Roman"/>
          <w:color w:val="000000" w:themeColor="text1"/>
          <w:sz w:val="24"/>
        </w:rPr>
        <w:t xml:space="preserve"> serves as WDRs pursuant to </w:t>
      </w:r>
      <w:r w:rsidR="00206B51" w:rsidRPr="002A5B99">
        <w:rPr>
          <w:rFonts w:ascii="Times New Roman" w:hAnsi="Times New Roman" w:cs="Times New Roman"/>
          <w:color w:val="000000" w:themeColor="text1"/>
          <w:sz w:val="24"/>
        </w:rPr>
        <w:t xml:space="preserve">California Water Code </w:t>
      </w:r>
      <w:r w:rsidRPr="002A5B99">
        <w:rPr>
          <w:rFonts w:ascii="Times New Roman" w:hAnsi="Times New Roman" w:cs="Times New Roman"/>
          <w:color w:val="000000" w:themeColor="text1"/>
          <w:sz w:val="24"/>
        </w:rPr>
        <w:t>article 4, chapter</w:t>
      </w:r>
      <w:r w:rsidR="006C1122" w:rsidRPr="002A5B99">
        <w:rPr>
          <w:rFonts w:ascii="Times New Roman" w:hAnsi="Times New Roman" w:cs="Times New Roman"/>
          <w:color w:val="000000" w:themeColor="text1"/>
          <w:sz w:val="24"/>
        </w:rPr>
        <w:t> </w:t>
      </w:r>
      <w:r w:rsidRPr="002A5B99">
        <w:rPr>
          <w:rFonts w:ascii="Times New Roman" w:hAnsi="Times New Roman" w:cs="Times New Roman"/>
          <w:color w:val="000000" w:themeColor="text1"/>
          <w:sz w:val="24"/>
        </w:rPr>
        <w:t xml:space="preserve">4, division 7 (commencing with </w:t>
      </w:r>
      <w:r w:rsidR="006D0B03" w:rsidRPr="002A5B99">
        <w:rPr>
          <w:rFonts w:ascii="Times New Roman" w:hAnsi="Times New Roman" w:cs="Times New Roman"/>
          <w:color w:val="000000" w:themeColor="text1"/>
          <w:sz w:val="24"/>
        </w:rPr>
        <w:t>§</w:t>
      </w:r>
      <w:r w:rsidRPr="002A5B99">
        <w:rPr>
          <w:rFonts w:ascii="Times New Roman" w:hAnsi="Times New Roman" w:cs="Times New Roman"/>
          <w:color w:val="000000" w:themeColor="text1"/>
          <w:sz w:val="24"/>
        </w:rPr>
        <w:t xml:space="preserve"> 13260). This </w:t>
      </w:r>
      <w:r w:rsidR="0005714F" w:rsidRPr="002A5B99">
        <w:rPr>
          <w:rFonts w:ascii="Times New Roman" w:hAnsi="Times New Roman" w:cs="Times New Roman"/>
          <w:color w:val="000000" w:themeColor="text1"/>
          <w:sz w:val="24"/>
        </w:rPr>
        <w:t>Order</w:t>
      </w:r>
      <w:r w:rsidRPr="002A5B99">
        <w:rPr>
          <w:rFonts w:ascii="Times New Roman" w:hAnsi="Times New Roman" w:cs="Times New Roman"/>
          <w:color w:val="000000" w:themeColor="text1"/>
          <w:sz w:val="24"/>
        </w:rPr>
        <w:t xml:space="preserve"> is also issued pursuant to</w:t>
      </w:r>
      <w:r w:rsidR="006D0B03" w:rsidRPr="002A5B99">
        <w:rPr>
          <w:rFonts w:ascii="Times New Roman" w:hAnsi="Times New Roman" w:cs="Times New Roman"/>
          <w:color w:val="000000" w:themeColor="text1"/>
          <w:sz w:val="24"/>
        </w:rPr>
        <w:t xml:space="preserve"> federal Clean Water Act (CWA)</w:t>
      </w:r>
      <w:r w:rsidRPr="002A5B99">
        <w:rPr>
          <w:rFonts w:ascii="Times New Roman" w:hAnsi="Times New Roman" w:cs="Times New Roman"/>
          <w:color w:val="000000" w:themeColor="text1"/>
          <w:sz w:val="24"/>
        </w:rPr>
        <w:t xml:space="preserve"> section 402 and implementing </w:t>
      </w:r>
      <w:r w:rsidR="00911736" w:rsidRPr="002A5B99">
        <w:rPr>
          <w:rFonts w:ascii="Times New Roman" w:hAnsi="Times New Roman" w:cs="Times New Roman"/>
          <w:color w:val="000000" w:themeColor="text1"/>
          <w:sz w:val="24"/>
        </w:rPr>
        <w:t>regulations adopted by U.S. EPA</w:t>
      </w:r>
      <w:r w:rsidRPr="002A5B99">
        <w:rPr>
          <w:rFonts w:ascii="Times New Roman" w:hAnsi="Times New Roman" w:cs="Times New Roman"/>
          <w:color w:val="000000" w:themeColor="text1"/>
          <w:sz w:val="24"/>
        </w:rPr>
        <w:t xml:space="preserve"> and </w:t>
      </w:r>
      <w:r w:rsidR="006D0B03" w:rsidRPr="002A5B99">
        <w:rPr>
          <w:rFonts w:ascii="Times New Roman" w:hAnsi="Times New Roman" w:cs="Times New Roman"/>
          <w:color w:val="000000" w:themeColor="text1"/>
          <w:sz w:val="24"/>
        </w:rPr>
        <w:t xml:space="preserve">Water Code </w:t>
      </w:r>
      <w:r w:rsidRPr="002A5B99">
        <w:rPr>
          <w:rFonts w:ascii="Times New Roman" w:hAnsi="Times New Roman" w:cs="Times New Roman"/>
          <w:color w:val="000000" w:themeColor="text1"/>
          <w:sz w:val="24"/>
        </w:rPr>
        <w:t xml:space="preserve">chapter 5.5, division 7 (commencing with </w:t>
      </w:r>
      <w:r w:rsidR="006D0B03" w:rsidRPr="002A5B99">
        <w:rPr>
          <w:rFonts w:ascii="Times New Roman" w:hAnsi="Times New Roman" w:cs="Times New Roman"/>
          <w:color w:val="000000" w:themeColor="text1"/>
          <w:sz w:val="24"/>
        </w:rPr>
        <w:t>§</w:t>
      </w:r>
      <w:r w:rsidRPr="002A5B99">
        <w:rPr>
          <w:rFonts w:ascii="Times New Roman" w:hAnsi="Times New Roman" w:cs="Times New Roman"/>
          <w:color w:val="000000" w:themeColor="text1"/>
          <w:sz w:val="24"/>
        </w:rPr>
        <w:t xml:space="preserve"> 13370). It shall serve as </w:t>
      </w:r>
      <w:r w:rsidR="00495CF5" w:rsidRPr="002A5B99">
        <w:rPr>
          <w:rFonts w:ascii="Times New Roman" w:hAnsi="Times New Roman" w:cs="Times New Roman"/>
          <w:color w:val="000000" w:themeColor="text1"/>
          <w:sz w:val="24"/>
        </w:rPr>
        <w:t>a National Pollutant Discharge Elimination System (NPDES)</w:t>
      </w:r>
      <w:r w:rsidRPr="002A5B99">
        <w:rPr>
          <w:rFonts w:ascii="Times New Roman" w:hAnsi="Times New Roman" w:cs="Times New Roman"/>
          <w:color w:val="000000" w:themeColor="text1"/>
          <w:sz w:val="24"/>
        </w:rPr>
        <w:t xml:space="preserve"> permit </w:t>
      </w:r>
      <w:r w:rsidR="00F474C0">
        <w:rPr>
          <w:rFonts w:ascii="Times New Roman" w:hAnsi="Times New Roman" w:cs="Times New Roman"/>
          <w:color w:val="000000" w:themeColor="text1"/>
          <w:sz w:val="24"/>
        </w:rPr>
        <w:t xml:space="preserve">for point source discharges of mercury and PCBs from </w:t>
      </w:r>
      <w:r w:rsidR="00495CF5" w:rsidRPr="002A5B99">
        <w:rPr>
          <w:rFonts w:ascii="Times New Roman" w:hAnsi="Times New Roman" w:cs="Times New Roman"/>
          <w:color w:val="000000" w:themeColor="text1"/>
          <w:sz w:val="24"/>
        </w:rPr>
        <w:t>the Discharger</w:t>
      </w:r>
      <w:r w:rsidR="00214C59" w:rsidRPr="002A5B99">
        <w:rPr>
          <w:rFonts w:ascii="Times New Roman" w:hAnsi="Times New Roman" w:cs="Times New Roman"/>
          <w:color w:val="000000" w:themeColor="text1"/>
          <w:sz w:val="24"/>
        </w:rPr>
        <w:t>s</w:t>
      </w:r>
      <w:r w:rsidR="00F474C0">
        <w:rPr>
          <w:rFonts w:ascii="Times New Roman" w:hAnsi="Times New Roman" w:cs="Times New Roman"/>
          <w:color w:val="000000" w:themeColor="text1"/>
          <w:sz w:val="24"/>
        </w:rPr>
        <w:t xml:space="preserve">’ facilities listed in Attachment B to surface waters. </w:t>
      </w:r>
    </w:p>
    <w:p w14:paraId="788AFC69" w14:textId="16E59159" w:rsidR="0016072C" w:rsidRPr="002A5B99" w:rsidRDefault="0016072C" w:rsidP="00F009DF">
      <w:pPr>
        <w:pStyle w:val="H-indent2525"/>
        <w:numPr>
          <w:ilvl w:val="0"/>
          <w:numId w:val="12"/>
        </w:numPr>
        <w:rPr>
          <w:rFonts w:ascii="Times New Roman" w:hAnsi="Times New Roman" w:cs="Times New Roman"/>
          <w:color w:val="000000" w:themeColor="text1"/>
          <w:sz w:val="24"/>
        </w:rPr>
      </w:pPr>
      <w:r w:rsidRPr="002A5B99">
        <w:rPr>
          <w:rFonts w:ascii="Times New Roman" w:hAnsi="Times New Roman" w:cs="Times New Roman"/>
          <w:b/>
          <w:color w:val="000000" w:themeColor="text1"/>
          <w:sz w:val="24"/>
        </w:rPr>
        <w:t>Background and Rationale for Requirements.</w:t>
      </w:r>
      <w:r w:rsidRPr="002A5B99">
        <w:rPr>
          <w:rFonts w:ascii="Times New Roman" w:hAnsi="Times New Roman" w:cs="Times New Roman"/>
          <w:color w:val="000000" w:themeColor="text1"/>
          <w:sz w:val="24"/>
        </w:rPr>
        <w:t xml:space="preserve"> The Regional Water Board developed the requirements in this </w:t>
      </w:r>
      <w:r w:rsidR="0005714F" w:rsidRPr="002A5B99">
        <w:rPr>
          <w:rFonts w:ascii="Times New Roman" w:hAnsi="Times New Roman" w:cs="Times New Roman"/>
          <w:color w:val="000000" w:themeColor="text1"/>
          <w:sz w:val="24"/>
        </w:rPr>
        <w:t>Order</w:t>
      </w:r>
      <w:r w:rsidRPr="002A5B99">
        <w:rPr>
          <w:rFonts w:ascii="Times New Roman" w:hAnsi="Times New Roman" w:cs="Times New Roman"/>
          <w:color w:val="000000" w:themeColor="text1"/>
          <w:sz w:val="24"/>
        </w:rPr>
        <w:t xml:space="preserve"> based </w:t>
      </w:r>
      <w:r w:rsidR="000C303B" w:rsidRPr="002A5B99">
        <w:rPr>
          <w:rFonts w:ascii="Times New Roman" w:hAnsi="Times New Roman" w:cs="Times New Roman"/>
          <w:color w:val="000000" w:themeColor="text1"/>
          <w:sz w:val="24"/>
        </w:rPr>
        <w:t xml:space="preserve">on detailed technical analyses which provide the foundation for the </w:t>
      </w:r>
      <w:r w:rsidR="003B3F50">
        <w:rPr>
          <w:rFonts w:ascii="Times New Roman" w:hAnsi="Times New Roman" w:cs="Times New Roman"/>
          <w:color w:val="000000" w:themeColor="text1"/>
          <w:sz w:val="24"/>
        </w:rPr>
        <w:t>Mercury and PCBs TMDL</w:t>
      </w:r>
      <w:r w:rsidR="000C303B" w:rsidRPr="002A5B99">
        <w:rPr>
          <w:rFonts w:ascii="Times New Roman" w:hAnsi="Times New Roman" w:cs="Times New Roman"/>
          <w:color w:val="000000" w:themeColor="text1"/>
          <w:sz w:val="24"/>
        </w:rPr>
        <w:t>.</w:t>
      </w:r>
      <w:r w:rsidR="003F64E4" w:rsidRPr="002A5B99">
        <w:rPr>
          <w:rFonts w:ascii="Times New Roman" w:hAnsi="Times New Roman" w:cs="Times New Roman"/>
          <w:color w:val="000000" w:themeColor="text1"/>
          <w:sz w:val="24"/>
        </w:rPr>
        <w:t xml:space="preserve"> </w:t>
      </w:r>
      <w:r w:rsidRPr="002A5B99">
        <w:rPr>
          <w:rFonts w:ascii="Times New Roman" w:hAnsi="Times New Roman" w:cs="Times New Roman"/>
          <w:color w:val="000000" w:themeColor="text1"/>
          <w:sz w:val="24"/>
        </w:rPr>
        <w:t xml:space="preserve">The Fact Sheet contains background information and rationale for the requirements in this </w:t>
      </w:r>
      <w:r w:rsidR="0005714F" w:rsidRPr="002A5B99">
        <w:rPr>
          <w:rFonts w:ascii="Times New Roman" w:hAnsi="Times New Roman" w:cs="Times New Roman"/>
          <w:color w:val="000000" w:themeColor="text1"/>
          <w:sz w:val="24"/>
        </w:rPr>
        <w:t>Order</w:t>
      </w:r>
      <w:r w:rsidR="006D0B03" w:rsidRPr="002A5B99">
        <w:rPr>
          <w:rFonts w:ascii="Times New Roman" w:hAnsi="Times New Roman" w:cs="Times New Roman"/>
          <w:color w:val="000000" w:themeColor="text1"/>
          <w:sz w:val="24"/>
        </w:rPr>
        <w:t xml:space="preserve"> and</w:t>
      </w:r>
      <w:r w:rsidRPr="002A5B99">
        <w:rPr>
          <w:rFonts w:ascii="Times New Roman" w:hAnsi="Times New Roman" w:cs="Times New Roman"/>
          <w:color w:val="000000" w:themeColor="text1"/>
          <w:sz w:val="24"/>
        </w:rPr>
        <w:t xml:space="preserve"> is hereby incorporated into and constitutes </w:t>
      </w:r>
      <w:r w:rsidR="006D0B03" w:rsidRPr="002A5B99">
        <w:rPr>
          <w:rFonts w:ascii="Times New Roman" w:hAnsi="Times New Roman" w:cs="Times New Roman"/>
          <w:color w:val="000000" w:themeColor="text1"/>
          <w:sz w:val="24"/>
        </w:rPr>
        <w:t>f</w:t>
      </w:r>
      <w:r w:rsidRPr="002A5B99">
        <w:rPr>
          <w:rFonts w:ascii="Times New Roman" w:hAnsi="Times New Roman" w:cs="Times New Roman"/>
          <w:color w:val="000000" w:themeColor="text1"/>
          <w:sz w:val="24"/>
        </w:rPr>
        <w:t xml:space="preserve">indings for this </w:t>
      </w:r>
      <w:r w:rsidR="0005714F" w:rsidRPr="002A5B99">
        <w:rPr>
          <w:rFonts w:ascii="Times New Roman" w:hAnsi="Times New Roman" w:cs="Times New Roman"/>
          <w:color w:val="000000" w:themeColor="text1"/>
          <w:sz w:val="24"/>
        </w:rPr>
        <w:t>Order</w:t>
      </w:r>
      <w:r w:rsidRPr="002A5B99">
        <w:rPr>
          <w:rFonts w:ascii="Times New Roman" w:hAnsi="Times New Roman" w:cs="Times New Roman"/>
          <w:color w:val="000000" w:themeColor="text1"/>
          <w:sz w:val="24"/>
        </w:rPr>
        <w:t xml:space="preserve">. Attachments </w:t>
      </w:r>
      <w:r w:rsidR="00595AF0" w:rsidRPr="002A5B99">
        <w:rPr>
          <w:rFonts w:ascii="Times New Roman" w:hAnsi="Times New Roman" w:cs="Times New Roman"/>
          <w:color w:val="000000" w:themeColor="text1"/>
          <w:sz w:val="24"/>
        </w:rPr>
        <w:t xml:space="preserve">A through </w:t>
      </w:r>
      <w:r w:rsidRPr="002A5B99">
        <w:rPr>
          <w:rFonts w:ascii="Times New Roman" w:hAnsi="Times New Roman" w:cs="Times New Roman"/>
          <w:color w:val="000000" w:themeColor="text1"/>
          <w:sz w:val="24"/>
        </w:rPr>
        <w:t>E</w:t>
      </w:r>
      <w:r w:rsidR="005738D4" w:rsidRPr="002A5B99">
        <w:rPr>
          <w:rFonts w:ascii="Times New Roman" w:hAnsi="Times New Roman" w:cs="Times New Roman"/>
          <w:color w:val="000000" w:themeColor="text1"/>
          <w:sz w:val="24"/>
        </w:rPr>
        <w:t xml:space="preserve"> </w:t>
      </w:r>
      <w:r w:rsidRPr="002A5B99">
        <w:rPr>
          <w:rFonts w:ascii="Times New Roman" w:hAnsi="Times New Roman" w:cs="Times New Roman"/>
          <w:color w:val="000000" w:themeColor="text1"/>
          <w:sz w:val="24"/>
        </w:rPr>
        <w:t xml:space="preserve">are also incorporated into this </w:t>
      </w:r>
      <w:r w:rsidR="0005714F" w:rsidRPr="002A5B99">
        <w:rPr>
          <w:rFonts w:ascii="Times New Roman" w:hAnsi="Times New Roman" w:cs="Times New Roman"/>
          <w:color w:val="000000" w:themeColor="text1"/>
          <w:sz w:val="24"/>
        </w:rPr>
        <w:t>Order</w:t>
      </w:r>
      <w:r w:rsidRPr="002A5B99">
        <w:rPr>
          <w:rFonts w:ascii="Times New Roman" w:hAnsi="Times New Roman" w:cs="Times New Roman"/>
          <w:color w:val="000000" w:themeColor="text1"/>
          <w:sz w:val="24"/>
        </w:rPr>
        <w:t>.</w:t>
      </w:r>
    </w:p>
    <w:p w14:paraId="070231DF" w14:textId="77777777" w:rsidR="0016072C" w:rsidRPr="002A5B99" w:rsidRDefault="0016072C" w:rsidP="00F009DF">
      <w:pPr>
        <w:pStyle w:val="H-indent2525"/>
        <w:numPr>
          <w:ilvl w:val="0"/>
          <w:numId w:val="12"/>
        </w:numPr>
        <w:rPr>
          <w:rFonts w:ascii="Times New Roman" w:hAnsi="Times New Roman" w:cs="Times New Roman"/>
          <w:color w:val="000000" w:themeColor="text1"/>
          <w:sz w:val="24"/>
        </w:rPr>
      </w:pPr>
      <w:r w:rsidRPr="002A5B99">
        <w:rPr>
          <w:rFonts w:ascii="Times New Roman" w:hAnsi="Times New Roman" w:cs="Times New Roman"/>
          <w:b/>
          <w:color w:val="000000" w:themeColor="text1"/>
          <w:sz w:val="24"/>
        </w:rPr>
        <w:t>Provisions and Requirements Implementing State Law.</w:t>
      </w:r>
      <w:r w:rsidRPr="002A5B99">
        <w:rPr>
          <w:rFonts w:ascii="Times New Roman" w:hAnsi="Times New Roman" w:cs="Times New Roman"/>
          <w:color w:val="000000" w:themeColor="text1"/>
          <w:sz w:val="24"/>
        </w:rPr>
        <w:t xml:space="preserve"> </w:t>
      </w:r>
      <w:r w:rsidR="00CA0A41" w:rsidRPr="002A5B99">
        <w:rPr>
          <w:rFonts w:ascii="Times New Roman" w:hAnsi="Times New Roman" w:cs="Times New Roman"/>
          <w:color w:val="000000" w:themeColor="text1"/>
          <w:sz w:val="24"/>
        </w:rPr>
        <w:t>No provisions or requirements in this Order are included to implement State law only.</w:t>
      </w:r>
    </w:p>
    <w:p w14:paraId="7A3FF6E0" w14:textId="6C231B10" w:rsidR="0016072C" w:rsidRPr="002A5B99" w:rsidRDefault="0016072C" w:rsidP="00F009DF">
      <w:pPr>
        <w:pStyle w:val="H-indent2525"/>
        <w:numPr>
          <w:ilvl w:val="0"/>
          <w:numId w:val="12"/>
        </w:numPr>
        <w:rPr>
          <w:rFonts w:ascii="Times New Roman" w:hAnsi="Times New Roman" w:cs="Times New Roman"/>
          <w:color w:val="000000" w:themeColor="text1"/>
          <w:sz w:val="24"/>
        </w:rPr>
      </w:pPr>
      <w:r w:rsidRPr="002A5B99">
        <w:rPr>
          <w:rFonts w:ascii="Times New Roman" w:hAnsi="Times New Roman" w:cs="Times New Roman"/>
          <w:b/>
          <w:color w:val="000000" w:themeColor="text1"/>
          <w:sz w:val="24"/>
        </w:rPr>
        <w:t>Notification of Interested Parties.</w:t>
      </w:r>
      <w:r w:rsidRPr="002A5B99">
        <w:rPr>
          <w:rFonts w:ascii="Times New Roman" w:hAnsi="Times New Roman" w:cs="Times New Roman"/>
          <w:color w:val="000000" w:themeColor="text1"/>
          <w:sz w:val="24"/>
        </w:rPr>
        <w:t xml:space="preserve"> The Regional Water Board notified the Discharger</w:t>
      </w:r>
      <w:r w:rsidR="00D212B9" w:rsidRPr="002A5B99">
        <w:rPr>
          <w:rFonts w:ascii="Times New Roman" w:hAnsi="Times New Roman" w:cs="Times New Roman"/>
          <w:color w:val="000000" w:themeColor="text1"/>
          <w:sz w:val="24"/>
        </w:rPr>
        <w:t>s</w:t>
      </w:r>
      <w:r w:rsidRPr="002A5B99">
        <w:rPr>
          <w:rFonts w:ascii="Times New Roman" w:hAnsi="Times New Roman" w:cs="Times New Roman"/>
          <w:color w:val="000000" w:themeColor="text1"/>
          <w:sz w:val="24"/>
        </w:rPr>
        <w:t xml:space="preserve"> and interested agencies and persons of its intent to prescribe </w:t>
      </w:r>
      <w:r w:rsidR="006D0B03" w:rsidRPr="002A5B99">
        <w:rPr>
          <w:rFonts w:ascii="Times New Roman" w:hAnsi="Times New Roman" w:cs="Times New Roman"/>
          <w:color w:val="000000" w:themeColor="text1"/>
          <w:sz w:val="24"/>
        </w:rPr>
        <w:t xml:space="preserve">these </w:t>
      </w:r>
      <w:r w:rsidRPr="002A5B99">
        <w:rPr>
          <w:rFonts w:ascii="Times New Roman" w:hAnsi="Times New Roman" w:cs="Times New Roman"/>
          <w:color w:val="000000" w:themeColor="text1"/>
          <w:sz w:val="24"/>
        </w:rPr>
        <w:t xml:space="preserve">WDRs and provided an opportunity to submit written comments and recommendations. </w:t>
      </w:r>
      <w:r w:rsidR="00D1346B" w:rsidRPr="002A5B99">
        <w:rPr>
          <w:rFonts w:ascii="Times New Roman" w:hAnsi="Times New Roman" w:cs="Times New Roman"/>
          <w:color w:val="000000" w:themeColor="text1"/>
          <w:sz w:val="24"/>
        </w:rPr>
        <w:t>The Fact Sheet provides d</w:t>
      </w:r>
      <w:r w:rsidRPr="002A5B99">
        <w:rPr>
          <w:rFonts w:ascii="Times New Roman" w:hAnsi="Times New Roman" w:cs="Times New Roman"/>
          <w:color w:val="000000" w:themeColor="text1"/>
          <w:sz w:val="24"/>
        </w:rPr>
        <w:t xml:space="preserve">etails </w:t>
      </w:r>
      <w:r w:rsidR="006D0B03" w:rsidRPr="002A5B99">
        <w:rPr>
          <w:rFonts w:ascii="Times New Roman" w:hAnsi="Times New Roman" w:cs="Times New Roman"/>
          <w:color w:val="000000" w:themeColor="text1"/>
          <w:sz w:val="24"/>
        </w:rPr>
        <w:t>regarding</w:t>
      </w:r>
      <w:r w:rsidRPr="002A5B99">
        <w:rPr>
          <w:rFonts w:ascii="Times New Roman" w:hAnsi="Times New Roman" w:cs="Times New Roman"/>
          <w:color w:val="000000" w:themeColor="text1"/>
          <w:sz w:val="24"/>
        </w:rPr>
        <w:t xml:space="preserve"> the notification.</w:t>
      </w:r>
    </w:p>
    <w:p w14:paraId="02EED86E" w14:textId="045A3F1D" w:rsidR="0016072C" w:rsidRPr="002A5B99" w:rsidRDefault="0016072C" w:rsidP="0016072C">
      <w:pPr>
        <w:pStyle w:val="H-indent2525"/>
        <w:rPr>
          <w:rFonts w:ascii="Times New Roman" w:hAnsi="Times New Roman" w:cs="Times New Roman"/>
          <w:color w:val="000000" w:themeColor="text1"/>
          <w:sz w:val="24"/>
        </w:rPr>
      </w:pPr>
      <w:r w:rsidRPr="002A5B99">
        <w:rPr>
          <w:rFonts w:ascii="Times New Roman" w:hAnsi="Times New Roman" w:cs="Times New Roman"/>
          <w:b/>
          <w:color w:val="000000" w:themeColor="text1"/>
          <w:sz w:val="24"/>
        </w:rPr>
        <w:t>E.</w:t>
      </w:r>
      <w:r w:rsidRPr="002A5B99">
        <w:rPr>
          <w:rFonts w:ascii="Times New Roman" w:hAnsi="Times New Roman" w:cs="Times New Roman"/>
          <w:b/>
          <w:color w:val="000000" w:themeColor="text1"/>
          <w:sz w:val="24"/>
        </w:rPr>
        <w:tab/>
        <w:t>Consideration of Public Comment.</w:t>
      </w:r>
      <w:r w:rsidRPr="002A5B99">
        <w:rPr>
          <w:rFonts w:ascii="Times New Roman" w:hAnsi="Times New Roman" w:cs="Times New Roman"/>
          <w:color w:val="000000" w:themeColor="text1"/>
          <w:sz w:val="24"/>
        </w:rPr>
        <w:t xml:space="preserve"> The </w:t>
      </w:r>
      <w:r w:rsidR="00A24C02" w:rsidRPr="002A5B99">
        <w:rPr>
          <w:rFonts w:ascii="Times New Roman" w:hAnsi="Times New Roman" w:cs="Times New Roman"/>
          <w:color w:val="000000" w:themeColor="text1"/>
          <w:sz w:val="24"/>
        </w:rPr>
        <w:t>Regional Water Board</w:t>
      </w:r>
      <w:r w:rsidRPr="002A5B99">
        <w:rPr>
          <w:rFonts w:ascii="Times New Roman" w:hAnsi="Times New Roman" w:cs="Times New Roman"/>
          <w:color w:val="000000" w:themeColor="text1"/>
          <w:sz w:val="24"/>
        </w:rPr>
        <w:t>, in a public meeting, heard and considered all comments pertaining to the discharge</w:t>
      </w:r>
      <w:r w:rsidR="00D212B9" w:rsidRPr="002A5B99">
        <w:rPr>
          <w:rFonts w:ascii="Times New Roman" w:hAnsi="Times New Roman" w:cs="Times New Roman"/>
          <w:color w:val="000000" w:themeColor="text1"/>
          <w:sz w:val="24"/>
        </w:rPr>
        <w:t>s</w:t>
      </w:r>
      <w:r w:rsidRPr="002A5B99">
        <w:rPr>
          <w:rFonts w:ascii="Times New Roman" w:hAnsi="Times New Roman" w:cs="Times New Roman"/>
          <w:color w:val="000000" w:themeColor="text1"/>
          <w:sz w:val="24"/>
        </w:rPr>
        <w:t xml:space="preserve">. </w:t>
      </w:r>
      <w:r w:rsidR="00A24C02" w:rsidRPr="002A5B99">
        <w:rPr>
          <w:rFonts w:ascii="Times New Roman" w:hAnsi="Times New Roman" w:cs="Times New Roman"/>
          <w:color w:val="000000" w:themeColor="text1"/>
          <w:sz w:val="24"/>
        </w:rPr>
        <w:t>The Fact Sheet provides d</w:t>
      </w:r>
      <w:r w:rsidRPr="002A5B99">
        <w:rPr>
          <w:rFonts w:ascii="Times New Roman" w:hAnsi="Times New Roman" w:cs="Times New Roman"/>
          <w:color w:val="000000" w:themeColor="text1"/>
          <w:sz w:val="24"/>
        </w:rPr>
        <w:t xml:space="preserve">etails </w:t>
      </w:r>
      <w:r w:rsidR="006D0B03" w:rsidRPr="002A5B99">
        <w:rPr>
          <w:rFonts w:ascii="Times New Roman" w:hAnsi="Times New Roman" w:cs="Times New Roman"/>
          <w:color w:val="000000" w:themeColor="text1"/>
          <w:sz w:val="24"/>
        </w:rPr>
        <w:t>regarding</w:t>
      </w:r>
      <w:r w:rsidRPr="002A5B99">
        <w:rPr>
          <w:rFonts w:ascii="Times New Roman" w:hAnsi="Times New Roman" w:cs="Times New Roman"/>
          <w:color w:val="000000" w:themeColor="text1"/>
          <w:sz w:val="24"/>
        </w:rPr>
        <w:t xml:space="preserve"> the </w:t>
      </w:r>
      <w:r w:rsidR="00A24C02" w:rsidRPr="002A5B99">
        <w:rPr>
          <w:rFonts w:ascii="Times New Roman" w:hAnsi="Times New Roman" w:cs="Times New Roman"/>
          <w:color w:val="000000" w:themeColor="text1"/>
          <w:sz w:val="24"/>
        </w:rPr>
        <w:t>p</w:t>
      </w:r>
      <w:r w:rsidRPr="002A5B99">
        <w:rPr>
          <w:rFonts w:ascii="Times New Roman" w:hAnsi="Times New Roman" w:cs="Times New Roman"/>
          <w:color w:val="000000" w:themeColor="text1"/>
          <w:sz w:val="24"/>
        </w:rPr>
        <w:t xml:space="preserve">ublic </w:t>
      </w:r>
      <w:r w:rsidR="00A24C02" w:rsidRPr="002A5B99">
        <w:rPr>
          <w:rFonts w:ascii="Times New Roman" w:hAnsi="Times New Roman" w:cs="Times New Roman"/>
          <w:color w:val="000000" w:themeColor="text1"/>
          <w:sz w:val="24"/>
        </w:rPr>
        <w:t>h</w:t>
      </w:r>
      <w:r w:rsidRPr="002A5B99">
        <w:rPr>
          <w:rFonts w:ascii="Times New Roman" w:hAnsi="Times New Roman" w:cs="Times New Roman"/>
          <w:color w:val="000000" w:themeColor="text1"/>
          <w:sz w:val="24"/>
        </w:rPr>
        <w:t>earing.</w:t>
      </w:r>
    </w:p>
    <w:p w14:paraId="1FF19A8D" w14:textId="77777777" w:rsidR="00F878D4" w:rsidRPr="002A5B99" w:rsidRDefault="00F21633" w:rsidP="003B19EC">
      <w:pPr>
        <w:pStyle w:val="Paratext"/>
        <w:rPr>
          <w:color w:val="000000" w:themeColor="text1"/>
        </w:rPr>
      </w:pPr>
      <w:bookmarkStart w:id="11" w:name="_Toc93309569"/>
      <w:r w:rsidRPr="002A5B99">
        <w:rPr>
          <w:b/>
          <w:color w:val="000000" w:themeColor="text1"/>
        </w:rPr>
        <w:t xml:space="preserve">THEREFORE, </w:t>
      </w:r>
      <w:r w:rsidR="00F878D4" w:rsidRPr="002A5B99">
        <w:rPr>
          <w:b/>
          <w:color w:val="000000" w:themeColor="text1"/>
        </w:rPr>
        <w:t xml:space="preserve">IT IS HEREBY </w:t>
      </w:r>
      <w:r w:rsidR="0005714F" w:rsidRPr="002A5B99">
        <w:rPr>
          <w:b/>
          <w:color w:val="000000" w:themeColor="text1"/>
        </w:rPr>
        <w:t>ORDER</w:t>
      </w:r>
      <w:r w:rsidR="00F878D4" w:rsidRPr="002A5B99">
        <w:rPr>
          <w:b/>
          <w:color w:val="000000" w:themeColor="text1"/>
        </w:rPr>
        <w:t>ED</w:t>
      </w:r>
      <w:r w:rsidR="00F878D4" w:rsidRPr="002A5B99">
        <w:rPr>
          <w:color w:val="000000" w:themeColor="text1"/>
        </w:rPr>
        <w:t xml:space="preserve"> </w:t>
      </w:r>
      <w:r w:rsidRPr="002A5B99">
        <w:rPr>
          <w:color w:val="000000" w:themeColor="text1"/>
        </w:rPr>
        <w:t xml:space="preserve">that </w:t>
      </w:r>
      <w:r w:rsidR="008021F8" w:rsidRPr="002A5B99">
        <w:rPr>
          <w:color w:val="000000" w:themeColor="text1"/>
        </w:rPr>
        <w:t>O</w:t>
      </w:r>
      <w:r w:rsidR="0005714F" w:rsidRPr="002A5B99">
        <w:rPr>
          <w:color w:val="000000" w:themeColor="text1"/>
        </w:rPr>
        <w:t>rder</w:t>
      </w:r>
      <w:r w:rsidR="006C1122" w:rsidRPr="002A5B99">
        <w:rPr>
          <w:color w:val="000000" w:themeColor="text1"/>
        </w:rPr>
        <w:t xml:space="preserve"> No.</w:t>
      </w:r>
      <w:r w:rsidRPr="002A5B99">
        <w:rPr>
          <w:color w:val="000000" w:themeColor="text1"/>
        </w:rPr>
        <w:t xml:space="preserve"> </w:t>
      </w:r>
      <w:r w:rsidR="00274370" w:rsidRPr="002A5B99">
        <w:rPr>
          <w:color w:val="000000" w:themeColor="text1"/>
        </w:rPr>
        <w:t>R2-</w:t>
      </w:r>
      <w:r w:rsidR="00122DCC" w:rsidRPr="002A5B99">
        <w:rPr>
          <w:color w:val="000000" w:themeColor="text1"/>
        </w:rPr>
        <w:t>2012</w:t>
      </w:r>
      <w:r w:rsidR="00274370" w:rsidRPr="002A5B99">
        <w:rPr>
          <w:color w:val="000000" w:themeColor="text1"/>
        </w:rPr>
        <w:t>-</w:t>
      </w:r>
      <w:r w:rsidR="00C915FB" w:rsidRPr="002A5B99">
        <w:rPr>
          <w:color w:val="000000" w:themeColor="text1"/>
        </w:rPr>
        <w:t>00</w:t>
      </w:r>
      <w:r w:rsidR="00B319B1" w:rsidRPr="002A5B99">
        <w:rPr>
          <w:color w:val="000000" w:themeColor="text1"/>
        </w:rPr>
        <w:t>96</w:t>
      </w:r>
      <w:r w:rsidR="00C915FB" w:rsidRPr="002A5B99">
        <w:rPr>
          <w:color w:val="000000" w:themeColor="text1"/>
        </w:rPr>
        <w:t xml:space="preserve"> </w:t>
      </w:r>
      <w:r w:rsidR="005C0691" w:rsidRPr="002A5B99">
        <w:rPr>
          <w:color w:val="000000" w:themeColor="text1"/>
        </w:rPr>
        <w:t xml:space="preserve">(previous order) </w:t>
      </w:r>
      <w:r w:rsidR="002F5D3C" w:rsidRPr="002A5B99">
        <w:rPr>
          <w:color w:val="000000" w:themeColor="text1"/>
        </w:rPr>
        <w:t>is</w:t>
      </w:r>
      <w:r w:rsidR="0058372B" w:rsidRPr="002A5B99">
        <w:rPr>
          <w:color w:val="000000" w:themeColor="text1"/>
        </w:rPr>
        <w:t xml:space="preserve"> </w:t>
      </w:r>
      <w:r w:rsidRPr="002A5B99">
        <w:rPr>
          <w:color w:val="000000" w:themeColor="text1"/>
        </w:rPr>
        <w:t xml:space="preserve">rescinded upon the effective date of this </w:t>
      </w:r>
      <w:r w:rsidR="0005714F" w:rsidRPr="002A5B99">
        <w:rPr>
          <w:color w:val="000000" w:themeColor="text1"/>
        </w:rPr>
        <w:t>Order</w:t>
      </w:r>
      <w:r w:rsidR="006D1B2D" w:rsidRPr="002A5B99">
        <w:rPr>
          <w:color w:val="000000" w:themeColor="text1"/>
        </w:rPr>
        <w:t>,</w:t>
      </w:r>
      <w:r w:rsidRPr="002A5B99">
        <w:rPr>
          <w:color w:val="000000" w:themeColor="text1"/>
        </w:rPr>
        <w:t xml:space="preserve"> except for enforcement purposes, and, in </w:t>
      </w:r>
      <w:r w:rsidR="00783E4F" w:rsidRPr="002A5B99">
        <w:rPr>
          <w:color w:val="000000" w:themeColor="text1"/>
        </w:rPr>
        <w:t>order</w:t>
      </w:r>
      <w:r w:rsidR="00544DCA" w:rsidRPr="002A5B99">
        <w:rPr>
          <w:color w:val="000000" w:themeColor="text1"/>
        </w:rPr>
        <w:t xml:space="preserve"> </w:t>
      </w:r>
      <w:r w:rsidRPr="002A5B99">
        <w:rPr>
          <w:color w:val="000000" w:themeColor="text1"/>
        </w:rPr>
        <w:t xml:space="preserve">to meet the provisions </w:t>
      </w:r>
      <w:r w:rsidR="00E62408" w:rsidRPr="002A5B99">
        <w:rPr>
          <w:color w:val="000000" w:themeColor="text1"/>
        </w:rPr>
        <w:t>of</w:t>
      </w:r>
      <w:r w:rsidRPr="002A5B99">
        <w:rPr>
          <w:color w:val="000000" w:themeColor="text1"/>
        </w:rPr>
        <w:t xml:space="preserve"> </w:t>
      </w:r>
      <w:r w:rsidR="00E62408" w:rsidRPr="002A5B99">
        <w:rPr>
          <w:color w:val="000000" w:themeColor="text1"/>
        </w:rPr>
        <w:t xml:space="preserve">Water Code </w:t>
      </w:r>
      <w:r w:rsidRPr="002A5B99">
        <w:rPr>
          <w:color w:val="000000" w:themeColor="text1"/>
        </w:rPr>
        <w:t xml:space="preserve">division 7 (commencing with </w:t>
      </w:r>
      <w:r w:rsidR="00E62408" w:rsidRPr="002A5B99">
        <w:rPr>
          <w:color w:val="000000" w:themeColor="text1"/>
        </w:rPr>
        <w:t>§</w:t>
      </w:r>
      <w:r w:rsidRPr="002A5B99">
        <w:rPr>
          <w:color w:val="000000" w:themeColor="text1"/>
        </w:rPr>
        <w:t xml:space="preserve"> 13000) and</w:t>
      </w:r>
      <w:r w:rsidR="00B8682E" w:rsidRPr="002A5B99">
        <w:rPr>
          <w:color w:val="000000" w:themeColor="text1"/>
        </w:rPr>
        <w:t xml:space="preserve"> regulations adopted thereunder</w:t>
      </w:r>
      <w:r w:rsidRPr="002A5B99">
        <w:rPr>
          <w:color w:val="000000" w:themeColor="text1"/>
        </w:rPr>
        <w:t xml:space="preserve"> and the provisions of the CWA and regulations and guidelines adopted thereunder, the Discharger</w:t>
      </w:r>
      <w:r w:rsidR="00B319B1" w:rsidRPr="002A5B99">
        <w:rPr>
          <w:color w:val="000000" w:themeColor="text1"/>
        </w:rPr>
        <w:t>s</w:t>
      </w:r>
      <w:r w:rsidRPr="002A5B99">
        <w:rPr>
          <w:color w:val="000000" w:themeColor="text1"/>
        </w:rPr>
        <w:t xml:space="preserve"> shall comply with the requirements in this </w:t>
      </w:r>
      <w:r w:rsidR="0005714F" w:rsidRPr="002A5B99">
        <w:rPr>
          <w:color w:val="000000" w:themeColor="text1"/>
        </w:rPr>
        <w:t>Order</w:t>
      </w:r>
      <w:r w:rsidRPr="002A5B99">
        <w:rPr>
          <w:color w:val="000000" w:themeColor="text1"/>
        </w:rPr>
        <w:t xml:space="preserve">. This action in no way prevents the Regional Water Board from taking enforcement action for past violations of the previous </w:t>
      </w:r>
      <w:r w:rsidR="008368EB" w:rsidRPr="002A5B99">
        <w:rPr>
          <w:color w:val="000000" w:themeColor="text1"/>
        </w:rPr>
        <w:t>o</w:t>
      </w:r>
      <w:r w:rsidR="0005714F" w:rsidRPr="002A5B99">
        <w:rPr>
          <w:color w:val="000000" w:themeColor="text1"/>
        </w:rPr>
        <w:t>rder</w:t>
      </w:r>
      <w:r w:rsidRPr="002A5B99">
        <w:rPr>
          <w:color w:val="000000" w:themeColor="text1"/>
        </w:rPr>
        <w:t xml:space="preserve">. </w:t>
      </w:r>
    </w:p>
    <w:p w14:paraId="12C2DB9C" w14:textId="77777777" w:rsidR="00F878D4" w:rsidRPr="002A5B99" w:rsidRDefault="00F878D4">
      <w:pPr>
        <w:pStyle w:val="Heading1"/>
        <w:rPr>
          <w:rFonts w:ascii="Times New Roman" w:hAnsi="Times New Roman"/>
          <w:bCs/>
          <w:color w:val="000000" w:themeColor="text1"/>
          <w:sz w:val="24"/>
        </w:rPr>
      </w:pPr>
      <w:bookmarkStart w:id="12" w:name="_Toc340137575"/>
      <w:bookmarkStart w:id="13" w:name="_Toc488046253"/>
      <w:r w:rsidRPr="002A5B99">
        <w:rPr>
          <w:rFonts w:ascii="Times New Roman" w:hAnsi="Times New Roman"/>
          <w:color w:val="000000" w:themeColor="text1"/>
          <w:sz w:val="24"/>
        </w:rPr>
        <w:t>III.</w:t>
      </w:r>
      <w:r w:rsidRPr="002A5B99">
        <w:rPr>
          <w:rFonts w:ascii="Times New Roman" w:hAnsi="Times New Roman"/>
          <w:color w:val="000000" w:themeColor="text1"/>
          <w:sz w:val="24"/>
        </w:rPr>
        <w:tab/>
        <w:t>Discharge Prohibitions</w:t>
      </w:r>
      <w:bookmarkEnd w:id="11"/>
      <w:bookmarkEnd w:id="12"/>
      <w:bookmarkEnd w:id="13"/>
    </w:p>
    <w:p w14:paraId="586FA59E" w14:textId="17438B20" w:rsidR="00966AC7" w:rsidRPr="002A5B99" w:rsidRDefault="00632C86" w:rsidP="00632C86">
      <w:pPr>
        <w:ind w:firstLine="360"/>
        <w:rPr>
          <w:color w:val="000000" w:themeColor="text1"/>
          <w:sz w:val="24"/>
          <w:szCs w:val="24"/>
        </w:rPr>
      </w:pPr>
      <w:r w:rsidRPr="002A5B99">
        <w:rPr>
          <w:color w:val="000000" w:themeColor="text1"/>
          <w:sz w:val="24"/>
          <w:szCs w:val="24"/>
        </w:rPr>
        <w:t xml:space="preserve">This Order does not establish additional discharge prohibitions. </w:t>
      </w:r>
    </w:p>
    <w:p w14:paraId="153D116F" w14:textId="77777777" w:rsidR="006401EB" w:rsidRPr="002A5B99" w:rsidRDefault="006401EB" w:rsidP="00632C86">
      <w:pPr>
        <w:ind w:firstLine="360"/>
        <w:rPr>
          <w:color w:val="000000" w:themeColor="text1"/>
          <w:sz w:val="24"/>
          <w:szCs w:val="24"/>
        </w:rPr>
      </w:pPr>
    </w:p>
    <w:p w14:paraId="4E319635" w14:textId="77777777" w:rsidR="00F878D4" w:rsidRPr="002A5B99" w:rsidRDefault="008E7F01">
      <w:pPr>
        <w:pStyle w:val="Heading1"/>
        <w:rPr>
          <w:rFonts w:ascii="Times New Roman" w:hAnsi="Times New Roman"/>
          <w:color w:val="000000" w:themeColor="text1"/>
          <w:sz w:val="24"/>
        </w:rPr>
      </w:pPr>
      <w:bookmarkStart w:id="14" w:name="_Toc93309570"/>
      <w:bookmarkStart w:id="15" w:name="_Toc340137576"/>
      <w:bookmarkStart w:id="16" w:name="_Toc488046254"/>
      <w:r w:rsidRPr="002A5B99">
        <w:rPr>
          <w:rFonts w:ascii="Times New Roman" w:hAnsi="Times New Roman"/>
          <w:color w:val="000000" w:themeColor="text1"/>
          <w:sz w:val="24"/>
        </w:rPr>
        <w:lastRenderedPageBreak/>
        <w:t>IV.</w:t>
      </w:r>
      <w:r w:rsidRPr="002A5B99">
        <w:rPr>
          <w:rFonts w:ascii="Times New Roman" w:hAnsi="Times New Roman"/>
          <w:color w:val="000000" w:themeColor="text1"/>
          <w:sz w:val="24"/>
        </w:rPr>
        <w:tab/>
      </w:r>
      <w:r w:rsidR="00D926C6" w:rsidRPr="002A5B99">
        <w:rPr>
          <w:rFonts w:ascii="Times New Roman" w:hAnsi="Times New Roman"/>
          <w:color w:val="000000" w:themeColor="text1"/>
          <w:sz w:val="24"/>
        </w:rPr>
        <w:t xml:space="preserve">Effluent Limitations </w:t>
      </w:r>
      <w:r w:rsidR="00F878D4" w:rsidRPr="002A5B99">
        <w:rPr>
          <w:rFonts w:ascii="Times New Roman" w:hAnsi="Times New Roman"/>
          <w:color w:val="000000" w:themeColor="text1"/>
          <w:sz w:val="24"/>
        </w:rPr>
        <w:t>and Discharge Specifications</w:t>
      </w:r>
      <w:bookmarkEnd w:id="14"/>
      <w:bookmarkEnd w:id="15"/>
      <w:bookmarkEnd w:id="16"/>
    </w:p>
    <w:p w14:paraId="5F5C5A1A" w14:textId="29A6C51A" w:rsidR="00C72210" w:rsidRPr="002A5B99" w:rsidRDefault="002928FE" w:rsidP="00F009DF">
      <w:pPr>
        <w:pStyle w:val="H-indent2525"/>
        <w:numPr>
          <w:ilvl w:val="0"/>
          <w:numId w:val="28"/>
        </w:numPr>
        <w:rPr>
          <w:rFonts w:ascii="Times New Roman" w:hAnsi="Times New Roman"/>
          <w:b/>
          <w:bCs w:val="0"/>
          <w:color w:val="000000" w:themeColor="text1"/>
          <w:sz w:val="24"/>
        </w:rPr>
      </w:pPr>
      <w:r w:rsidRPr="002A5B99">
        <w:rPr>
          <w:rFonts w:ascii="Times New Roman" w:hAnsi="Times New Roman"/>
          <w:b/>
          <w:bCs w:val="0"/>
          <w:color w:val="000000" w:themeColor="text1"/>
          <w:sz w:val="24"/>
        </w:rPr>
        <w:t>Municipal Discharger Effluent Limitations for Mercury and PCBs</w:t>
      </w:r>
      <w:r w:rsidR="003312BB" w:rsidRPr="002A5B99">
        <w:rPr>
          <w:rFonts w:ascii="Times New Roman" w:hAnsi="Times New Roman"/>
          <w:b/>
          <w:bCs w:val="0"/>
          <w:color w:val="000000" w:themeColor="text1"/>
          <w:sz w:val="24"/>
        </w:rPr>
        <w:t xml:space="preserve">. </w:t>
      </w:r>
      <w:r w:rsidR="00E94A6C" w:rsidRPr="002A5B99">
        <w:rPr>
          <w:rFonts w:ascii="Times New Roman" w:hAnsi="Times New Roman"/>
          <w:bCs w:val="0"/>
          <w:color w:val="000000" w:themeColor="text1"/>
          <w:sz w:val="24"/>
        </w:rPr>
        <w:t>The Discharger</w:t>
      </w:r>
      <w:r w:rsidRPr="002A5B99">
        <w:rPr>
          <w:rFonts w:ascii="Times New Roman" w:hAnsi="Times New Roman"/>
          <w:bCs w:val="0"/>
          <w:color w:val="000000" w:themeColor="text1"/>
          <w:sz w:val="24"/>
        </w:rPr>
        <w:t>s</w:t>
      </w:r>
      <w:r w:rsidR="00E94A6C" w:rsidRPr="002A5B99">
        <w:rPr>
          <w:rFonts w:ascii="Times New Roman" w:hAnsi="Times New Roman"/>
          <w:bCs w:val="0"/>
          <w:color w:val="000000" w:themeColor="text1"/>
          <w:sz w:val="24"/>
        </w:rPr>
        <w:t xml:space="preserve"> shall comply with the following </w:t>
      </w:r>
      <w:r w:rsidR="00137587" w:rsidRPr="002A5B99">
        <w:rPr>
          <w:rFonts w:ascii="Times New Roman" w:hAnsi="Times New Roman"/>
          <w:bCs w:val="0"/>
          <w:color w:val="000000" w:themeColor="text1"/>
          <w:sz w:val="24"/>
        </w:rPr>
        <w:t xml:space="preserve">mass and concentration </w:t>
      </w:r>
      <w:r w:rsidR="00E94A6C" w:rsidRPr="002A5B99">
        <w:rPr>
          <w:rFonts w:ascii="Times New Roman" w:hAnsi="Times New Roman"/>
          <w:bCs w:val="0"/>
          <w:color w:val="000000" w:themeColor="text1"/>
          <w:sz w:val="24"/>
        </w:rPr>
        <w:t xml:space="preserve">effluent limitations at </w:t>
      </w:r>
      <w:r w:rsidR="00137587" w:rsidRPr="002A5B99">
        <w:rPr>
          <w:rFonts w:ascii="Times New Roman" w:hAnsi="Times New Roman"/>
          <w:bCs w:val="0"/>
          <w:color w:val="000000" w:themeColor="text1"/>
          <w:sz w:val="24"/>
        </w:rPr>
        <w:t>discharge p</w:t>
      </w:r>
      <w:r w:rsidR="00E94A6C" w:rsidRPr="002A5B99">
        <w:rPr>
          <w:rFonts w:ascii="Times New Roman" w:hAnsi="Times New Roman"/>
          <w:bCs w:val="0"/>
          <w:color w:val="000000" w:themeColor="text1"/>
          <w:sz w:val="24"/>
        </w:rPr>
        <w:t>oint</w:t>
      </w:r>
      <w:r w:rsidR="00D47B4B" w:rsidRPr="002A5B99">
        <w:rPr>
          <w:rFonts w:ascii="Times New Roman" w:hAnsi="Times New Roman"/>
          <w:bCs w:val="0"/>
          <w:color w:val="000000" w:themeColor="text1"/>
          <w:sz w:val="24"/>
        </w:rPr>
        <w:t>s</w:t>
      </w:r>
      <w:r w:rsidR="0074219E">
        <w:rPr>
          <w:rFonts w:ascii="Times New Roman" w:hAnsi="Times New Roman"/>
          <w:bCs w:val="0"/>
          <w:color w:val="000000" w:themeColor="text1"/>
          <w:sz w:val="24"/>
        </w:rPr>
        <w:t xml:space="preserve"> and monitoring locations </w:t>
      </w:r>
      <w:r w:rsidR="00137587" w:rsidRPr="002A5B99">
        <w:rPr>
          <w:rFonts w:ascii="Times New Roman" w:hAnsi="Times New Roman"/>
          <w:bCs w:val="0"/>
          <w:color w:val="000000" w:themeColor="text1"/>
          <w:sz w:val="24"/>
        </w:rPr>
        <w:t xml:space="preserve">specified in </w:t>
      </w:r>
      <w:r w:rsidR="0074219E">
        <w:rPr>
          <w:rFonts w:ascii="Times New Roman" w:hAnsi="Times New Roman"/>
          <w:bCs w:val="0"/>
          <w:color w:val="000000" w:themeColor="text1"/>
          <w:sz w:val="24"/>
        </w:rPr>
        <w:t>Attachment E</w:t>
      </w:r>
      <w:r w:rsidR="00E94A6C" w:rsidRPr="002A5B99">
        <w:rPr>
          <w:rFonts w:ascii="Times New Roman" w:hAnsi="Times New Roman"/>
          <w:bCs w:val="0"/>
          <w:color w:val="000000" w:themeColor="text1"/>
          <w:sz w:val="24"/>
        </w:rPr>
        <w:t>.</w:t>
      </w:r>
      <w:r w:rsidR="0074219E">
        <w:rPr>
          <w:rFonts w:ascii="Times New Roman" w:hAnsi="Times New Roman"/>
          <w:bCs w:val="0"/>
          <w:color w:val="000000" w:themeColor="text1"/>
          <w:sz w:val="24"/>
        </w:rPr>
        <w:t xml:space="preserve"> </w:t>
      </w:r>
      <w:r w:rsidRPr="002A5B99">
        <w:rPr>
          <w:rFonts w:ascii="Times New Roman" w:hAnsi="Times New Roman"/>
          <w:bCs w:val="0"/>
          <w:color w:val="000000" w:themeColor="text1"/>
          <w:sz w:val="24"/>
        </w:rPr>
        <w:t xml:space="preserve"> </w:t>
      </w:r>
    </w:p>
    <w:p w14:paraId="74F97208" w14:textId="650E507E" w:rsidR="002A70E8" w:rsidRPr="008F6BB8" w:rsidRDefault="00F878D4" w:rsidP="00424E9E">
      <w:pPr>
        <w:pStyle w:val="TableHeader1"/>
        <w:tabs>
          <w:tab w:val="left" w:pos="0"/>
        </w:tabs>
        <w:jc w:val="center"/>
        <w:rPr>
          <w:rFonts w:ascii="Times New Roman" w:hAnsi="Times New Roman" w:cs="Times New Roman"/>
          <w:color w:val="000000" w:themeColor="text1"/>
          <w:sz w:val="24"/>
          <w:szCs w:val="24"/>
        </w:rPr>
      </w:pPr>
      <w:bookmarkStart w:id="17" w:name="_Final_Effluent_Limitations"/>
      <w:bookmarkStart w:id="18" w:name="_Toc487382088"/>
      <w:bookmarkStart w:id="19" w:name="OLE_LINK11"/>
      <w:bookmarkStart w:id="20" w:name="OLE_LINK12"/>
      <w:bookmarkEnd w:id="17"/>
      <w:r w:rsidRPr="008F6BB8">
        <w:rPr>
          <w:rFonts w:ascii="Times New Roman" w:hAnsi="Times New Roman" w:cs="Times New Roman"/>
          <w:color w:val="000000" w:themeColor="text1"/>
          <w:sz w:val="24"/>
          <w:szCs w:val="24"/>
        </w:rPr>
        <w:t xml:space="preserve">Table </w:t>
      </w:r>
      <w:r w:rsidR="00E56C84" w:rsidRPr="008F6BB8">
        <w:rPr>
          <w:rFonts w:ascii="Times New Roman" w:hAnsi="Times New Roman" w:cs="Times New Roman"/>
          <w:color w:val="000000" w:themeColor="text1"/>
          <w:sz w:val="24"/>
          <w:szCs w:val="24"/>
        </w:rPr>
        <w:t>4</w:t>
      </w:r>
      <w:r w:rsidR="00311CE5" w:rsidRPr="008F6BB8">
        <w:rPr>
          <w:rFonts w:ascii="Times New Roman" w:hAnsi="Times New Roman" w:cs="Times New Roman"/>
          <w:color w:val="000000" w:themeColor="text1"/>
          <w:sz w:val="24"/>
          <w:szCs w:val="24"/>
        </w:rPr>
        <w:t>A</w:t>
      </w:r>
      <w:r w:rsidRPr="008F6BB8">
        <w:rPr>
          <w:rFonts w:ascii="Times New Roman" w:hAnsi="Times New Roman" w:cs="Times New Roman"/>
          <w:color w:val="000000" w:themeColor="text1"/>
          <w:sz w:val="24"/>
          <w:szCs w:val="24"/>
        </w:rPr>
        <w:t xml:space="preserve">. </w:t>
      </w:r>
      <w:r w:rsidR="00B84C10" w:rsidRPr="008F6BB8">
        <w:rPr>
          <w:rFonts w:ascii="Times New Roman" w:hAnsi="Times New Roman" w:cs="Times New Roman"/>
          <w:color w:val="000000" w:themeColor="text1"/>
          <w:sz w:val="24"/>
          <w:szCs w:val="24"/>
        </w:rPr>
        <w:t xml:space="preserve">Individual Mercury </w:t>
      </w:r>
      <w:r w:rsidR="00B75A97" w:rsidRPr="008F6BB8">
        <w:rPr>
          <w:rFonts w:ascii="Times New Roman" w:hAnsi="Times New Roman" w:cs="Times New Roman"/>
          <w:color w:val="000000" w:themeColor="text1"/>
          <w:sz w:val="24"/>
          <w:szCs w:val="24"/>
        </w:rPr>
        <w:t>Effluent Limitations</w:t>
      </w:r>
      <w:bookmarkEnd w:id="18"/>
    </w:p>
    <w:tbl>
      <w:tblPr>
        <w:tblStyle w:val="TableGrid"/>
        <w:tblW w:w="0" w:type="auto"/>
        <w:tblInd w:w="360" w:type="dxa"/>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2427"/>
        <w:gridCol w:w="2421"/>
        <w:gridCol w:w="2421"/>
        <w:gridCol w:w="2421"/>
      </w:tblGrid>
      <w:tr w:rsidR="00591153" w14:paraId="34180EBA" w14:textId="77777777" w:rsidTr="005230D6">
        <w:trPr>
          <w:tblHeader/>
        </w:trPr>
        <w:tc>
          <w:tcPr>
            <w:tcW w:w="2427" w:type="dxa"/>
            <w:vAlign w:val="center"/>
          </w:tcPr>
          <w:p w14:paraId="20988DE6" w14:textId="77777777" w:rsidR="00591153" w:rsidRPr="00591153" w:rsidRDefault="00591153" w:rsidP="00591153">
            <w:pPr>
              <w:jc w:val="center"/>
              <w:rPr>
                <w:b/>
                <w:color w:val="000000"/>
              </w:rPr>
            </w:pPr>
            <w:r w:rsidRPr="00591153">
              <w:rPr>
                <w:b/>
                <w:color w:val="000000"/>
              </w:rPr>
              <w:t>Discharger</w:t>
            </w:r>
          </w:p>
        </w:tc>
        <w:tc>
          <w:tcPr>
            <w:tcW w:w="2421" w:type="dxa"/>
            <w:vAlign w:val="center"/>
          </w:tcPr>
          <w:p w14:paraId="1788871A" w14:textId="6F25BFFD" w:rsidR="00591153" w:rsidRPr="00591153" w:rsidRDefault="00591153" w:rsidP="000F39AD">
            <w:pPr>
              <w:jc w:val="center"/>
              <w:rPr>
                <w:b/>
                <w:color w:val="000000"/>
              </w:rPr>
            </w:pPr>
            <w:r w:rsidRPr="00591153">
              <w:rPr>
                <w:b/>
                <w:color w:val="000000"/>
              </w:rPr>
              <w:t>Average Annual  Effluent Limit for Mercury</w:t>
            </w:r>
            <w:r w:rsidR="000F39AD">
              <w:rPr>
                <w:b/>
                <w:color w:val="000000"/>
                <w:vertAlign w:val="superscript"/>
              </w:rPr>
              <w:t xml:space="preserve">[1] </w:t>
            </w:r>
            <w:r w:rsidRPr="00591153">
              <w:rPr>
                <w:b/>
                <w:color w:val="000000"/>
              </w:rPr>
              <w:t>(kg/yr)</w:t>
            </w:r>
          </w:p>
        </w:tc>
        <w:tc>
          <w:tcPr>
            <w:tcW w:w="2421" w:type="dxa"/>
            <w:vAlign w:val="center"/>
          </w:tcPr>
          <w:p w14:paraId="6BB39C0D" w14:textId="77777777" w:rsidR="00591153" w:rsidRPr="00591153" w:rsidRDefault="00591153" w:rsidP="00591153">
            <w:pPr>
              <w:jc w:val="center"/>
              <w:rPr>
                <w:b/>
                <w:color w:val="000000"/>
              </w:rPr>
            </w:pPr>
            <w:r w:rsidRPr="00591153">
              <w:rPr>
                <w:b/>
                <w:color w:val="000000"/>
              </w:rPr>
              <w:t>Average Monthly Effluent Limit for Mercury</w:t>
            </w:r>
            <w:r w:rsidRPr="00591153">
              <w:rPr>
                <w:b/>
                <w:color w:val="000000"/>
                <w:vertAlign w:val="superscript"/>
              </w:rPr>
              <w:t xml:space="preserve"> </w:t>
            </w:r>
            <w:r w:rsidRPr="00591153">
              <w:rPr>
                <w:b/>
                <w:color w:val="000000"/>
              </w:rPr>
              <w:t>(µg/L)</w:t>
            </w:r>
          </w:p>
        </w:tc>
        <w:tc>
          <w:tcPr>
            <w:tcW w:w="2421" w:type="dxa"/>
            <w:vAlign w:val="center"/>
          </w:tcPr>
          <w:p w14:paraId="647693FC" w14:textId="77777777" w:rsidR="00591153" w:rsidRPr="00591153" w:rsidRDefault="00591153" w:rsidP="00591153">
            <w:pPr>
              <w:jc w:val="center"/>
              <w:rPr>
                <w:b/>
                <w:color w:val="000000"/>
              </w:rPr>
            </w:pPr>
            <w:r w:rsidRPr="00591153">
              <w:rPr>
                <w:b/>
                <w:color w:val="000000"/>
              </w:rPr>
              <w:t>Average Weekly Effluent Limit for Mercury</w:t>
            </w:r>
            <w:r w:rsidRPr="00591153">
              <w:rPr>
                <w:b/>
                <w:color w:val="000000"/>
                <w:vertAlign w:val="superscript"/>
              </w:rPr>
              <w:t xml:space="preserve"> </w:t>
            </w:r>
            <w:r w:rsidRPr="00591153">
              <w:rPr>
                <w:b/>
                <w:color w:val="000000"/>
              </w:rPr>
              <w:t>(µg/L)</w:t>
            </w:r>
          </w:p>
        </w:tc>
      </w:tr>
      <w:tr w:rsidR="00591153" w14:paraId="603AC9BF" w14:textId="77777777" w:rsidTr="00DC20DA">
        <w:tc>
          <w:tcPr>
            <w:tcW w:w="2427" w:type="dxa"/>
            <w:vAlign w:val="center"/>
          </w:tcPr>
          <w:p w14:paraId="19F9C9CB" w14:textId="77777777" w:rsidR="00591153" w:rsidRPr="00591153" w:rsidRDefault="00591153" w:rsidP="00591153">
            <w:r w:rsidRPr="00591153">
              <w:t>American Canyon, City of</w:t>
            </w:r>
          </w:p>
        </w:tc>
        <w:tc>
          <w:tcPr>
            <w:tcW w:w="2421" w:type="dxa"/>
            <w:vAlign w:val="center"/>
          </w:tcPr>
          <w:p w14:paraId="1EBF2A85" w14:textId="77777777" w:rsidR="00591153" w:rsidRPr="00591153" w:rsidRDefault="00591153" w:rsidP="00591153">
            <w:pPr>
              <w:jc w:val="center"/>
              <w:rPr>
                <w:color w:val="000000"/>
              </w:rPr>
            </w:pPr>
            <w:r w:rsidRPr="00591153">
              <w:rPr>
                <w:color w:val="000000"/>
              </w:rPr>
              <w:t>0.095</w:t>
            </w:r>
          </w:p>
        </w:tc>
        <w:tc>
          <w:tcPr>
            <w:tcW w:w="2421" w:type="dxa"/>
            <w:vAlign w:val="center"/>
          </w:tcPr>
          <w:p w14:paraId="26CEE584" w14:textId="77777777" w:rsidR="00591153" w:rsidRPr="00591153" w:rsidRDefault="00591153" w:rsidP="00591153">
            <w:pPr>
              <w:jc w:val="center"/>
              <w:rPr>
                <w:color w:val="000000"/>
              </w:rPr>
            </w:pPr>
            <w:r w:rsidRPr="00591153">
              <w:rPr>
                <w:color w:val="000000"/>
              </w:rPr>
              <w:t>0.025</w:t>
            </w:r>
          </w:p>
        </w:tc>
        <w:tc>
          <w:tcPr>
            <w:tcW w:w="2421" w:type="dxa"/>
            <w:vAlign w:val="center"/>
          </w:tcPr>
          <w:p w14:paraId="6A47D171" w14:textId="77777777" w:rsidR="00591153" w:rsidRPr="00591153" w:rsidRDefault="00591153" w:rsidP="00591153">
            <w:pPr>
              <w:jc w:val="center"/>
              <w:rPr>
                <w:color w:val="000000"/>
              </w:rPr>
            </w:pPr>
            <w:r w:rsidRPr="00591153">
              <w:rPr>
                <w:color w:val="000000"/>
              </w:rPr>
              <w:t>0.027</w:t>
            </w:r>
          </w:p>
        </w:tc>
      </w:tr>
      <w:tr w:rsidR="00591153" w14:paraId="081D0B4B" w14:textId="77777777" w:rsidTr="00DC20DA">
        <w:tc>
          <w:tcPr>
            <w:tcW w:w="2427" w:type="dxa"/>
            <w:vAlign w:val="center"/>
          </w:tcPr>
          <w:p w14:paraId="4A5A7B3A" w14:textId="77777777" w:rsidR="00591153" w:rsidRPr="00591153" w:rsidRDefault="00591153" w:rsidP="00D779CE">
            <w:pPr>
              <w:pStyle w:val="FootnoteText"/>
              <w:rPr>
                <w:rFonts w:eastAsia="Arial Unicode MS"/>
              </w:rPr>
            </w:pPr>
            <w:r w:rsidRPr="00591153">
              <w:t>Benicia, City of</w:t>
            </w:r>
          </w:p>
        </w:tc>
        <w:tc>
          <w:tcPr>
            <w:tcW w:w="2421" w:type="dxa"/>
            <w:vAlign w:val="center"/>
          </w:tcPr>
          <w:p w14:paraId="0C364DEB" w14:textId="77777777" w:rsidR="00591153" w:rsidRPr="00591153" w:rsidRDefault="00591153" w:rsidP="00591153">
            <w:pPr>
              <w:jc w:val="center"/>
              <w:rPr>
                <w:color w:val="000000"/>
              </w:rPr>
            </w:pPr>
            <w:r w:rsidRPr="00591153">
              <w:rPr>
                <w:color w:val="000000"/>
              </w:rPr>
              <w:t>0.088</w:t>
            </w:r>
          </w:p>
        </w:tc>
        <w:tc>
          <w:tcPr>
            <w:tcW w:w="2421" w:type="dxa"/>
            <w:vAlign w:val="center"/>
          </w:tcPr>
          <w:p w14:paraId="1A57EECA" w14:textId="77777777" w:rsidR="00591153" w:rsidRPr="00591153" w:rsidRDefault="00591153" w:rsidP="00591153">
            <w:pPr>
              <w:jc w:val="center"/>
              <w:rPr>
                <w:color w:val="000000"/>
              </w:rPr>
            </w:pPr>
            <w:r w:rsidRPr="00591153">
              <w:rPr>
                <w:color w:val="000000"/>
              </w:rPr>
              <w:t>0.066</w:t>
            </w:r>
          </w:p>
        </w:tc>
        <w:tc>
          <w:tcPr>
            <w:tcW w:w="2421" w:type="dxa"/>
            <w:vAlign w:val="center"/>
          </w:tcPr>
          <w:p w14:paraId="3A707A9F" w14:textId="77777777" w:rsidR="00591153" w:rsidRPr="00591153" w:rsidRDefault="00591153" w:rsidP="00591153">
            <w:pPr>
              <w:jc w:val="center"/>
              <w:rPr>
                <w:color w:val="000000"/>
              </w:rPr>
            </w:pPr>
            <w:r w:rsidRPr="00591153">
              <w:rPr>
                <w:color w:val="000000"/>
              </w:rPr>
              <w:t>0.072</w:t>
            </w:r>
          </w:p>
        </w:tc>
      </w:tr>
      <w:tr w:rsidR="00591153" w14:paraId="1EE673FB" w14:textId="77777777" w:rsidTr="00DC20DA">
        <w:tc>
          <w:tcPr>
            <w:tcW w:w="2427" w:type="dxa"/>
            <w:vAlign w:val="center"/>
          </w:tcPr>
          <w:p w14:paraId="5D46F471" w14:textId="77777777" w:rsidR="00591153" w:rsidRPr="00591153" w:rsidRDefault="00591153" w:rsidP="00591153">
            <w:pPr>
              <w:rPr>
                <w:rFonts w:eastAsia="Arial Unicode MS"/>
              </w:rPr>
            </w:pPr>
            <w:r w:rsidRPr="00591153">
              <w:t>Burlingame, City of</w:t>
            </w:r>
          </w:p>
        </w:tc>
        <w:tc>
          <w:tcPr>
            <w:tcW w:w="2421" w:type="dxa"/>
            <w:vAlign w:val="center"/>
          </w:tcPr>
          <w:p w14:paraId="061C75BC" w14:textId="77777777" w:rsidR="00591153" w:rsidRPr="00591153" w:rsidRDefault="00591153" w:rsidP="00591153">
            <w:pPr>
              <w:jc w:val="center"/>
              <w:rPr>
                <w:color w:val="000000"/>
              </w:rPr>
            </w:pPr>
            <w:r w:rsidRPr="00591153">
              <w:rPr>
                <w:color w:val="000000"/>
              </w:rPr>
              <w:t>0.089</w:t>
            </w:r>
          </w:p>
        </w:tc>
        <w:tc>
          <w:tcPr>
            <w:tcW w:w="2421" w:type="dxa"/>
            <w:vAlign w:val="center"/>
          </w:tcPr>
          <w:p w14:paraId="0CDD693E" w14:textId="77777777" w:rsidR="00591153" w:rsidRPr="00591153" w:rsidRDefault="00591153" w:rsidP="00591153">
            <w:pPr>
              <w:jc w:val="center"/>
              <w:rPr>
                <w:color w:val="000000"/>
              </w:rPr>
            </w:pPr>
            <w:r w:rsidRPr="00591153">
              <w:rPr>
                <w:color w:val="000000"/>
              </w:rPr>
              <w:t>0.066</w:t>
            </w:r>
          </w:p>
        </w:tc>
        <w:tc>
          <w:tcPr>
            <w:tcW w:w="2421" w:type="dxa"/>
            <w:vAlign w:val="center"/>
          </w:tcPr>
          <w:p w14:paraId="251B2EFD" w14:textId="77777777" w:rsidR="00591153" w:rsidRPr="00591153" w:rsidRDefault="00591153" w:rsidP="00591153">
            <w:pPr>
              <w:jc w:val="center"/>
              <w:rPr>
                <w:color w:val="000000"/>
              </w:rPr>
            </w:pPr>
            <w:r w:rsidRPr="00591153">
              <w:rPr>
                <w:color w:val="000000"/>
              </w:rPr>
              <w:t>0.072</w:t>
            </w:r>
          </w:p>
        </w:tc>
      </w:tr>
      <w:tr w:rsidR="00591153" w14:paraId="73E18BF5" w14:textId="77777777" w:rsidTr="00DC20DA">
        <w:tc>
          <w:tcPr>
            <w:tcW w:w="2427" w:type="dxa"/>
            <w:vAlign w:val="center"/>
          </w:tcPr>
          <w:p w14:paraId="09FC3662" w14:textId="77777777" w:rsidR="00591153" w:rsidRPr="00591153" w:rsidRDefault="00591153" w:rsidP="00591153">
            <w:pPr>
              <w:rPr>
                <w:rFonts w:eastAsia="Arial Unicode MS"/>
              </w:rPr>
            </w:pPr>
            <w:r w:rsidRPr="00591153">
              <w:t>Calistoga, City of</w:t>
            </w:r>
          </w:p>
        </w:tc>
        <w:tc>
          <w:tcPr>
            <w:tcW w:w="2421" w:type="dxa"/>
            <w:vAlign w:val="center"/>
          </w:tcPr>
          <w:p w14:paraId="2BBF0B0B" w14:textId="77777777" w:rsidR="00591153" w:rsidRPr="00591153" w:rsidRDefault="00591153" w:rsidP="00591153">
            <w:pPr>
              <w:jc w:val="center"/>
              <w:rPr>
                <w:color w:val="000000"/>
              </w:rPr>
            </w:pPr>
            <w:r w:rsidRPr="00591153">
              <w:rPr>
                <w:color w:val="000000"/>
              </w:rPr>
              <w:t>0.016</w:t>
            </w:r>
          </w:p>
        </w:tc>
        <w:tc>
          <w:tcPr>
            <w:tcW w:w="2421" w:type="dxa"/>
            <w:vAlign w:val="center"/>
          </w:tcPr>
          <w:p w14:paraId="5B177CBC" w14:textId="77777777" w:rsidR="00591153" w:rsidRPr="00591153" w:rsidRDefault="00591153" w:rsidP="00591153">
            <w:pPr>
              <w:jc w:val="center"/>
              <w:rPr>
                <w:color w:val="000000"/>
              </w:rPr>
            </w:pPr>
            <w:r w:rsidRPr="00591153">
              <w:rPr>
                <w:color w:val="000000"/>
              </w:rPr>
              <w:t>0.066</w:t>
            </w:r>
          </w:p>
        </w:tc>
        <w:tc>
          <w:tcPr>
            <w:tcW w:w="2421" w:type="dxa"/>
            <w:vAlign w:val="center"/>
          </w:tcPr>
          <w:p w14:paraId="2F192D09" w14:textId="77777777" w:rsidR="00591153" w:rsidRPr="00591153" w:rsidRDefault="00591153" w:rsidP="00591153">
            <w:pPr>
              <w:jc w:val="center"/>
              <w:rPr>
                <w:color w:val="000000"/>
              </w:rPr>
            </w:pPr>
            <w:r w:rsidRPr="00591153">
              <w:rPr>
                <w:color w:val="000000"/>
              </w:rPr>
              <w:t>0.072</w:t>
            </w:r>
          </w:p>
        </w:tc>
      </w:tr>
      <w:tr w:rsidR="00591153" w14:paraId="0E4AB51E" w14:textId="77777777" w:rsidTr="00DC20DA">
        <w:tc>
          <w:tcPr>
            <w:tcW w:w="2427" w:type="dxa"/>
            <w:vAlign w:val="center"/>
          </w:tcPr>
          <w:p w14:paraId="2EC3201B" w14:textId="77777777" w:rsidR="00591153" w:rsidRPr="00591153" w:rsidRDefault="00591153" w:rsidP="00591153">
            <w:pPr>
              <w:rPr>
                <w:rFonts w:eastAsia="Arial Unicode MS"/>
              </w:rPr>
            </w:pPr>
            <w:r w:rsidRPr="00591153">
              <w:t>Central Contra Costa Sanitary District</w:t>
            </w:r>
          </w:p>
        </w:tc>
        <w:tc>
          <w:tcPr>
            <w:tcW w:w="2421" w:type="dxa"/>
            <w:vAlign w:val="center"/>
          </w:tcPr>
          <w:p w14:paraId="0EB36715" w14:textId="77777777" w:rsidR="00591153" w:rsidRPr="00591153" w:rsidRDefault="00591153" w:rsidP="00591153">
            <w:pPr>
              <w:jc w:val="center"/>
              <w:rPr>
                <w:color w:val="000000"/>
              </w:rPr>
            </w:pPr>
            <w:r w:rsidRPr="00591153">
              <w:rPr>
                <w:color w:val="000000"/>
              </w:rPr>
              <w:t>1.3</w:t>
            </w:r>
          </w:p>
        </w:tc>
        <w:tc>
          <w:tcPr>
            <w:tcW w:w="2421" w:type="dxa"/>
            <w:vAlign w:val="center"/>
          </w:tcPr>
          <w:p w14:paraId="138637BF" w14:textId="77777777" w:rsidR="00591153" w:rsidRPr="00591153" w:rsidRDefault="00591153" w:rsidP="00591153">
            <w:pPr>
              <w:jc w:val="center"/>
              <w:rPr>
                <w:color w:val="000000"/>
              </w:rPr>
            </w:pPr>
            <w:r w:rsidRPr="00591153">
              <w:rPr>
                <w:color w:val="000000"/>
              </w:rPr>
              <w:t>0.066</w:t>
            </w:r>
          </w:p>
        </w:tc>
        <w:tc>
          <w:tcPr>
            <w:tcW w:w="2421" w:type="dxa"/>
            <w:vAlign w:val="center"/>
          </w:tcPr>
          <w:p w14:paraId="1F1546D2" w14:textId="77777777" w:rsidR="00591153" w:rsidRPr="00591153" w:rsidRDefault="00591153" w:rsidP="00591153">
            <w:pPr>
              <w:jc w:val="center"/>
              <w:rPr>
                <w:color w:val="000000"/>
              </w:rPr>
            </w:pPr>
            <w:r w:rsidRPr="00591153">
              <w:rPr>
                <w:color w:val="000000"/>
              </w:rPr>
              <w:t>0.072</w:t>
            </w:r>
          </w:p>
        </w:tc>
      </w:tr>
      <w:tr w:rsidR="00591153" w14:paraId="625DA44F" w14:textId="77777777" w:rsidTr="00DC20DA">
        <w:tc>
          <w:tcPr>
            <w:tcW w:w="2427" w:type="dxa"/>
            <w:vAlign w:val="center"/>
          </w:tcPr>
          <w:p w14:paraId="6312F6AB" w14:textId="77777777" w:rsidR="00591153" w:rsidRPr="00591153" w:rsidRDefault="00591153" w:rsidP="00591153">
            <w:pPr>
              <w:rPr>
                <w:rFonts w:eastAsia="Arial Unicode MS"/>
              </w:rPr>
            </w:pPr>
            <w:r w:rsidRPr="00591153">
              <w:t>Central Marin Sanitation Agency</w:t>
            </w:r>
          </w:p>
        </w:tc>
        <w:tc>
          <w:tcPr>
            <w:tcW w:w="2421" w:type="dxa"/>
            <w:vAlign w:val="center"/>
          </w:tcPr>
          <w:p w14:paraId="698DF5DB" w14:textId="77777777" w:rsidR="00591153" w:rsidRPr="00591153" w:rsidRDefault="00591153" w:rsidP="00591153">
            <w:pPr>
              <w:jc w:val="center"/>
              <w:rPr>
                <w:color w:val="000000"/>
              </w:rPr>
            </w:pPr>
            <w:r w:rsidRPr="00591153">
              <w:rPr>
                <w:color w:val="000000"/>
              </w:rPr>
              <w:t>0.11</w:t>
            </w:r>
          </w:p>
        </w:tc>
        <w:tc>
          <w:tcPr>
            <w:tcW w:w="2421" w:type="dxa"/>
            <w:vAlign w:val="center"/>
          </w:tcPr>
          <w:p w14:paraId="061DB671" w14:textId="77777777" w:rsidR="00591153" w:rsidRPr="00591153" w:rsidRDefault="00591153" w:rsidP="00591153">
            <w:pPr>
              <w:jc w:val="center"/>
              <w:rPr>
                <w:color w:val="000000"/>
              </w:rPr>
            </w:pPr>
            <w:r w:rsidRPr="00591153">
              <w:rPr>
                <w:color w:val="000000"/>
              </w:rPr>
              <w:t>0.066</w:t>
            </w:r>
          </w:p>
        </w:tc>
        <w:tc>
          <w:tcPr>
            <w:tcW w:w="2421" w:type="dxa"/>
            <w:vAlign w:val="center"/>
          </w:tcPr>
          <w:p w14:paraId="3CECC566" w14:textId="77777777" w:rsidR="00591153" w:rsidRPr="00591153" w:rsidRDefault="00591153" w:rsidP="00591153">
            <w:pPr>
              <w:jc w:val="center"/>
              <w:rPr>
                <w:color w:val="000000"/>
              </w:rPr>
            </w:pPr>
            <w:r w:rsidRPr="00591153">
              <w:rPr>
                <w:color w:val="000000"/>
              </w:rPr>
              <w:t>0.072</w:t>
            </w:r>
          </w:p>
        </w:tc>
      </w:tr>
      <w:tr w:rsidR="00591153" w14:paraId="55C74F78" w14:textId="77777777" w:rsidTr="00DC20DA">
        <w:tc>
          <w:tcPr>
            <w:tcW w:w="2427" w:type="dxa"/>
            <w:vAlign w:val="center"/>
          </w:tcPr>
          <w:p w14:paraId="3D7544C3" w14:textId="77777777" w:rsidR="00591153" w:rsidRPr="00591153" w:rsidRDefault="00591153" w:rsidP="00591153">
            <w:r w:rsidRPr="00591153">
              <w:t>Crockett Community Services District, Port Costa Sanitary Dept.</w:t>
            </w:r>
          </w:p>
        </w:tc>
        <w:tc>
          <w:tcPr>
            <w:tcW w:w="2421" w:type="dxa"/>
            <w:vAlign w:val="center"/>
          </w:tcPr>
          <w:p w14:paraId="56DBD36A" w14:textId="77777777" w:rsidR="00591153" w:rsidRPr="00591153" w:rsidRDefault="00591153" w:rsidP="00591153">
            <w:pPr>
              <w:jc w:val="center"/>
              <w:rPr>
                <w:color w:val="000000"/>
              </w:rPr>
            </w:pPr>
            <w:r w:rsidRPr="00591153">
              <w:rPr>
                <w:color w:val="000000"/>
              </w:rPr>
              <w:t>0.00072</w:t>
            </w:r>
          </w:p>
        </w:tc>
        <w:tc>
          <w:tcPr>
            <w:tcW w:w="2421" w:type="dxa"/>
            <w:vAlign w:val="center"/>
          </w:tcPr>
          <w:p w14:paraId="4A4A7CE6" w14:textId="77777777" w:rsidR="00591153" w:rsidRPr="00591153" w:rsidRDefault="00591153" w:rsidP="00591153">
            <w:pPr>
              <w:jc w:val="center"/>
              <w:rPr>
                <w:color w:val="000000"/>
              </w:rPr>
            </w:pPr>
            <w:r w:rsidRPr="00591153">
              <w:rPr>
                <w:color w:val="000000"/>
              </w:rPr>
              <w:t>0.066</w:t>
            </w:r>
          </w:p>
        </w:tc>
        <w:tc>
          <w:tcPr>
            <w:tcW w:w="2421" w:type="dxa"/>
            <w:vAlign w:val="center"/>
          </w:tcPr>
          <w:p w14:paraId="26A652E8" w14:textId="77777777" w:rsidR="00591153" w:rsidRPr="00591153" w:rsidRDefault="00591153" w:rsidP="00591153">
            <w:pPr>
              <w:jc w:val="center"/>
              <w:rPr>
                <w:color w:val="000000"/>
              </w:rPr>
            </w:pPr>
            <w:r w:rsidRPr="00591153">
              <w:rPr>
                <w:color w:val="000000"/>
              </w:rPr>
              <w:t>0.072</w:t>
            </w:r>
          </w:p>
        </w:tc>
      </w:tr>
      <w:tr w:rsidR="00591153" w14:paraId="5017015B" w14:textId="77777777" w:rsidTr="00DC20DA">
        <w:tc>
          <w:tcPr>
            <w:tcW w:w="2427" w:type="dxa"/>
            <w:vAlign w:val="center"/>
          </w:tcPr>
          <w:p w14:paraId="5A40897B" w14:textId="77777777" w:rsidR="00591153" w:rsidRPr="00591153" w:rsidRDefault="00591153" w:rsidP="00591153">
            <w:pPr>
              <w:rPr>
                <w:rFonts w:eastAsia="Arial Unicode MS"/>
              </w:rPr>
            </w:pPr>
            <w:r w:rsidRPr="00591153">
              <w:t>Delta Diablo Sanitation District</w:t>
            </w:r>
          </w:p>
        </w:tc>
        <w:tc>
          <w:tcPr>
            <w:tcW w:w="2421" w:type="dxa"/>
            <w:vAlign w:val="center"/>
          </w:tcPr>
          <w:p w14:paraId="78E71A2F" w14:textId="77777777" w:rsidR="00591153" w:rsidRPr="00591153" w:rsidRDefault="00591153" w:rsidP="00591153">
            <w:pPr>
              <w:jc w:val="center"/>
              <w:rPr>
                <w:color w:val="000000"/>
              </w:rPr>
            </w:pPr>
            <w:r w:rsidRPr="00591153">
              <w:rPr>
                <w:color w:val="000000"/>
              </w:rPr>
              <w:t>0.19</w:t>
            </w:r>
          </w:p>
        </w:tc>
        <w:tc>
          <w:tcPr>
            <w:tcW w:w="2421" w:type="dxa"/>
            <w:vAlign w:val="center"/>
          </w:tcPr>
          <w:p w14:paraId="54E4697F" w14:textId="77777777" w:rsidR="00591153" w:rsidRPr="00591153" w:rsidRDefault="00591153" w:rsidP="00591153">
            <w:pPr>
              <w:jc w:val="center"/>
              <w:rPr>
                <w:color w:val="000000"/>
              </w:rPr>
            </w:pPr>
            <w:r w:rsidRPr="00591153">
              <w:rPr>
                <w:color w:val="000000"/>
              </w:rPr>
              <w:t>0.066</w:t>
            </w:r>
          </w:p>
        </w:tc>
        <w:tc>
          <w:tcPr>
            <w:tcW w:w="2421" w:type="dxa"/>
            <w:vAlign w:val="center"/>
          </w:tcPr>
          <w:p w14:paraId="59B000AE" w14:textId="77777777" w:rsidR="00591153" w:rsidRPr="00591153" w:rsidRDefault="00591153" w:rsidP="00591153">
            <w:pPr>
              <w:jc w:val="center"/>
              <w:rPr>
                <w:color w:val="000000"/>
              </w:rPr>
            </w:pPr>
            <w:r w:rsidRPr="00591153">
              <w:rPr>
                <w:color w:val="000000"/>
              </w:rPr>
              <w:t>0.072</w:t>
            </w:r>
          </w:p>
        </w:tc>
      </w:tr>
      <w:tr w:rsidR="00591153" w14:paraId="68C4A98E" w14:textId="77777777" w:rsidTr="00DC20DA">
        <w:tc>
          <w:tcPr>
            <w:tcW w:w="2427" w:type="dxa"/>
            <w:vAlign w:val="center"/>
          </w:tcPr>
          <w:p w14:paraId="1D9BDA5A" w14:textId="77777777" w:rsidR="00591153" w:rsidRPr="00591153" w:rsidRDefault="000F4585" w:rsidP="00591153">
            <w:r w:rsidRPr="000F4585">
              <w:t>East Bay Dischargers Authority (EBDA); Cities of Hayward and San Leandro; Oro Loma Sanitary District; Castro Valley Sanitary District; Union Sanitary District; Livermore-Amador Valley Water Management Agency; Dublin San Ramon Services District; and City of Livermore</w:t>
            </w:r>
          </w:p>
        </w:tc>
        <w:tc>
          <w:tcPr>
            <w:tcW w:w="2421" w:type="dxa"/>
            <w:vAlign w:val="center"/>
          </w:tcPr>
          <w:p w14:paraId="7F145D72" w14:textId="77777777" w:rsidR="00591153" w:rsidRPr="00591153" w:rsidRDefault="00591153" w:rsidP="00591153">
            <w:pPr>
              <w:jc w:val="center"/>
              <w:rPr>
                <w:color w:val="000000"/>
              </w:rPr>
            </w:pPr>
            <w:r w:rsidRPr="00591153">
              <w:rPr>
                <w:color w:val="000000"/>
              </w:rPr>
              <w:t>2.2</w:t>
            </w:r>
          </w:p>
        </w:tc>
        <w:tc>
          <w:tcPr>
            <w:tcW w:w="2421" w:type="dxa"/>
            <w:vAlign w:val="center"/>
          </w:tcPr>
          <w:p w14:paraId="4B51EBCE" w14:textId="77777777" w:rsidR="00591153" w:rsidRPr="00591153" w:rsidRDefault="00591153" w:rsidP="00591153">
            <w:pPr>
              <w:jc w:val="center"/>
              <w:rPr>
                <w:color w:val="000000"/>
              </w:rPr>
            </w:pPr>
            <w:r w:rsidRPr="00591153">
              <w:rPr>
                <w:color w:val="000000"/>
              </w:rPr>
              <w:t>0.066</w:t>
            </w:r>
          </w:p>
        </w:tc>
        <w:tc>
          <w:tcPr>
            <w:tcW w:w="2421" w:type="dxa"/>
            <w:vAlign w:val="center"/>
          </w:tcPr>
          <w:p w14:paraId="20D00E63" w14:textId="77777777" w:rsidR="00591153" w:rsidRPr="00591153" w:rsidRDefault="00591153" w:rsidP="00591153">
            <w:pPr>
              <w:jc w:val="center"/>
              <w:rPr>
                <w:color w:val="000000"/>
              </w:rPr>
            </w:pPr>
            <w:r w:rsidRPr="00591153">
              <w:rPr>
                <w:color w:val="000000"/>
              </w:rPr>
              <w:t>0.072</w:t>
            </w:r>
          </w:p>
        </w:tc>
      </w:tr>
      <w:tr w:rsidR="00591153" w14:paraId="7E35D522" w14:textId="77777777" w:rsidTr="00DC20DA">
        <w:tc>
          <w:tcPr>
            <w:tcW w:w="2427" w:type="dxa"/>
            <w:vAlign w:val="center"/>
          </w:tcPr>
          <w:p w14:paraId="5BA99243" w14:textId="77777777" w:rsidR="00591153" w:rsidRPr="00591153" w:rsidRDefault="00591153" w:rsidP="00591153">
            <w:pPr>
              <w:rPr>
                <w:rFonts w:eastAsia="Arial Unicode MS"/>
                <w:vertAlign w:val="superscript"/>
              </w:rPr>
            </w:pPr>
            <w:r w:rsidRPr="00591153">
              <w:t>East Bay Municipal Utility District</w:t>
            </w:r>
          </w:p>
        </w:tc>
        <w:tc>
          <w:tcPr>
            <w:tcW w:w="2421" w:type="dxa"/>
            <w:vAlign w:val="center"/>
          </w:tcPr>
          <w:p w14:paraId="135D00D7" w14:textId="77777777" w:rsidR="00591153" w:rsidRPr="00591153" w:rsidRDefault="00591153" w:rsidP="00591153">
            <w:pPr>
              <w:jc w:val="center"/>
              <w:rPr>
                <w:color w:val="000000"/>
              </w:rPr>
            </w:pPr>
            <w:r w:rsidRPr="00591153">
              <w:rPr>
                <w:color w:val="000000"/>
              </w:rPr>
              <w:t>1.5</w:t>
            </w:r>
          </w:p>
        </w:tc>
        <w:tc>
          <w:tcPr>
            <w:tcW w:w="2421" w:type="dxa"/>
            <w:vAlign w:val="center"/>
          </w:tcPr>
          <w:p w14:paraId="71F5EC2E" w14:textId="77777777" w:rsidR="00591153" w:rsidRPr="00591153" w:rsidRDefault="00591153" w:rsidP="00591153">
            <w:pPr>
              <w:jc w:val="center"/>
              <w:rPr>
                <w:color w:val="000000"/>
              </w:rPr>
            </w:pPr>
            <w:r w:rsidRPr="00591153">
              <w:rPr>
                <w:color w:val="000000"/>
              </w:rPr>
              <w:t>0.066</w:t>
            </w:r>
          </w:p>
        </w:tc>
        <w:tc>
          <w:tcPr>
            <w:tcW w:w="2421" w:type="dxa"/>
            <w:vAlign w:val="center"/>
          </w:tcPr>
          <w:p w14:paraId="027283C5" w14:textId="77777777" w:rsidR="00591153" w:rsidRPr="00591153" w:rsidRDefault="00591153" w:rsidP="00591153">
            <w:pPr>
              <w:jc w:val="center"/>
              <w:rPr>
                <w:color w:val="000000"/>
              </w:rPr>
            </w:pPr>
            <w:r w:rsidRPr="00591153">
              <w:rPr>
                <w:color w:val="000000"/>
              </w:rPr>
              <w:t>0.072</w:t>
            </w:r>
          </w:p>
        </w:tc>
      </w:tr>
      <w:tr w:rsidR="00591153" w14:paraId="0DB0512C" w14:textId="77777777" w:rsidTr="00DC20DA">
        <w:tc>
          <w:tcPr>
            <w:tcW w:w="2427" w:type="dxa"/>
            <w:vAlign w:val="center"/>
          </w:tcPr>
          <w:p w14:paraId="723E7EE0" w14:textId="77777777" w:rsidR="00591153" w:rsidRPr="00591153" w:rsidRDefault="00591153" w:rsidP="00591153">
            <w:pPr>
              <w:rPr>
                <w:rFonts w:eastAsia="Arial Unicode MS"/>
              </w:rPr>
            </w:pPr>
            <w:r w:rsidRPr="00591153">
              <w:t>Fairfield-Suisun Sewer District</w:t>
            </w:r>
          </w:p>
        </w:tc>
        <w:tc>
          <w:tcPr>
            <w:tcW w:w="2421" w:type="dxa"/>
            <w:vAlign w:val="center"/>
          </w:tcPr>
          <w:p w14:paraId="62963C27" w14:textId="77777777" w:rsidR="00591153" w:rsidRPr="00591153" w:rsidRDefault="00591153" w:rsidP="00591153">
            <w:pPr>
              <w:jc w:val="center"/>
              <w:rPr>
                <w:color w:val="000000"/>
              </w:rPr>
            </w:pPr>
            <w:r w:rsidRPr="00591153">
              <w:rPr>
                <w:color w:val="000000"/>
              </w:rPr>
              <w:t>0.17</w:t>
            </w:r>
          </w:p>
        </w:tc>
        <w:tc>
          <w:tcPr>
            <w:tcW w:w="2421" w:type="dxa"/>
            <w:vAlign w:val="center"/>
          </w:tcPr>
          <w:p w14:paraId="388E89D9" w14:textId="77777777" w:rsidR="00591153" w:rsidRPr="00591153" w:rsidRDefault="00591153" w:rsidP="00591153">
            <w:pPr>
              <w:jc w:val="center"/>
              <w:rPr>
                <w:color w:val="000000"/>
              </w:rPr>
            </w:pPr>
            <w:r w:rsidRPr="00591153">
              <w:rPr>
                <w:color w:val="000000"/>
              </w:rPr>
              <w:t>0.025</w:t>
            </w:r>
          </w:p>
        </w:tc>
        <w:tc>
          <w:tcPr>
            <w:tcW w:w="2421" w:type="dxa"/>
            <w:vAlign w:val="center"/>
          </w:tcPr>
          <w:p w14:paraId="4F4B0FF7" w14:textId="77777777" w:rsidR="00591153" w:rsidRPr="00591153" w:rsidRDefault="00591153" w:rsidP="00591153">
            <w:pPr>
              <w:jc w:val="center"/>
              <w:rPr>
                <w:color w:val="000000"/>
              </w:rPr>
            </w:pPr>
            <w:r w:rsidRPr="00591153">
              <w:rPr>
                <w:color w:val="000000"/>
              </w:rPr>
              <w:t>0.027</w:t>
            </w:r>
          </w:p>
        </w:tc>
      </w:tr>
      <w:tr w:rsidR="00591153" w14:paraId="1D2FDB6C" w14:textId="77777777" w:rsidTr="00DC20DA">
        <w:tc>
          <w:tcPr>
            <w:tcW w:w="2427" w:type="dxa"/>
            <w:vAlign w:val="center"/>
          </w:tcPr>
          <w:p w14:paraId="4026C1AD" w14:textId="77777777" w:rsidR="00591153" w:rsidRPr="00591153" w:rsidRDefault="00591153" w:rsidP="00D779CE">
            <w:pPr>
              <w:pStyle w:val="FootnoteText"/>
              <w:rPr>
                <w:rFonts w:eastAsia="Arial Unicode MS"/>
              </w:rPr>
            </w:pPr>
            <w:r w:rsidRPr="00591153">
              <w:t>Las Gallinas Valley Sanitary District</w:t>
            </w:r>
          </w:p>
        </w:tc>
        <w:tc>
          <w:tcPr>
            <w:tcW w:w="2421" w:type="dxa"/>
            <w:vAlign w:val="center"/>
          </w:tcPr>
          <w:p w14:paraId="29E0E8A2" w14:textId="77777777" w:rsidR="00591153" w:rsidRPr="00591153" w:rsidRDefault="00591153" w:rsidP="00591153">
            <w:pPr>
              <w:jc w:val="center"/>
              <w:rPr>
                <w:color w:val="000000"/>
              </w:rPr>
            </w:pPr>
            <w:r w:rsidRPr="00591153">
              <w:rPr>
                <w:color w:val="000000"/>
              </w:rPr>
              <w:t>0.10</w:t>
            </w:r>
          </w:p>
        </w:tc>
        <w:tc>
          <w:tcPr>
            <w:tcW w:w="2421" w:type="dxa"/>
            <w:vAlign w:val="center"/>
          </w:tcPr>
          <w:p w14:paraId="34496013" w14:textId="77777777" w:rsidR="00591153" w:rsidRPr="00591153" w:rsidRDefault="00591153" w:rsidP="00591153">
            <w:pPr>
              <w:jc w:val="center"/>
              <w:rPr>
                <w:color w:val="000000"/>
              </w:rPr>
            </w:pPr>
            <w:r w:rsidRPr="00591153">
              <w:rPr>
                <w:color w:val="000000"/>
              </w:rPr>
              <w:t>0.066</w:t>
            </w:r>
          </w:p>
        </w:tc>
        <w:tc>
          <w:tcPr>
            <w:tcW w:w="2421" w:type="dxa"/>
            <w:vAlign w:val="center"/>
          </w:tcPr>
          <w:p w14:paraId="7DF78ED7" w14:textId="77777777" w:rsidR="00591153" w:rsidRPr="00591153" w:rsidRDefault="00591153" w:rsidP="00591153">
            <w:pPr>
              <w:jc w:val="center"/>
              <w:rPr>
                <w:color w:val="000000"/>
              </w:rPr>
            </w:pPr>
            <w:r w:rsidRPr="00591153">
              <w:rPr>
                <w:color w:val="000000"/>
              </w:rPr>
              <w:t>0.072</w:t>
            </w:r>
          </w:p>
        </w:tc>
      </w:tr>
      <w:tr w:rsidR="00591153" w14:paraId="51FB6381" w14:textId="77777777" w:rsidTr="00DC20DA">
        <w:tc>
          <w:tcPr>
            <w:tcW w:w="2427" w:type="dxa"/>
            <w:vAlign w:val="center"/>
          </w:tcPr>
          <w:p w14:paraId="500187E3" w14:textId="77777777" w:rsidR="00591153" w:rsidRPr="00591153" w:rsidRDefault="00591153" w:rsidP="00591153">
            <w:r w:rsidRPr="00591153">
              <w:t xml:space="preserve">Marin County (Paradise Cove), Sanitary District No. 5 of </w:t>
            </w:r>
          </w:p>
        </w:tc>
        <w:tc>
          <w:tcPr>
            <w:tcW w:w="2421" w:type="dxa"/>
            <w:vAlign w:val="center"/>
          </w:tcPr>
          <w:p w14:paraId="65C6FE82" w14:textId="77777777" w:rsidR="00591153" w:rsidRPr="00591153" w:rsidRDefault="00591153" w:rsidP="00591153">
            <w:pPr>
              <w:jc w:val="center"/>
              <w:rPr>
                <w:color w:val="000000"/>
              </w:rPr>
            </w:pPr>
            <w:r w:rsidRPr="00591153">
              <w:rPr>
                <w:color w:val="000000"/>
              </w:rPr>
              <w:t>0.00055</w:t>
            </w:r>
          </w:p>
        </w:tc>
        <w:tc>
          <w:tcPr>
            <w:tcW w:w="2421" w:type="dxa"/>
            <w:vAlign w:val="center"/>
          </w:tcPr>
          <w:p w14:paraId="1E1EA269" w14:textId="77777777" w:rsidR="00591153" w:rsidRPr="00591153" w:rsidRDefault="00591153" w:rsidP="00591153">
            <w:pPr>
              <w:jc w:val="center"/>
              <w:rPr>
                <w:color w:val="000000"/>
              </w:rPr>
            </w:pPr>
            <w:r w:rsidRPr="00591153">
              <w:rPr>
                <w:color w:val="000000"/>
              </w:rPr>
              <w:t>0.066</w:t>
            </w:r>
          </w:p>
        </w:tc>
        <w:tc>
          <w:tcPr>
            <w:tcW w:w="2421" w:type="dxa"/>
            <w:vAlign w:val="center"/>
          </w:tcPr>
          <w:p w14:paraId="1849602D" w14:textId="77777777" w:rsidR="00591153" w:rsidRPr="00591153" w:rsidRDefault="00591153" w:rsidP="00591153">
            <w:pPr>
              <w:jc w:val="center"/>
              <w:rPr>
                <w:color w:val="000000"/>
              </w:rPr>
            </w:pPr>
            <w:r w:rsidRPr="00591153">
              <w:rPr>
                <w:color w:val="000000"/>
              </w:rPr>
              <w:t>0.072</w:t>
            </w:r>
          </w:p>
        </w:tc>
      </w:tr>
      <w:tr w:rsidR="00591153" w14:paraId="41CD5744" w14:textId="77777777" w:rsidTr="00DC20DA">
        <w:tc>
          <w:tcPr>
            <w:tcW w:w="2427" w:type="dxa"/>
            <w:vAlign w:val="center"/>
          </w:tcPr>
          <w:p w14:paraId="34253ECE" w14:textId="77777777" w:rsidR="00591153" w:rsidRPr="00591153" w:rsidRDefault="00591153" w:rsidP="00591153">
            <w:pPr>
              <w:rPr>
                <w:rFonts w:eastAsia="Arial Unicode MS"/>
              </w:rPr>
            </w:pPr>
            <w:r w:rsidRPr="00591153">
              <w:t>Marin County (Tiburon), Sanitary District No. 5 of</w:t>
            </w:r>
          </w:p>
        </w:tc>
        <w:tc>
          <w:tcPr>
            <w:tcW w:w="2421" w:type="dxa"/>
            <w:vAlign w:val="center"/>
          </w:tcPr>
          <w:p w14:paraId="13E730BE" w14:textId="77777777" w:rsidR="00591153" w:rsidRPr="00591153" w:rsidRDefault="00591153" w:rsidP="00591153">
            <w:pPr>
              <w:jc w:val="center"/>
              <w:rPr>
                <w:color w:val="000000"/>
              </w:rPr>
            </w:pPr>
            <w:r w:rsidRPr="00591153">
              <w:rPr>
                <w:color w:val="000000"/>
              </w:rPr>
              <w:t>0.0099</w:t>
            </w:r>
          </w:p>
        </w:tc>
        <w:tc>
          <w:tcPr>
            <w:tcW w:w="2421" w:type="dxa"/>
            <w:vAlign w:val="center"/>
          </w:tcPr>
          <w:p w14:paraId="27459C93" w14:textId="77777777" w:rsidR="00591153" w:rsidRPr="00591153" w:rsidRDefault="00591153" w:rsidP="00591153">
            <w:pPr>
              <w:jc w:val="center"/>
              <w:rPr>
                <w:color w:val="000000"/>
              </w:rPr>
            </w:pPr>
            <w:r w:rsidRPr="00591153">
              <w:rPr>
                <w:color w:val="000000"/>
              </w:rPr>
              <w:t>0.066</w:t>
            </w:r>
          </w:p>
        </w:tc>
        <w:tc>
          <w:tcPr>
            <w:tcW w:w="2421" w:type="dxa"/>
            <w:vAlign w:val="center"/>
          </w:tcPr>
          <w:p w14:paraId="34948C0B" w14:textId="77777777" w:rsidR="00591153" w:rsidRPr="00591153" w:rsidRDefault="00591153" w:rsidP="00591153">
            <w:pPr>
              <w:jc w:val="center"/>
              <w:rPr>
                <w:color w:val="000000"/>
              </w:rPr>
            </w:pPr>
            <w:r w:rsidRPr="00591153">
              <w:rPr>
                <w:color w:val="000000"/>
              </w:rPr>
              <w:t>0.072</w:t>
            </w:r>
          </w:p>
        </w:tc>
      </w:tr>
      <w:tr w:rsidR="00591153" w14:paraId="190130FB" w14:textId="77777777" w:rsidTr="00DC20DA">
        <w:tc>
          <w:tcPr>
            <w:tcW w:w="2427" w:type="dxa"/>
            <w:vAlign w:val="center"/>
          </w:tcPr>
          <w:p w14:paraId="7D999A4D" w14:textId="77777777" w:rsidR="00591153" w:rsidRPr="00591153" w:rsidRDefault="00591153" w:rsidP="00591153">
            <w:pPr>
              <w:rPr>
                <w:rFonts w:eastAsia="Arial Unicode MS"/>
              </w:rPr>
            </w:pPr>
            <w:r w:rsidRPr="00591153">
              <w:t>Millbrae, City of</w:t>
            </w:r>
          </w:p>
        </w:tc>
        <w:tc>
          <w:tcPr>
            <w:tcW w:w="2421" w:type="dxa"/>
            <w:vAlign w:val="center"/>
          </w:tcPr>
          <w:p w14:paraId="08C16A92" w14:textId="77777777" w:rsidR="00591153" w:rsidRPr="00591153" w:rsidRDefault="00591153" w:rsidP="00591153">
            <w:pPr>
              <w:jc w:val="center"/>
              <w:rPr>
                <w:color w:val="000000"/>
              </w:rPr>
            </w:pPr>
            <w:r w:rsidRPr="00591153">
              <w:rPr>
                <w:color w:val="000000"/>
              </w:rPr>
              <w:t>0.052</w:t>
            </w:r>
          </w:p>
        </w:tc>
        <w:tc>
          <w:tcPr>
            <w:tcW w:w="2421" w:type="dxa"/>
            <w:vAlign w:val="center"/>
          </w:tcPr>
          <w:p w14:paraId="7F221A68" w14:textId="77777777" w:rsidR="00591153" w:rsidRPr="00591153" w:rsidRDefault="00591153" w:rsidP="00591153">
            <w:pPr>
              <w:jc w:val="center"/>
              <w:rPr>
                <w:color w:val="000000"/>
              </w:rPr>
            </w:pPr>
            <w:r w:rsidRPr="00591153">
              <w:rPr>
                <w:color w:val="000000"/>
              </w:rPr>
              <w:t>0.066</w:t>
            </w:r>
          </w:p>
        </w:tc>
        <w:tc>
          <w:tcPr>
            <w:tcW w:w="2421" w:type="dxa"/>
            <w:vAlign w:val="center"/>
          </w:tcPr>
          <w:p w14:paraId="5A5C10E6" w14:textId="77777777" w:rsidR="00591153" w:rsidRPr="00591153" w:rsidRDefault="00591153" w:rsidP="00591153">
            <w:pPr>
              <w:jc w:val="center"/>
              <w:rPr>
                <w:color w:val="000000"/>
              </w:rPr>
            </w:pPr>
            <w:r w:rsidRPr="00591153">
              <w:rPr>
                <w:color w:val="000000"/>
              </w:rPr>
              <w:t>0.072</w:t>
            </w:r>
          </w:p>
        </w:tc>
      </w:tr>
      <w:tr w:rsidR="00591153" w14:paraId="02AA680D" w14:textId="77777777" w:rsidTr="00DC20DA">
        <w:tc>
          <w:tcPr>
            <w:tcW w:w="2427" w:type="dxa"/>
            <w:vAlign w:val="center"/>
          </w:tcPr>
          <w:p w14:paraId="5DC0D676" w14:textId="77777777" w:rsidR="00591153" w:rsidRPr="00591153" w:rsidRDefault="00591153" w:rsidP="00591153">
            <w:pPr>
              <w:rPr>
                <w:rFonts w:eastAsia="Arial Unicode MS"/>
              </w:rPr>
            </w:pPr>
            <w:r w:rsidRPr="00591153">
              <w:t>Mt. View Sanitary District</w:t>
            </w:r>
          </w:p>
        </w:tc>
        <w:tc>
          <w:tcPr>
            <w:tcW w:w="2421" w:type="dxa"/>
            <w:vAlign w:val="center"/>
          </w:tcPr>
          <w:p w14:paraId="49F05F6F" w14:textId="77777777" w:rsidR="00591153" w:rsidRPr="00591153" w:rsidRDefault="00591153" w:rsidP="00591153">
            <w:pPr>
              <w:jc w:val="center"/>
              <w:rPr>
                <w:color w:val="000000"/>
              </w:rPr>
            </w:pPr>
            <w:r w:rsidRPr="00591153">
              <w:rPr>
                <w:color w:val="000000"/>
              </w:rPr>
              <w:t>0.034</w:t>
            </w:r>
          </w:p>
        </w:tc>
        <w:tc>
          <w:tcPr>
            <w:tcW w:w="2421" w:type="dxa"/>
            <w:vAlign w:val="center"/>
          </w:tcPr>
          <w:p w14:paraId="2589F4C0" w14:textId="77777777" w:rsidR="00591153" w:rsidRPr="00591153" w:rsidRDefault="00591153" w:rsidP="00591153">
            <w:pPr>
              <w:jc w:val="center"/>
              <w:rPr>
                <w:color w:val="000000"/>
              </w:rPr>
            </w:pPr>
            <w:r w:rsidRPr="00591153">
              <w:rPr>
                <w:color w:val="000000"/>
              </w:rPr>
              <w:t>0.025</w:t>
            </w:r>
          </w:p>
        </w:tc>
        <w:tc>
          <w:tcPr>
            <w:tcW w:w="2421" w:type="dxa"/>
            <w:vAlign w:val="center"/>
          </w:tcPr>
          <w:p w14:paraId="387F31E8" w14:textId="77777777" w:rsidR="00591153" w:rsidRPr="00591153" w:rsidRDefault="00591153" w:rsidP="00591153">
            <w:pPr>
              <w:jc w:val="center"/>
              <w:rPr>
                <w:color w:val="000000"/>
              </w:rPr>
            </w:pPr>
            <w:r w:rsidRPr="00591153">
              <w:rPr>
                <w:color w:val="000000"/>
              </w:rPr>
              <w:t>0.027</w:t>
            </w:r>
          </w:p>
        </w:tc>
      </w:tr>
      <w:tr w:rsidR="00591153" w14:paraId="4FEE29F9" w14:textId="77777777" w:rsidTr="00DC20DA">
        <w:tc>
          <w:tcPr>
            <w:tcW w:w="2427" w:type="dxa"/>
            <w:vAlign w:val="center"/>
          </w:tcPr>
          <w:p w14:paraId="5E667B3C" w14:textId="77777777" w:rsidR="00591153" w:rsidRPr="00591153" w:rsidRDefault="00591153" w:rsidP="00591153">
            <w:pPr>
              <w:rPr>
                <w:rFonts w:eastAsia="Arial Unicode MS"/>
              </w:rPr>
            </w:pPr>
            <w:r w:rsidRPr="00591153">
              <w:t>Napa Sanitation District</w:t>
            </w:r>
          </w:p>
        </w:tc>
        <w:tc>
          <w:tcPr>
            <w:tcW w:w="2421" w:type="dxa"/>
            <w:vAlign w:val="center"/>
          </w:tcPr>
          <w:p w14:paraId="1C9295B4" w14:textId="77777777" w:rsidR="00591153" w:rsidRPr="00591153" w:rsidRDefault="00591153" w:rsidP="00591153">
            <w:pPr>
              <w:jc w:val="center"/>
              <w:rPr>
                <w:color w:val="000000"/>
              </w:rPr>
            </w:pPr>
            <w:r w:rsidRPr="00591153">
              <w:rPr>
                <w:color w:val="000000"/>
              </w:rPr>
              <w:t>0.17</w:t>
            </w:r>
          </w:p>
        </w:tc>
        <w:tc>
          <w:tcPr>
            <w:tcW w:w="2421" w:type="dxa"/>
            <w:vAlign w:val="center"/>
          </w:tcPr>
          <w:p w14:paraId="3E85C9E5" w14:textId="77777777" w:rsidR="00591153" w:rsidRPr="00591153" w:rsidRDefault="00591153" w:rsidP="00591153">
            <w:pPr>
              <w:jc w:val="center"/>
              <w:rPr>
                <w:color w:val="000000"/>
              </w:rPr>
            </w:pPr>
            <w:r w:rsidRPr="00591153">
              <w:rPr>
                <w:color w:val="000000"/>
              </w:rPr>
              <w:t>0.066</w:t>
            </w:r>
          </w:p>
        </w:tc>
        <w:tc>
          <w:tcPr>
            <w:tcW w:w="2421" w:type="dxa"/>
            <w:vAlign w:val="center"/>
          </w:tcPr>
          <w:p w14:paraId="2D9F362D" w14:textId="77777777" w:rsidR="00591153" w:rsidRPr="00591153" w:rsidRDefault="00591153" w:rsidP="00591153">
            <w:pPr>
              <w:jc w:val="center"/>
              <w:rPr>
                <w:color w:val="000000"/>
              </w:rPr>
            </w:pPr>
            <w:r w:rsidRPr="00591153">
              <w:rPr>
                <w:color w:val="000000"/>
              </w:rPr>
              <w:t>0.072</w:t>
            </w:r>
          </w:p>
        </w:tc>
      </w:tr>
      <w:tr w:rsidR="00591153" w14:paraId="14BF997A" w14:textId="77777777" w:rsidTr="00DC20DA">
        <w:tc>
          <w:tcPr>
            <w:tcW w:w="2427" w:type="dxa"/>
            <w:vAlign w:val="center"/>
          </w:tcPr>
          <w:p w14:paraId="7ECD1630" w14:textId="77777777" w:rsidR="00591153" w:rsidRPr="00591153" w:rsidRDefault="00591153" w:rsidP="00591153">
            <w:pPr>
              <w:rPr>
                <w:rFonts w:eastAsia="Arial Unicode MS"/>
              </w:rPr>
            </w:pPr>
            <w:r w:rsidRPr="00591153">
              <w:t>Novato Sanitary District</w:t>
            </w:r>
          </w:p>
        </w:tc>
        <w:tc>
          <w:tcPr>
            <w:tcW w:w="2421" w:type="dxa"/>
            <w:vAlign w:val="center"/>
          </w:tcPr>
          <w:p w14:paraId="1CD91C63" w14:textId="77777777" w:rsidR="00591153" w:rsidRPr="00591153" w:rsidRDefault="00591153" w:rsidP="00591153">
            <w:pPr>
              <w:jc w:val="center"/>
              <w:rPr>
                <w:color w:val="000000"/>
              </w:rPr>
            </w:pPr>
            <w:r w:rsidRPr="00591153">
              <w:rPr>
                <w:color w:val="000000"/>
              </w:rPr>
              <w:t>0.079</w:t>
            </w:r>
          </w:p>
        </w:tc>
        <w:tc>
          <w:tcPr>
            <w:tcW w:w="2421" w:type="dxa"/>
            <w:vAlign w:val="center"/>
          </w:tcPr>
          <w:p w14:paraId="5022B9A3" w14:textId="77777777" w:rsidR="00591153" w:rsidRPr="00591153" w:rsidRDefault="00591153" w:rsidP="00591153">
            <w:pPr>
              <w:jc w:val="center"/>
              <w:rPr>
                <w:color w:val="000000"/>
              </w:rPr>
            </w:pPr>
            <w:r w:rsidRPr="00591153">
              <w:rPr>
                <w:color w:val="000000"/>
              </w:rPr>
              <w:t>0.066</w:t>
            </w:r>
          </w:p>
        </w:tc>
        <w:tc>
          <w:tcPr>
            <w:tcW w:w="2421" w:type="dxa"/>
            <w:vAlign w:val="center"/>
          </w:tcPr>
          <w:p w14:paraId="5F387A7B" w14:textId="77777777" w:rsidR="00591153" w:rsidRPr="00591153" w:rsidRDefault="00591153" w:rsidP="00591153">
            <w:pPr>
              <w:jc w:val="center"/>
              <w:rPr>
                <w:color w:val="000000"/>
              </w:rPr>
            </w:pPr>
            <w:r w:rsidRPr="00591153">
              <w:rPr>
                <w:color w:val="000000"/>
              </w:rPr>
              <w:t>0.072</w:t>
            </w:r>
          </w:p>
        </w:tc>
      </w:tr>
      <w:tr w:rsidR="00591153" w14:paraId="5FBA821C" w14:textId="77777777" w:rsidTr="00DC20DA">
        <w:tc>
          <w:tcPr>
            <w:tcW w:w="2427" w:type="dxa"/>
            <w:vAlign w:val="center"/>
          </w:tcPr>
          <w:p w14:paraId="156F9A2A" w14:textId="77777777" w:rsidR="00591153" w:rsidRPr="00591153" w:rsidRDefault="00591153" w:rsidP="00591153">
            <w:pPr>
              <w:rPr>
                <w:rFonts w:eastAsia="Arial Unicode MS"/>
              </w:rPr>
            </w:pPr>
            <w:r w:rsidRPr="00591153">
              <w:t>Palo Alto, City of</w:t>
            </w:r>
          </w:p>
        </w:tc>
        <w:tc>
          <w:tcPr>
            <w:tcW w:w="2421" w:type="dxa"/>
            <w:vAlign w:val="center"/>
          </w:tcPr>
          <w:p w14:paraId="757A039D" w14:textId="77777777" w:rsidR="00591153" w:rsidRPr="00591153" w:rsidRDefault="00591153" w:rsidP="00591153">
            <w:pPr>
              <w:jc w:val="center"/>
              <w:rPr>
                <w:color w:val="000000"/>
              </w:rPr>
            </w:pPr>
            <w:r w:rsidRPr="00591153">
              <w:rPr>
                <w:color w:val="000000"/>
              </w:rPr>
              <w:t>0.31</w:t>
            </w:r>
          </w:p>
        </w:tc>
        <w:tc>
          <w:tcPr>
            <w:tcW w:w="2421" w:type="dxa"/>
            <w:vAlign w:val="center"/>
          </w:tcPr>
          <w:p w14:paraId="64E98D60" w14:textId="77777777" w:rsidR="00591153" w:rsidRPr="00591153" w:rsidRDefault="00591153" w:rsidP="00591153">
            <w:pPr>
              <w:jc w:val="center"/>
              <w:rPr>
                <w:color w:val="000000"/>
              </w:rPr>
            </w:pPr>
            <w:r w:rsidRPr="00591153">
              <w:rPr>
                <w:color w:val="000000"/>
              </w:rPr>
              <w:t>0.025</w:t>
            </w:r>
          </w:p>
        </w:tc>
        <w:tc>
          <w:tcPr>
            <w:tcW w:w="2421" w:type="dxa"/>
            <w:vAlign w:val="center"/>
          </w:tcPr>
          <w:p w14:paraId="6EE19914" w14:textId="77777777" w:rsidR="00591153" w:rsidRPr="00591153" w:rsidRDefault="00591153" w:rsidP="00591153">
            <w:pPr>
              <w:jc w:val="center"/>
              <w:rPr>
                <w:color w:val="000000"/>
              </w:rPr>
            </w:pPr>
            <w:r w:rsidRPr="00591153">
              <w:rPr>
                <w:color w:val="000000"/>
              </w:rPr>
              <w:t>0.027</w:t>
            </w:r>
          </w:p>
        </w:tc>
      </w:tr>
      <w:tr w:rsidR="00591153" w14:paraId="27132EC3" w14:textId="77777777" w:rsidTr="00DC20DA">
        <w:tc>
          <w:tcPr>
            <w:tcW w:w="2427" w:type="dxa"/>
            <w:vAlign w:val="center"/>
          </w:tcPr>
          <w:p w14:paraId="111E511A" w14:textId="77777777" w:rsidR="00591153" w:rsidRPr="00591153" w:rsidRDefault="00591153" w:rsidP="00591153">
            <w:pPr>
              <w:rPr>
                <w:rFonts w:eastAsia="Arial Unicode MS"/>
              </w:rPr>
            </w:pPr>
            <w:r w:rsidRPr="00591153">
              <w:t>Petaluma, City of</w:t>
            </w:r>
          </w:p>
        </w:tc>
        <w:tc>
          <w:tcPr>
            <w:tcW w:w="2421" w:type="dxa"/>
            <w:vAlign w:val="center"/>
          </w:tcPr>
          <w:p w14:paraId="531A1F9F" w14:textId="77777777" w:rsidR="00591153" w:rsidRPr="00591153" w:rsidRDefault="00591153" w:rsidP="00591153">
            <w:pPr>
              <w:jc w:val="center"/>
              <w:rPr>
                <w:color w:val="000000"/>
              </w:rPr>
            </w:pPr>
            <w:r w:rsidRPr="00591153">
              <w:rPr>
                <w:color w:val="000000"/>
              </w:rPr>
              <w:t>0.063</w:t>
            </w:r>
          </w:p>
        </w:tc>
        <w:tc>
          <w:tcPr>
            <w:tcW w:w="2421" w:type="dxa"/>
            <w:vAlign w:val="center"/>
          </w:tcPr>
          <w:p w14:paraId="2C3BF40D" w14:textId="77777777" w:rsidR="00591153" w:rsidRPr="00591153" w:rsidRDefault="00591153" w:rsidP="00591153">
            <w:pPr>
              <w:jc w:val="center"/>
              <w:rPr>
                <w:color w:val="000000"/>
              </w:rPr>
            </w:pPr>
            <w:r w:rsidRPr="00591153">
              <w:rPr>
                <w:color w:val="000000"/>
              </w:rPr>
              <w:t>0.066</w:t>
            </w:r>
          </w:p>
        </w:tc>
        <w:tc>
          <w:tcPr>
            <w:tcW w:w="2421" w:type="dxa"/>
            <w:vAlign w:val="center"/>
          </w:tcPr>
          <w:p w14:paraId="130E4FAC" w14:textId="77777777" w:rsidR="00591153" w:rsidRPr="00591153" w:rsidRDefault="00591153" w:rsidP="00591153">
            <w:pPr>
              <w:jc w:val="center"/>
              <w:rPr>
                <w:color w:val="000000"/>
              </w:rPr>
            </w:pPr>
            <w:r w:rsidRPr="00591153">
              <w:rPr>
                <w:color w:val="000000"/>
              </w:rPr>
              <w:t>0.072</w:t>
            </w:r>
          </w:p>
        </w:tc>
      </w:tr>
      <w:tr w:rsidR="00591153" w14:paraId="6DEB8293" w14:textId="77777777" w:rsidTr="00DC20DA">
        <w:tc>
          <w:tcPr>
            <w:tcW w:w="2427" w:type="dxa"/>
            <w:vAlign w:val="center"/>
          </w:tcPr>
          <w:p w14:paraId="25F5A7F0" w14:textId="77777777" w:rsidR="00591153" w:rsidRPr="00591153" w:rsidRDefault="00591153" w:rsidP="00591153">
            <w:pPr>
              <w:rPr>
                <w:rFonts w:eastAsia="Arial Unicode MS"/>
              </w:rPr>
            </w:pPr>
            <w:r w:rsidRPr="00591153">
              <w:t>Pinole, City of</w:t>
            </w:r>
          </w:p>
        </w:tc>
        <w:tc>
          <w:tcPr>
            <w:tcW w:w="2421" w:type="dxa"/>
            <w:vAlign w:val="center"/>
          </w:tcPr>
          <w:p w14:paraId="5C386566" w14:textId="77777777" w:rsidR="00591153" w:rsidRPr="00591153" w:rsidRDefault="00591153" w:rsidP="00591153">
            <w:pPr>
              <w:jc w:val="center"/>
              <w:rPr>
                <w:color w:val="000000"/>
              </w:rPr>
            </w:pPr>
            <w:r w:rsidRPr="00591153">
              <w:rPr>
                <w:color w:val="000000"/>
              </w:rPr>
              <w:t>0.055</w:t>
            </w:r>
          </w:p>
        </w:tc>
        <w:tc>
          <w:tcPr>
            <w:tcW w:w="2421" w:type="dxa"/>
            <w:vAlign w:val="center"/>
          </w:tcPr>
          <w:p w14:paraId="7A96D145" w14:textId="77777777" w:rsidR="00591153" w:rsidRPr="00591153" w:rsidRDefault="00591153" w:rsidP="00591153">
            <w:pPr>
              <w:jc w:val="center"/>
              <w:rPr>
                <w:color w:val="000000"/>
              </w:rPr>
            </w:pPr>
            <w:r w:rsidRPr="00591153">
              <w:rPr>
                <w:color w:val="000000"/>
              </w:rPr>
              <w:t>0.066</w:t>
            </w:r>
          </w:p>
        </w:tc>
        <w:tc>
          <w:tcPr>
            <w:tcW w:w="2421" w:type="dxa"/>
            <w:vAlign w:val="center"/>
          </w:tcPr>
          <w:p w14:paraId="06E72E65" w14:textId="77777777" w:rsidR="00591153" w:rsidRPr="00591153" w:rsidRDefault="00591153" w:rsidP="00591153">
            <w:pPr>
              <w:jc w:val="center"/>
              <w:rPr>
                <w:color w:val="000000"/>
              </w:rPr>
            </w:pPr>
            <w:r w:rsidRPr="00591153">
              <w:rPr>
                <w:color w:val="000000"/>
              </w:rPr>
              <w:t>0.072</w:t>
            </w:r>
          </w:p>
        </w:tc>
      </w:tr>
      <w:tr w:rsidR="00591153" w14:paraId="0D53E317" w14:textId="77777777" w:rsidTr="00DC20DA">
        <w:tc>
          <w:tcPr>
            <w:tcW w:w="2427" w:type="dxa"/>
            <w:vAlign w:val="center"/>
          </w:tcPr>
          <w:p w14:paraId="7EFD2FD8" w14:textId="77777777" w:rsidR="00591153" w:rsidRPr="00591153" w:rsidRDefault="00591153" w:rsidP="00D779CE">
            <w:pPr>
              <w:pStyle w:val="FootnoteText"/>
              <w:rPr>
                <w:rFonts w:eastAsia="Arial Unicode MS"/>
              </w:rPr>
            </w:pPr>
            <w:r w:rsidRPr="00591153">
              <w:t>Rodeo Sanitary District</w:t>
            </w:r>
          </w:p>
        </w:tc>
        <w:tc>
          <w:tcPr>
            <w:tcW w:w="2421" w:type="dxa"/>
            <w:vAlign w:val="center"/>
          </w:tcPr>
          <w:p w14:paraId="522167C8" w14:textId="77777777" w:rsidR="00591153" w:rsidRPr="00591153" w:rsidRDefault="00591153" w:rsidP="00591153">
            <w:pPr>
              <w:jc w:val="center"/>
              <w:rPr>
                <w:color w:val="000000"/>
              </w:rPr>
            </w:pPr>
            <w:r w:rsidRPr="00591153">
              <w:rPr>
                <w:color w:val="000000"/>
              </w:rPr>
              <w:t>0.060</w:t>
            </w:r>
          </w:p>
        </w:tc>
        <w:tc>
          <w:tcPr>
            <w:tcW w:w="2421" w:type="dxa"/>
            <w:vAlign w:val="center"/>
          </w:tcPr>
          <w:p w14:paraId="6697364D" w14:textId="77777777" w:rsidR="00591153" w:rsidRPr="00591153" w:rsidRDefault="00591153" w:rsidP="00591153">
            <w:pPr>
              <w:jc w:val="center"/>
              <w:rPr>
                <w:color w:val="000000"/>
              </w:rPr>
            </w:pPr>
            <w:r w:rsidRPr="00591153">
              <w:rPr>
                <w:color w:val="000000"/>
              </w:rPr>
              <w:t>0.066</w:t>
            </w:r>
          </w:p>
        </w:tc>
        <w:tc>
          <w:tcPr>
            <w:tcW w:w="2421" w:type="dxa"/>
            <w:vAlign w:val="center"/>
          </w:tcPr>
          <w:p w14:paraId="520B0F39" w14:textId="77777777" w:rsidR="00591153" w:rsidRPr="00591153" w:rsidRDefault="00591153" w:rsidP="00591153">
            <w:pPr>
              <w:jc w:val="center"/>
              <w:rPr>
                <w:color w:val="000000"/>
              </w:rPr>
            </w:pPr>
            <w:r w:rsidRPr="00591153">
              <w:rPr>
                <w:color w:val="000000"/>
              </w:rPr>
              <w:t>0.072</w:t>
            </w:r>
          </w:p>
        </w:tc>
      </w:tr>
      <w:tr w:rsidR="00591153" w14:paraId="60F19134" w14:textId="77777777" w:rsidTr="00DC20DA">
        <w:tc>
          <w:tcPr>
            <w:tcW w:w="2427" w:type="dxa"/>
            <w:vAlign w:val="center"/>
          </w:tcPr>
          <w:p w14:paraId="663B939D" w14:textId="77777777" w:rsidR="00591153" w:rsidRPr="00591153" w:rsidRDefault="00591153" w:rsidP="00591153">
            <w:pPr>
              <w:rPr>
                <w:rFonts w:eastAsia="Arial Unicode MS"/>
              </w:rPr>
            </w:pPr>
            <w:r w:rsidRPr="00591153">
              <w:t>Saint Helena, City of</w:t>
            </w:r>
          </w:p>
        </w:tc>
        <w:tc>
          <w:tcPr>
            <w:tcW w:w="2421" w:type="dxa"/>
            <w:vAlign w:val="center"/>
          </w:tcPr>
          <w:p w14:paraId="169AD8F6" w14:textId="77777777" w:rsidR="00591153" w:rsidRPr="00591153" w:rsidRDefault="00591153" w:rsidP="00591153">
            <w:pPr>
              <w:jc w:val="center"/>
              <w:rPr>
                <w:color w:val="000000"/>
              </w:rPr>
            </w:pPr>
            <w:r w:rsidRPr="00591153">
              <w:rPr>
                <w:color w:val="000000"/>
              </w:rPr>
              <w:t>0.047</w:t>
            </w:r>
          </w:p>
        </w:tc>
        <w:tc>
          <w:tcPr>
            <w:tcW w:w="2421" w:type="dxa"/>
            <w:vAlign w:val="center"/>
          </w:tcPr>
          <w:p w14:paraId="4D82108F" w14:textId="77777777" w:rsidR="00591153" w:rsidRPr="00591153" w:rsidRDefault="00591153" w:rsidP="00591153">
            <w:pPr>
              <w:jc w:val="center"/>
              <w:rPr>
                <w:color w:val="000000"/>
              </w:rPr>
            </w:pPr>
            <w:r w:rsidRPr="00591153">
              <w:rPr>
                <w:color w:val="000000"/>
              </w:rPr>
              <w:t>0.066</w:t>
            </w:r>
          </w:p>
        </w:tc>
        <w:tc>
          <w:tcPr>
            <w:tcW w:w="2421" w:type="dxa"/>
            <w:vAlign w:val="center"/>
          </w:tcPr>
          <w:p w14:paraId="11C22AD3" w14:textId="77777777" w:rsidR="00591153" w:rsidRPr="00591153" w:rsidRDefault="00591153" w:rsidP="00591153">
            <w:pPr>
              <w:jc w:val="center"/>
              <w:rPr>
                <w:color w:val="000000"/>
              </w:rPr>
            </w:pPr>
            <w:r w:rsidRPr="00591153">
              <w:rPr>
                <w:color w:val="000000"/>
              </w:rPr>
              <w:t>0.072</w:t>
            </w:r>
          </w:p>
        </w:tc>
      </w:tr>
      <w:tr w:rsidR="00591153" w14:paraId="0DA42235" w14:textId="77777777" w:rsidTr="00DC20DA">
        <w:tc>
          <w:tcPr>
            <w:tcW w:w="2427" w:type="dxa"/>
            <w:vAlign w:val="center"/>
          </w:tcPr>
          <w:p w14:paraId="2E5C6CB5" w14:textId="1933C521" w:rsidR="00591153" w:rsidRPr="00591153" w:rsidRDefault="00DC20DA" w:rsidP="00591153">
            <w:pPr>
              <w:rPr>
                <w:rFonts w:eastAsia="Arial Unicode MS"/>
              </w:rPr>
            </w:pPr>
            <w:r w:rsidRPr="005465D4">
              <w:lastRenderedPageBreak/>
              <w:t>San Francisco</w:t>
            </w:r>
            <w:r>
              <w:t xml:space="preserve"> (San Francisco International Airport)</w:t>
            </w:r>
            <w:r w:rsidRPr="005465D4">
              <w:t>, City and County of</w:t>
            </w:r>
          </w:p>
        </w:tc>
        <w:tc>
          <w:tcPr>
            <w:tcW w:w="2421" w:type="dxa"/>
            <w:vAlign w:val="center"/>
          </w:tcPr>
          <w:p w14:paraId="2AC3160D" w14:textId="77777777" w:rsidR="00591153" w:rsidRPr="00591153" w:rsidRDefault="00591153" w:rsidP="00591153">
            <w:pPr>
              <w:jc w:val="center"/>
              <w:rPr>
                <w:color w:val="000000"/>
              </w:rPr>
            </w:pPr>
            <w:r w:rsidRPr="00591153">
              <w:rPr>
                <w:color w:val="000000"/>
              </w:rPr>
              <w:t>0.032</w:t>
            </w:r>
          </w:p>
        </w:tc>
        <w:tc>
          <w:tcPr>
            <w:tcW w:w="2421" w:type="dxa"/>
            <w:vAlign w:val="center"/>
          </w:tcPr>
          <w:p w14:paraId="1931B057" w14:textId="77777777" w:rsidR="00591153" w:rsidRPr="00591153" w:rsidRDefault="00591153" w:rsidP="00591153">
            <w:pPr>
              <w:jc w:val="center"/>
              <w:rPr>
                <w:color w:val="000000"/>
              </w:rPr>
            </w:pPr>
            <w:r w:rsidRPr="00591153">
              <w:rPr>
                <w:color w:val="000000"/>
              </w:rPr>
              <w:t>0.066</w:t>
            </w:r>
          </w:p>
        </w:tc>
        <w:tc>
          <w:tcPr>
            <w:tcW w:w="2421" w:type="dxa"/>
            <w:vAlign w:val="center"/>
          </w:tcPr>
          <w:p w14:paraId="2246B540" w14:textId="77777777" w:rsidR="00591153" w:rsidRPr="00591153" w:rsidRDefault="00591153" w:rsidP="00591153">
            <w:pPr>
              <w:jc w:val="center"/>
              <w:rPr>
                <w:color w:val="000000"/>
              </w:rPr>
            </w:pPr>
            <w:r w:rsidRPr="00591153">
              <w:rPr>
                <w:color w:val="000000"/>
              </w:rPr>
              <w:t>0.072</w:t>
            </w:r>
          </w:p>
        </w:tc>
      </w:tr>
      <w:tr w:rsidR="00591153" w14:paraId="6F603A06" w14:textId="77777777" w:rsidTr="00DC20DA">
        <w:tc>
          <w:tcPr>
            <w:tcW w:w="2427" w:type="dxa"/>
            <w:vAlign w:val="center"/>
          </w:tcPr>
          <w:p w14:paraId="6CC10971" w14:textId="77777777" w:rsidR="00591153" w:rsidRPr="00591153" w:rsidRDefault="00591153" w:rsidP="00591153">
            <w:pPr>
              <w:rPr>
                <w:rFonts w:eastAsia="Arial Unicode MS"/>
              </w:rPr>
            </w:pPr>
            <w:r w:rsidRPr="00591153">
              <w:t>San Francisco (Southeast Plant), City and County of</w:t>
            </w:r>
          </w:p>
        </w:tc>
        <w:tc>
          <w:tcPr>
            <w:tcW w:w="2421" w:type="dxa"/>
            <w:vAlign w:val="center"/>
          </w:tcPr>
          <w:p w14:paraId="44942B1D" w14:textId="77777777" w:rsidR="00591153" w:rsidRPr="00591153" w:rsidRDefault="00591153" w:rsidP="00591153">
            <w:pPr>
              <w:jc w:val="center"/>
              <w:rPr>
                <w:color w:val="000000"/>
              </w:rPr>
            </w:pPr>
            <w:r w:rsidRPr="00591153">
              <w:rPr>
                <w:color w:val="000000"/>
              </w:rPr>
              <w:t>1.6</w:t>
            </w:r>
          </w:p>
        </w:tc>
        <w:tc>
          <w:tcPr>
            <w:tcW w:w="2421" w:type="dxa"/>
            <w:vAlign w:val="center"/>
          </w:tcPr>
          <w:p w14:paraId="0346C324" w14:textId="77777777" w:rsidR="00591153" w:rsidRPr="00591153" w:rsidRDefault="00591153" w:rsidP="00591153">
            <w:pPr>
              <w:jc w:val="center"/>
              <w:rPr>
                <w:color w:val="000000"/>
              </w:rPr>
            </w:pPr>
            <w:r w:rsidRPr="00591153">
              <w:rPr>
                <w:color w:val="000000"/>
              </w:rPr>
              <w:t>0.066</w:t>
            </w:r>
          </w:p>
        </w:tc>
        <w:tc>
          <w:tcPr>
            <w:tcW w:w="2421" w:type="dxa"/>
            <w:vAlign w:val="center"/>
          </w:tcPr>
          <w:p w14:paraId="4CB8FA1E" w14:textId="77777777" w:rsidR="00591153" w:rsidRPr="00591153" w:rsidRDefault="00591153" w:rsidP="00591153">
            <w:pPr>
              <w:jc w:val="center"/>
              <w:rPr>
                <w:color w:val="000000"/>
              </w:rPr>
            </w:pPr>
            <w:r w:rsidRPr="00591153">
              <w:rPr>
                <w:color w:val="000000"/>
              </w:rPr>
              <w:t>0.072</w:t>
            </w:r>
          </w:p>
        </w:tc>
      </w:tr>
      <w:tr w:rsidR="00591153" w14:paraId="49E83960" w14:textId="77777777" w:rsidTr="00DC20DA">
        <w:tc>
          <w:tcPr>
            <w:tcW w:w="2427" w:type="dxa"/>
            <w:vAlign w:val="center"/>
          </w:tcPr>
          <w:p w14:paraId="599EE2F4" w14:textId="6BF67915" w:rsidR="00591153" w:rsidRPr="00591153" w:rsidRDefault="00DC20DA" w:rsidP="00D779CE">
            <w:pPr>
              <w:pStyle w:val="FootnoteText"/>
              <w:rPr>
                <w:rFonts w:eastAsia="Arial Unicode MS"/>
              </w:rPr>
            </w:pPr>
            <w:r>
              <w:t xml:space="preserve">San Jose and </w:t>
            </w:r>
            <w:r w:rsidRPr="007F4001">
              <w:t>Santa Clara, Cities of</w:t>
            </w:r>
          </w:p>
        </w:tc>
        <w:tc>
          <w:tcPr>
            <w:tcW w:w="2421" w:type="dxa"/>
            <w:vAlign w:val="center"/>
          </w:tcPr>
          <w:p w14:paraId="3F757E56" w14:textId="77777777" w:rsidR="00591153" w:rsidRPr="00591153" w:rsidRDefault="00591153" w:rsidP="00591153">
            <w:pPr>
              <w:jc w:val="center"/>
              <w:rPr>
                <w:color w:val="000000"/>
              </w:rPr>
            </w:pPr>
            <w:r w:rsidRPr="00591153">
              <w:rPr>
                <w:color w:val="000000"/>
              </w:rPr>
              <w:t>0.8</w:t>
            </w:r>
          </w:p>
        </w:tc>
        <w:tc>
          <w:tcPr>
            <w:tcW w:w="2421" w:type="dxa"/>
            <w:vAlign w:val="center"/>
          </w:tcPr>
          <w:p w14:paraId="197C7EF6" w14:textId="77777777" w:rsidR="00591153" w:rsidRPr="00591153" w:rsidRDefault="00591153" w:rsidP="00591153">
            <w:pPr>
              <w:jc w:val="center"/>
              <w:rPr>
                <w:color w:val="000000"/>
              </w:rPr>
            </w:pPr>
            <w:r w:rsidRPr="00591153">
              <w:rPr>
                <w:color w:val="000000"/>
              </w:rPr>
              <w:t>0.025</w:t>
            </w:r>
          </w:p>
        </w:tc>
        <w:tc>
          <w:tcPr>
            <w:tcW w:w="2421" w:type="dxa"/>
            <w:vAlign w:val="center"/>
          </w:tcPr>
          <w:p w14:paraId="581F756A" w14:textId="77777777" w:rsidR="00591153" w:rsidRPr="00591153" w:rsidRDefault="00591153" w:rsidP="00591153">
            <w:pPr>
              <w:jc w:val="center"/>
              <w:rPr>
                <w:color w:val="000000"/>
              </w:rPr>
            </w:pPr>
            <w:r w:rsidRPr="00591153">
              <w:rPr>
                <w:color w:val="000000"/>
              </w:rPr>
              <w:t>0.027</w:t>
            </w:r>
          </w:p>
        </w:tc>
      </w:tr>
      <w:tr w:rsidR="00591153" w14:paraId="24BC50BF" w14:textId="77777777" w:rsidTr="00DC20DA">
        <w:tc>
          <w:tcPr>
            <w:tcW w:w="2427" w:type="dxa"/>
            <w:vAlign w:val="center"/>
          </w:tcPr>
          <w:p w14:paraId="6CEDF7DB" w14:textId="77777777" w:rsidR="00591153" w:rsidRPr="00591153" w:rsidRDefault="00591153" w:rsidP="00591153">
            <w:pPr>
              <w:rPr>
                <w:rFonts w:eastAsia="Arial Unicode MS"/>
              </w:rPr>
            </w:pPr>
            <w:r w:rsidRPr="00591153">
              <w:t>San Mateo, City of</w:t>
            </w:r>
          </w:p>
        </w:tc>
        <w:tc>
          <w:tcPr>
            <w:tcW w:w="2421" w:type="dxa"/>
            <w:vAlign w:val="center"/>
          </w:tcPr>
          <w:p w14:paraId="004A808D" w14:textId="77777777" w:rsidR="00591153" w:rsidRPr="00591153" w:rsidRDefault="00591153" w:rsidP="00591153">
            <w:pPr>
              <w:jc w:val="center"/>
              <w:rPr>
                <w:color w:val="000000"/>
              </w:rPr>
            </w:pPr>
            <w:r w:rsidRPr="00591153">
              <w:rPr>
                <w:color w:val="000000"/>
              </w:rPr>
              <w:t>0.19</w:t>
            </w:r>
          </w:p>
        </w:tc>
        <w:tc>
          <w:tcPr>
            <w:tcW w:w="2421" w:type="dxa"/>
            <w:vAlign w:val="center"/>
          </w:tcPr>
          <w:p w14:paraId="45325B98" w14:textId="77777777" w:rsidR="00591153" w:rsidRPr="00591153" w:rsidRDefault="00591153" w:rsidP="00591153">
            <w:pPr>
              <w:jc w:val="center"/>
              <w:rPr>
                <w:color w:val="000000"/>
              </w:rPr>
            </w:pPr>
            <w:r w:rsidRPr="00591153">
              <w:rPr>
                <w:color w:val="000000"/>
              </w:rPr>
              <w:t>0.066</w:t>
            </w:r>
          </w:p>
        </w:tc>
        <w:tc>
          <w:tcPr>
            <w:tcW w:w="2421" w:type="dxa"/>
            <w:vAlign w:val="center"/>
          </w:tcPr>
          <w:p w14:paraId="37F09CCE" w14:textId="77777777" w:rsidR="00591153" w:rsidRPr="00591153" w:rsidRDefault="00591153" w:rsidP="00591153">
            <w:pPr>
              <w:jc w:val="center"/>
              <w:rPr>
                <w:color w:val="000000"/>
              </w:rPr>
            </w:pPr>
            <w:r w:rsidRPr="00591153">
              <w:rPr>
                <w:color w:val="000000"/>
              </w:rPr>
              <w:t>0.072</w:t>
            </w:r>
          </w:p>
        </w:tc>
      </w:tr>
      <w:tr w:rsidR="00591153" w14:paraId="5A08B00D" w14:textId="77777777" w:rsidTr="00DC20DA">
        <w:tc>
          <w:tcPr>
            <w:tcW w:w="2427" w:type="dxa"/>
            <w:vAlign w:val="center"/>
          </w:tcPr>
          <w:p w14:paraId="677274EB" w14:textId="77777777" w:rsidR="00591153" w:rsidRPr="00591153" w:rsidRDefault="00591153" w:rsidP="00591153">
            <w:pPr>
              <w:rPr>
                <w:rFonts w:eastAsia="Arial Unicode MS"/>
              </w:rPr>
            </w:pPr>
            <w:r w:rsidRPr="00591153">
              <w:t>Sausalito-Marin City Sanitary District</w:t>
            </w:r>
          </w:p>
        </w:tc>
        <w:tc>
          <w:tcPr>
            <w:tcW w:w="2421" w:type="dxa"/>
            <w:vAlign w:val="center"/>
          </w:tcPr>
          <w:p w14:paraId="2CFC4ACA" w14:textId="77777777" w:rsidR="00591153" w:rsidRPr="00591153" w:rsidRDefault="00591153" w:rsidP="00591153">
            <w:pPr>
              <w:jc w:val="center"/>
              <w:rPr>
                <w:color w:val="000000"/>
              </w:rPr>
            </w:pPr>
            <w:r w:rsidRPr="00591153">
              <w:rPr>
                <w:color w:val="000000"/>
              </w:rPr>
              <w:t>0.078</w:t>
            </w:r>
          </w:p>
        </w:tc>
        <w:tc>
          <w:tcPr>
            <w:tcW w:w="2421" w:type="dxa"/>
            <w:vAlign w:val="center"/>
          </w:tcPr>
          <w:p w14:paraId="65CE050B" w14:textId="77777777" w:rsidR="00591153" w:rsidRPr="00591153" w:rsidRDefault="00591153" w:rsidP="00591153">
            <w:pPr>
              <w:jc w:val="center"/>
              <w:rPr>
                <w:color w:val="000000"/>
              </w:rPr>
            </w:pPr>
            <w:r w:rsidRPr="00591153">
              <w:rPr>
                <w:color w:val="000000"/>
              </w:rPr>
              <w:t>0.066</w:t>
            </w:r>
          </w:p>
        </w:tc>
        <w:tc>
          <w:tcPr>
            <w:tcW w:w="2421" w:type="dxa"/>
            <w:vAlign w:val="center"/>
          </w:tcPr>
          <w:p w14:paraId="2BA452C9" w14:textId="77777777" w:rsidR="00591153" w:rsidRPr="00591153" w:rsidRDefault="00591153" w:rsidP="00591153">
            <w:pPr>
              <w:jc w:val="center"/>
              <w:rPr>
                <w:color w:val="000000"/>
              </w:rPr>
            </w:pPr>
            <w:r w:rsidRPr="00591153">
              <w:rPr>
                <w:color w:val="000000"/>
              </w:rPr>
              <w:t>0.072</w:t>
            </w:r>
          </w:p>
        </w:tc>
      </w:tr>
      <w:tr w:rsidR="00591153" w14:paraId="77D65128" w14:textId="77777777" w:rsidTr="00DC20DA">
        <w:tc>
          <w:tcPr>
            <w:tcW w:w="2427" w:type="dxa"/>
            <w:vAlign w:val="center"/>
          </w:tcPr>
          <w:p w14:paraId="1A56C40F" w14:textId="77777777" w:rsidR="00591153" w:rsidRPr="00591153" w:rsidRDefault="00591153" w:rsidP="00D779CE">
            <w:pPr>
              <w:pStyle w:val="FootnoteText"/>
              <w:rPr>
                <w:rFonts w:eastAsia="Arial Unicode MS"/>
              </w:rPr>
            </w:pPr>
            <w:r w:rsidRPr="00591153">
              <w:t>Sewerage Agency of Southern Marin</w:t>
            </w:r>
          </w:p>
        </w:tc>
        <w:tc>
          <w:tcPr>
            <w:tcW w:w="2421" w:type="dxa"/>
            <w:vAlign w:val="center"/>
          </w:tcPr>
          <w:p w14:paraId="0DAC250E" w14:textId="77777777" w:rsidR="00591153" w:rsidRPr="00591153" w:rsidRDefault="00591153" w:rsidP="00591153">
            <w:pPr>
              <w:jc w:val="center"/>
              <w:rPr>
                <w:color w:val="000000"/>
              </w:rPr>
            </w:pPr>
            <w:r w:rsidRPr="00591153">
              <w:rPr>
                <w:color w:val="000000"/>
              </w:rPr>
              <w:t>0.076</w:t>
            </w:r>
          </w:p>
        </w:tc>
        <w:tc>
          <w:tcPr>
            <w:tcW w:w="2421" w:type="dxa"/>
            <w:vAlign w:val="center"/>
          </w:tcPr>
          <w:p w14:paraId="20164701" w14:textId="77777777" w:rsidR="00591153" w:rsidRPr="00591153" w:rsidRDefault="00591153" w:rsidP="00591153">
            <w:pPr>
              <w:jc w:val="center"/>
              <w:rPr>
                <w:color w:val="000000"/>
              </w:rPr>
            </w:pPr>
            <w:r w:rsidRPr="00591153">
              <w:rPr>
                <w:color w:val="000000"/>
              </w:rPr>
              <w:t>0.066</w:t>
            </w:r>
          </w:p>
        </w:tc>
        <w:tc>
          <w:tcPr>
            <w:tcW w:w="2421" w:type="dxa"/>
            <w:vAlign w:val="center"/>
          </w:tcPr>
          <w:p w14:paraId="11AEBEB1" w14:textId="77777777" w:rsidR="00591153" w:rsidRPr="00591153" w:rsidRDefault="00591153" w:rsidP="00591153">
            <w:pPr>
              <w:jc w:val="center"/>
              <w:rPr>
                <w:color w:val="000000"/>
              </w:rPr>
            </w:pPr>
            <w:r w:rsidRPr="00591153">
              <w:rPr>
                <w:color w:val="000000"/>
              </w:rPr>
              <w:t>0.072</w:t>
            </w:r>
          </w:p>
        </w:tc>
      </w:tr>
      <w:tr w:rsidR="00DC20DA" w14:paraId="5F577777" w14:textId="77777777" w:rsidTr="00DC20DA">
        <w:tc>
          <w:tcPr>
            <w:tcW w:w="2427" w:type="dxa"/>
            <w:vAlign w:val="center"/>
          </w:tcPr>
          <w:p w14:paraId="13CFFF17" w14:textId="1C421587" w:rsidR="00DC20DA" w:rsidRPr="00591153" w:rsidRDefault="00DC20DA" w:rsidP="00DC20DA">
            <w:r>
              <w:t>Silicon Valley Clean Water</w:t>
            </w:r>
          </w:p>
        </w:tc>
        <w:tc>
          <w:tcPr>
            <w:tcW w:w="2421" w:type="dxa"/>
            <w:vAlign w:val="center"/>
          </w:tcPr>
          <w:p w14:paraId="2D79CBAE" w14:textId="2E409CA2" w:rsidR="00DC20DA" w:rsidRPr="00591153" w:rsidRDefault="00DC20DA" w:rsidP="00DC20DA">
            <w:pPr>
              <w:jc w:val="center"/>
              <w:rPr>
                <w:color w:val="000000"/>
              </w:rPr>
            </w:pPr>
            <w:r w:rsidRPr="00591153">
              <w:rPr>
                <w:color w:val="000000"/>
              </w:rPr>
              <w:t>0.32</w:t>
            </w:r>
          </w:p>
        </w:tc>
        <w:tc>
          <w:tcPr>
            <w:tcW w:w="2421" w:type="dxa"/>
            <w:vAlign w:val="center"/>
          </w:tcPr>
          <w:p w14:paraId="3487A023" w14:textId="7FC5BC5A" w:rsidR="00DC20DA" w:rsidRPr="00591153" w:rsidRDefault="00DC20DA" w:rsidP="00DC20DA">
            <w:pPr>
              <w:jc w:val="center"/>
              <w:rPr>
                <w:color w:val="000000"/>
              </w:rPr>
            </w:pPr>
            <w:r w:rsidRPr="00591153">
              <w:rPr>
                <w:color w:val="000000"/>
              </w:rPr>
              <w:t>0.066</w:t>
            </w:r>
          </w:p>
        </w:tc>
        <w:tc>
          <w:tcPr>
            <w:tcW w:w="2421" w:type="dxa"/>
            <w:vAlign w:val="center"/>
          </w:tcPr>
          <w:p w14:paraId="521734F5" w14:textId="5FD7D02A" w:rsidR="00DC20DA" w:rsidRPr="00591153" w:rsidRDefault="00DC20DA" w:rsidP="00DC20DA">
            <w:pPr>
              <w:jc w:val="center"/>
              <w:rPr>
                <w:color w:val="000000"/>
              </w:rPr>
            </w:pPr>
            <w:r w:rsidRPr="00591153">
              <w:rPr>
                <w:color w:val="000000"/>
              </w:rPr>
              <w:t>0.072</w:t>
            </w:r>
          </w:p>
        </w:tc>
      </w:tr>
      <w:tr w:rsidR="00DC20DA" w14:paraId="1758E7E8" w14:textId="77777777" w:rsidTr="00DC20DA">
        <w:tc>
          <w:tcPr>
            <w:tcW w:w="2427" w:type="dxa"/>
            <w:vAlign w:val="center"/>
          </w:tcPr>
          <w:p w14:paraId="73F468F5" w14:textId="77777777" w:rsidR="00DC20DA" w:rsidRPr="00591153" w:rsidRDefault="00DC20DA" w:rsidP="00DC20DA">
            <w:pPr>
              <w:rPr>
                <w:rFonts w:eastAsia="Arial Unicode MS"/>
              </w:rPr>
            </w:pPr>
            <w:r w:rsidRPr="00591153">
              <w:t>Sonoma Valley County Sanitary District</w:t>
            </w:r>
          </w:p>
        </w:tc>
        <w:tc>
          <w:tcPr>
            <w:tcW w:w="2421" w:type="dxa"/>
            <w:vAlign w:val="center"/>
          </w:tcPr>
          <w:p w14:paraId="026B81E8" w14:textId="77777777" w:rsidR="00DC20DA" w:rsidRPr="00591153" w:rsidRDefault="00DC20DA" w:rsidP="00DC20DA">
            <w:pPr>
              <w:jc w:val="center"/>
              <w:rPr>
                <w:color w:val="000000"/>
              </w:rPr>
            </w:pPr>
            <w:r w:rsidRPr="00591153">
              <w:rPr>
                <w:color w:val="000000"/>
              </w:rPr>
              <w:t>0.041</w:t>
            </w:r>
          </w:p>
        </w:tc>
        <w:tc>
          <w:tcPr>
            <w:tcW w:w="2421" w:type="dxa"/>
            <w:vAlign w:val="center"/>
          </w:tcPr>
          <w:p w14:paraId="71636158" w14:textId="77777777" w:rsidR="00DC20DA" w:rsidRPr="00591153" w:rsidRDefault="00DC20DA" w:rsidP="00DC20DA">
            <w:pPr>
              <w:jc w:val="center"/>
              <w:rPr>
                <w:color w:val="000000"/>
              </w:rPr>
            </w:pPr>
            <w:r w:rsidRPr="00591153">
              <w:rPr>
                <w:color w:val="000000"/>
              </w:rPr>
              <w:t>0.066</w:t>
            </w:r>
          </w:p>
        </w:tc>
        <w:tc>
          <w:tcPr>
            <w:tcW w:w="2421" w:type="dxa"/>
            <w:vAlign w:val="center"/>
          </w:tcPr>
          <w:p w14:paraId="0C9A526D" w14:textId="77777777" w:rsidR="00DC20DA" w:rsidRPr="00591153" w:rsidRDefault="00DC20DA" w:rsidP="00DC20DA">
            <w:pPr>
              <w:jc w:val="center"/>
              <w:rPr>
                <w:color w:val="000000"/>
              </w:rPr>
            </w:pPr>
            <w:r w:rsidRPr="00591153">
              <w:rPr>
                <w:color w:val="000000"/>
              </w:rPr>
              <w:t>0.072</w:t>
            </w:r>
          </w:p>
        </w:tc>
      </w:tr>
      <w:tr w:rsidR="00DC20DA" w14:paraId="3A778E56" w14:textId="77777777" w:rsidTr="00DC20DA">
        <w:tc>
          <w:tcPr>
            <w:tcW w:w="2427" w:type="dxa"/>
            <w:vAlign w:val="center"/>
          </w:tcPr>
          <w:p w14:paraId="1466C00B" w14:textId="77777777" w:rsidR="00DC20DA" w:rsidRPr="00591153" w:rsidRDefault="00DC20DA" w:rsidP="00DC20DA">
            <w:pPr>
              <w:rPr>
                <w:rFonts w:eastAsia="Arial Unicode MS"/>
              </w:rPr>
            </w:pPr>
            <w:r w:rsidRPr="00591153">
              <w:t>South San Francisco and San Bruno, Cities of</w:t>
            </w:r>
          </w:p>
        </w:tc>
        <w:tc>
          <w:tcPr>
            <w:tcW w:w="2421" w:type="dxa"/>
            <w:vAlign w:val="center"/>
          </w:tcPr>
          <w:p w14:paraId="44E22396" w14:textId="77777777" w:rsidR="00DC20DA" w:rsidRPr="00591153" w:rsidRDefault="00DC20DA" w:rsidP="00DC20DA">
            <w:pPr>
              <w:jc w:val="center"/>
              <w:rPr>
                <w:color w:val="000000"/>
              </w:rPr>
            </w:pPr>
            <w:r w:rsidRPr="00591153">
              <w:rPr>
                <w:color w:val="000000"/>
              </w:rPr>
              <w:t>0.18</w:t>
            </w:r>
          </w:p>
        </w:tc>
        <w:tc>
          <w:tcPr>
            <w:tcW w:w="2421" w:type="dxa"/>
            <w:vAlign w:val="center"/>
          </w:tcPr>
          <w:p w14:paraId="327C172C" w14:textId="77777777" w:rsidR="00DC20DA" w:rsidRPr="00591153" w:rsidRDefault="00DC20DA" w:rsidP="00DC20DA">
            <w:pPr>
              <w:jc w:val="center"/>
              <w:rPr>
                <w:color w:val="000000"/>
              </w:rPr>
            </w:pPr>
            <w:r w:rsidRPr="00591153">
              <w:rPr>
                <w:color w:val="000000"/>
              </w:rPr>
              <w:t>0.066</w:t>
            </w:r>
          </w:p>
        </w:tc>
        <w:tc>
          <w:tcPr>
            <w:tcW w:w="2421" w:type="dxa"/>
            <w:vAlign w:val="center"/>
          </w:tcPr>
          <w:p w14:paraId="5D91B91E" w14:textId="77777777" w:rsidR="00DC20DA" w:rsidRPr="00591153" w:rsidRDefault="00DC20DA" w:rsidP="00DC20DA">
            <w:pPr>
              <w:jc w:val="center"/>
              <w:rPr>
                <w:color w:val="000000"/>
              </w:rPr>
            </w:pPr>
            <w:r w:rsidRPr="00591153">
              <w:rPr>
                <w:color w:val="000000"/>
              </w:rPr>
              <w:t>0.072</w:t>
            </w:r>
          </w:p>
        </w:tc>
      </w:tr>
      <w:tr w:rsidR="00DC20DA" w14:paraId="60C9103A" w14:textId="77777777" w:rsidTr="00DC20DA">
        <w:tc>
          <w:tcPr>
            <w:tcW w:w="2427" w:type="dxa"/>
            <w:vAlign w:val="center"/>
          </w:tcPr>
          <w:p w14:paraId="179C5C4D" w14:textId="77777777" w:rsidR="00DC20DA" w:rsidRPr="00591153" w:rsidRDefault="00DC20DA" w:rsidP="00D779CE">
            <w:pPr>
              <w:pStyle w:val="FootnoteText"/>
              <w:rPr>
                <w:rFonts w:eastAsia="Arial Unicode MS"/>
              </w:rPr>
            </w:pPr>
            <w:r w:rsidRPr="00591153">
              <w:t>Sunnyvale, City of</w:t>
            </w:r>
          </w:p>
        </w:tc>
        <w:tc>
          <w:tcPr>
            <w:tcW w:w="2421" w:type="dxa"/>
            <w:vAlign w:val="center"/>
          </w:tcPr>
          <w:p w14:paraId="648DAE64" w14:textId="77777777" w:rsidR="00DC20DA" w:rsidRPr="00591153" w:rsidRDefault="00DC20DA" w:rsidP="00DC20DA">
            <w:pPr>
              <w:jc w:val="center"/>
              <w:rPr>
                <w:color w:val="000000"/>
              </w:rPr>
            </w:pPr>
            <w:r w:rsidRPr="00591153">
              <w:rPr>
                <w:color w:val="000000"/>
              </w:rPr>
              <w:t>0.12</w:t>
            </w:r>
          </w:p>
        </w:tc>
        <w:tc>
          <w:tcPr>
            <w:tcW w:w="2421" w:type="dxa"/>
            <w:vAlign w:val="center"/>
          </w:tcPr>
          <w:p w14:paraId="2A6829EA" w14:textId="77777777" w:rsidR="00DC20DA" w:rsidRPr="00591153" w:rsidRDefault="00DC20DA" w:rsidP="00DC20DA">
            <w:pPr>
              <w:jc w:val="center"/>
              <w:rPr>
                <w:color w:val="000000"/>
              </w:rPr>
            </w:pPr>
            <w:r w:rsidRPr="00591153">
              <w:rPr>
                <w:color w:val="000000"/>
              </w:rPr>
              <w:t>0.025</w:t>
            </w:r>
          </w:p>
        </w:tc>
        <w:tc>
          <w:tcPr>
            <w:tcW w:w="2421" w:type="dxa"/>
          </w:tcPr>
          <w:p w14:paraId="791CCBF3" w14:textId="77777777" w:rsidR="00DC20DA" w:rsidRPr="00591153" w:rsidRDefault="00DC20DA" w:rsidP="00DC20DA">
            <w:pPr>
              <w:jc w:val="center"/>
              <w:rPr>
                <w:color w:val="000000"/>
              </w:rPr>
            </w:pPr>
            <w:r w:rsidRPr="00591153">
              <w:rPr>
                <w:color w:val="000000"/>
              </w:rPr>
              <w:t>0.027</w:t>
            </w:r>
          </w:p>
        </w:tc>
      </w:tr>
      <w:tr w:rsidR="00DC20DA" w14:paraId="5D4B4B24" w14:textId="77777777" w:rsidTr="00DC20DA">
        <w:tc>
          <w:tcPr>
            <w:tcW w:w="2427" w:type="dxa"/>
            <w:vAlign w:val="center"/>
          </w:tcPr>
          <w:p w14:paraId="1C807117" w14:textId="6602E1DA" w:rsidR="00DC20DA" w:rsidRPr="00591153" w:rsidRDefault="00DC20DA" w:rsidP="00DC20DA">
            <w:r w:rsidRPr="00591153">
              <w:t>U</w:t>
            </w:r>
            <w:r>
              <w:t>.</w:t>
            </w:r>
            <w:r w:rsidRPr="00591153">
              <w:t>S</w:t>
            </w:r>
            <w:r>
              <w:t>.</w:t>
            </w:r>
            <w:r w:rsidRPr="00591153">
              <w:t xml:space="preserve"> Department of Navy</w:t>
            </w:r>
            <w:r>
              <w:rPr>
                <w:vertAlign w:val="superscript"/>
              </w:rPr>
              <w:t>[2]</w:t>
            </w:r>
            <w:r w:rsidRPr="00591153">
              <w:t xml:space="preserve"> (Treasure Island)</w:t>
            </w:r>
          </w:p>
        </w:tc>
        <w:tc>
          <w:tcPr>
            <w:tcW w:w="2421" w:type="dxa"/>
            <w:vAlign w:val="center"/>
          </w:tcPr>
          <w:p w14:paraId="067F480A" w14:textId="77777777" w:rsidR="00DC20DA" w:rsidRPr="00591153" w:rsidRDefault="00DC20DA" w:rsidP="00DC20DA">
            <w:pPr>
              <w:jc w:val="center"/>
              <w:rPr>
                <w:color w:val="000000"/>
              </w:rPr>
            </w:pPr>
            <w:r w:rsidRPr="00591153">
              <w:rPr>
                <w:color w:val="000000"/>
              </w:rPr>
              <w:t>0.026</w:t>
            </w:r>
          </w:p>
        </w:tc>
        <w:tc>
          <w:tcPr>
            <w:tcW w:w="2421" w:type="dxa"/>
            <w:vAlign w:val="center"/>
          </w:tcPr>
          <w:p w14:paraId="5BFB6273" w14:textId="77777777" w:rsidR="00DC20DA" w:rsidRPr="00591153" w:rsidRDefault="00DC20DA" w:rsidP="00DC20DA">
            <w:pPr>
              <w:jc w:val="center"/>
              <w:rPr>
                <w:color w:val="000000"/>
              </w:rPr>
            </w:pPr>
            <w:r w:rsidRPr="00591153">
              <w:rPr>
                <w:color w:val="000000"/>
              </w:rPr>
              <w:t>0.066</w:t>
            </w:r>
          </w:p>
        </w:tc>
        <w:tc>
          <w:tcPr>
            <w:tcW w:w="2421" w:type="dxa"/>
          </w:tcPr>
          <w:p w14:paraId="55FCC62B" w14:textId="77777777" w:rsidR="00DC20DA" w:rsidRPr="00591153" w:rsidRDefault="00DC20DA" w:rsidP="00DC20DA">
            <w:pPr>
              <w:jc w:val="center"/>
              <w:rPr>
                <w:color w:val="000000"/>
              </w:rPr>
            </w:pPr>
            <w:r w:rsidRPr="00591153">
              <w:rPr>
                <w:color w:val="000000"/>
              </w:rPr>
              <w:t>0.072</w:t>
            </w:r>
          </w:p>
        </w:tc>
      </w:tr>
      <w:tr w:rsidR="00DC20DA" w14:paraId="3CAC7D2B" w14:textId="77777777" w:rsidTr="00DC20DA">
        <w:tc>
          <w:tcPr>
            <w:tcW w:w="2427" w:type="dxa"/>
            <w:vAlign w:val="center"/>
          </w:tcPr>
          <w:p w14:paraId="2C8E9705" w14:textId="77777777" w:rsidR="00DC20DA" w:rsidRPr="00591153" w:rsidRDefault="00DC20DA" w:rsidP="00DC20DA">
            <w:pPr>
              <w:rPr>
                <w:rFonts w:eastAsia="Arial Unicode MS"/>
              </w:rPr>
            </w:pPr>
            <w:r w:rsidRPr="00591153">
              <w:t>Vallejo Sanitation and Flood Control District</w:t>
            </w:r>
          </w:p>
        </w:tc>
        <w:tc>
          <w:tcPr>
            <w:tcW w:w="2421" w:type="dxa"/>
            <w:vAlign w:val="center"/>
          </w:tcPr>
          <w:p w14:paraId="754466B7" w14:textId="77777777" w:rsidR="00DC20DA" w:rsidRPr="00591153" w:rsidRDefault="00DC20DA" w:rsidP="00DC20DA">
            <w:pPr>
              <w:jc w:val="center"/>
              <w:rPr>
                <w:color w:val="000000"/>
              </w:rPr>
            </w:pPr>
            <w:r w:rsidRPr="00591153">
              <w:rPr>
                <w:color w:val="000000"/>
              </w:rPr>
              <w:t>0.34</w:t>
            </w:r>
          </w:p>
        </w:tc>
        <w:tc>
          <w:tcPr>
            <w:tcW w:w="2421" w:type="dxa"/>
            <w:vAlign w:val="center"/>
          </w:tcPr>
          <w:p w14:paraId="5C257AC2" w14:textId="77777777" w:rsidR="00DC20DA" w:rsidRPr="00591153" w:rsidRDefault="00DC20DA" w:rsidP="00DC20DA">
            <w:pPr>
              <w:jc w:val="center"/>
              <w:rPr>
                <w:color w:val="000000"/>
              </w:rPr>
            </w:pPr>
            <w:r w:rsidRPr="00591153">
              <w:rPr>
                <w:color w:val="000000"/>
              </w:rPr>
              <w:t>0.066</w:t>
            </w:r>
          </w:p>
        </w:tc>
        <w:tc>
          <w:tcPr>
            <w:tcW w:w="2421" w:type="dxa"/>
          </w:tcPr>
          <w:p w14:paraId="24E33D1E" w14:textId="77777777" w:rsidR="00DC20DA" w:rsidRPr="00591153" w:rsidRDefault="00DC20DA" w:rsidP="00DC20DA">
            <w:pPr>
              <w:jc w:val="center"/>
              <w:rPr>
                <w:color w:val="000000"/>
              </w:rPr>
            </w:pPr>
            <w:r w:rsidRPr="00591153">
              <w:rPr>
                <w:color w:val="000000"/>
              </w:rPr>
              <w:t>0.072</w:t>
            </w:r>
          </w:p>
        </w:tc>
      </w:tr>
      <w:tr w:rsidR="00DC20DA" w14:paraId="236EEBB0" w14:textId="77777777" w:rsidTr="00DC20DA">
        <w:tc>
          <w:tcPr>
            <w:tcW w:w="2427" w:type="dxa"/>
            <w:vAlign w:val="center"/>
          </w:tcPr>
          <w:p w14:paraId="404AA939" w14:textId="77777777" w:rsidR="00DC20DA" w:rsidRPr="00C65260" w:rsidRDefault="00DC20DA" w:rsidP="00DC20DA">
            <w:pPr>
              <w:pStyle w:val="xl24"/>
              <w:pBdr>
                <w:bottom w:val="none" w:sz="0" w:space="0" w:color="auto"/>
              </w:pBdr>
              <w:spacing w:before="0" w:beforeAutospacing="0" w:after="0" w:afterAutospacing="0"/>
              <w:jc w:val="left"/>
              <w:rPr>
                <w:rFonts w:ascii="Times New Roman" w:hAnsi="Times New Roman" w:cs="Times New Roman"/>
                <w:b w:val="0"/>
                <w:sz w:val="20"/>
                <w:szCs w:val="20"/>
              </w:rPr>
            </w:pPr>
            <w:r w:rsidRPr="005465D4">
              <w:rPr>
                <w:rFonts w:ascii="Times New Roman" w:hAnsi="Times New Roman" w:cs="Times New Roman"/>
                <w:b w:val="0"/>
                <w:sz w:val="20"/>
              </w:rPr>
              <w:t>West County Agency</w:t>
            </w:r>
            <w:r>
              <w:rPr>
                <w:rFonts w:ascii="Times New Roman" w:hAnsi="Times New Roman" w:cs="Times New Roman"/>
                <w:b w:val="0"/>
                <w:sz w:val="20"/>
              </w:rPr>
              <w:t xml:space="preserve">; </w:t>
            </w:r>
            <w:r w:rsidRPr="005465D4">
              <w:rPr>
                <w:rFonts w:ascii="Times New Roman" w:hAnsi="Times New Roman" w:cs="Times New Roman"/>
                <w:b w:val="0"/>
                <w:sz w:val="20"/>
                <w:szCs w:val="20"/>
              </w:rPr>
              <w:t>West County Wastewater District</w:t>
            </w:r>
            <w:r>
              <w:rPr>
                <w:rFonts w:ascii="Times New Roman" w:hAnsi="Times New Roman" w:cs="Times New Roman"/>
                <w:b w:val="0"/>
                <w:sz w:val="20"/>
                <w:szCs w:val="20"/>
              </w:rPr>
              <w:t xml:space="preserve">; </w:t>
            </w:r>
            <w:r w:rsidRPr="005465D4">
              <w:rPr>
                <w:rFonts w:ascii="Times New Roman" w:hAnsi="Times New Roman" w:cs="Times New Roman"/>
                <w:b w:val="0"/>
                <w:sz w:val="20"/>
                <w:szCs w:val="20"/>
              </w:rPr>
              <w:t xml:space="preserve"> </w:t>
            </w:r>
            <w:r w:rsidRPr="00C65260">
              <w:rPr>
                <w:rFonts w:ascii="Times New Roman" w:hAnsi="Times New Roman" w:cs="Times New Roman"/>
                <w:b w:val="0"/>
                <w:bCs w:val="0"/>
                <w:sz w:val="20"/>
              </w:rPr>
              <w:t>City of Richmond; and Richmond Municipal Sewer District No. 1</w:t>
            </w:r>
          </w:p>
        </w:tc>
        <w:tc>
          <w:tcPr>
            <w:tcW w:w="2421" w:type="dxa"/>
            <w:vAlign w:val="center"/>
          </w:tcPr>
          <w:p w14:paraId="0B4AB7F1" w14:textId="77777777" w:rsidR="00DC20DA" w:rsidRPr="00591153" w:rsidRDefault="00DC20DA" w:rsidP="00DC20DA">
            <w:pPr>
              <w:jc w:val="center"/>
              <w:rPr>
                <w:color w:val="000000"/>
              </w:rPr>
            </w:pPr>
            <w:r w:rsidRPr="00591153">
              <w:rPr>
                <w:color w:val="000000"/>
              </w:rPr>
              <w:t>0.23</w:t>
            </w:r>
          </w:p>
        </w:tc>
        <w:tc>
          <w:tcPr>
            <w:tcW w:w="2421" w:type="dxa"/>
            <w:vAlign w:val="center"/>
          </w:tcPr>
          <w:p w14:paraId="4C7F4FEC" w14:textId="77777777" w:rsidR="00DC20DA" w:rsidRPr="00591153" w:rsidRDefault="00DC20DA" w:rsidP="00DC20DA">
            <w:pPr>
              <w:jc w:val="center"/>
              <w:rPr>
                <w:color w:val="000000"/>
              </w:rPr>
            </w:pPr>
            <w:r w:rsidRPr="00591153">
              <w:rPr>
                <w:color w:val="000000"/>
              </w:rPr>
              <w:t>0.066</w:t>
            </w:r>
          </w:p>
        </w:tc>
        <w:tc>
          <w:tcPr>
            <w:tcW w:w="2421" w:type="dxa"/>
            <w:vAlign w:val="center"/>
          </w:tcPr>
          <w:p w14:paraId="4B29F37D" w14:textId="77777777" w:rsidR="00DC20DA" w:rsidRPr="00591153" w:rsidRDefault="00DC20DA" w:rsidP="00DC20DA">
            <w:pPr>
              <w:jc w:val="center"/>
              <w:rPr>
                <w:color w:val="000000"/>
              </w:rPr>
            </w:pPr>
            <w:r w:rsidRPr="00591153">
              <w:rPr>
                <w:color w:val="000000"/>
              </w:rPr>
              <w:t>0.072</w:t>
            </w:r>
          </w:p>
        </w:tc>
      </w:tr>
      <w:tr w:rsidR="00DC20DA" w14:paraId="38CD1CDF" w14:textId="77777777" w:rsidTr="00DC20DA">
        <w:tc>
          <w:tcPr>
            <w:tcW w:w="2427" w:type="dxa"/>
            <w:vAlign w:val="center"/>
          </w:tcPr>
          <w:p w14:paraId="71547A47" w14:textId="77777777" w:rsidR="00DC20DA" w:rsidRPr="00591153" w:rsidRDefault="00DC20DA" w:rsidP="00DC20DA">
            <w:pPr>
              <w:rPr>
                <w:rFonts w:eastAsia="Arial Unicode MS"/>
              </w:rPr>
            </w:pPr>
            <w:r w:rsidRPr="00591153">
              <w:t>Yountville, Town of</w:t>
            </w:r>
          </w:p>
        </w:tc>
        <w:tc>
          <w:tcPr>
            <w:tcW w:w="2421" w:type="dxa"/>
            <w:vAlign w:val="center"/>
          </w:tcPr>
          <w:p w14:paraId="50E3F09A" w14:textId="77777777" w:rsidR="00DC20DA" w:rsidRPr="00591153" w:rsidRDefault="00DC20DA" w:rsidP="00DC20DA">
            <w:pPr>
              <w:jc w:val="center"/>
              <w:rPr>
                <w:color w:val="000000"/>
              </w:rPr>
            </w:pPr>
            <w:r w:rsidRPr="00591153">
              <w:rPr>
                <w:color w:val="000000"/>
              </w:rPr>
              <w:t>0.040</w:t>
            </w:r>
          </w:p>
        </w:tc>
        <w:tc>
          <w:tcPr>
            <w:tcW w:w="2421" w:type="dxa"/>
            <w:vAlign w:val="center"/>
          </w:tcPr>
          <w:p w14:paraId="539212B2" w14:textId="77777777" w:rsidR="00DC20DA" w:rsidRPr="00591153" w:rsidRDefault="00DC20DA" w:rsidP="00DC20DA">
            <w:pPr>
              <w:jc w:val="center"/>
              <w:rPr>
                <w:color w:val="000000"/>
              </w:rPr>
            </w:pPr>
            <w:r w:rsidRPr="00591153">
              <w:rPr>
                <w:color w:val="000000"/>
              </w:rPr>
              <w:t>0.066</w:t>
            </w:r>
          </w:p>
        </w:tc>
        <w:tc>
          <w:tcPr>
            <w:tcW w:w="2421" w:type="dxa"/>
          </w:tcPr>
          <w:p w14:paraId="25E40CD5" w14:textId="77777777" w:rsidR="00DC20DA" w:rsidRPr="00591153" w:rsidRDefault="00DC20DA" w:rsidP="00DC20DA">
            <w:pPr>
              <w:jc w:val="center"/>
              <w:rPr>
                <w:color w:val="000000"/>
              </w:rPr>
            </w:pPr>
            <w:r w:rsidRPr="00591153">
              <w:rPr>
                <w:color w:val="000000"/>
              </w:rPr>
              <w:t>0.072</w:t>
            </w:r>
          </w:p>
        </w:tc>
      </w:tr>
      <w:tr w:rsidR="00DC20DA" w14:paraId="21A3A85B" w14:textId="77777777" w:rsidTr="00DC20DA">
        <w:tc>
          <w:tcPr>
            <w:tcW w:w="2427" w:type="dxa"/>
            <w:vAlign w:val="center"/>
          </w:tcPr>
          <w:p w14:paraId="5EB7D013" w14:textId="1074B800" w:rsidR="00DC20DA" w:rsidRPr="006A7EC5" w:rsidRDefault="00DC20DA" w:rsidP="00DC20DA">
            <w:pPr>
              <w:rPr>
                <w:b/>
              </w:rPr>
            </w:pPr>
            <w:r>
              <w:rPr>
                <w:b/>
              </w:rPr>
              <w:t>Aggregate Mass Emission Limit</w:t>
            </w:r>
            <w:r w:rsidRPr="006A7EC5">
              <w:rPr>
                <w:b/>
                <w:vertAlign w:val="superscript"/>
              </w:rPr>
              <w:t xml:space="preserve"> [1],[3]</w:t>
            </w:r>
            <w:r>
              <w:rPr>
                <w:b/>
                <w:vertAlign w:val="superscript"/>
              </w:rPr>
              <w:t xml:space="preserve"> </w:t>
            </w:r>
            <w:r>
              <w:rPr>
                <w:b/>
              </w:rPr>
              <w:t>(kg/yr)</w:t>
            </w:r>
          </w:p>
        </w:tc>
        <w:tc>
          <w:tcPr>
            <w:tcW w:w="2421" w:type="dxa"/>
            <w:vAlign w:val="center"/>
          </w:tcPr>
          <w:p w14:paraId="4CB65420" w14:textId="6C40D5A5" w:rsidR="00DC20DA" w:rsidRPr="006A7EC5" w:rsidRDefault="00DC20DA" w:rsidP="00DC20DA">
            <w:pPr>
              <w:jc w:val="center"/>
              <w:rPr>
                <w:b/>
                <w:color w:val="000000"/>
              </w:rPr>
            </w:pPr>
            <w:r w:rsidRPr="006A7EC5">
              <w:rPr>
                <w:b/>
                <w:color w:val="000000"/>
              </w:rPr>
              <w:t>11</w:t>
            </w:r>
          </w:p>
        </w:tc>
        <w:tc>
          <w:tcPr>
            <w:tcW w:w="2421" w:type="dxa"/>
            <w:vAlign w:val="center"/>
          </w:tcPr>
          <w:p w14:paraId="09C626B2" w14:textId="45DE9F13" w:rsidR="00DC20DA" w:rsidRPr="006A7EC5" w:rsidRDefault="00DC20DA" w:rsidP="00DC20DA">
            <w:pPr>
              <w:jc w:val="center"/>
              <w:rPr>
                <w:b/>
                <w:color w:val="000000"/>
              </w:rPr>
            </w:pPr>
            <w:r w:rsidRPr="006A7EC5">
              <w:rPr>
                <w:b/>
                <w:color w:val="000000"/>
              </w:rPr>
              <w:t>Not Applicable</w:t>
            </w:r>
          </w:p>
        </w:tc>
        <w:tc>
          <w:tcPr>
            <w:tcW w:w="2421" w:type="dxa"/>
            <w:vAlign w:val="center"/>
          </w:tcPr>
          <w:p w14:paraId="11C730B1" w14:textId="3E5981CF" w:rsidR="00DC20DA" w:rsidRPr="006A7EC5" w:rsidRDefault="00DC20DA" w:rsidP="00DC20DA">
            <w:pPr>
              <w:jc w:val="center"/>
              <w:rPr>
                <w:b/>
                <w:color w:val="000000"/>
              </w:rPr>
            </w:pPr>
            <w:r w:rsidRPr="006A7EC5">
              <w:rPr>
                <w:b/>
                <w:color w:val="000000"/>
              </w:rPr>
              <w:t>Not Applicable</w:t>
            </w:r>
          </w:p>
        </w:tc>
      </w:tr>
    </w:tbl>
    <w:p w14:paraId="2FD97A85" w14:textId="77777777" w:rsidR="000F6747" w:rsidRPr="00AD16C3" w:rsidRDefault="000F6747" w:rsidP="00741457">
      <w:pPr>
        <w:pStyle w:val="blankspacesaftertables"/>
        <w:tabs>
          <w:tab w:val="left" w:pos="540"/>
        </w:tabs>
        <w:spacing w:before="60" w:after="60"/>
        <w:ind w:firstLine="270"/>
        <w:rPr>
          <w:sz w:val="18"/>
          <w:szCs w:val="18"/>
          <w:u w:val="single"/>
        </w:rPr>
      </w:pPr>
      <w:r w:rsidRPr="00AD16C3">
        <w:rPr>
          <w:sz w:val="18"/>
          <w:szCs w:val="18"/>
          <w:u w:val="single"/>
        </w:rPr>
        <w:t>Unit Abbreviations:</w:t>
      </w:r>
    </w:p>
    <w:p w14:paraId="453DFC2F" w14:textId="10A7D3FE" w:rsidR="000F6747" w:rsidRPr="00AD16C3" w:rsidRDefault="00B84C10" w:rsidP="00837535">
      <w:pPr>
        <w:pStyle w:val="blankspacesaftertables"/>
        <w:tabs>
          <w:tab w:val="left" w:pos="540"/>
        </w:tabs>
        <w:ind w:left="540" w:hanging="270"/>
        <w:rPr>
          <w:sz w:val="18"/>
          <w:szCs w:val="18"/>
        </w:rPr>
      </w:pPr>
      <w:r>
        <w:rPr>
          <w:sz w:val="18"/>
          <w:szCs w:val="18"/>
        </w:rPr>
        <w:t>k</w:t>
      </w:r>
      <w:r w:rsidR="001D6EE2">
        <w:rPr>
          <w:sz w:val="18"/>
          <w:szCs w:val="18"/>
        </w:rPr>
        <w:t>g</w:t>
      </w:r>
      <w:r>
        <w:rPr>
          <w:sz w:val="18"/>
          <w:szCs w:val="18"/>
        </w:rPr>
        <w:t>/yr</w:t>
      </w:r>
      <w:r w:rsidR="00837535">
        <w:rPr>
          <w:sz w:val="18"/>
          <w:szCs w:val="18"/>
        </w:rPr>
        <w:tab/>
      </w:r>
      <w:r w:rsidR="000F6747" w:rsidRPr="00AD16C3">
        <w:rPr>
          <w:sz w:val="18"/>
          <w:szCs w:val="18"/>
        </w:rPr>
        <w:t xml:space="preserve">= </w:t>
      </w:r>
      <w:r w:rsidR="001D6EE2">
        <w:rPr>
          <w:sz w:val="18"/>
          <w:szCs w:val="18"/>
        </w:rPr>
        <w:t>kilog</w:t>
      </w:r>
      <w:r w:rsidR="000F6747" w:rsidRPr="00AD16C3">
        <w:rPr>
          <w:sz w:val="18"/>
          <w:szCs w:val="18"/>
        </w:rPr>
        <w:t xml:space="preserve">rams per </w:t>
      </w:r>
      <w:r>
        <w:rPr>
          <w:sz w:val="18"/>
          <w:szCs w:val="18"/>
        </w:rPr>
        <w:t>year</w:t>
      </w:r>
    </w:p>
    <w:p w14:paraId="760075EE" w14:textId="77777777" w:rsidR="000F6747" w:rsidRPr="00AD16C3" w:rsidRDefault="000F6747" w:rsidP="00837535">
      <w:pPr>
        <w:pStyle w:val="blankspacesaftertables"/>
        <w:tabs>
          <w:tab w:val="left" w:pos="540"/>
        </w:tabs>
        <w:ind w:left="540" w:hanging="270"/>
        <w:rPr>
          <w:sz w:val="18"/>
          <w:szCs w:val="18"/>
        </w:rPr>
      </w:pPr>
      <w:r w:rsidRPr="00AD16C3">
        <w:rPr>
          <w:sz w:val="18"/>
          <w:szCs w:val="18"/>
        </w:rPr>
        <w:t>µg/L</w:t>
      </w:r>
      <w:r w:rsidRPr="00AD16C3">
        <w:rPr>
          <w:sz w:val="18"/>
          <w:szCs w:val="18"/>
        </w:rPr>
        <w:tab/>
        <w:t>= micrograms per liter</w:t>
      </w:r>
    </w:p>
    <w:p w14:paraId="0AB92A05" w14:textId="77777777" w:rsidR="000F6747" w:rsidRPr="00AD16C3" w:rsidRDefault="000F6747" w:rsidP="000F6747">
      <w:pPr>
        <w:pStyle w:val="TableFootnotes"/>
        <w:ind w:left="540" w:right="-180" w:hanging="270"/>
        <w:rPr>
          <w:rFonts w:ascii="Times New Roman" w:hAnsi="Times New Roman" w:cs="Times New Roman"/>
          <w:vertAlign w:val="superscript"/>
        </w:rPr>
      </w:pPr>
      <w:r w:rsidRPr="00AD16C3">
        <w:rPr>
          <w:rFonts w:ascii="Times New Roman" w:hAnsi="Times New Roman" w:cs="Times New Roman"/>
          <w:u w:val="single"/>
        </w:rPr>
        <w:t>Footnote</w:t>
      </w:r>
      <w:r>
        <w:rPr>
          <w:rFonts w:ascii="Times New Roman" w:hAnsi="Times New Roman" w:cs="Times New Roman"/>
          <w:u w:val="single"/>
        </w:rPr>
        <w:t>s</w:t>
      </w:r>
      <w:r w:rsidRPr="00AD16C3">
        <w:rPr>
          <w:rFonts w:ascii="Times New Roman" w:hAnsi="Times New Roman" w:cs="Times New Roman"/>
          <w:u w:val="single"/>
        </w:rPr>
        <w:t>:</w:t>
      </w:r>
      <w:r w:rsidRPr="00AD16C3">
        <w:rPr>
          <w:rFonts w:ascii="Times New Roman" w:hAnsi="Times New Roman" w:cs="Times New Roman"/>
          <w:vertAlign w:val="superscript"/>
        </w:rPr>
        <w:t xml:space="preserve"> </w:t>
      </w:r>
    </w:p>
    <w:p w14:paraId="7C8DAD59" w14:textId="2A121DA6" w:rsidR="000F6747" w:rsidRDefault="000F6747" w:rsidP="000F6747">
      <w:pPr>
        <w:pStyle w:val="TableFootnotes"/>
        <w:ind w:left="540" w:hanging="270"/>
        <w:rPr>
          <w:rFonts w:ascii="Times New Roman" w:hAnsi="Times New Roman" w:cs="Times New Roman"/>
        </w:rPr>
      </w:pPr>
      <w:r w:rsidRPr="00AD16C3">
        <w:rPr>
          <w:rFonts w:ascii="Times New Roman" w:hAnsi="Times New Roman" w:cs="Times New Roman"/>
          <w:vertAlign w:val="superscript"/>
        </w:rPr>
        <w:t>[1]</w:t>
      </w:r>
      <w:r w:rsidR="00A3653E">
        <w:rPr>
          <w:rFonts w:ascii="Times New Roman" w:hAnsi="Times New Roman" w:cs="Times New Roman"/>
        </w:rPr>
        <w:tab/>
      </w:r>
      <w:r w:rsidR="00A3653E" w:rsidRPr="00A3653E">
        <w:rPr>
          <w:rFonts w:ascii="Times New Roman" w:hAnsi="Times New Roman" w:cs="Times New Roman"/>
        </w:rPr>
        <w:t xml:space="preserve">Compliance with the Average Annual Effluent Limitations is determined annually for each Municipal Discharger each calendar year and is attained if the sum of all individual Municipal Dischargers’ mercury mass emissions, calculated as described below, is not greater than the Aggregate Mass Emission Limit of 11 kg/yr. If the sum of all individual Municipal Dischargers’ mercury mass emission(s) is greater than 11 kg/yr, the Municipal Discharger(s) whose mercury mass emission(s) exceed(s) its (their) individual limitation(s) in Table </w:t>
      </w:r>
      <w:r w:rsidR="00B2294A">
        <w:rPr>
          <w:rFonts w:ascii="Times New Roman" w:hAnsi="Times New Roman" w:cs="Times New Roman"/>
        </w:rPr>
        <w:t>4</w:t>
      </w:r>
      <w:r w:rsidR="00A3653E" w:rsidRPr="00A3653E">
        <w:rPr>
          <w:rFonts w:ascii="Times New Roman" w:hAnsi="Times New Roman" w:cs="Times New Roman"/>
        </w:rPr>
        <w:t>A shall be deemed to be in violation of its (their) mercury mass limitation(s). For compliance determination, mass emissions shall be determined as defined below:</w:t>
      </w:r>
    </w:p>
    <w:p w14:paraId="62401DA0" w14:textId="77777777" w:rsidR="00A3653E" w:rsidRPr="00A3653E" w:rsidRDefault="00A3653E" w:rsidP="00A3653E">
      <w:pPr>
        <w:pStyle w:val="TableFootnotes"/>
        <w:ind w:left="810" w:hanging="270"/>
        <w:rPr>
          <w:rFonts w:ascii="Times New Roman" w:hAnsi="Times New Roman" w:cs="Times New Roman"/>
        </w:rPr>
      </w:pPr>
      <w:r w:rsidRPr="00A3653E">
        <w:rPr>
          <w:rFonts w:ascii="Times New Roman" w:hAnsi="Times New Roman" w:cs="Times New Roman"/>
        </w:rPr>
        <w:t>a.</w:t>
      </w:r>
      <w:r w:rsidRPr="00A3653E">
        <w:rPr>
          <w:rFonts w:ascii="Times New Roman" w:hAnsi="Times New Roman" w:cs="Times New Roman"/>
        </w:rPr>
        <w:tab/>
        <w:t>The total annual aggregate mass emission shall be the sum of the individual annual mass emissions from each Municipal Discharger. The sum shall be rounded to the nearest kilogram for comparison with the 11 kg/yr.</w:t>
      </w:r>
    </w:p>
    <w:p w14:paraId="50BD6B59" w14:textId="77777777" w:rsidR="00A3653E" w:rsidRPr="00A3653E" w:rsidRDefault="00A3653E" w:rsidP="00A3653E">
      <w:pPr>
        <w:pStyle w:val="TableFootnotes"/>
        <w:ind w:left="810" w:hanging="270"/>
        <w:rPr>
          <w:rFonts w:ascii="Times New Roman" w:hAnsi="Times New Roman" w:cs="Times New Roman"/>
        </w:rPr>
      </w:pPr>
      <w:r w:rsidRPr="00A3653E">
        <w:rPr>
          <w:rFonts w:ascii="Times New Roman" w:hAnsi="Times New Roman" w:cs="Times New Roman"/>
        </w:rPr>
        <w:t>b.</w:t>
      </w:r>
      <w:r w:rsidRPr="00A3653E">
        <w:rPr>
          <w:rFonts w:ascii="Times New Roman" w:hAnsi="Times New Roman" w:cs="Times New Roman"/>
        </w:rPr>
        <w:tab/>
        <w:t xml:space="preserve">The annual average mass emission for each Discharger shall be computed for the period January 1 through December 31, annually. </w:t>
      </w:r>
    </w:p>
    <w:p w14:paraId="0DCC2893" w14:textId="3F28D825" w:rsidR="00A3653E" w:rsidRDefault="00A3653E" w:rsidP="00EF535C">
      <w:pPr>
        <w:pStyle w:val="TableFootnotes"/>
        <w:ind w:left="810" w:hanging="274"/>
        <w:rPr>
          <w:rFonts w:ascii="Times New Roman" w:hAnsi="Times New Roman" w:cs="Times New Roman"/>
        </w:rPr>
      </w:pPr>
      <w:r w:rsidRPr="00A3653E">
        <w:rPr>
          <w:rFonts w:ascii="Times New Roman" w:hAnsi="Times New Roman" w:cs="Times New Roman"/>
        </w:rPr>
        <w:t>c.</w:t>
      </w:r>
      <w:r w:rsidRPr="00A3653E">
        <w:rPr>
          <w:rFonts w:ascii="Times New Roman" w:hAnsi="Times New Roman" w:cs="Times New Roman"/>
        </w:rPr>
        <w:tab/>
        <w:t xml:space="preserve">The annual average mass emission for each Discharger listed in Table </w:t>
      </w:r>
      <w:r w:rsidR="009C7B2D">
        <w:rPr>
          <w:rFonts w:ascii="Times New Roman" w:hAnsi="Times New Roman" w:cs="Times New Roman"/>
        </w:rPr>
        <w:t>4</w:t>
      </w:r>
      <w:r w:rsidRPr="00A3653E">
        <w:rPr>
          <w:rFonts w:ascii="Times New Roman" w:hAnsi="Times New Roman" w:cs="Times New Roman"/>
        </w:rPr>
        <w:t>A above shall be the sum of monthly emissions on a calendar year basis and computed as follows:</w:t>
      </w:r>
      <w:r w:rsidR="00473796" w:rsidRPr="00473796">
        <w:rPr>
          <w:sz w:val="20"/>
        </w:rPr>
        <w:t xml:space="preserve"> </w:t>
      </w:r>
    </w:p>
    <w:p w14:paraId="6C3D50D0" w14:textId="77777777" w:rsidR="00473796" w:rsidRDefault="00793251" w:rsidP="00354DA9">
      <w:pPr>
        <w:pStyle w:val="TableFootnotes"/>
        <w:ind w:left="1080" w:hanging="4"/>
        <w:jc w:val="center"/>
        <w:rPr>
          <w:sz w:val="20"/>
        </w:rPr>
      </w:pPr>
      <w:r w:rsidRPr="00EE0E45">
        <w:rPr>
          <w:rFonts w:ascii="Times New Roman" w:hAnsi="Times New Roman" w:cs="Times New Roman"/>
          <w:position w:val="-10"/>
        </w:rPr>
        <w:object w:dxaOrig="6259" w:dyaOrig="340" w14:anchorId="1267D9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pt;height:18pt" o:ole="">
            <v:imagedata r:id="rId19" o:title=""/>
          </v:shape>
          <o:OLEObject Type="Embed" ProgID="Equation.3" ShapeID="_x0000_i1025" DrawAspect="Content" ObjectID="_1564294200" r:id="rId20"/>
        </w:object>
      </w:r>
    </w:p>
    <w:p w14:paraId="07522B5C" w14:textId="77777777" w:rsidR="00EF535C" w:rsidRDefault="00EF535C" w:rsidP="00EF535C">
      <w:pPr>
        <w:pStyle w:val="TableFootnotes"/>
        <w:ind w:left="810"/>
        <w:rPr>
          <w:rFonts w:ascii="Times New Roman" w:hAnsi="Times New Roman" w:cs="Times New Roman"/>
        </w:rPr>
      </w:pPr>
      <w:r w:rsidRPr="00EF535C">
        <w:rPr>
          <w:rFonts w:ascii="Times New Roman" w:hAnsi="Times New Roman" w:cs="Times New Roman"/>
        </w:rPr>
        <w:t>or, for Dischargers with less frequent mercury monitoring than monthly, the Annual Mass Emiss</w:t>
      </w:r>
      <w:r>
        <w:rPr>
          <w:rFonts w:ascii="Times New Roman" w:hAnsi="Times New Roman" w:cs="Times New Roman"/>
        </w:rPr>
        <w:t xml:space="preserve">ion shall be computed using the </w:t>
      </w:r>
      <w:r w:rsidRPr="00EF535C">
        <w:rPr>
          <w:rFonts w:ascii="Times New Roman" w:hAnsi="Times New Roman" w:cs="Times New Roman"/>
        </w:rPr>
        <w:t>arithmetic average of available monthly mass emissions as follows:</w:t>
      </w:r>
    </w:p>
    <w:p w14:paraId="76561C32" w14:textId="302A25A0" w:rsidR="00EF535C" w:rsidRDefault="00FC03DB" w:rsidP="00354DA9">
      <w:pPr>
        <w:pStyle w:val="TableFootnotes"/>
        <w:ind w:left="1080"/>
        <w:jc w:val="center"/>
        <w:rPr>
          <w:rFonts w:ascii="Times New Roman" w:hAnsi="Times New Roman" w:cs="Times New Roman"/>
        </w:rPr>
      </w:pPr>
      <w:r w:rsidRPr="00EE0E45">
        <w:rPr>
          <w:rFonts w:ascii="Times New Roman" w:hAnsi="Times New Roman" w:cs="Times New Roman"/>
          <w:position w:val="-32"/>
        </w:rPr>
        <w:object w:dxaOrig="8640" w:dyaOrig="760" w14:anchorId="351D7EC0">
          <v:shape id="_x0000_i1026" type="#_x0000_t75" style="width:435.75pt;height:38.25pt" o:ole="">
            <v:imagedata r:id="rId21" o:title=""/>
          </v:shape>
          <o:OLEObject Type="Embed" ProgID="Equation.3" ShapeID="_x0000_i1026" DrawAspect="Content" ObjectID="_1564294201" r:id="rId22"/>
        </w:object>
      </w:r>
    </w:p>
    <w:p w14:paraId="608497B5" w14:textId="77777777" w:rsidR="00976599" w:rsidRDefault="000255A0" w:rsidP="000255A0">
      <w:pPr>
        <w:pStyle w:val="TableFootnotes"/>
        <w:ind w:left="810"/>
        <w:rPr>
          <w:rFonts w:ascii="Times New Roman" w:hAnsi="Times New Roman" w:cs="Times New Roman"/>
        </w:rPr>
      </w:pPr>
      <w:r>
        <w:rPr>
          <w:rFonts w:ascii="Times New Roman" w:hAnsi="Times New Roman" w:cs="Times New Roman"/>
        </w:rPr>
        <w:t>w</w:t>
      </w:r>
      <w:r w:rsidR="00976599">
        <w:rPr>
          <w:rFonts w:ascii="Times New Roman" w:hAnsi="Times New Roman" w:cs="Times New Roman"/>
        </w:rPr>
        <w:t>here</w:t>
      </w:r>
      <w:r>
        <w:rPr>
          <w:rFonts w:ascii="Times New Roman" w:hAnsi="Times New Roman" w:cs="Times New Roman"/>
        </w:rPr>
        <w:t>:</w:t>
      </w:r>
    </w:p>
    <w:p w14:paraId="59BCEA2C" w14:textId="641AB60D" w:rsidR="00A7677B" w:rsidRDefault="00FC03DB" w:rsidP="00354DA9">
      <w:pPr>
        <w:pStyle w:val="TableFootnotes"/>
        <w:ind w:left="1080"/>
        <w:jc w:val="center"/>
        <w:rPr>
          <w:rFonts w:ascii="Times New Roman" w:hAnsi="Times New Roman" w:cs="Times New Roman"/>
        </w:rPr>
      </w:pPr>
      <w:r w:rsidRPr="00A7677B">
        <w:rPr>
          <w:rFonts w:ascii="Times New Roman" w:hAnsi="Times New Roman" w:cs="Times New Roman"/>
          <w:position w:val="-28"/>
        </w:rPr>
        <w:object w:dxaOrig="7880" w:dyaOrig="680" w14:anchorId="47945D92">
          <v:shape id="_x0000_i1027" type="#_x0000_t75" style="width:394.5pt;height:34.5pt" o:ole="">
            <v:imagedata r:id="rId23" o:title=""/>
          </v:shape>
          <o:OLEObject Type="Embed" ProgID="Equation.3" ShapeID="_x0000_i1027" DrawAspect="Content" ObjectID="_1564294202" r:id="rId24"/>
        </w:object>
      </w:r>
    </w:p>
    <w:p w14:paraId="3F7077A5" w14:textId="77777777" w:rsidR="000255A0" w:rsidRDefault="000255A0" w:rsidP="000255A0">
      <w:pPr>
        <w:pStyle w:val="TableFootnotes"/>
        <w:ind w:left="1080" w:hanging="270"/>
        <w:rPr>
          <w:rFonts w:ascii="Times New Roman" w:hAnsi="Times New Roman" w:cs="Times New Roman"/>
        </w:rPr>
      </w:pPr>
      <w:r>
        <w:rPr>
          <w:rFonts w:ascii="Times New Roman" w:hAnsi="Times New Roman" w:cs="Times New Roman"/>
        </w:rPr>
        <w:t>and where:</w:t>
      </w:r>
    </w:p>
    <w:p w14:paraId="58AAD0BA" w14:textId="2695B9DC" w:rsidR="000255A0" w:rsidRPr="000255A0" w:rsidRDefault="000255A0" w:rsidP="0055040A">
      <w:pPr>
        <w:tabs>
          <w:tab w:val="left" w:pos="1980"/>
          <w:tab w:val="left" w:pos="2160"/>
        </w:tabs>
        <w:ind w:left="1890" w:hanging="720"/>
        <w:rPr>
          <w:sz w:val="18"/>
          <w:szCs w:val="18"/>
        </w:rPr>
      </w:pPr>
      <w:r w:rsidRPr="000255A0">
        <w:rPr>
          <w:i/>
          <w:sz w:val="18"/>
          <w:szCs w:val="18"/>
        </w:rPr>
        <w:t>C</w:t>
      </w:r>
      <w:r w:rsidRPr="000255A0">
        <w:rPr>
          <w:i/>
          <w:sz w:val="18"/>
          <w:szCs w:val="18"/>
          <w:vertAlign w:val="subscript"/>
        </w:rPr>
        <w:t>i</w:t>
      </w:r>
      <w:r w:rsidRPr="000255A0">
        <w:rPr>
          <w:sz w:val="18"/>
          <w:szCs w:val="18"/>
        </w:rPr>
        <w:t xml:space="preserve">  </w:t>
      </w:r>
      <w:r w:rsidR="0055040A">
        <w:rPr>
          <w:sz w:val="18"/>
          <w:szCs w:val="18"/>
        </w:rPr>
        <w:tab/>
      </w:r>
      <w:r w:rsidR="0055040A">
        <w:rPr>
          <w:sz w:val="18"/>
          <w:szCs w:val="18"/>
        </w:rPr>
        <w:tab/>
      </w:r>
      <w:r w:rsidR="00160AB7" w:rsidRPr="000255A0">
        <w:rPr>
          <w:sz w:val="18"/>
          <w:szCs w:val="18"/>
        </w:rPr>
        <w:t>= mercury</w:t>
      </w:r>
      <w:r w:rsidRPr="000255A0">
        <w:rPr>
          <w:sz w:val="18"/>
          <w:szCs w:val="18"/>
        </w:rPr>
        <w:t xml:space="preserve"> concentration</w:t>
      </w:r>
      <w:r w:rsidR="00451E9E">
        <w:rPr>
          <w:sz w:val="18"/>
          <w:szCs w:val="18"/>
        </w:rPr>
        <w:t xml:space="preserve"> of each individual sample, μg/L</w:t>
      </w:r>
    </w:p>
    <w:p w14:paraId="2C165CF8" w14:textId="79558580" w:rsidR="000255A0" w:rsidRPr="000255A0" w:rsidRDefault="000255A0" w:rsidP="0055040A">
      <w:pPr>
        <w:tabs>
          <w:tab w:val="left" w:pos="1980"/>
          <w:tab w:val="left" w:pos="2160"/>
        </w:tabs>
        <w:ind w:left="1890" w:hanging="720"/>
        <w:rPr>
          <w:sz w:val="18"/>
          <w:szCs w:val="18"/>
        </w:rPr>
      </w:pPr>
      <w:r w:rsidRPr="000255A0">
        <w:rPr>
          <w:i/>
          <w:sz w:val="18"/>
          <w:szCs w:val="18"/>
        </w:rPr>
        <w:t>Q</w:t>
      </w:r>
      <w:r w:rsidRPr="000255A0">
        <w:rPr>
          <w:i/>
          <w:sz w:val="18"/>
          <w:szCs w:val="18"/>
          <w:vertAlign w:val="subscript"/>
        </w:rPr>
        <w:t>i</w:t>
      </w:r>
      <w:r w:rsidRPr="000255A0">
        <w:rPr>
          <w:sz w:val="18"/>
          <w:szCs w:val="18"/>
        </w:rPr>
        <w:t xml:space="preserve">  </w:t>
      </w:r>
      <w:r w:rsidR="0055040A">
        <w:rPr>
          <w:sz w:val="18"/>
          <w:szCs w:val="18"/>
        </w:rPr>
        <w:tab/>
      </w:r>
      <w:r w:rsidR="0055040A">
        <w:rPr>
          <w:sz w:val="18"/>
          <w:szCs w:val="18"/>
        </w:rPr>
        <w:tab/>
      </w:r>
      <w:r w:rsidR="00160AB7" w:rsidRPr="000255A0">
        <w:rPr>
          <w:sz w:val="18"/>
          <w:szCs w:val="18"/>
        </w:rPr>
        <w:t>= Discharger</w:t>
      </w:r>
      <w:r w:rsidRPr="000255A0">
        <w:rPr>
          <w:sz w:val="18"/>
          <w:szCs w:val="18"/>
        </w:rPr>
        <w:t xml:space="preserve"> flow rate on date of sample, millions of gallons per day (</w:t>
      </w:r>
      <w:r w:rsidR="00953437">
        <w:rPr>
          <w:sz w:val="18"/>
          <w:szCs w:val="18"/>
        </w:rPr>
        <w:t>MGD</w:t>
      </w:r>
      <w:r w:rsidRPr="000255A0">
        <w:rPr>
          <w:sz w:val="18"/>
          <w:szCs w:val="18"/>
        </w:rPr>
        <w:t>)</w:t>
      </w:r>
    </w:p>
    <w:p w14:paraId="70F9510F" w14:textId="77777777" w:rsidR="000255A0" w:rsidRPr="000255A0" w:rsidRDefault="000255A0" w:rsidP="0055040A">
      <w:pPr>
        <w:tabs>
          <w:tab w:val="left" w:pos="1980"/>
          <w:tab w:val="left" w:pos="2160"/>
        </w:tabs>
        <w:ind w:left="1890" w:hanging="720"/>
        <w:rPr>
          <w:sz w:val="18"/>
          <w:szCs w:val="18"/>
        </w:rPr>
      </w:pPr>
      <w:r w:rsidRPr="000255A0">
        <w:rPr>
          <w:i/>
          <w:sz w:val="18"/>
          <w:szCs w:val="18"/>
        </w:rPr>
        <w:t>N</w:t>
      </w:r>
      <w:r w:rsidRPr="000255A0">
        <w:rPr>
          <w:sz w:val="18"/>
          <w:szCs w:val="18"/>
        </w:rPr>
        <w:t xml:space="preserve">  </w:t>
      </w:r>
      <w:r w:rsidR="0055040A">
        <w:rPr>
          <w:sz w:val="18"/>
          <w:szCs w:val="18"/>
        </w:rPr>
        <w:tab/>
      </w:r>
      <w:r w:rsidR="0055040A">
        <w:rPr>
          <w:sz w:val="18"/>
          <w:szCs w:val="18"/>
        </w:rPr>
        <w:tab/>
      </w:r>
      <w:r w:rsidRPr="000255A0">
        <w:rPr>
          <w:sz w:val="18"/>
          <w:szCs w:val="18"/>
        </w:rPr>
        <w:t>=  number of samples collected during the month</w:t>
      </w:r>
    </w:p>
    <w:p w14:paraId="27A7AAC8" w14:textId="69C0533A" w:rsidR="000255A0" w:rsidRPr="000255A0" w:rsidRDefault="000255A0" w:rsidP="0055040A">
      <w:pPr>
        <w:tabs>
          <w:tab w:val="left" w:pos="1440"/>
          <w:tab w:val="left" w:pos="1980"/>
          <w:tab w:val="left" w:pos="2160"/>
        </w:tabs>
        <w:ind w:left="1890" w:hanging="720"/>
        <w:rPr>
          <w:sz w:val="18"/>
          <w:szCs w:val="18"/>
        </w:rPr>
      </w:pPr>
      <w:r w:rsidRPr="000255A0">
        <w:rPr>
          <w:sz w:val="18"/>
          <w:szCs w:val="18"/>
        </w:rPr>
        <w:t xml:space="preserve">0.003785 </w:t>
      </w:r>
      <w:r w:rsidR="0055040A">
        <w:rPr>
          <w:sz w:val="18"/>
          <w:szCs w:val="18"/>
        </w:rPr>
        <w:tab/>
      </w:r>
      <w:r w:rsidRPr="000255A0">
        <w:rPr>
          <w:sz w:val="18"/>
          <w:szCs w:val="18"/>
        </w:rPr>
        <w:t>= co</w:t>
      </w:r>
      <w:r w:rsidR="00451E9E">
        <w:rPr>
          <w:sz w:val="18"/>
          <w:szCs w:val="18"/>
        </w:rPr>
        <w:t>nversion factor to convert (μg/L</w:t>
      </w:r>
      <w:r w:rsidRPr="000255A0">
        <w:rPr>
          <w:sz w:val="18"/>
          <w:szCs w:val="18"/>
        </w:rPr>
        <w:t>)*(</w:t>
      </w:r>
      <w:r w:rsidR="00953437">
        <w:rPr>
          <w:sz w:val="18"/>
          <w:szCs w:val="18"/>
        </w:rPr>
        <w:t>MGD</w:t>
      </w:r>
      <w:r w:rsidRPr="000255A0">
        <w:rPr>
          <w:sz w:val="18"/>
          <w:szCs w:val="18"/>
        </w:rPr>
        <w:t>) into kg/day</w:t>
      </w:r>
    </w:p>
    <w:p w14:paraId="664F77B9" w14:textId="77777777" w:rsidR="000255A0" w:rsidRPr="000255A0" w:rsidRDefault="000255A0" w:rsidP="0055040A">
      <w:pPr>
        <w:tabs>
          <w:tab w:val="left" w:pos="1440"/>
          <w:tab w:val="left" w:pos="2070"/>
          <w:tab w:val="left" w:pos="2160"/>
        </w:tabs>
        <w:ind w:left="1980" w:hanging="810"/>
        <w:rPr>
          <w:sz w:val="18"/>
          <w:szCs w:val="18"/>
        </w:rPr>
      </w:pPr>
      <w:r w:rsidRPr="000255A0">
        <w:rPr>
          <w:sz w:val="18"/>
          <w:szCs w:val="18"/>
        </w:rPr>
        <w:t xml:space="preserve">30.5   </w:t>
      </w:r>
      <w:r w:rsidR="0055040A">
        <w:rPr>
          <w:sz w:val="18"/>
          <w:szCs w:val="18"/>
        </w:rPr>
        <w:tab/>
      </w:r>
      <w:r w:rsidRPr="000255A0">
        <w:rPr>
          <w:sz w:val="18"/>
          <w:szCs w:val="18"/>
        </w:rPr>
        <w:t>= number of days in a standard month</w:t>
      </w:r>
    </w:p>
    <w:p w14:paraId="11B0CF79" w14:textId="77777777" w:rsidR="000255A0" w:rsidRPr="000255A0" w:rsidRDefault="000255A0" w:rsidP="0055040A">
      <w:pPr>
        <w:tabs>
          <w:tab w:val="left" w:pos="2160"/>
        </w:tabs>
        <w:spacing w:after="240"/>
        <w:ind w:left="1980" w:hanging="810"/>
        <w:rPr>
          <w:sz w:val="18"/>
          <w:szCs w:val="18"/>
        </w:rPr>
      </w:pPr>
      <w:r w:rsidRPr="000255A0">
        <w:rPr>
          <w:sz w:val="18"/>
          <w:szCs w:val="18"/>
        </w:rPr>
        <w:t>0.1154425</w:t>
      </w:r>
      <w:r w:rsidR="0055040A">
        <w:rPr>
          <w:sz w:val="18"/>
          <w:szCs w:val="18"/>
        </w:rPr>
        <w:tab/>
      </w:r>
      <w:r w:rsidRPr="000255A0">
        <w:rPr>
          <w:sz w:val="18"/>
          <w:szCs w:val="18"/>
        </w:rPr>
        <w:t>= product of (conversion factor)</w:t>
      </w:r>
      <w:r w:rsidR="00953437">
        <w:rPr>
          <w:sz w:val="18"/>
          <w:szCs w:val="18"/>
        </w:rPr>
        <w:t>*</w:t>
      </w:r>
      <w:r w:rsidRPr="000255A0">
        <w:rPr>
          <w:sz w:val="18"/>
          <w:szCs w:val="18"/>
        </w:rPr>
        <w:t>(number of standard days per month)</w:t>
      </w:r>
    </w:p>
    <w:p w14:paraId="47141193" w14:textId="77777777" w:rsidR="000255A0" w:rsidRDefault="00DE3670" w:rsidP="00DE3670">
      <w:pPr>
        <w:pStyle w:val="TableFootnotes"/>
        <w:ind w:left="810"/>
        <w:rPr>
          <w:rFonts w:ascii="Times New Roman" w:hAnsi="Times New Roman" w:cs="Times New Roman"/>
        </w:rPr>
      </w:pPr>
      <w:r>
        <w:rPr>
          <w:rFonts w:ascii="Times New Roman" w:hAnsi="Times New Roman" w:cs="Times New Roman"/>
        </w:rPr>
        <w:t>For intermittent Dischargers (Dischargers who do not discharge every day in a calendar month, or who have no discharge for an entire month [</w:t>
      </w:r>
      <w:r w:rsidRPr="00DE3670">
        <w:rPr>
          <w:rFonts w:ascii="Times New Roman" w:hAnsi="Times New Roman" w:cs="Times New Roman"/>
        </w:rPr>
        <w:t>Qi</w:t>
      </w:r>
      <w:r>
        <w:rPr>
          <w:rFonts w:ascii="Times New Roman" w:hAnsi="Times New Roman" w:cs="Times New Roman"/>
        </w:rPr>
        <w:t xml:space="preserve"> = 0]), </w:t>
      </w:r>
      <w:r w:rsidRPr="000255A0">
        <w:rPr>
          <w:rFonts w:ascii="Times New Roman" w:hAnsi="Times New Roman" w:cs="Times New Roman"/>
        </w:rPr>
        <w:t>Q</w:t>
      </w:r>
      <w:r w:rsidRPr="000255A0">
        <w:rPr>
          <w:rFonts w:ascii="Times New Roman" w:hAnsi="Times New Roman" w:cs="Times New Roman"/>
          <w:vertAlign w:val="subscript"/>
        </w:rPr>
        <w:t>i</w:t>
      </w:r>
      <w:r>
        <w:rPr>
          <w:rFonts w:ascii="Times New Roman" w:hAnsi="Times New Roman" w:cs="Times New Roman"/>
        </w:rPr>
        <w:t xml:space="preserve"> shall be computed as follows:</w:t>
      </w:r>
    </w:p>
    <w:p w14:paraId="67F30C37" w14:textId="7C230779" w:rsidR="00DE3670" w:rsidRDefault="00DD1EE5" w:rsidP="00354DA9">
      <w:pPr>
        <w:pStyle w:val="Bodytext-numbering"/>
        <w:tabs>
          <w:tab w:val="left" w:pos="720"/>
        </w:tabs>
        <w:spacing w:before="60" w:after="60"/>
        <w:ind w:firstLine="0"/>
        <w:jc w:val="center"/>
        <w:rPr>
          <w:rFonts w:ascii="Arial" w:hAnsi="Arial"/>
        </w:rPr>
      </w:pPr>
      <w:r w:rsidRPr="00F378B5">
        <w:rPr>
          <w:rFonts w:ascii="Arial" w:hAnsi="Arial"/>
          <w:position w:val="-46"/>
        </w:rPr>
        <w:object w:dxaOrig="1320" w:dyaOrig="1040" w14:anchorId="21D6915E">
          <v:shape id="_x0000_i1028" type="#_x0000_t75" style="width:65.25pt;height:52.5pt" o:ole="">
            <v:imagedata r:id="rId25" o:title=""/>
          </v:shape>
          <o:OLEObject Type="Embed" ProgID="Equation.3" ShapeID="_x0000_i1028" DrawAspect="Content" ObjectID="_1564294203" r:id="rId26"/>
        </w:object>
      </w:r>
    </w:p>
    <w:p w14:paraId="722895AF" w14:textId="77777777" w:rsidR="00DE3670" w:rsidRDefault="00DE3670" w:rsidP="00DE3670">
      <w:pPr>
        <w:pStyle w:val="TableFootnotes"/>
        <w:ind w:left="810"/>
        <w:rPr>
          <w:rFonts w:ascii="Times New Roman" w:hAnsi="Times New Roman" w:cs="Times New Roman"/>
        </w:rPr>
      </w:pPr>
      <w:r>
        <w:rPr>
          <w:rFonts w:ascii="Times New Roman" w:hAnsi="Times New Roman" w:cs="Times New Roman"/>
        </w:rPr>
        <w:t>where:</w:t>
      </w:r>
    </w:p>
    <w:p w14:paraId="1A035682" w14:textId="77777777" w:rsidR="00DE3670" w:rsidRPr="00DE3670" w:rsidRDefault="00DE3670" w:rsidP="0055040A">
      <w:pPr>
        <w:tabs>
          <w:tab w:val="left" w:pos="1980"/>
        </w:tabs>
        <w:ind w:left="1170"/>
        <w:rPr>
          <w:sz w:val="18"/>
          <w:szCs w:val="18"/>
        </w:rPr>
      </w:pPr>
      <w:r w:rsidRPr="00DE3670">
        <w:rPr>
          <w:i/>
          <w:sz w:val="18"/>
          <w:szCs w:val="18"/>
        </w:rPr>
        <w:t>Q</w:t>
      </w:r>
      <w:r w:rsidRPr="00DE3670">
        <w:rPr>
          <w:i/>
          <w:sz w:val="18"/>
          <w:szCs w:val="18"/>
          <w:vertAlign w:val="subscript"/>
        </w:rPr>
        <w:t>d</w:t>
      </w:r>
      <w:r w:rsidRPr="00DE3670">
        <w:rPr>
          <w:i/>
          <w:sz w:val="18"/>
          <w:szCs w:val="18"/>
        </w:rPr>
        <w:t xml:space="preserve"> </w:t>
      </w:r>
      <w:r w:rsidR="0055040A">
        <w:rPr>
          <w:i/>
          <w:sz w:val="18"/>
          <w:szCs w:val="18"/>
        </w:rPr>
        <w:tab/>
      </w:r>
      <w:r w:rsidR="007F396F">
        <w:rPr>
          <w:sz w:val="18"/>
          <w:szCs w:val="18"/>
        </w:rPr>
        <w:t xml:space="preserve">= </w:t>
      </w:r>
      <w:r w:rsidRPr="00DE3670">
        <w:rPr>
          <w:sz w:val="18"/>
          <w:szCs w:val="18"/>
        </w:rPr>
        <w:t>total flow for the day when discharge occurred, million gallons</w:t>
      </w:r>
    </w:p>
    <w:p w14:paraId="0D1A7D7D" w14:textId="77777777" w:rsidR="00DE3670" w:rsidRPr="00DE3670" w:rsidRDefault="00DE3670" w:rsidP="0055040A">
      <w:pPr>
        <w:tabs>
          <w:tab w:val="left" w:pos="1980"/>
        </w:tabs>
        <w:ind w:left="1170"/>
        <w:rPr>
          <w:sz w:val="18"/>
          <w:szCs w:val="18"/>
        </w:rPr>
      </w:pPr>
      <w:r w:rsidRPr="00DE3670">
        <w:rPr>
          <w:i/>
          <w:sz w:val="18"/>
          <w:szCs w:val="18"/>
        </w:rPr>
        <w:t>D</w:t>
      </w:r>
      <w:r w:rsidRPr="00DE3670">
        <w:rPr>
          <w:sz w:val="18"/>
          <w:szCs w:val="18"/>
        </w:rPr>
        <w:t xml:space="preserve">  </w:t>
      </w:r>
      <w:r w:rsidR="0055040A">
        <w:rPr>
          <w:sz w:val="18"/>
          <w:szCs w:val="18"/>
        </w:rPr>
        <w:tab/>
      </w:r>
      <w:r w:rsidRPr="00DE3670">
        <w:rPr>
          <w:sz w:val="18"/>
          <w:szCs w:val="18"/>
        </w:rPr>
        <w:t>= total number of days where discharge occurred in a month</w:t>
      </w:r>
    </w:p>
    <w:p w14:paraId="4C4CEA18" w14:textId="77777777" w:rsidR="00DE3670" w:rsidRPr="00DE3670" w:rsidRDefault="00DE3670" w:rsidP="0055040A">
      <w:pPr>
        <w:tabs>
          <w:tab w:val="left" w:pos="1980"/>
        </w:tabs>
        <w:ind w:left="1170"/>
        <w:rPr>
          <w:sz w:val="18"/>
          <w:szCs w:val="18"/>
        </w:rPr>
      </w:pPr>
      <w:r w:rsidRPr="00DE3670">
        <w:rPr>
          <w:sz w:val="18"/>
          <w:szCs w:val="18"/>
        </w:rPr>
        <w:t xml:space="preserve">30.5 </w:t>
      </w:r>
      <w:r w:rsidR="0055040A">
        <w:rPr>
          <w:sz w:val="18"/>
          <w:szCs w:val="18"/>
        </w:rPr>
        <w:tab/>
      </w:r>
      <w:r w:rsidRPr="00DE3670">
        <w:rPr>
          <w:sz w:val="18"/>
          <w:szCs w:val="18"/>
        </w:rPr>
        <w:t>= number of days in a standard month</w:t>
      </w:r>
    </w:p>
    <w:p w14:paraId="3DBD71B6" w14:textId="50AA6DB8" w:rsidR="00DE3670" w:rsidRPr="00DE3670" w:rsidRDefault="00DE3670" w:rsidP="00DE3670">
      <w:pPr>
        <w:pStyle w:val="TableFootnotes"/>
        <w:ind w:left="810" w:hanging="270"/>
        <w:rPr>
          <w:rFonts w:ascii="Times New Roman" w:hAnsi="Times New Roman" w:cs="Times New Roman"/>
        </w:rPr>
      </w:pPr>
      <w:r w:rsidRPr="00DE3670">
        <w:rPr>
          <w:rFonts w:ascii="Times New Roman" w:hAnsi="Times New Roman" w:cs="Times New Roman"/>
        </w:rPr>
        <w:t>d.</w:t>
      </w:r>
      <w:r w:rsidRPr="00DE3670">
        <w:rPr>
          <w:rFonts w:ascii="Times New Roman" w:hAnsi="Times New Roman" w:cs="Times New Roman"/>
        </w:rPr>
        <w:tab/>
        <w:t xml:space="preserve">The Monthly Mass Emission for a Discharger who provides recycled wastewater for industrial supply shall include the effluent discharge adjustment granted to the Industrial Discharger for its recycled wastewater use as described in </w:t>
      </w:r>
      <w:r w:rsidR="00393442">
        <w:rPr>
          <w:rFonts w:ascii="Times New Roman" w:hAnsi="Times New Roman" w:cs="Times New Roman"/>
        </w:rPr>
        <w:t xml:space="preserve">Provision </w:t>
      </w:r>
      <w:r w:rsidR="00393442" w:rsidRPr="00393442">
        <w:rPr>
          <w:rFonts w:ascii="Times New Roman" w:hAnsi="Times New Roman" w:cs="Times New Roman"/>
        </w:rPr>
        <w:t>VI.C.</w:t>
      </w:r>
      <w:r w:rsidR="00F92F3A">
        <w:rPr>
          <w:rFonts w:ascii="Times New Roman" w:hAnsi="Times New Roman" w:cs="Times New Roman"/>
        </w:rPr>
        <w:t>5</w:t>
      </w:r>
      <w:r w:rsidRPr="00393442">
        <w:rPr>
          <w:rFonts w:ascii="Times New Roman" w:hAnsi="Times New Roman" w:cs="Times New Roman"/>
        </w:rPr>
        <w:t xml:space="preserve"> of this Order</w:t>
      </w:r>
      <w:r w:rsidRPr="00DE3670">
        <w:rPr>
          <w:rFonts w:ascii="Times New Roman" w:hAnsi="Times New Roman" w:cs="Times New Roman"/>
        </w:rPr>
        <w:t>. The monthly effluent discharge adjustment mass shall be reported in each Self-Monitoring Report and noted in the Annual Report.</w:t>
      </w:r>
    </w:p>
    <w:p w14:paraId="27C0288A" w14:textId="77777777" w:rsidR="000F6747" w:rsidRDefault="000F6747" w:rsidP="000F6747">
      <w:pPr>
        <w:pStyle w:val="TableFootnotes"/>
        <w:ind w:left="540" w:hanging="270"/>
        <w:rPr>
          <w:rFonts w:ascii="Times New Roman" w:hAnsi="Times New Roman" w:cs="Times New Roman"/>
        </w:rPr>
      </w:pPr>
      <w:r>
        <w:rPr>
          <w:rFonts w:ascii="Times New Roman" w:hAnsi="Times New Roman" w:cs="Times New Roman"/>
          <w:vertAlign w:val="superscript"/>
        </w:rPr>
        <w:t>[2</w:t>
      </w:r>
      <w:r w:rsidRPr="00AD16C3">
        <w:rPr>
          <w:rFonts w:ascii="Times New Roman" w:hAnsi="Times New Roman" w:cs="Times New Roman"/>
          <w:vertAlign w:val="superscript"/>
        </w:rPr>
        <w:t>]</w:t>
      </w:r>
      <w:r w:rsidRPr="00AD16C3">
        <w:rPr>
          <w:rFonts w:ascii="Times New Roman" w:hAnsi="Times New Roman" w:cs="Times New Roman"/>
        </w:rPr>
        <w:tab/>
      </w:r>
      <w:r w:rsidR="00164D18" w:rsidRPr="00164D18">
        <w:rPr>
          <w:rFonts w:ascii="Times New Roman" w:hAnsi="Times New Roman"/>
          <w:bCs/>
          <w:color w:val="000000" w:themeColor="text1"/>
        </w:rPr>
        <w:t>This Discharger serves domestic customers but is not a municipal government agency. For the purpose of this Order, this Discharger is a “Municipal Discharger.”</w:t>
      </w:r>
    </w:p>
    <w:p w14:paraId="11DFEC4F" w14:textId="77777777" w:rsidR="000F6747" w:rsidRDefault="000F6747" w:rsidP="000F6747">
      <w:pPr>
        <w:pStyle w:val="TableFootnotes"/>
        <w:ind w:left="540" w:hanging="270"/>
        <w:rPr>
          <w:rFonts w:ascii="Times New Roman" w:hAnsi="Times New Roman"/>
          <w:bCs/>
          <w:color w:val="000000" w:themeColor="text1"/>
        </w:rPr>
      </w:pPr>
      <w:r>
        <w:rPr>
          <w:rFonts w:ascii="Times New Roman" w:hAnsi="Times New Roman" w:cs="Times New Roman"/>
          <w:vertAlign w:val="superscript"/>
        </w:rPr>
        <w:t>[3</w:t>
      </w:r>
      <w:r w:rsidRPr="00AD16C3">
        <w:rPr>
          <w:rFonts w:ascii="Times New Roman" w:hAnsi="Times New Roman" w:cs="Times New Roman"/>
          <w:vertAlign w:val="superscript"/>
        </w:rPr>
        <w:t>]</w:t>
      </w:r>
      <w:r w:rsidRPr="00AD16C3">
        <w:rPr>
          <w:rFonts w:ascii="Times New Roman" w:hAnsi="Times New Roman" w:cs="Times New Roman"/>
        </w:rPr>
        <w:tab/>
      </w:r>
      <w:r w:rsidR="00164D18" w:rsidRPr="00164D18">
        <w:rPr>
          <w:rFonts w:ascii="Times New Roman" w:hAnsi="Times New Roman"/>
          <w:bCs/>
          <w:color w:val="000000" w:themeColor="text1"/>
        </w:rPr>
        <w:t>Total differs slightly from the column sum due to rounding to the nearest kilogram.</w:t>
      </w:r>
    </w:p>
    <w:p w14:paraId="567952B0" w14:textId="79BA3019" w:rsidR="000F6747" w:rsidRDefault="000F6747" w:rsidP="00691B1A">
      <w:pPr>
        <w:pStyle w:val="TableFootnotes"/>
        <w:ind w:left="360" w:hanging="274"/>
        <w:rPr>
          <w:rFonts w:ascii="Times New Roman" w:hAnsi="Times New Roman" w:cs="Times New Roman"/>
        </w:rPr>
      </w:pPr>
    </w:p>
    <w:p w14:paraId="2C210213" w14:textId="0BCB5473" w:rsidR="00311CE5" w:rsidRPr="002A5B99" w:rsidRDefault="00311CE5" w:rsidP="00311CE5">
      <w:pPr>
        <w:keepNext/>
        <w:keepLines/>
        <w:jc w:val="center"/>
        <w:rPr>
          <w:b/>
          <w:sz w:val="24"/>
          <w:szCs w:val="24"/>
          <w:lang w:val="fr-FR"/>
        </w:rPr>
      </w:pPr>
      <w:r w:rsidRPr="002A5B99">
        <w:rPr>
          <w:b/>
          <w:sz w:val="24"/>
          <w:szCs w:val="24"/>
          <w:lang w:val="fr-FR"/>
        </w:rPr>
        <w:t xml:space="preserve">Table 4B. </w:t>
      </w:r>
      <w:r w:rsidRPr="002A5B99">
        <w:rPr>
          <w:b/>
          <w:sz w:val="24"/>
          <w:szCs w:val="24"/>
        </w:rPr>
        <w:t>Individual PCBs Effluent Limitations</w:t>
      </w:r>
    </w:p>
    <w:tbl>
      <w:tblPr>
        <w:tblStyle w:val="TableGrid8"/>
        <w:tblW w:w="1045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432"/>
        <w:gridCol w:w="3432"/>
        <w:gridCol w:w="3594"/>
      </w:tblGrid>
      <w:tr w:rsidR="00311CE5" w:rsidRPr="00311CE5" w14:paraId="37ECE11E" w14:textId="77777777" w:rsidTr="00631DA0">
        <w:trPr>
          <w:tblHeader/>
        </w:trPr>
        <w:tc>
          <w:tcPr>
            <w:tcW w:w="3432" w:type="dxa"/>
            <w:vAlign w:val="center"/>
          </w:tcPr>
          <w:p w14:paraId="0959573E" w14:textId="77777777" w:rsidR="00311CE5" w:rsidRPr="00311CE5" w:rsidRDefault="00311CE5" w:rsidP="00597A55">
            <w:pPr>
              <w:autoSpaceDE w:val="0"/>
              <w:autoSpaceDN w:val="0"/>
              <w:adjustRightInd w:val="0"/>
              <w:jc w:val="center"/>
              <w:rPr>
                <w:b/>
                <w:color w:val="000000"/>
              </w:rPr>
            </w:pPr>
            <w:r w:rsidRPr="00311CE5">
              <w:rPr>
                <w:b/>
                <w:color w:val="000000"/>
              </w:rPr>
              <w:t>Discharger</w:t>
            </w:r>
          </w:p>
        </w:tc>
        <w:tc>
          <w:tcPr>
            <w:tcW w:w="3432" w:type="dxa"/>
          </w:tcPr>
          <w:p w14:paraId="43748BD0" w14:textId="77777777" w:rsidR="00311CE5" w:rsidRPr="00311CE5" w:rsidRDefault="00311CE5" w:rsidP="00311CE5">
            <w:pPr>
              <w:autoSpaceDE w:val="0"/>
              <w:autoSpaceDN w:val="0"/>
              <w:adjustRightInd w:val="0"/>
              <w:jc w:val="center"/>
              <w:rPr>
                <w:b/>
                <w:color w:val="000000"/>
              </w:rPr>
            </w:pPr>
            <w:r w:rsidRPr="00311CE5">
              <w:rPr>
                <w:b/>
                <w:color w:val="000000"/>
              </w:rPr>
              <w:t>Average Monthly Effluent Limit for PCBs (µg/L)</w:t>
            </w:r>
          </w:p>
        </w:tc>
        <w:tc>
          <w:tcPr>
            <w:tcW w:w="3594" w:type="dxa"/>
            <w:vAlign w:val="center"/>
          </w:tcPr>
          <w:p w14:paraId="69247D6E" w14:textId="77777777" w:rsidR="00311CE5" w:rsidRPr="00311CE5" w:rsidRDefault="00311CE5" w:rsidP="00311CE5">
            <w:pPr>
              <w:autoSpaceDE w:val="0"/>
              <w:autoSpaceDN w:val="0"/>
              <w:adjustRightInd w:val="0"/>
              <w:jc w:val="center"/>
              <w:rPr>
                <w:b/>
                <w:color w:val="000000"/>
              </w:rPr>
            </w:pPr>
            <w:r w:rsidRPr="00311CE5">
              <w:rPr>
                <w:b/>
                <w:color w:val="000000"/>
              </w:rPr>
              <w:t>Maximum Daily Effluent Limit for PCBs (µg/L)</w:t>
            </w:r>
          </w:p>
        </w:tc>
      </w:tr>
      <w:tr w:rsidR="002F6C1D" w:rsidRPr="00311CE5" w14:paraId="5D41DE0F" w14:textId="77777777" w:rsidTr="00631DA0">
        <w:tc>
          <w:tcPr>
            <w:tcW w:w="3432" w:type="dxa"/>
            <w:vAlign w:val="center"/>
          </w:tcPr>
          <w:p w14:paraId="158514EB" w14:textId="183FF854" w:rsidR="002F6C1D" w:rsidRPr="002F6C1D" w:rsidRDefault="002F6C1D" w:rsidP="002F6C1D">
            <w:pPr>
              <w:autoSpaceDE w:val="0"/>
              <w:autoSpaceDN w:val="0"/>
              <w:adjustRightInd w:val="0"/>
              <w:rPr>
                <w:color w:val="000000"/>
              </w:rPr>
            </w:pPr>
            <w:r w:rsidRPr="002F6C1D">
              <w:t>American Canyon, City of</w:t>
            </w:r>
          </w:p>
        </w:tc>
        <w:tc>
          <w:tcPr>
            <w:tcW w:w="3432" w:type="dxa"/>
          </w:tcPr>
          <w:p w14:paraId="2D8026C2" w14:textId="77777777" w:rsidR="002F6C1D" w:rsidRPr="00311CE5" w:rsidRDefault="002F6C1D" w:rsidP="002F6C1D">
            <w:pPr>
              <w:autoSpaceDE w:val="0"/>
              <w:autoSpaceDN w:val="0"/>
              <w:adjustRightInd w:val="0"/>
              <w:jc w:val="center"/>
              <w:rPr>
                <w:color w:val="000000"/>
              </w:rPr>
            </w:pPr>
            <w:r w:rsidRPr="00311CE5">
              <w:rPr>
                <w:color w:val="000000"/>
              </w:rPr>
              <w:t>0.00039</w:t>
            </w:r>
          </w:p>
        </w:tc>
        <w:tc>
          <w:tcPr>
            <w:tcW w:w="3594" w:type="dxa"/>
            <w:vAlign w:val="center"/>
          </w:tcPr>
          <w:p w14:paraId="285B9A79" w14:textId="77777777" w:rsidR="002F6C1D" w:rsidRPr="00311CE5" w:rsidRDefault="002F6C1D" w:rsidP="002F6C1D">
            <w:pPr>
              <w:autoSpaceDE w:val="0"/>
              <w:autoSpaceDN w:val="0"/>
              <w:adjustRightInd w:val="0"/>
              <w:jc w:val="center"/>
              <w:rPr>
                <w:color w:val="000000"/>
              </w:rPr>
            </w:pPr>
            <w:r w:rsidRPr="00311CE5">
              <w:rPr>
                <w:color w:val="000000"/>
              </w:rPr>
              <w:t>0.00049</w:t>
            </w:r>
          </w:p>
        </w:tc>
      </w:tr>
      <w:tr w:rsidR="002F6C1D" w:rsidRPr="00311CE5" w14:paraId="1963DAC2" w14:textId="77777777" w:rsidTr="00631DA0">
        <w:tc>
          <w:tcPr>
            <w:tcW w:w="3432" w:type="dxa"/>
            <w:vAlign w:val="center"/>
          </w:tcPr>
          <w:p w14:paraId="42F0D7F1" w14:textId="7F7C021A" w:rsidR="002F6C1D" w:rsidRPr="002F6C1D" w:rsidRDefault="002F6C1D" w:rsidP="002F6C1D">
            <w:pPr>
              <w:autoSpaceDE w:val="0"/>
              <w:autoSpaceDN w:val="0"/>
              <w:adjustRightInd w:val="0"/>
              <w:rPr>
                <w:color w:val="000000"/>
              </w:rPr>
            </w:pPr>
            <w:r w:rsidRPr="002F6C1D">
              <w:t>Benicia, City of</w:t>
            </w:r>
          </w:p>
        </w:tc>
        <w:tc>
          <w:tcPr>
            <w:tcW w:w="3432" w:type="dxa"/>
          </w:tcPr>
          <w:p w14:paraId="2C990102" w14:textId="77777777" w:rsidR="002F6C1D" w:rsidRPr="00311CE5" w:rsidRDefault="002F6C1D" w:rsidP="002F6C1D">
            <w:pPr>
              <w:autoSpaceDE w:val="0"/>
              <w:autoSpaceDN w:val="0"/>
              <w:adjustRightInd w:val="0"/>
              <w:jc w:val="center"/>
              <w:rPr>
                <w:color w:val="000000"/>
              </w:rPr>
            </w:pPr>
            <w:r w:rsidRPr="00311CE5">
              <w:rPr>
                <w:color w:val="000000"/>
              </w:rPr>
              <w:t>0.012</w:t>
            </w:r>
          </w:p>
        </w:tc>
        <w:tc>
          <w:tcPr>
            <w:tcW w:w="3594" w:type="dxa"/>
            <w:vAlign w:val="center"/>
          </w:tcPr>
          <w:p w14:paraId="04C87602" w14:textId="77777777" w:rsidR="002F6C1D" w:rsidRPr="00311CE5" w:rsidRDefault="002F6C1D" w:rsidP="002F6C1D">
            <w:pPr>
              <w:autoSpaceDE w:val="0"/>
              <w:autoSpaceDN w:val="0"/>
              <w:adjustRightInd w:val="0"/>
              <w:jc w:val="center"/>
              <w:rPr>
                <w:color w:val="000000"/>
              </w:rPr>
            </w:pPr>
            <w:r w:rsidRPr="00311CE5">
              <w:rPr>
                <w:color w:val="000000"/>
              </w:rPr>
              <w:t>0.017</w:t>
            </w:r>
          </w:p>
        </w:tc>
      </w:tr>
      <w:tr w:rsidR="002F6C1D" w:rsidRPr="00311CE5" w14:paraId="18DCF054" w14:textId="77777777" w:rsidTr="00631DA0">
        <w:tc>
          <w:tcPr>
            <w:tcW w:w="3432" w:type="dxa"/>
            <w:vAlign w:val="center"/>
          </w:tcPr>
          <w:p w14:paraId="26CC0883" w14:textId="15411F16" w:rsidR="002F6C1D" w:rsidRPr="002F6C1D" w:rsidRDefault="002F6C1D" w:rsidP="002F6C1D">
            <w:pPr>
              <w:autoSpaceDE w:val="0"/>
              <w:autoSpaceDN w:val="0"/>
              <w:adjustRightInd w:val="0"/>
              <w:rPr>
                <w:color w:val="000000"/>
              </w:rPr>
            </w:pPr>
            <w:r w:rsidRPr="002F6C1D">
              <w:t>Burlingame, City of</w:t>
            </w:r>
          </w:p>
        </w:tc>
        <w:tc>
          <w:tcPr>
            <w:tcW w:w="3432" w:type="dxa"/>
          </w:tcPr>
          <w:p w14:paraId="7C6F60BA" w14:textId="77777777" w:rsidR="002F6C1D" w:rsidRPr="00311CE5" w:rsidRDefault="002F6C1D" w:rsidP="002F6C1D">
            <w:pPr>
              <w:autoSpaceDE w:val="0"/>
              <w:autoSpaceDN w:val="0"/>
              <w:adjustRightInd w:val="0"/>
              <w:jc w:val="center"/>
              <w:rPr>
                <w:color w:val="000000"/>
              </w:rPr>
            </w:pPr>
            <w:r w:rsidRPr="00311CE5">
              <w:rPr>
                <w:color w:val="000000"/>
              </w:rPr>
              <w:t>0.012</w:t>
            </w:r>
          </w:p>
        </w:tc>
        <w:tc>
          <w:tcPr>
            <w:tcW w:w="3594" w:type="dxa"/>
            <w:vAlign w:val="center"/>
          </w:tcPr>
          <w:p w14:paraId="57DEC94A" w14:textId="77777777" w:rsidR="002F6C1D" w:rsidRPr="00311CE5" w:rsidRDefault="002F6C1D" w:rsidP="002F6C1D">
            <w:pPr>
              <w:autoSpaceDE w:val="0"/>
              <w:autoSpaceDN w:val="0"/>
              <w:adjustRightInd w:val="0"/>
              <w:jc w:val="center"/>
              <w:rPr>
                <w:color w:val="000000"/>
              </w:rPr>
            </w:pPr>
            <w:r w:rsidRPr="00311CE5">
              <w:rPr>
                <w:color w:val="000000"/>
              </w:rPr>
              <w:t>0.017</w:t>
            </w:r>
          </w:p>
        </w:tc>
      </w:tr>
      <w:tr w:rsidR="002F6C1D" w:rsidRPr="00311CE5" w14:paraId="61FCA71C" w14:textId="77777777" w:rsidTr="00631DA0">
        <w:tc>
          <w:tcPr>
            <w:tcW w:w="3432" w:type="dxa"/>
            <w:vAlign w:val="center"/>
          </w:tcPr>
          <w:p w14:paraId="6EFC9530" w14:textId="3861BE03" w:rsidR="002F6C1D" w:rsidRPr="002F6C1D" w:rsidRDefault="002F6C1D" w:rsidP="002F6C1D">
            <w:pPr>
              <w:autoSpaceDE w:val="0"/>
              <w:autoSpaceDN w:val="0"/>
              <w:adjustRightInd w:val="0"/>
              <w:rPr>
                <w:color w:val="000000"/>
              </w:rPr>
            </w:pPr>
            <w:r w:rsidRPr="002F6C1D">
              <w:t>Calistoga, City of</w:t>
            </w:r>
          </w:p>
        </w:tc>
        <w:tc>
          <w:tcPr>
            <w:tcW w:w="3432" w:type="dxa"/>
          </w:tcPr>
          <w:p w14:paraId="6AF447FF" w14:textId="77777777" w:rsidR="002F6C1D" w:rsidRPr="00311CE5" w:rsidRDefault="002F6C1D" w:rsidP="002F6C1D">
            <w:pPr>
              <w:autoSpaceDE w:val="0"/>
              <w:autoSpaceDN w:val="0"/>
              <w:adjustRightInd w:val="0"/>
              <w:jc w:val="center"/>
              <w:rPr>
                <w:color w:val="000000"/>
              </w:rPr>
            </w:pPr>
            <w:r w:rsidRPr="00311CE5">
              <w:rPr>
                <w:color w:val="000000"/>
              </w:rPr>
              <w:t>0.012</w:t>
            </w:r>
          </w:p>
        </w:tc>
        <w:tc>
          <w:tcPr>
            <w:tcW w:w="3594" w:type="dxa"/>
            <w:vAlign w:val="center"/>
          </w:tcPr>
          <w:p w14:paraId="387B01B1" w14:textId="77777777" w:rsidR="002F6C1D" w:rsidRPr="00311CE5" w:rsidRDefault="002F6C1D" w:rsidP="002F6C1D">
            <w:pPr>
              <w:autoSpaceDE w:val="0"/>
              <w:autoSpaceDN w:val="0"/>
              <w:adjustRightInd w:val="0"/>
              <w:jc w:val="center"/>
              <w:rPr>
                <w:color w:val="000000"/>
              </w:rPr>
            </w:pPr>
            <w:r w:rsidRPr="00311CE5">
              <w:rPr>
                <w:color w:val="000000"/>
              </w:rPr>
              <w:t>0.017</w:t>
            </w:r>
          </w:p>
        </w:tc>
      </w:tr>
      <w:tr w:rsidR="002F6C1D" w:rsidRPr="00311CE5" w14:paraId="498CDE9A" w14:textId="77777777" w:rsidTr="00631DA0">
        <w:tc>
          <w:tcPr>
            <w:tcW w:w="3432" w:type="dxa"/>
            <w:vAlign w:val="center"/>
          </w:tcPr>
          <w:p w14:paraId="34A3C5C6" w14:textId="16B91880" w:rsidR="002F6C1D" w:rsidRPr="002F6C1D" w:rsidRDefault="002F6C1D" w:rsidP="002F6C1D">
            <w:pPr>
              <w:autoSpaceDE w:val="0"/>
              <w:autoSpaceDN w:val="0"/>
              <w:adjustRightInd w:val="0"/>
              <w:rPr>
                <w:color w:val="000000"/>
              </w:rPr>
            </w:pPr>
            <w:r w:rsidRPr="002F6C1D">
              <w:t>Central Contra Costa Sanitary District</w:t>
            </w:r>
          </w:p>
        </w:tc>
        <w:tc>
          <w:tcPr>
            <w:tcW w:w="3432" w:type="dxa"/>
          </w:tcPr>
          <w:p w14:paraId="09E7064A" w14:textId="77777777" w:rsidR="002F6C1D" w:rsidRPr="00311CE5" w:rsidRDefault="002F6C1D" w:rsidP="002F6C1D">
            <w:pPr>
              <w:autoSpaceDE w:val="0"/>
              <w:autoSpaceDN w:val="0"/>
              <w:adjustRightInd w:val="0"/>
              <w:spacing w:before="120"/>
              <w:jc w:val="center"/>
              <w:rPr>
                <w:color w:val="000000"/>
              </w:rPr>
            </w:pPr>
            <w:r w:rsidRPr="00311CE5">
              <w:rPr>
                <w:color w:val="000000"/>
              </w:rPr>
              <w:t>0.012</w:t>
            </w:r>
          </w:p>
        </w:tc>
        <w:tc>
          <w:tcPr>
            <w:tcW w:w="3594" w:type="dxa"/>
            <w:vAlign w:val="center"/>
          </w:tcPr>
          <w:p w14:paraId="7EE8F1B0" w14:textId="77777777" w:rsidR="002F6C1D" w:rsidRPr="00311CE5" w:rsidRDefault="002F6C1D" w:rsidP="002F6C1D">
            <w:pPr>
              <w:autoSpaceDE w:val="0"/>
              <w:autoSpaceDN w:val="0"/>
              <w:adjustRightInd w:val="0"/>
              <w:jc w:val="center"/>
              <w:rPr>
                <w:color w:val="000000"/>
              </w:rPr>
            </w:pPr>
            <w:r w:rsidRPr="00311CE5">
              <w:rPr>
                <w:color w:val="000000"/>
              </w:rPr>
              <w:t>0.017</w:t>
            </w:r>
          </w:p>
        </w:tc>
      </w:tr>
      <w:tr w:rsidR="002F6C1D" w:rsidRPr="00311CE5" w14:paraId="73B47FB4" w14:textId="77777777" w:rsidTr="00631DA0">
        <w:tc>
          <w:tcPr>
            <w:tcW w:w="3432" w:type="dxa"/>
            <w:vAlign w:val="center"/>
          </w:tcPr>
          <w:p w14:paraId="3C44A8EA" w14:textId="189D4D75" w:rsidR="002F6C1D" w:rsidRPr="002F6C1D" w:rsidRDefault="002F6C1D" w:rsidP="002F6C1D">
            <w:pPr>
              <w:autoSpaceDE w:val="0"/>
              <w:autoSpaceDN w:val="0"/>
              <w:adjustRightInd w:val="0"/>
              <w:rPr>
                <w:color w:val="000000"/>
              </w:rPr>
            </w:pPr>
            <w:r w:rsidRPr="002F6C1D">
              <w:t>Central Marin Sanitation Agency</w:t>
            </w:r>
          </w:p>
        </w:tc>
        <w:tc>
          <w:tcPr>
            <w:tcW w:w="3432" w:type="dxa"/>
          </w:tcPr>
          <w:p w14:paraId="3110F339" w14:textId="77777777" w:rsidR="002F6C1D" w:rsidRPr="00311CE5" w:rsidRDefault="002F6C1D" w:rsidP="002F6C1D">
            <w:pPr>
              <w:autoSpaceDE w:val="0"/>
              <w:autoSpaceDN w:val="0"/>
              <w:adjustRightInd w:val="0"/>
              <w:jc w:val="center"/>
              <w:rPr>
                <w:color w:val="000000"/>
              </w:rPr>
            </w:pPr>
            <w:r w:rsidRPr="00311CE5">
              <w:rPr>
                <w:color w:val="000000"/>
              </w:rPr>
              <w:t>0.012</w:t>
            </w:r>
          </w:p>
        </w:tc>
        <w:tc>
          <w:tcPr>
            <w:tcW w:w="3594" w:type="dxa"/>
            <w:vAlign w:val="center"/>
          </w:tcPr>
          <w:p w14:paraId="724F9FDB" w14:textId="77777777" w:rsidR="002F6C1D" w:rsidRPr="00311CE5" w:rsidRDefault="002F6C1D" w:rsidP="002F6C1D">
            <w:pPr>
              <w:autoSpaceDE w:val="0"/>
              <w:autoSpaceDN w:val="0"/>
              <w:adjustRightInd w:val="0"/>
              <w:jc w:val="center"/>
              <w:rPr>
                <w:color w:val="000000"/>
              </w:rPr>
            </w:pPr>
            <w:r w:rsidRPr="00311CE5">
              <w:rPr>
                <w:color w:val="000000"/>
              </w:rPr>
              <w:t>0.017</w:t>
            </w:r>
          </w:p>
        </w:tc>
      </w:tr>
      <w:tr w:rsidR="002F6C1D" w:rsidRPr="00311CE5" w14:paraId="2ED1BA61" w14:textId="77777777" w:rsidTr="00631DA0">
        <w:tc>
          <w:tcPr>
            <w:tcW w:w="3432" w:type="dxa"/>
            <w:vAlign w:val="center"/>
          </w:tcPr>
          <w:p w14:paraId="6E941300" w14:textId="5E2166A0" w:rsidR="002F6C1D" w:rsidRPr="002F6C1D" w:rsidRDefault="002F6C1D" w:rsidP="002F6C1D">
            <w:pPr>
              <w:autoSpaceDE w:val="0"/>
              <w:autoSpaceDN w:val="0"/>
              <w:adjustRightInd w:val="0"/>
              <w:rPr>
                <w:color w:val="000000"/>
              </w:rPr>
            </w:pPr>
            <w:r w:rsidRPr="002F6C1D">
              <w:t>Crockett Community Services District, Port Costa Sanitary Dept.</w:t>
            </w:r>
          </w:p>
        </w:tc>
        <w:tc>
          <w:tcPr>
            <w:tcW w:w="3432" w:type="dxa"/>
          </w:tcPr>
          <w:p w14:paraId="41A9D585" w14:textId="77777777" w:rsidR="002F6C1D" w:rsidRPr="00311CE5" w:rsidRDefault="002F6C1D" w:rsidP="002F6C1D">
            <w:pPr>
              <w:autoSpaceDE w:val="0"/>
              <w:autoSpaceDN w:val="0"/>
              <w:adjustRightInd w:val="0"/>
              <w:spacing w:before="120"/>
              <w:jc w:val="center"/>
              <w:rPr>
                <w:color w:val="000000"/>
              </w:rPr>
            </w:pPr>
            <w:r w:rsidRPr="00311CE5">
              <w:rPr>
                <w:color w:val="000000"/>
              </w:rPr>
              <w:t>0.012</w:t>
            </w:r>
          </w:p>
        </w:tc>
        <w:tc>
          <w:tcPr>
            <w:tcW w:w="3594" w:type="dxa"/>
            <w:vAlign w:val="center"/>
          </w:tcPr>
          <w:p w14:paraId="2B712629" w14:textId="77777777" w:rsidR="002F6C1D" w:rsidRPr="00311CE5" w:rsidRDefault="002F6C1D" w:rsidP="002F6C1D">
            <w:pPr>
              <w:autoSpaceDE w:val="0"/>
              <w:autoSpaceDN w:val="0"/>
              <w:adjustRightInd w:val="0"/>
              <w:jc w:val="center"/>
              <w:rPr>
                <w:color w:val="000000"/>
              </w:rPr>
            </w:pPr>
            <w:r w:rsidRPr="00311CE5">
              <w:rPr>
                <w:color w:val="000000"/>
              </w:rPr>
              <w:t>0.017</w:t>
            </w:r>
          </w:p>
        </w:tc>
      </w:tr>
      <w:tr w:rsidR="002F6C1D" w:rsidRPr="00311CE5" w14:paraId="008DFAC8" w14:textId="77777777" w:rsidTr="00631DA0">
        <w:tc>
          <w:tcPr>
            <w:tcW w:w="3432" w:type="dxa"/>
            <w:vAlign w:val="center"/>
          </w:tcPr>
          <w:p w14:paraId="3EE7D9A7" w14:textId="1ADB81DA" w:rsidR="002F6C1D" w:rsidRPr="002F6C1D" w:rsidRDefault="002F6C1D" w:rsidP="002F6C1D">
            <w:pPr>
              <w:autoSpaceDE w:val="0"/>
              <w:autoSpaceDN w:val="0"/>
              <w:adjustRightInd w:val="0"/>
              <w:rPr>
                <w:color w:val="000000"/>
              </w:rPr>
            </w:pPr>
            <w:r w:rsidRPr="002F6C1D">
              <w:t>Delta Diablo Sanitation District</w:t>
            </w:r>
          </w:p>
        </w:tc>
        <w:tc>
          <w:tcPr>
            <w:tcW w:w="3432" w:type="dxa"/>
          </w:tcPr>
          <w:p w14:paraId="5F95C145" w14:textId="77777777" w:rsidR="002F6C1D" w:rsidRPr="00311CE5" w:rsidRDefault="002F6C1D" w:rsidP="002F6C1D">
            <w:pPr>
              <w:autoSpaceDE w:val="0"/>
              <w:autoSpaceDN w:val="0"/>
              <w:adjustRightInd w:val="0"/>
              <w:jc w:val="center"/>
              <w:rPr>
                <w:color w:val="000000"/>
              </w:rPr>
            </w:pPr>
            <w:r w:rsidRPr="00311CE5">
              <w:rPr>
                <w:color w:val="000000"/>
              </w:rPr>
              <w:t>0.012</w:t>
            </w:r>
          </w:p>
        </w:tc>
        <w:tc>
          <w:tcPr>
            <w:tcW w:w="3594" w:type="dxa"/>
            <w:vAlign w:val="center"/>
          </w:tcPr>
          <w:p w14:paraId="0F245999" w14:textId="77777777" w:rsidR="002F6C1D" w:rsidRPr="00311CE5" w:rsidRDefault="002F6C1D" w:rsidP="002F6C1D">
            <w:pPr>
              <w:autoSpaceDE w:val="0"/>
              <w:autoSpaceDN w:val="0"/>
              <w:adjustRightInd w:val="0"/>
              <w:jc w:val="center"/>
              <w:rPr>
                <w:color w:val="000000"/>
              </w:rPr>
            </w:pPr>
            <w:r w:rsidRPr="00311CE5">
              <w:rPr>
                <w:color w:val="000000"/>
              </w:rPr>
              <w:t>0.017</w:t>
            </w:r>
          </w:p>
        </w:tc>
      </w:tr>
      <w:tr w:rsidR="002F6C1D" w:rsidRPr="00311CE5" w14:paraId="2F20B5CF" w14:textId="77777777" w:rsidTr="00631DA0">
        <w:tc>
          <w:tcPr>
            <w:tcW w:w="3432" w:type="dxa"/>
            <w:vAlign w:val="center"/>
          </w:tcPr>
          <w:p w14:paraId="61DA86F9" w14:textId="1B89B762" w:rsidR="002F6C1D" w:rsidRPr="002F6C1D" w:rsidRDefault="002F6C1D" w:rsidP="002F6C1D">
            <w:pPr>
              <w:autoSpaceDE w:val="0"/>
              <w:autoSpaceDN w:val="0"/>
              <w:adjustRightInd w:val="0"/>
              <w:rPr>
                <w:color w:val="000000"/>
              </w:rPr>
            </w:pPr>
            <w:r w:rsidRPr="002F6C1D">
              <w:t>East Bay Dischargers Authority (EBDA); Cities of Hayward and San Leandro; Oro Loma Sanitary District; Castro Valley Sanitary District; Union Sanitary District; Livermore-Amador Valley Water Management Agency; Dublin San Ramon Services District; and City of Livermore</w:t>
            </w:r>
          </w:p>
        </w:tc>
        <w:tc>
          <w:tcPr>
            <w:tcW w:w="3432" w:type="dxa"/>
          </w:tcPr>
          <w:p w14:paraId="1778E0C4" w14:textId="77777777" w:rsidR="002F6C1D" w:rsidRPr="00311CE5" w:rsidRDefault="002F6C1D" w:rsidP="002F6C1D">
            <w:pPr>
              <w:autoSpaceDE w:val="0"/>
              <w:autoSpaceDN w:val="0"/>
              <w:adjustRightInd w:val="0"/>
              <w:jc w:val="center"/>
              <w:rPr>
                <w:color w:val="000000"/>
              </w:rPr>
            </w:pPr>
          </w:p>
          <w:p w14:paraId="13538A22" w14:textId="77777777" w:rsidR="002F6C1D" w:rsidRPr="00311CE5" w:rsidRDefault="002F6C1D" w:rsidP="002F6C1D">
            <w:pPr>
              <w:jc w:val="center"/>
            </w:pPr>
          </w:p>
          <w:p w14:paraId="06E70668" w14:textId="77777777" w:rsidR="002F6C1D" w:rsidRPr="00311CE5" w:rsidRDefault="002F6C1D" w:rsidP="002F6C1D">
            <w:pPr>
              <w:jc w:val="center"/>
            </w:pPr>
          </w:p>
          <w:p w14:paraId="67ED8544" w14:textId="77777777" w:rsidR="002F6C1D" w:rsidRPr="00311CE5" w:rsidRDefault="002F6C1D" w:rsidP="002F6C1D">
            <w:pPr>
              <w:jc w:val="center"/>
            </w:pPr>
          </w:p>
          <w:p w14:paraId="1E1E7878" w14:textId="77777777" w:rsidR="002F6C1D" w:rsidRPr="00311CE5" w:rsidRDefault="002F6C1D" w:rsidP="002F6C1D">
            <w:pPr>
              <w:jc w:val="center"/>
            </w:pPr>
            <w:r w:rsidRPr="00311CE5">
              <w:t>0.012</w:t>
            </w:r>
          </w:p>
        </w:tc>
        <w:tc>
          <w:tcPr>
            <w:tcW w:w="3594" w:type="dxa"/>
            <w:vAlign w:val="center"/>
          </w:tcPr>
          <w:p w14:paraId="12004340" w14:textId="77777777" w:rsidR="002F6C1D" w:rsidRPr="00311CE5" w:rsidRDefault="002F6C1D" w:rsidP="002F6C1D">
            <w:pPr>
              <w:autoSpaceDE w:val="0"/>
              <w:autoSpaceDN w:val="0"/>
              <w:adjustRightInd w:val="0"/>
              <w:jc w:val="center"/>
              <w:rPr>
                <w:color w:val="000000"/>
              </w:rPr>
            </w:pPr>
            <w:r w:rsidRPr="00311CE5">
              <w:rPr>
                <w:color w:val="000000"/>
              </w:rPr>
              <w:t>0.017</w:t>
            </w:r>
          </w:p>
        </w:tc>
      </w:tr>
      <w:tr w:rsidR="002F6C1D" w:rsidRPr="00311CE5" w14:paraId="2FABA471" w14:textId="77777777" w:rsidTr="00631DA0">
        <w:tc>
          <w:tcPr>
            <w:tcW w:w="3432" w:type="dxa"/>
            <w:vAlign w:val="center"/>
          </w:tcPr>
          <w:p w14:paraId="14EB8B96" w14:textId="5843FEB2" w:rsidR="002F6C1D" w:rsidRPr="002F6C1D" w:rsidRDefault="002F6C1D" w:rsidP="002F6C1D">
            <w:pPr>
              <w:autoSpaceDE w:val="0"/>
              <w:autoSpaceDN w:val="0"/>
              <w:adjustRightInd w:val="0"/>
              <w:rPr>
                <w:color w:val="000000"/>
              </w:rPr>
            </w:pPr>
            <w:r w:rsidRPr="002F6C1D">
              <w:t>East Bay Municipal Utility District</w:t>
            </w:r>
          </w:p>
        </w:tc>
        <w:tc>
          <w:tcPr>
            <w:tcW w:w="3432" w:type="dxa"/>
            <w:vAlign w:val="center"/>
          </w:tcPr>
          <w:p w14:paraId="2B56B49D" w14:textId="77777777" w:rsidR="002F6C1D" w:rsidRPr="00311CE5" w:rsidRDefault="002F6C1D" w:rsidP="002F6C1D">
            <w:pPr>
              <w:autoSpaceDE w:val="0"/>
              <w:autoSpaceDN w:val="0"/>
              <w:adjustRightInd w:val="0"/>
              <w:jc w:val="center"/>
              <w:rPr>
                <w:color w:val="000000"/>
              </w:rPr>
            </w:pPr>
            <w:r w:rsidRPr="00311CE5">
              <w:rPr>
                <w:color w:val="000000"/>
              </w:rPr>
              <w:t>0.012</w:t>
            </w:r>
          </w:p>
        </w:tc>
        <w:tc>
          <w:tcPr>
            <w:tcW w:w="3594" w:type="dxa"/>
            <w:vAlign w:val="center"/>
          </w:tcPr>
          <w:p w14:paraId="385BAA93" w14:textId="77777777" w:rsidR="002F6C1D" w:rsidRPr="00311CE5" w:rsidRDefault="002F6C1D" w:rsidP="002F6C1D">
            <w:pPr>
              <w:autoSpaceDE w:val="0"/>
              <w:autoSpaceDN w:val="0"/>
              <w:adjustRightInd w:val="0"/>
              <w:jc w:val="center"/>
              <w:rPr>
                <w:color w:val="000000"/>
              </w:rPr>
            </w:pPr>
            <w:r w:rsidRPr="00311CE5">
              <w:rPr>
                <w:color w:val="000000"/>
              </w:rPr>
              <w:t>0.017</w:t>
            </w:r>
          </w:p>
        </w:tc>
      </w:tr>
      <w:tr w:rsidR="002F6C1D" w:rsidRPr="00311CE5" w14:paraId="5AEFFC38" w14:textId="77777777" w:rsidTr="00631DA0">
        <w:tc>
          <w:tcPr>
            <w:tcW w:w="3432" w:type="dxa"/>
            <w:vAlign w:val="center"/>
          </w:tcPr>
          <w:p w14:paraId="66D05120" w14:textId="5AC665D3" w:rsidR="002F6C1D" w:rsidRPr="002F6C1D" w:rsidRDefault="002F6C1D" w:rsidP="002F6C1D">
            <w:pPr>
              <w:autoSpaceDE w:val="0"/>
              <w:autoSpaceDN w:val="0"/>
              <w:adjustRightInd w:val="0"/>
              <w:rPr>
                <w:color w:val="000000"/>
              </w:rPr>
            </w:pPr>
            <w:r w:rsidRPr="002F6C1D">
              <w:t>Fairfield-Suisun Sewer District</w:t>
            </w:r>
          </w:p>
        </w:tc>
        <w:tc>
          <w:tcPr>
            <w:tcW w:w="3432" w:type="dxa"/>
          </w:tcPr>
          <w:p w14:paraId="60C51CCD" w14:textId="77777777" w:rsidR="002F6C1D" w:rsidRPr="00311CE5" w:rsidRDefault="002F6C1D" w:rsidP="002F6C1D">
            <w:pPr>
              <w:autoSpaceDE w:val="0"/>
              <w:autoSpaceDN w:val="0"/>
              <w:adjustRightInd w:val="0"/>
              <w:jc w:val="center"/>
              <w:rPr>
                <w:color w:val="000000"/>
              </w:rPr>
            </w:pPr>
            <w:r w:rsidRPr="00311CE5">
              <w:rPr>
                <w:color w:val="000000"/>
              </w:rPr>
              <w:t>0.00039</w:t>
            </w:r>
          </w:p>
        </w:tc>
        <w:tc>
          <w:tcPr>
            <w:tcW w:w="3594" w:type="dxa"/>
            <w:vAlign w:val="center"/>
          </w:tcPr>
          <w:p w14:paraId="04EEDF0F" w14:textId="77777777" w:rsidR="002F6C1D" w:rsidRPr="00311CE5" w:rsidRDefault="002F6C1D" w:rsidP="002F6C1D">
            <w:pPr>
              <w:autoSpaceDE w:val="0"/>
              <w:autoSpaceDN w:val="0"/>
              <w:adjustRightInd w:val="0"/>
              <w:jc w:val="center"/>
              <w:rPr>
                <w:color w:val="000000"/>
              </w:rPr>
            </w:pPr>
            <w:r w:rsidRPr="00311CE5">
              <w:rPr>
                <w:color w:val="000000"/>
              </w:rPr>
              <w:t>0.00049</w:t>
            </w:r>
          </w:p>
        </w:tc>
      </w:tr>
      <w:tr w:rsidR="002F6C1D" w:rsidRPr="00311CE5" w14:paraId="03151B30" w14:textId="77777777" w:rsidTr="00631DA0">
        <w:tc>
          <w:tcPr>
            <w:tcW w:w="3432" w:type="dxa"/>
            <w:vAlign w:val="center"/>
          </w:tcPr>
          <w:p w14:paraId="43ABCBE8" w14:textId="2E3C8F23" w:rsidR="002F6C1D" w:rsidRPr="002F6C1D" w:rsidRDefault="002F6C1D" w:rsidP="002F6C1D">
            <w:pPr>
              <w:autoSpaceDE w:val="0"/>
              <w:autoSpaceDN w:val="0"/>
              <w:adjustRightInd w:val="0"/>
              <w:rPr>
                <w:color w:val="000000"/>
              </w:rPr>
            </w:pPr>
            <w:r w:rsidRPr="002F6C1D">
              <w:lastRenderedPageBreak/>
              <w:t>Las Gallinas Valley Sanitary District</w:t>
            </w:r>
          </w:p>
        </w:tc>
        <w:tc>
          <w:tcPr>
            <w:tcW w:w="3432" w:type="dxa"/>
          </w:tcPr>
          <w:p w14:paraId="30BA5BC6" w14:textId="77777777" w:rsidR="002F6C1D" w:rsidRPr="00311CE5" w:rsidRDefault="002F6C1D" w:rsidP="002F6C1D">
            <w:pPr>
              <w:autoSpaceDE w:val="0"/>
              <w:autoSpaceDN w:val="0"/>
              <w:adjustRightInd w:val="0"/>
              <w:jc w:val="center"/>
              <w:rPr>
                <w:color w:val="000000"/>
              </w:rPr>
            </w:pPr>
            <w:r w:rsidRPr="00311CE5">
              <w:rPr>
                <w:color w:val="000000"/>
              </w:rPr>
              <w:t>0.012</w:t>
            </w:r>
          </w:p>
        </w:tc>
        <w:tc>
          <w:tcPr>
            <w:tcW w:w="3594" w:type="dxa"/>
            <w:vAlign w:val="center"/>
          </w:tcPr>
          <w:p w14:paraId="785F8242" w14:textId="77777777" w:rsidR="002F6C1D" w:rsidRPr="00311CE5" w:rsidRDefault="002F6C1D" w:rsidP="002F6C1D">
            <w:pPr>
              <w:autoSpaceDE w:val="0"/>
              <w:autoSpaceDN w:val="0"/>
              <w:adjustRightInd w:val="0"/>
              <w:jc w:val="center"/>
              <w:rPr>
                <w:color w:val="000000"/>
              </w:rPr>
            </w:pPr>
            <w:r w:rsidRPr="00311CE5">
              <w:rPr>
                <w:color w:val="000000"/>
              </w:rPr>
              <w:t>0.017</w:t>
            </w:r>
          </w:p>
        </w:tc>
      </w:tr>
      <w:tr w:rsidR="002F6C1D" w:rsidRPr="00311CE5" w14:paraId="4E1395FE" w14:textId="77777777" w:rsidTr="00631DA0">
        <w:tc>
          <w:tcPr>
            <w:tcW w:w="3432" w:type="dxa"/>
            <w:vAlign w:val="center"/>
          </w:tcPr>
          <w:p w14:paraId="5BC0A1A1" w14:textId="501A09A9" w:rsidR="002F6C1D" w:rsidRPr="002F6C1D" w:rsidRDefault="002F6C1D" w:rsidP="002F6C1D">
            <w:pPr>
              <w:autoSpaceDE w:val="0"/>
              <w:autoSpaceDN w:val="0"/>
              <w:adjustRightInd w:val="0"/>
              <w:rPr>
                <w:color w:val="000000"/>
              </w:rPr>
            </w:pPr>
            <w:r w:rsidRPr="002F6C1D">
              <w:t xml:space="preserve">Marin County (Paradise Cove), Sanitary District No. 5 of </w:t>
            </w:r>
          </w:p>
        </w:tc>
        <w:tc>
          <w:tcPr>
            <w:tcW w:w="3432" w:type="dxa"/>
          </w:tcPr>
          <w:p w14:paraId="0805893E" w14:textId="77777777" w:rsidR="002F6C1D" w:rsidRPr="00311CE5" w:rsidRDefault="002F6C1D" w:rsidP="002F6C1D">
            <w:pPr>
              <w:autoSpaceDE w:val="0"/>
              <w:autoSpaceDN w:val="0"/>
              <w:adjustRightInd w:val="0"/>
              <w:spacing w:before="120"/>
              <w:jc w:val="center"/>
              <w:rPr>
                <w:color w:val="000000"/>
              </w:rPr>
            </w:pPr>
            <w:r w:rsidRPr="00311CE5">
              <w:rPr>
                <w:color w:val="000000"/>
              </w:rPr>
              <w:t>0.012</w:t>
            </w:r>
          </w:p>
        </w:tc>
        <w:tc>
          <w:tcPr>
            <w:tcW w:w="3594" w:type="dxa"/>
            <w:vAlign w:val="center"/>
          </w:tcPr>
          <w:p w14:paraId="576EBB48" w14:textId="77777777" w:rsidR="002F6C1D" w:rsidRPr="00311CE5" w:rsidRDefault="002F6C1D" w:rsidP="002F6C1D">
            <w:pPr>
              <w:autoSpaceDE w:val="0"/>
              <w:autoSpaceDN w:val="0"/>
              <w:adjustRightInd w:val="0"/>
              <w:jc w:val="center"/>
              <w:rPr>
                <w:color w:val="000000"/>
              </w:rPr>
            </w:pPr>
            <w:r w:rsidRPr="00311CE5">
              <w:rPr>
                <w:color w:val="000000"/>
              </w:rPr>
              <w:t>0.017</w:t>
            </w:r>
          </w:p>
        </w:tc>
      </w:tr>
      <w:tr w:rsidR="002F6C1D" w:rsidRPr="00311CE5" w14:paraId="0EF590A5" w14:textId="77777777" w:rsidTr="00631DA0">
        <w:tc>
          <w:tcPr>
            <w:tcW w:w="3432" w:type="dxa"/>
            <w:vAlign w:val="center"/>
          </w:tcPr>
          <w:p w14:paraId="606E0D22" w14:textId="76DAB7EA" w:rsidR="002F6C1D" w:rsidRPr="002F6C1D" w:rsidRDefault="002F6C1D" w:rsidP="00646520">
            <w:pPr>
              <w:keepNext/>
              <w:autoSpaceDE w:val="0"/>
              <w:autoSpaceDN w:val="0"/>
              <w:adjustRightInd w:val="0"/>
              <w:rPr>
                <w:color w:val="000000"/>
              </w:rPr>
            </w:pPr>
            <w:r w:rsidRPr="002F6C1D">
              <w:t>Marin County (Tiburon), Sanitary District No. 5 of</w:t>
            </w:r>
          </w:p>
        </w:tc>
        <w:tc>
          <w:tcPr>
            <w:tcW w:w="3432" w:type="dxa"/>
          </w:tcPr>
          <w:p w14:paraId="78FAC5B6" w14:textId="77777777" w:rsidR="002F6C1D" w:rsidRPr="00311CE5" w:rsidRDefault="002F6C1D" w:rsidP="002F6C1D">
            <w:pPr>
              <w:autoSpaceDE w:val="0"/>
              <w:autoSpaceDN w:val="0"/>
              <w:adjustRightInd w:val="0"/>
              <w:spacing w:before="120"/>
              <w:jc w:val="center"/>
              <w:rPr>
                <w:color w:val="000000"/>
              </w:rPr>
            </w:pPr>
            <w:r w:rsidRPr="00311CE5">
              <w:rPr>
                <w:color w:val="000000"/>
              </w:rPr>
              <w:t>0.012</w:t>
            </w:r>
          </w:p>
        </w:tc>
        <w:tc>
          <w:tcPr>
            <w:tcW w:w="3594" w:type="dxa"/>
            <w:vAlign w:val="center"/>
          </w:tcPr>
          <w:p w14:paraId="477FDAB1" w14:textId="77777777" w:rsidR="002F6C1D" w:rsidRPr="00311CE5" w:rsidRDefault="002F6C1D" w:rsidP="002F6C1D">
            <w:pPr>
              <w:autoSpaceDE w:val="0"/>
              <w:autoSpaceDN w:val="0"/>
              <w:adjustRightInd w:val="0"/>
              <w:jc w:val="center"/>
              <w:rPr>
                <w:color w:val="000000"/>
              </w:rPr>
            </w:pPr>
            <w:r w:rsidRPr="00311CE5">
              <w:rPr>
                <w:color w:val="000000"/>
              </w:rPr>
              <w:t>0.017</w:t>
            </w:r>
          </w:p>
        </w:tc>
      </w:tr>
      <w:tr w:rsidR="002F6C1D" w:rsidRPr="00311CE5" w14:paraId="568F2694" w14:textId="77777777" w:rsidTr="00631DA0">
        <w:tc>
          <w:tcPr>
            <w:tcW w:w="3432" w:type="dxa"/>
            <w:vAlign w:val="center"/>
          </w:tcPr>
          <w:p w14:paraId="7DBAC355" w14:textId="702B1947" w:rsidR="002F6C1D" w:rsidRPr="002F6C1D" w:rsidRDefault="002F6C1D" w:rsidP="002F6C1D">
            <w:pPr>
              <w:autoSpaceDE w:val="0"/>
              <w:autoSpaceDN w:val="0"/>
              <w:adjustRightInd w:val="0"/>
              <w:rPr>
                <w:color w:val="000000"/>
              </w:rPr>
            </w:pPr>
            <w:r w:rsidRPr="002F6C1D">
              <w:t>Millbrae, City of</w:t>
            </w:r>
          </w:p>
        </w:tc>
        <w:tc>
          <w:tcPr>
            <w:tcW w:w="3432" w:type="dxa"/>
          </w:tcPr>
          <w:p w14:paraId="00E49955" w14:textId="77777777" w:rsidR="002F6C1D" w:rsidRPr="00311CE5" w:rsidRDefault="002F6C1D" w:rsidP="002F6C1D">
            <w:pPr>
              <w:autoSpaceDE w:val="0"/>
              <w:autoSpaceDN w:val="0"/>
              <w:adjustRightInd w:val="0"/>
              <w:jc w:val="center"/>
              <w:rPr>
                <w:color w:val="000000"/>
              </w:rPr>
            </w:pPr>
            <w:r w:rsidRPr="00311CE5">
              <w:rPr>
                <w:color w:val="000000"/>
              </w:rPr>
              <w:t>0.012</w:t>
            </w:r>
          </w:p>
        </w:tc>
        <w:tc>
          <w:tcPr>
            <w:tcW w:w="3594" w:type="dxa"/>
            <w:vAlign w:val="center"/>
          </w:tcPr>
          <w:p w14:paraId="5CDAF252" w14:textId="77777777" w:rsidR="002F6C1D" w:rsidRPr="00311CE5" w:rsidRDefault="002F6C1D" w:rsidP="002F6C1D">
            <w:pPr>
              <w:autoSpaceDE w:val="0"/>
              <w:autoSpaceDN w:val="0"/>
              <w:adjustRightInd w:val="0"/>
              <w:jc w:val="center"/>
              <w:rPr>
                <w:color w:val="000000"/>
              </w:rPr>
            </w:pPr>
            <w:r w:rsidRPr="00311CE5">
              <w:rPr>
                <w:color w:val="000000"/>
              </w:rPr>
              <w:t>0.017</w:t>
            </w:r>
          </w:p>
        </w:tc>
      </w:tr>
      <w:tr w:rsidR="002F6C1D" w:rsidRPr="00311CE5" w14:paraId="0E0E4B0B" w14:textId="77777777" w:rsidTr="00631DA0">
        <w:tc>
          <w:tcPr>
            <w:tcW w:w="3432" w:type="dxa"/>
            <w:vAlign w:val="center"/>
          </w:tcPr>
          <w:p w14:paraId="4CC7EB8F" w14:textId="7DA05351" w:rsidR="002F6C1D" w:rsidRPr="002F6C1D" w:rsidRDefault="002F6C1D" w:rsidP="002F6C1D">
            <w:pPr>
              <w:autoSpaceDE w:val="0"/>
              <w:autoSpaceDN w:val="0"/>
              <w:adjustRightInd w:val="0"/>
              <w:rPr>
                <w:color w:val="000000"/>
              </w:rPr>
            </w:pPr>
            <w:r w:rsidRPr="002F6C1D">
              <w:t>Mt. View Sanitary District</w:t>
            </w:r>
          </w:p>
        </w:tc>
        <w:tc>
          <w:tcPr>
            <w:tcW w:w="3432" w:type="dxa"/>
          </w:tcPr>
          <w:p w14:paraId="2CA4A717" w14:textId="77777777" w:rsidR="002F6C1D" w:rsidRPr="00311CE5" w:rsidRDefault="002F6C1D" w:rsidP="002F6C1D">
            <w:pPr>
              <w:autoSpaceDE w:val="0"/>
              <w:autoSpaceDN w:val="0"/>
              <w:adjustRightInd w:val="0"/>
              <w:jc w:val="center"/>
              <w:rPr>
                <w:color w:val="000000"/>
              </w:rPr>
            </w:pPr>
            <w:r w:rsidRPr="00311CE5">
              <w:rPr>
                <w:color w:val="000000"/>
              </w:rPr>
              <w:t>0.00039</w:t>
            </w:r>
          </w:p>
        </w:tc>
        <w:tc>
          <w:tcPr>
            <w:tcW w:w="3594" w:type="dxa"/>
            <w:vAlign w:val="center"/>
          </w:tcPr>
          <w:p w14:paraId="43AAE48A" w14:textId="77777777" w:rsidR="002F6C1D" w:rsidRPr="00311CE5" w:rsidRDefault="002F6C1D" w:rsidP="002F6C1D">
            <w:pPr>
              <w:autoSpaceDE w:val="0"/>
              <w:autoSpaceDN w:val="0"/>
              <w:adjustRightInd w:val="0"/>
              <w:jc w:val="center"/>
              <w:rPr>
                <w:color w:val="000000"/>
              </w:rPr>
            </w:pPr>
            <w:r w:rsidRPr="00311CE5">
              <w:rPr>
                <w:color w:val="000000"/>
              </w:rPr>
              <w:t>0.00049</w:t>
            </w:r>
          </w:p>
        </w:tc>
      </w:tr>
      <w:tr w:rsidR="002F6C1D" w:rsidRPr="00311CE5" w14:paraId="5AB07297" w14:textId="77777777" w:rsidTr="00631DA0">
        <w:tc>
          <w:tcPr>
            <w:tcW w:w="3432" w:type="dxa"/>
            <w:vAlign w:val="center"/>
          </w:tcPr>
          <w:p w14:paraId="55618E5B" w14:textId="1A5C02ED" w:rsidR="002F6C1D" w:rsidRPr="002F6C1D" w:rsidRDefault="002F6C1D" w:rsidP="002F6C1D">
            <w:pPr>
              <w:autoSpaceDE w:val="0"/>
              <w:autoSpaceDN w:val="0"/>
              <w:adjustRightInd w:val="0"/>
              <w:rPr>
                <w:color w:val="000000"/>
              </w:rPr>
            </w:pPr>
            <w:r w:rsidRPr="002F6C1D">
              <w:t>Napa Sanitation District</w:t>
            </w:r>
          </w:p>
        </w:tc>
        <w:tc>
          <w:tcPr>
            <w:tcW w:w="3432" w:type="dxa"/>
          </w:tcPr>
          <w:p w14:paraId="1A9F1D17" w14:textId="77777777" w:rsidR="002F6C1D" w:rsidRPr="00311CE5" w:rsidRDefault="002F6C1D" w:rsidP="002F6C1D">
            <w:pPr>
              <w:autoSpaceDE w:val="0"/>
              <w:autoSpaceDN w:val="0"/>
              <w:adjustRightInd w:val="0"/>
              <w:jc w:val="center"/>
              <w:rPr>
                <w:color w:val="000000"/>
              </w:rPr>
            </w:pPr>
            <w:r w:rsidRPr="00311CE5">
              <w:rPr>
                <w:color w:val="000000"/>
              </w:rPr>
              <w:t>0.012</w:t>
            </w:r>
          </w:p>
        </w:tc>
        <w:tc>
          <w:tcPr>
            <w:tcW w:w="3594" w:type="dxa"/>
            <w:vAlign w:val="center"/>
          </w:tcPr>
          <w:p w14:paraId="652BC1A3" w14:textId="77777777" w:rsidR="002F6C1D" w:rsidRPr="00311CE5" w:rsidRDefault="002F6C1D" w:rsidP="002F6C1D">
            <w:pPr>
              <w:autoSpaceDE w:val="0"/>
              <w:autoSpaceDN w:val="0"/>
              <w:adjustRightInd w:val="0"/>
              <w:jc w:val="center"/>
              <w:rPr>
                <w:color w:val="000000"/>
              </w:rPr>
            </w:pPr>
            <w:r w:rsidRPr="00311CE5">
              <w:rPr>
                <w:color w:val="000000"/>
              </w:rPr>
              <w:t>0.017</w:t>
            </w:r>
          </w:p>
        </w:tc>
      </w:tr>
      <w:tr w:rsidR="002F6C1D" w:rsidRPr="00311CE5" w14:paraId="013AD5B8" w14:textId="77777777" w:rsidTr="00631DA0">
        <w:tc>
          <w:tcPr>
            <w:tcW w:w="3432" w:type="dxa"/>
            <w:vAlign w:val="center"/>
          </w:tcPr>
          <w:p w14:paraId="3E28E5AB" w14:textId="4459E59D" w:rsidR="002F6C1D" w:rsidRPr="002F6C1D" w:rsidRDefault="002F6C1D" w:rsidP="002F6C1D">
            <w:pPr>
              <w:autoSpaceDE w:val="0"/>
              <w:autoSpaceDN w:val="0"/>
              <w:adjustRightInd w:val="0"/>
              <w:rPr>
                <w:color w:val="000000"/>
              </w:rPr>
            </w:pPr>
            <w:r w:rsidRPr="002F6C1D">
              <w:t>Novato Sanitary District</w:t>
            </w:r>
          </w:p>
        </w:tc>
        <w:tc>
          <w:tcPr>
            <w:tcW w:w="3432" w:type="dxa"/>
          </w:tcPr>
          <w:p w14:paraId="41FFB0A8" w14:textId="77777777" w:rsidR="002F6C1D" w:rsidRPr="00311CE5" w:rsidRDefault="002F6C1D" w:rsidP="002F6C1D">
            <w:pPr>
              <w:autoSpaceDE w:val="0"/>
              <w:autoSpaceDN w:val="0"/>
              <w:adjustRightInd w:val="0"/>
              <w:jc w:val="center"/>
              <w:rPr>
                <w:color w:val="000000"/>
              </w:rPr>
            </w:pPr>
            <w:r w:rsidRPr="00311CE5">
              <w:rPr>
                <w:color w:val="000000"/>
              </w:rPr>
              <w:t>0.012</w:t>
            </w:r>
          </w:p>
        </w:tc>
        <w:tc>
          <w:tcPr>
            <w:tcW w:w="3594" w:type="dxa"/>
            <w:vAlign w:val="center"/>
          </w:tcPr>
          <w:p w14:paraId="0928E737" w14:textId="77777777" w:rsidR="002F6C1D" w:rsidRPr="00311CE5" w:rsidRDefault="002F6C1D" w:rsidP="002F6C1D">
            <w:pPr>
              <w:autoSpaceDE w:val="0"/>
              <w:autoSpaceDN w:val="0"/>
              <w:adjustRightInd w:val="0"/>
              <w:jc w:val="center"/>
              <w:rPr>
                <w:color w:val="000000"/>
              </w:rPr>
            </w:pPr>
            <w:r w:rsidRPr="00311CE5">
              <w:rPr>
                <w:color w:val="000000"/>
              </w:rPr>
              <w:t>0.017</w:t>
            </w:r>
          </w:p>
        </w:tc>
      </w:tr>
      <w:tr w:rsidR="002F6C1D" w:rsidRPr="00311CE5" w14:paraId="3E617239" w14:textId="77777777" w:rsidTr="00631DA0">
        <w:tc>
          <w:tcPr>
            <w:tcW w:w="3432" w:type="dxa"/>
            <w:vAlign w:val="center"/>
          </w:tcPr>
          <w:p w14:paraId="492591D1" w14:textId="41706E5E" w:rsidR="002F6C1D" w:rsidRPr="002F6C1D" w:rsidRDefault="002F6C1D" w:rsidP="002F6C1D">
            <w:pPr>
              <w:autoSpaceDE w:val="0"/>
              <w:autoSpaceDN w:val="0"/>
              <w:adjustRightInd w:val="0"/>
              <w:rPr>
                <w:color w:val="000000"/>
              </w:rPr>
            </w:pPr>
            <w:r w:rsidRPr="002F6C1D">
              <w:t>Palo Alto, City of</w:t>
            </w:r>
          </w:p>
        </w:tc>
        <w:tc>
          <w:tcPr>
            <w:tcW w:w="3432" w:type="dxa"/>
          </w:tcPr>
          <w:p w14:paraId="4157CB94" w14:textId="77777777" w:rsidR="002F6C1D" w:rsidRPr="00311CE5" w:rsidRDefault="002F6C1D" w:rsidP="002F6C1D">
            <w:pPr>
              <w:autoSpaceDE w:val="0"/>
              <w:autoSpaceDN w:val="0"/>
              <w:adjustRightInd w:val="0"/>
              <w:jc w:val="center"/>
              <w:rPr>
                <w:color w:val="000000"/>
              </w:rPr>
            </w:pPr>
            <w:r w:rsidRPr="00311CE5">
              <w:rPr>
                <w:color w:val="000000"/>
              </w:rPr>
              <w:t>0.00039</w:t>
            </w:r>
          </w:p>
        </w:tc>
        <w:tc>
          <w:tcPr>
            <w:tcW w:w="3594" w:type="dxa"/>
            <w:vAlign w:val="center"/>
          </w:tcPr>
          <w:p w14:paraId="6029CB19" w14:textId="77777777" w:rsidR="002F6C1D" w:rsidRPr="00311CE5" w:rsidRDefault="002F6C1D" w:rsidP="002F6C1D">
            <w:pPr>
              <w:autoSpaceDE w:val="0"/>
              <w:autoSpaceDN w:val="0"/>
              <w:adjustRightInd w:val="0"/>
              <w:jc w:val="center"/>
              <w:rPr>
                <w:color w:val="000000"/>
              </w:rPr>
            </w:pPr>
            <w:r w:rsidRPr="00311CE5">
              <w:rPr>
                <w:color w:val="000000"/>
              </w:rPr>
              <w:t>0.00049</w:t>
            </w:r>
          </w:p>
        </w:tc>
      </w:tr>
      <w:tr w:rsidR="002F6C1D" w:rsidRPr="00311CE5" w14:paraId="623454E3" w14:textId="77777777" w:rsidTr="00631DA0">
        <w:tc>
          <w:tcPr>
            <w:tcW w:w="3432" w:type="dxa"/>
            <w:vAlign w:val="center"/>
          </w:tcPr>
          <w:p w14:paraId="3B67BD03" w14:textId="6599279C" w:rsidR="002F6C1D" w:rsidRPr="002F6C1D" w:rsidRDefault="002F6C1D" w:rsidP="002F6C1D">
            <w:pPr>
              <w:autoSpaceDE w:val="0"/>
              <w:autoSpaceDN w:val="0"/>
              <w:adjustRightInd w:val="0"/>
              <w:rPr>
                <w:color w:val="000000"/>
              </w:rPr>
            </w:pPr>
            <w:r w:rsidRPr="002F6C1D">
              <w:t>Petaluma, City of</w:t>
            </w:r>
          </w:p>
        </w:tc>
        <w:tc>
          <w:tcPr>
            <w:tcW w:w="3432" w:type="dxa"/>
          </w:tcPr>
          <w:p w14:paraId="15CB00CC" w14:textId="77777777" w:rsidR="002F6C1D" w:rsidRPr="00311CE5" w:rsidRDefault="002F6C1D" w:rsidP="002F6C1D">
            <w:pPr>
              <w:autoSpaceDE w:val="0"/>
              <w:autoSpaceDN w:val="0"/>
              <w:adjustRightInd w:val="0"/>
              <w:jc w:val="center"/>
              <w:rPr>
                <w:color w:val="000000"/>
              </w:rPr>
            </w:pPr>
            <w:r w:rsidRPr="00311CE5">
              <w:rPr>
                <w:color w:val="000000"/>
              </w:rPr>
              <w:t>0.012</w:t>
            </w:r>
          </w:p>
        </w:tc>
        <w:tc>
          <w:tcPr>
            <w:tcW w:w="3594" w:type="dxa"/>
            <w:vAlign w:val="center"/>
          </w:tcPr>
          <w:p w14:paraId="27EA4A62" w14:textId="77777777" w:rsidR="002F6C1D" w:rsidRPr="00311CE5" w:rsidRDefault="002F6C1D" w:rsidP="002F6C1D">
            <w:pPr>
              <w:autoSpaceDE w:val="0"/>
              <w:autoSpaceDN w:val="0"/>
              <w:adjustRightInd w:val="0"/>
              <w:jc w:val="center"/>
              <w:rPr>
                <w:color w:val="000000"/>
              </w:rPr>
            </w:pPr>
            <w:r w:rsidRPr="00311CE5">
              <w:rPr>
                <w:color w:val="000000"/>
              </w:rPr>
              <w:t>0.017</w:t>
            </w:r>
          </w:p>
        </w:tc>
      </w:tr>
      <w:tr w:rsidR="002F6C1D" w:rsidRPr="00311CE5" w14:paraId="57DD42E2" w14:textId="77777777" w:rsidTr="00631DA0">
        <w:tc>
          <w:tcPr>
            <w:tcW w:w="3432" w:type="dxa"/>
            <w:vAlign w:val="center"/>
          </w:tcPr>
          <w:p w14:paraId="0CA966A7" w14:textId="4A76E72A" w:rsidR="002F6C1D" w:rsidRPr="002F6C1D" w:rsidRDefault="002F6C1D" w:rsidP="002F6C1D">
            <w:pPr>
              <w:autoSpaceDE w:val="0"/>
              <w:autoSpaceDN w:val="0"/>
              <w:adjustRightInd w:val="0"/>
              <w:rPr>
                <w:color w:val="000000"/>
              </w:rPr>
            </w:pPr>
            <w:r w:rsidRPr="002F6C1D">
              <w:t>Pinole, City of</w:t>
            </w:r>
          </w:p>
        </w:tc>
        <w:tc>
          <w:tcPr>
            <w:tcW w:w="3432" w:type="dxa"/>
          </w:tcPr>
          <w:p w14:paraId="59D3D481" w14:textId="77777777" w:rsidR="002F6C1D" w:rsidRPr="00311CE5" w:rsidRDefault="002F6C1D" w:rsidP="002F6C1D">
            <w:pPr>
              <w:autoSpaceDE w:val="0"/>
              <w:autoSpaceDN w:val="0"/>
              <w:adjustRightInd w:val="0"/>
              <w:jc w:val="center"/>
              <w:rPr>
                <w:color w:val="000000"/>
              </w:rPr>
            </w:pPr>
            <w:r w:rsidRPr="00311CE5">
              <w:rPr>
                <w:color w:val="000000"/>
              </w:rPr>
              <w:t>0.012</w:t>
            </w:r>
          </w:p>
        </w:tc>
        <w:tc>
          <w:tcPr>
            <w:tcW w:w="3594" w:type="dxa"/>
            <w:vAlign w:val="center"/>
          </w:tcPr>
          <w:p w14:paraId="2E8C4FC7" w14:textId="77777777" w:rsidR="002F6C1D" w:rsidRPr="00311CE5" w:rsidRDefault="002F6C1D" w:rsidP="002F6C1D">
            <w:pPr>
              <w:autoSpaceDE w:val="0"/>
              <w:autoSpaceDN w:val="0"/>
              <w:adjustRightInd w:val="0"/>
              <w:jc w:val="center"/>
              <w:rPr>
                <w:color w:val="000000"/>
              </w:rPr>
            </w:pPr>
            <w:r w:rsidRPr="00311CE5">
              <w:rPr>
                <w:color w:val="000000"/>
              </w:rPr>
              <w:t>0.017</w:t>
            </w:r>
          </w:p>
        </w:tc>
      </w:tr>
      <w:tr w:rsidR="002F6C1D" w:rsidRPr="00311CE5" w14:paraId="4FB87D58" w14:textId="77777777" w:rsidTr="00631DA0">
        <w:tc>
          <w:tcPr>
            <w:tcW w:w="3432" w:type="dxa"/>
            <w:vAlign w:val="center"/>
          </w:tcPr>
          <w:p w14:paraId="5E5BBDC7" w14:textId="605E0CC8" w:rsidR="002F6C1D" w:rsidRPr="002F6C1D" w:rsidRDefault="002F6C1D" w:rsidP="002F6C1D">
            <w:pPr>
              <w:autoSpaceDE w:val="0"/>
              <w:autoSpaceDN w:val="0"/>
              <w:adjustRightInd w:val="0"/>
              <w:rPr>
                <w:color w:val="000000"/>
              </w:rPr>
            </w:pPr>
            <w:r w:rsidRPr="002F6C1D">
              <w:t>Rodeo Sanitary District</w:t>
            </w:r>
          </w:p>
        </w:tc>
        <w:tc>
          <w:tcPr>
            <w:tcW w:w="3432" w:type="dxa"/>
          </w:tcPr>
          <w:p w14:paraId="008C67CB" w14:textId="77777777" w:rsidR="002F6C1D" w:rsidRPr="00311CE5" w:rsidRDefault="002F6C1D" w:rsidP="002F6C1D">
            <w:pPr>
              <w:autoSpaceDE w:val="0"/>
              <w:autoSpaceDN w:val="0"/>
              <w:adjustRightInd w:val="0"/>
              <w:jc w:val="center"/>
              <w:rPr>
                <w:color w:val="000000"/>
              </w:rPr>
            </w:pPr>
            <w:r w:rsidRPr="00311CE5">
              <w:rPr>
                <w:color w:val="000000"/>
              </w:rPr>
              <w:t>0.012</w:t>
            </w:r>
          </w:p>
        </w:tc>
        <w:tc>
          <w:tcPr>
            <w:tcW w:w="3594" w:type="dxa"/>
            <w:vAlign w:val="center"/>
          </w:tcPr>
          <w:p w14:paraId="25768AD3" w14:textId="77777777" w:rsidR="002F6C1D" w:rsidRPr="00311CE5" w:rsidRDefault="002F6C1D" w:rsidP="002F6C1D">
            <w:pPr>
              <w:autoSpaceDE w:val="0"/>
              <w:autoSpaceDN w:val="0"/>
              <w:adjustRightInd w:val="0"/>
              <w:jc w:val="center"/>
              <w:rPr>
                <w:color w:val="000000"/>
              </w:rPr>
            </w:pPr>
            <w:r w:rsidRPr="00311CE5">
              <w:rPr>
                <w:color w:val="000000"/>
              </w:rPr>
              <w:t>0.017</w:t>
            </w:r>
          </w:p>
        </w:tc>
      </w:tr>
      <w:tr w:rsidR="002F6C1D" w:rsidRPr="00311CE5" w14:paraId="39F12B19" w14:textId="77777777" w:rsidTr="00631DA0">
        <w:tc>
          <w:tcPr>
            <w:tcW w:w="3432" w:type="dxa"/>
            <w:vAlign w:val="center"/>
          </w:tcPr>
          <w:p w14:paraId="73AD8340" w14:textId="616DF13B" w:rsidR="002F6C1D" w:rsidRPr="002F6C1D" w:rsidRDefault="002F6C1D" w:rsidP="002F6C1D">
            <w:pPr>
              <w:autoSpaceDE w:val="0"/>
              <w:autoSpaceDN w:val="0"/>
              <w:adjustRightInd w:val="0"/>
              <w:rPr>
                <w:color w:val="000000"/>
              </w:rPr>
            </w:pPr>
            <w:r w:rsidRPr="002F6C1D">
              <w:t>Saint Helena, City of</w:t>
            </w:r>
          </w:p>
        </w:tc>
        <w:tc>
          <w:tcPr>
            <w:tcW w:w="3432" w:type="dxa"/>
          </w:tcPr>
          <w:p w14:paraId="62913485" w14:textId="77777777" w:rsidR="002F6C1D" w:rsidRPr="00311CE5" w:rsidRDefault="002F6C1D" w:rsidP="002F6C1D">
            <w:pPr>
              <w:autoSpaceDE w:val="0"/>
              <w:autoSpaceDN w:val="0"/>
              <w:adjustRightInd w:val="0"/>
              <w:jc w:val="center"/>
              <w:rPr>
                <w:color w:val="000000"/>
              </w:rPr>
            </w:pPr>
            <w:r w:rsidRPr="00311CE5">
              <w:rPr>
                <w:color w:val="000000"/>
              </w:rPr>
              <w:t>0.012</w:t>
            </w:r>
          </w:p>
        </w:tc>
        <w:tc>
          <w:tcPr>
            <w:tcW w:w="3594" w:type="dxa"/>
            <w:vAlign w:val="center"/>
          </w:tcPr>
          <w:p w14:paraId="7798BF56" w14:textId="77777777" w:rsidR="002F6C1D" w:rsidRPr="00311CE5" w:rsidRDefault="002F6C1D" w:rsidP="002F6C1D">
            <w:pPr>
              <w:autoSpaceDE w:val="0"/>
              <w:autoSpaceDN w:val="0"/>
              <w:adjustRightInd w:val="0"/>
              <w:jc w:val="center"/>
              <w:rPr>
                <w:color w:val="000000"/>
              </w:rPr>
            </w:pPr>
            <w:r w:rsidRPr="00311CE5">
              <w:rPr>
                <w:color w:val="000000"/>
              </w:rPr>
              <w:t>0.017</w:t>
            </w:r>
          </w:p>
        </w:tc>
      </w:tr>
      <w:tr w:rsidR="002F6C1D" w:rsidRPr="00311CE5" w14:paraId="4C31FE3B" w14:textId="77777777" w:rsidTr="00631DA0">
        <w:tc>
          <w:tcPr>
            <w:tcW w:w="3432" w:type="dxa"/>
            <w:vAlign w:val="center"/>
          </w:tcPr>
          <w:p w14:paraId="740F2470" w14:textId="1FE66513" w:rsidR="002F6C1D" w:rsidRPr="002F6C1D" w:rsidRDefault="00684EE0" w:rsidP="002F6C1D">
            <w:pPr>
              <w:autoSpaceDE w:val="0"/>
              <w:autoSpaceDN w:val="0"/>
              <w:adjustRightInd w:val="0"/>
              <w:rPr>
                <w:color w:val="000000"/>
              </w:rPr>
            </w:pPr>
            <w:r w:rsidRPr="005465D4">
              <w:t>San Francisco</w:t>
            </w:r>
            <w:r>
              <w:t xml:space="preserve"> (San Francisco International Airport)</w:t>
            </w:r>
            <w:r w:rsidRPr="005465D4">
              <w:t>, City and County of</w:t>
            </w:r>
          </w:p>
        </w:tc>
        <w:tc>
          <w:tcPr>
            <w:tcW w:w="3432" w:type="dxa"/>
            <w:vAlign w:val="center"/>
          </w:tcPr>
          <w:p w14:paraId="03F5CC09" w14:textId="77777777" w:rsidR="002F6C1D" w:rsidRPr="00311CE5" w:rsidRDefault="002F6C1D" w:rsidP="002F6C1D">
            <w:pPr>
              <w:autoSpaceDE w:val="0"/>
              <w:autoSpaceDN w:val="0"/>
              <w:adjustRightInd w:val="0"/>
              <w:jc w:val="center"/>
              <w:rPr>
                <w:color w:val="000000"/>
              </w:rPr>
            </w:pPr>
            <w:r w:rsidRPr="00311CE5">
              <w:rPr>
                <w:color w:val="000000"/>
              </w:rPr>
              <w:t>0.012</w:t>
            </w:r>
          </w:p>
        </w:tc>
        <w:tc>
          <w:tcPr>
            <w:tcW w:w="3594" w:type="dxa"/>
            <w:vAlign w:val="center"/>
          </w:tcPr>
          <w:p w14:paraId="07A125C0" w14:textId="77777777" w:rsidR="002F6C1D" w:rsidRPr="00311CE5" w:rsidRDefault="002F6C1D" w:rsidP="002F6C1D">
            <w:pPr>
              <w:autoSpaceDE w:val="0"/>
              <w:autoSpaceDN w:val="0"/>
              <w:adjustRightInd w:val="0"/>
              <w:jc w:val="center"/>
              <w:rPr>
                <w:color w:val="000000"/>
              </w:rPr>
            </w:pPr>
            <w:r w:rsidRPr="00311CE5">
              <w:rPr>
                <w:color w:val="000000"/>
              </w:rPr>
              <w:t>0.017</w:t>
            </w:r>
          </w:p>
        </w:tc>
      </w:tr>
      <w:tr w:rsidR="002F6C1D" w:rsidRPr="00311CE5" w14:paraId="28527D93" w14:textId="77777777" w:rsidTr="00631DA0">
        <w:tc>
          <w:tcPr>
            <w:tcW w:w="3432" w:type="dxa"/>
            <w:vAlign w:val="center"/>
          </w:tcPr>
          <w:p w14:paraId="34F30237" w14:textId="3A72649C" w:rsidR="002F6C1D" w:rsidRPr="002F6C1D" w:rsidRDefault="002F6C1D" w:rsidP="002F6C1D">
            <w:pPr>
              <w:autoSpaceDE w:val="0"/>
              <w:autoSpaceDN w:val="0"/>
              <w:adjustRightInd w:val="0"/>
              <w:rPr>
                <w:color w:val="000000"/>
              </w:rPr>
            </w:pPr>
            <w:r w:rsidRPr="002F6C1D">
              <w:t>San Francisco (Southeast Plant), City and County of</w:t>
            </w:r>
          </w:p>
        </w:tc>
        <w:tc>
          <w:tcPr>
            <w:tcW w:w="3432" w:type="dxa"/>
          </w:tcPr>
          <w:p w14:paraId="69A8B738" w14:textId="77777777" w:rsidR="002F6C1D" w:rsidRPr="00311CE5" w:rsidRDefault="002F6C1D" w:rsidP="002F6C1D">
            <w:pPr>
              <w:autoSpaceDE w:val="0"/>
              <w:autoSpaceDN w:val="0"/>
              <w:adjustRightInd w:val="0"/>
              <w:spacing w:before="120"/>
              <w:jc w:val="center"/>
              <w:rPr>
                <w:color w:val="000000"/>
              </w:rPr>
            </w:pPr>
            <w:r w:rsidRPr="00311CE5">
              <w:rPr>
                <w:color w:val="000000"/>
              </w:rPr>
              <w:t>0.012</w:t>
            </w:r>
          </w:p>
        </w:tc>
        <w:tc>
          <w:tcPr>
            <w:tcW w:w="3594" w:type="dxa"/>
            <w:vAlign w:val="center"/>
          </w:tcPr>
          <w:p w14:paraId="0889C4E0" w14:textId="77777777" w:rsidR="002F6C1D" w:rsidRPr="00311CE5" w:rsidRDefault="002F6C1D" w:rsidP="002F6C1D">
            <w:pPr>
              <w:autoSpaceDE w:val="0"/>
              <w:autoSpaceDN w:val="0"/>
              <w:adjustRightInd w:val="0"/>
              <w:jc w:val="center"/>
              <w:rPr>
                <w:color w:val="000000"/>
              </w:rPr>
            </w:pPr>
            <w:r w:rsidRPr="00311CE5">
              <w:rPr>
                <w:color w:val="000000"/>
              </w:rPr>
              <w:t>0.017</w:t>
            </w:r>
          </w:p>
        </w:tc>
      </w:tr>
      <w:tr w:rsidR="002F6C1D" w:rsidRPr="00311CE5" w14:paraId="541DAEFF" w14:textId="77777777" w:rsidTr="00631DA0">
        <w:tc>
          <w:tcPr>
            <w:tcW w:w="3432" w:type="dxa"/>
            <w:vAlign w:val="center"/>
          </w:tcPr>
          <w:p w14:paraId="7FA82CB7" w14:textId="18E99031" w:rsidR="002F6C1D" w:rsidRPr="002F6C1D" w:rsidRDefault="00684EE0" w:rsidP="002F6C1D">
            <w:pPr>
              <w:autoSpaceDE w:val="0"/>
              <w:autoSpaceDN w:val="0"/>
              <w:adjustRightInd w:val="0"/>
              <w:rPr>
                <w:color w:val="000000"/>
              </w:rPr>
            </w:pPr>
            <w:r>
              <w:t xml:space="preserve">San Jose and </w:t>
            </w:r>
            <w:r w:rsidRPr="007F4001">
              <w:t>Santa Clara, Cities of</w:t>
            </w:r>
          </w:p>
        </w:tc>
        <w:tc>
          <w:tcPr>
            <w:tcW w:w="3432" w:type="dxa"/>
          </w:tcPr>
          <w:p w14:paraId="71C87126" w14:textId="77777777" w:rsidR="002F6C1D" w:rsidRPr="00311CE5" w:rsidRDefault="002F6C1D" w:rsidP="002F6C1D">
            <w:pPr>
              <w:autoSpaceDE w:val="0"/>
              <w:autoSpaceDN w:val="0"/>
              <w:adjustRightInd w:val="0"/>
              <w:jc w:val="center"/>
              <w:rPr>
                <w:color w:val="000000"/>
              </w:rPr>
            </w:pPr>
            <w:r w:rsidRPr="00311CE5">
              <w:rPr>
                <w:color w:val="000000"/>
              </w:rPr>
              <w:t>0.00039</w:t>
            </w:r>
          </w:p>
        </w:tc>
        <w:tc>
          <w:tcPr>
            <w:tcW w:w="3594" w:type="dxa"/>
            <w:vAlign w:val="center"/>
          </w:tcPr>
          <w:p w14:paraId="31A9A4A2" w14:textId="77777777" w:rsidR="002F6C1D" w:rsidRPr="00311CE5" w:rsidRDefault="002F6C1D" w:rsidP="002F6C1D">
            <w:pPr>
              <w:autoSpaceDE w:val="0"/>
              <w:autoSpaceDN w:val="0"/>
              <w:adjustRightInd w:val="0"/>
              <w:jc w:val="center"/>
              <w:rPr>
                <w:color w:val="000000"/>
              </w:rPr>
            </w:pPr>
            <w:r w:rsidRPr="00311CE5">
              <w:rPr>
                <w:color w:val="000000"/>
              </w:rPr>
              <w:t>0.00049</w:t>
            </w:r>
          </w:p>
        </w:tc>
      </w:tr>
      <w:tr w:rsidR="002F6C1D" w:rsidRPr="00311CE5" w14:paraId="4F281A28" w14:textId="77777777" w:rsidTr="00631DA0">
        <w:tc>
          <w:tcPr>
            <w:tcW w:w="3432" w:type="dxa"/>
            <w:vAlign w:val="center"/>
          </w:tcPr>
          <w:p w14:paraId="11CF45CE" w14:textId="723CA775" w:rsidR="002F6C1D" w:rsidRPr="002F6C1D" w:rsidRDefault="002F6C1D" w:rsidP="002F6C1D">
            <w:pPr>
              <w:autoSpaceDE w:val="0"/>
              <w:autoSpaceDN w:val="0"/>
              <w:adjustRightInd w:val="0"/>
              <w:rPr>
                <w:color w:val="000000"/>
              </w:rPr>
            </w:pPr>
            <w:r w:rsidRPr="002F6C1D">
              <w:t>San Mateo, City of</w:t>
            </w:r>
          </w:p>
        </w:tc>
        <w:tc>
          <w:tcPr>
            <w:tcW w:w="3432" w:type="dxa"/>
          </w:tcPr>
          <w:p w14:paraId="57B5A928" w14:textId="77777777" w:rsidR="002F6C1D" w:rsidRPr="00311CE5" w:rsidRDefault="002F6C1D" w:rsidP="002F6C1D">
            <w:pPr>
              <w:autoSpaceDE w:val="0"/>
              <w:autoSpaceDN w:val="0"/>
              <w:adjustRightInd w:val="0"/>
              <w:jc w:val="center"/>
              <w:rPr>
                <w:color w:val="000000"/>
              </w:rPr>
            </w:pPr>
            <w:r w:rsidRPr="00311CE5">
              <w:rPr>
                <w:color w:val="000000"/>
              </w:rPr>
              <w:t>0.012</w:t>
            </w:r>
          </w:p>
        </w:tc>
        <w:tc>
          <w:tcPr>
            <w:tcW w:w="3594" w:type="dxa"/>
            <w:vAlign w:val="center"/>
          </w:tcPr>
          <w:p w14:paraId="6F273BA5" w14:textId="77777777" w:rsidR="002F6C1D" w:rsidRPr="00311CE5" w:rsidRDefault="002F6C1D" w:rsidP="002F6C1D">
            <w:pPr>
              <w:autoSpaceDE w:val="0"/>
              <w:autoSpaceDN w:val="0"/>
              <w:adjustRightInd w:val="0"/>
              <w:jc w:val="center"/>
              <w:rPr>
                <w:color w:val="000000"/>
              </w:rPr>
            </w:pPr>
            <w:r w:rsidRPr="00311CE5">
              <w:rPr>
                <w:color w:val="000000"/>
              </w:rPr>
              <w:t>0.017</w:t>
            </w:r>
          </w:p>
        </w:tc>
      </w:tr>
      <w:tr w:rsidR="002F6C1D" w:rsidRPr="00311CE5" w14:paraId="6D6FD74E" w14:textId="77777777" w:rsidTr="00631DA0">
        <w:tc>
          <w:tcPr>
            <w:tcW w:w="3432" w:type="dxa"/>
            <w:vAlign w:val="center"/>
          </w:tcPr>
          <w:p w14:paraId="50805C0D" w14:textId="0B06CA5F" w:rsidR="002F6C1D" w:rsidRPr="002F6C1D" w:rsidRDefault="002F6C1D" w:rsidP="002F6C1D">
            <w:pPr>
              <w:autoSpaceDE w:val="0"/>
              <w:autoSpaceDN w:val="0"/>
              <w:adjustRightInd w:val="0"/>
              <w:rPr>
                <w:color w:val="000000"/>
              </w:rPr>
            </w:pPr>
            <w:r w:rsidRPr="002F6C1D">
              <w:t>Sausalito-Marin City Sanitary District</w:t>
            </w:r>
          </w:p>
        </w:tc>
        <w:tc>
          <w:tcPr>
            <w:tcW w:w="3432" w:type="dxa"/>
          </w:tcPr>
          <w:p w14:paraId="675851A9" w14:textId="77777777" w:rsidR="002F6C1D" w:rsidRPr="00311CE5" w:rsidRDefault="002F6C1D" w:rsidP="002F6C1D">
            <w:pPr>
              <w:autoSpaceDE w:val="0"/>
              <w:autoSpaceDN w:val="0"/>
              <w:adjustRightInd w:val="0"/>
              <w:spacing w:before="120"/>
              <w:jc w:val="center"/>
              <w:rPr>
                <w:color w:val="000000"/>
              </w:rPr>
            </w:pPr>
            <w:r w:rsidRPr="00311CE5">
              <w:rPr>
                <w:color w:val="000000"/>
              </w:rPr>
              <w:t>0.012</w:t>
            </w:r>
          </w:p>
        </w:tc>
        <w:tc>
          <w:tcPr>
            <w:tcW w:w="3594" w:type="dxa"/>
            <w:vAlign w:val="center"/>
          </w:tcPr>
          <w:p w14:paraId="4241B2A9" w14:textId="77777777" w:rsidR="002F6C1D" w:rsidRPr="00311CE5" w:rsidRDefault="002F6C1D" w:rsidP="002F6C1D">
            <w:pPr>
              <w:autoSpaceDE w:val="0"/>
              <w:autoSpaceDN w:val="0"/>
              <w:adjustRightInd w:val="0"/>
              <w:jc w:val="center"/>
              <w:rPr>
                <w:color w:val="000000"/>
              </w:rPr>
            </w:pPr>
            <w:r w:rsidRPr="00311CE5">
              <w:rPr>
                <w:color w:val="000000"/>
              </w:rPr>
              <w:t>0.017</w:t>
            </w:r>
          </w:p>
        </w:tc>
      </w:tr>
      <w:tr w:rsidR="002F6C1D" w:rsidRPr="00311CE5" w14:paraId="12A64BD1" w14:textId="77777777" w:rsidTr="00631DA0">
        <w:tc>
          <w:tcPr>
            <w:tcW w:w="3432" w:type="dxa"/>
            <w:vAlign w:val="center"/>
          </w:tcPr>
          <w:p w14:paraId="76A3CA56" w14:textId="533FDBDA" w:rsidR="002F6C1D" w:rsidRPr="002F6C1D" w:rsidRDefault="002F6C1D" w:rsidP="002F6C1D">
            <w:pPr>
              <w:autoSpaceDE w:val="0"/>
              <w:autoSpaceDN w:val="0"/>
              <w:adjustRightInd w:val="0"/>
              <w:rPr>
                <w:color w:val="000000"/>
              </w:rPr>
            </w:pPr>
            <w:r w:rsidRPr="002F6C1D">
              <w:t>Sewerage Agency of Southern Marin</w:t>
            </w:r>
          </w:p>
        </w:tc>
        <w:tc>
          <w:tcPr>
            <w:tcW w:w="3432" w:type="dxa"/>
          </w:tcPr>
          <w:p w14:paraId="049640F4" w14:textId="77777777" w:rsidR="002F6C1D" w:rsidRPr="00311CE5" w:rsidRDefault="002F6C1D" w:rsidP="002F6C1D">
            <w:pPr>
              <w:autoSpaceDE w:val="0"/>
              <w:autoSpaceDN w:val="0"/>
              <w:adjustRightInd w:val="0"/>
              <w:spacing w:before="120"/>
              <w:jc w:val="center"/>
              <w:rPr>
                <w:color w:val="000000"/>
              </w:rPr>
            </w:pPr>
            <w:r w:rsidRPr="00311CE5">
              <w:rPr>
                <w:color w:val="000000"/>
              </w:rPr>
              <w:t>0.012</w:t>
            </w:r>
          </w:p>
        </w:tc>
        <w:tc>
          <w:tcPr>
            <w:tcW w:w="3594" w:type="dxa"/>
            <w:vAlign w:val="center"/>
          </w:tcPr>
          <w:p w14:paraId="13467FEC" w14:textId="77777777" w:rsidR="002F6C1D" w:rsidRPr="00311CE5" w:rsidRDefault="002F6C1D" w:rsidP="002F6C1D">
            <w:pPr>
              <w:autoSpaceDE w:val="0"/>
              <w:autoSpaceDN w:val="0"/>
              <w:adjustRightInd w:val="0"/>
              <w:jc w:val="center"/>
              <w:rPr>
                <w:color w:val="000000"/>
              </w:rPr>
            </w:pPr>
            <w:r w:rsidRPr="00311CE5">
              <w:rPr>
                <w:color w:val="000000"/>
              </w:rPr>
              <w:t>0.017</w:t>
            </w:r>
          </w:p>
        </w:tc>
      </w:tr>
      <w:tr w:rsidR="00684EE0" w:rsidRPr="00311CE5" w14:paraId="331CBE0A" w14:textId="77777777" w:rsidTr="00631DA0">
        <w:tc>
          <w:tcPr>
            <w:tcW w:w="3432" w:type="dxa"/>
            <w:vAlign w:val="center"/>
          </w:tcPr>
          <w:p w14:paraId="15667C89" w14:textId="6BCE3B54" w:rsidR="00684EE0" w:rsidRPr="002F6C1D" w:rsidRDefault="00684EE0" w:rsidP="00684EE0">
            <w:pPr>
              <w:autoSpaceDE w:val="0"/>
              <w:autoSpaceDN w:val="0"/>
              <w:adjustRightInd w:val="0"/>
            </w:pPr>
            <w:r>
              <w:t>Silicon Valley Clean Water</w:t>
            </w:r>
          </w:p>
        </w:tc>
        <w:tc>
          <w:tcPr>
            <w:tcW w:w="3432" w:type="dxa"/>
          </w:tcPr>
          <w:p w14:paraId="17C43F3B" w14:textId="61C6F741" w:rsidR="00684EE0" w:rsidRPr="00311CE5" w:rsidRDefault="00684EE0" w:rsidP="00684EE0">
            <w:pPr>
              <w:autoSpaceDE w:val="0"/>
              <w:autoSpaceDN w:val="0"/>
              <w:adjustRightInd w:val="0"/>
              <w:spacing w:before="120"/>
              <w:jc w:val="center"/>
              <w:rPr>
                <w:color w:val="000000"/>
              </w:rPr>
            </w:pPr>
            <w:r w:rsidRPr="00311CE5">
              <w:rPr>
                <w:color w:val="000000"/>
              </w:rPr>
              <w:t>0.012</w:t>
            </w:r>
          </w:p>
        </w:tc>
        <w:tc>
          <w:tcPr>
            <w:tcW w:w="3594" w:type="dxa"/>
            <w:vAlign w:val="center"/>
          </w:tcPr>
          <w:p w14:paraId="5EBA7B65" w14:textId="29086EA1" w:rsidR="00684EE0" w:rsidRPr="00311CE5" w:rsidRDefault="00684EE0" w:rsidP="00684EE0">
            <w:pPr>
              <w:autoSpaceDE w:val="0"/>
              <w:autoSpaceDN w:val="0"/>
              <w:adjustRightInd w:val="0"/>
              <w:jc w:val="center"/>
              <w:rPr>
                <w:color w:val="000000"/>
              </w:rPr>
            </w:pPr>
            <w:r w:rsidRPr="00311CE5">
              <w:rPr>
                <w:color w:val="000000"/>
              </w:rPr>
              <w:t>0.017</w:t>
            </w:r>
          </w:p>
        </w:tc>
      </w:tr>
      <w:tr w:rsidR="00684EE0" w:rsidRPr="00311CE5" w14:paraId="12AFAA05" w14:textId="77777777" w:rsidTr="00631DA0">
        <w:tc>
          <w:tcPr>
            <w:tcW w:w="3432" w:type="dxa"/>
            <w:vAlign w:val="center"/>
          </w:tcPr>
          <w:p w14:paraId="10B7448E" w14:textId="231ECF55" w:rsidR="00684EE0" w:rsidRPr="002F6C1D" w:rsidRDefault="00684EE0" w:rsidP="00684EE0">
            <w:pPr>
              <w:autoSpaceDE w:val="0"/>
              <w:autoSpaceDN w:val="0"/>
              <w:adjustRightInd w:val="0"/>
              <w:rPr>
                <w:color w:val="000000"/>
              </w:rPr>
            </w:pPr>
            <w:r w:rsidRPr="002F6C1D">
              <w:t>Sonoma Valley County Sanitary District</w:t>
            </w:r>
          </w:p>
        </w:tc>
        <w:tc>
          <w:tcPr>
            <w:tcW w:w="3432" w:type="dxa"/>
          </w:tcPr>
          <w:p w14:paraId="61CDB4D4" w14:textId="77777777" w:rsidR="00684EE0" w:rsidRPr="00311CE5" w:rsidRDefault="00684EE0" w:rsidP="00684EE0">
            <w:pPr>
              <w:autoSpaceDE w:val="0"/>
              <w:autoSpaceDN w:val="0"/>
              <w:adjustRightInd w:val="0"/>
              <w:spacing w:before="120"/>
              <w:jc w:val="center"/>
              <w:rPr>
                <w:color w:val="000000"/>
              </w:rPr>
            </w:pPr>
            <w:r w:rsidRPr="00311CE5">
              <w:rPr>
                <w:color w:val="000000"/>
              </w:rPr>
              <w:t>0.012</w:t>
            </w:r>
          </w:p>
        </w:tc>
        <w:tc>
          <w:tcPr>
            <w:tcW w:w="3594" w:type="dxa"/>
            <w:vAlign w:val="center"/>
          </w:tcPr>
          <w:p w14:paraId="2B9F2087" w14:textId="77777777" w:rsidR="00684EE0" w:rsidRPr="00311CE5" w:rsidRDefault="00684EE0" w:rsidP="00684EE0">
            <w:pPr>
              <w:autoSpaceDE w:val="0"/>
              <w:autoSpaceDN w:val="0"/>
              <w:adjustRightInd w:val="0"/>
              <w:jc w:val="center"/>
              <w:rPr>
                <w:color w:val="000000"/>
              </w:rPr>
            </w:pPr>
            <w:r w:rsidRPr="00311CE5">
              <w:rPr>
                <w:color w:val="000000"/>
              </w:rPr>
              <w:t>0.017</w:t>
            </w:r>
          </w:p>
        </w:tc>
      </w:tr>
      <w:tr w:rsidR="00684EE0" w:rsidRPr="00311CE5" w14:paraId="631E0DDF" w14:textId="77777777" w:rsidTr="00631DA0">
        <w:tc>
          <w:tcPr>
            <w:tcW w:w="3432" w:type="dxa"/>
            <w:vAlign w:val="center"/>
          </w:tcPr>
          <w:p w14:paraId="048C7CCD" w14:textId="1A4D3491" w:rsidR="00684EE0" w:rsidRPr="002F6C1D" w:rsidRDefault="00684EE0" w:rsidP="00684EE0">
            <w:pPr>
              <w:autoSpaceDE w:val="0"/>
              <w:autoSpaceDN w:val="0"/>
              <w:adjustRightInd w:val="0"/>
              <w:rPr>
                <w:color w:val="000000"/>
              </w:rPr>
            </w:pPr>
            <w:r w:rsidRPr="002F6C1D">
              <w:t>South San Francisco and San Bruno, Cities of</w:t>
            </w:r>
          </w:p>
        </w:tc>
        <w:tc>
          <w:tcPr>
            <w:tcW w:w="3432" w:type="dxa"/>
          </w:tcPr>
          <w:p w14:paraId="1C9C7BEC" w14:textId="77777777" w:rsidR="00684EE0" w:rsidRPr="00311CE5" w:rsidRDefault="00684EE0" w:rsidP="00684EE0">
            <w:pPr>
              <w:autoSpaceDE w:val="0"/>
              <w:autoSpaceDN w:val="0"/>
              <w:adjustRightInd w:val="0"/>
              <w:spacing w:before="120"/>
              <w:jc w:val="center"/>
              <w:rPr>
                <w:color w:val="000000"/>
              </w:rPr>
            </w:pPr>
            <w:r w:rsidRPr="00311CE5">
              <w:rPr>
                <w:color w:val="000000"/>
              </w:rPr>
              <w:t>0.012</w:t>
            </w:r>
          </w:p>
        </w:tc>
        <w:tc>
          <w:tcPr>
            <w:tcW w:w="3594" w:type="dxa"/>
            <w:vAlign w:val="center"/>
          </w:tcPr>
          <w:p w14:paraId="3A4AD018" w14:textId="77777777" w:rsidR="00684EE0" w:rsidRPr="00311CE5" w:rsidRDefault="00684EE0" w:rsidP="00684EE0">
            <w:pPr>
              <w:autoSpaceDE w:val="0"/>
              <w:autoSpaceDN w:val="0"/>
              <w:adjustRightInd w:val="0"/>
              <w:jc w:val="center"/>
              <w:rPr>
                <w:color w:val="000000"/>
              </w:rPr>
            </w:pPr>
            <w:r w:rsidRPr="00311CE5">
              <w:rPr>
                <w:color w:val="000000"/>
              </w:rPr>
              <w:t>0.017</w:t>
            </w:r>
          </w:p>
        </w:tc>
      </w:tr>
      <w:tr w:rsidR="00684EE0" w:rsidRPr="00311CE5" w14:paraId="091AF72A" w14:textId="77777777" w:rsidTr="00631DA0">
        <w:tc>
          <w:tcPr>
            <w:tcW w:w="3432" w:type="dxa"/>
            <w:vAlign w:val="center"/>
          </w:tcPr>
          <w:p w14:paraId="13070619" w14:textId="058E4C79" w:rsidR="00684EE0" w:rsidRPr="002F6C1D" w:rsidRDefault="00684EE0" w:rsidP="00684EE0">
            <w:pPr>
              <w:autoSpaceDE w:val="0"/>
              <w:autoSpaceDN w:val="0"/>
              <w:adjustRightInd w:val="0"/>
              <w:rPr>
                <w:color w:val="000000"/>
              </w:rPr>
            </w:pPr>
            <w:r w:rsidRPr="002F6C1D">
              <w:t>Sunnyvale, City of</w:t>
            </w:r>
          </w:p>
        </w:tc>
        <w:tc>
          <w:tcPr>
            <w:tcW w:w="3432" w:type="dxa"/>
          </w:tcPr>
          <w:p w14:paraId="0F8197A5" w14:textId="77777777" w:rsidR="00684EE0" w:rsidRPr="00311CE5" w:rsidRDefault="00684EE0" w:rsidP="00684EE0">
            <w:pPr>
              <w:autoSpaceDE w:val="0"/>
              <w:autoSpaceDN w:val="0"/>
              <w:adjustRightInd w:val="0"/>
              <w:jc w:val="center"/>
              <w:rPr>
                <w:color w:val="000000"/>
              </w:rPr>
            </w:pPr>
            <w:r w:rsidRPr="00311CE5">
              <w:rPr>
                <w:color w:val="000000"/>
              </w:rPr>
              <w:t>0.00039</w:t>
            </w:r>
          </w:p>
        </w:tc>
        <w:tc>
          <w:tcPr>
            <w:tcW w:w="3594" w:type="dxa"/>
            <w:vAlign w:val="center"/>
          </w:tcPr>
          <w:p w14:paraId="79A34F02" w14:textId="77777777" w:rsidR="00684EE0" w:rsidRPr="00311CE5" w:rsidRDefault="00684EE0" w:rsidP="00684EE0">
            <w:pPr>
              <w:autoSpaceDE w:val="0"/>
              <w:autoSpaceDN w:val="0"/>
              <w:adjustRightInd w:val="0"/>
              <w:jc w:val="center"/>
              <w:rPr>
                <w:color w:val="000000"/>
              </w:rPr>
            </w:pPr>
            <w:r w:rsidRPr="00311CE5">
              <w:rPr>
                <w:color w:val="000000"/>
              </w:rPr>
              <w:t>0.00049</w:t>
            </w:r>
          </w:p>
        </w:tc>
      </w:tr>
      <w:tr w:rsidR="00684EE0" w:rsidRPr="00311CE5" w14:paraId="302E343D" w14:textId="77777777" w:rsidTr="00631DA0">
        <w:tc>
          <w:tcPr>
            <w:tcW w:w="3432" w:type="dxa"/>
            <w:vAlign w:val="center"/>
          </w:tcPr>
          <w:p w14:paraId="6A88CE69" w14:textId="39F8FCF9" w:rsidR="00684EE0" w:rsidRPr="002F6C1D" w:rsidRDefault="00684EE0" w:rsidP="00684EE0">
            <w:pPr>
              <w:autoSpaceDE w:val="0"/>
              <w:autoSpaceDN w:val="0"/>
              <w:adjustRightInd w:val="0"/>
              <w:rPr>
                <w:color w:val="000000"/>
              </w:rPr>
            </w:pPr>
            <w:r w:rsidRPr="002F6C1D">
              <w:t>U</w:t>
            </w:r>
            <w:r>
              <w:t xml:space="preserve">.S. </w:t>
            </w:r>
            <w:r w:rsidRPr="002F6C1D">
              <w:t>Department of Navy (Treasure Island)</w:t>
            </w:r>
          </w:p>
        </w:tc>
        <w:tc>
          <w:tcPr>
            <w:tcW w:w="3432" w:type="dxa"/>
          </w:tcPr>
          <w:p w14:paraId="1D638F47" w14:textId="77777777" w:rsidR="00684EE0" w:rsidRPr="00311CE5" w:rsidRDefault="00684EE0" w:rsidP="00684EE0">
            <w:pPr>
              <w:autoSpaceDE w:val="0"/>
              <w:autoSpaceDN w:val="0"/>
              <w:adjustRightInd w:val="0"/>
              <w:spacing w:before="120"/>
              <w:jc w:val="center"/>
              <w:rPr>
                <w:color w:val="000000"/>
              </w:rPr>
            </w:pPr>
            <w:r w:rsidRPr="00311CE5">
              <w:rPr>
                <w:color w:val="000000"/>
              </w:rPr>
              <w:t>0.012</w:t>
            </w:r>
          </w:p>
        </w:tc>
        <w:tc>
          <w:tcPr>
            <w:tcW w:w="3594" w:type="dxa"/>
            <w:vAlign w:val="center"/>
          </w:tcPr>
          <w:p w14:paraId="0F7C574F" w14:textId="77777777" w:rsidR="00684EE0" w:rsidRPr="00311CE5" w:rsidRDefault="00684EE0" w:rsidP="00684EE0">
            <w:pPr>
              <w:autoSpaceDE w:val="0"/>
              <w:autoSpaceDN w:val="0"/>
              <w:adjustRightInd w:val="0"/>
              <w:jc w:val="center"/>
              <w:rPr>
                <w:color w:val="000000"/>
              </w:rPr>
            </w:pPr>
            <w:r w:rsidRPr="00311CE5">
              <w:rPr>
                <w:color w:val="000000"/>
              </w:rPr>
              <w:t>0.017</w:t>
            </w:r>
          </w:p>
        </w:tc>
      </w:tr>
      <w:tr w:rsidR="00684EE0" w:rsidRPr="00311CE5" w14:paraId="2F649C6C" w14:textId="77777777" w:rsidTr="00631DA0">
        <w:tc>
          <w:tcPr>
            <w:tcW w:w="3432" w:type="dxa"/>
            <w:vAlign w:val="center"/>
          </w:tcPr>
          <w:p w14:paraId="7796C706" w14:textId="79318CC6" w:rsidR="00684EE0" w:rsidRPr="002F6C1D" w:rsidRDefault="00684EE0" w:rsidP="00684EE0">
            <w:pPr>
              <w:autoSpaceDE w:val="0"/>
              <w:autoSpaceDN w:val="0"/>
              <w:adjustRightInd w:val="0"/>
              <w:rPr>
                <w:color w:val="000000"/>
              </w:rPr>
            </w:pPr>
            <w:r w:rsidRPr="002F6C1D">
              <w:t>Vallejo Sanitation and Flood Control District</w:t>
            </w:r>
          </w:p>
        </w:tc>
        <w:tc>
          <w:tcPr>
            <w:tcW w:w="3432" w:type="dxa"/>
          </w:tcPr>
          <w:p w14:paraId="6E5E1A3A" w14:textId="77777777" w:rsidR="00684EE0" w:rsidRPr="00311CE5" w:rsidRDefault="00684EE0" w:rsidP="00684EE0">
            <w:pPr>
              <w:autoSpaceDE w:val="0"/>
              <w:autoSpaceDN w:val="0"/>
              <w:adjustRightInd w:val="0"/>
              <w:spacing w:before="120"/>
              <w:jc w:val="center"/>
              <w:rPr>
                <w:color w:val="000000"/>
              </w:rPr>
            </w:pPr>
            <w:r w:rsidRPr="00311CE5">
              <w:rPr>
                <w:color w:val="000000"/>
              </w:rPr>
              <w:t>0.012</w:t>
            </w:r>
          </w:p>
        </w:tc>
        <w:tc>
          <w:tcPr>
            <w:tcW w:w="3594" w:type="dxa"/>
            <w:vAlign w:val="center"/>
          </w:tcPr>
          <w:p w14:paraId="2B211663" w14:textId="77777777" w:rsidR="00684EE0" w:rsidRPr="00311CE5" w:rsidRDefault="00684EE0" w:rsidP="00684EE0">
            <w:pPr>
              <w:autoSpaceDE w:val="0"/>
              <w:autoSpaceDN w:val="0"/>
              <w:adjustRightInd w:val="0"/>
              <w:jc w:val="center"/>
              <w:rPr>
                <w:color w:val="000000"/>
              </w:rPr>
            </w:pPr>
            <w:r w:rsidRPr="00311CE5">
              <w:rPr>
                <w:color w:val="000000"/>
              </w:rPr>
              <w:t>0.017</w:t>
            </w:r>
          </w:p>
        </w:tc>
      </w:tr>
      <w:tr w:rsidR="00684EE0" w:rsidRPr="00311CE5" w14:paraId="4270E845" w14:textId="77777777" w:rsidTr="00631DA0">
        <w:tc>
          <w:tcPr>
            <w:tcW w:w="3432" w:type="dxa"/>
            <w:vAlign w:val="center"/>
          </w:tcPr>
          <w:p w14:paraId="41D1A783" w14:textId="7F2F542A" w:rsidR="00684EE0" w:rsidRPr="002F6C1D" w:rsidRDefault="00684EE0" w:rsidP="00684EE0">
            <w:pPr>
              <w:autoSpaceDE w:val="0"/>
              <w:autoSpaceDN w:val="0"/>
              <w:adjustRightInd w:val="0"/>
              <w:rPr>
                <w:color w:val="000000"/>
              </w:rPr>
            </w:pPr>
            <w:r w:rsidRPr="002F6C1D">
              <w:t xml:space="preserve">West County Agency; West County Wastewater District;  </w:t>
            </w:r>
            <w:r w:rsidRPr="002F6C1D">
              <w:rPr>
                <w:bCs/>
              </w:rPr>
              <w:t>City of Richmond; and Richmond Municipal Sewer District No. 1</w:t>
            </w:r>
          </w:p>
        </w:tc>
        <w:tc>
          <w:tcPr>
            <w:tcW w:w="3432" w:type="dxa"/>
            <w:vAlign w:val="center"/>
          </w:tcPr>
          <w:p w14:paraId="231422FC" w14:textId="77777777" w:rsidR="00684EE0" w:rsidRPr="00311CE5" w:rsidRDefault="00684EE0" w:rsidP="00684EE0">
            <w:pPr>
              <w:autoSpaceDE w:val="0"/>
              <w:autoSpaceDN w:val="0"/>
              <w:adjustRightInd w:val="0"/>
              <w:jc w:val="center"/>
              <w:rPr>
                <w:color w:val="000000"/>
              </w:rPr>
            </w:pPr>
            <w:r w:rsidRPr="00311CE5">
              <w:rPr>
                <w:color w:val="000000"/>
              </w:rPr>
              <w:t>0.012</w:t>
            </w:r>
          </w:p>
        </w:tc>
        <w:tc>
          <w:tcPr>
            <w:tcW w:w="3594" w:type="dxa"/>
            <w:vAlign w:val="center"/>
          </w:tcPr>
          <w:p w14:paraId="568EE195" w14:textId="77777777" w:rsidR="00684EE0" w:rsidRPr="00311CE5" w:rsidRDefault="00684EE0" w:rsidP="00684EE0">
            <w:pPr>
              <w:autoSpaceDE w:val="0"/>
              <w:autoSpaceDN w:val="0"/>
              <w:adjustRightInd w:val="0"/>
              <w:jc w:val="center"/>
              <w:rPr>
                <w:color w:val="000000"/>
              </w:rPr>
            </w:pPr>
            <w:r w:rsidRPr="00311CE5">
              <w:rPr>
                <w:color w:val="000000"/>
              </w:rPr>
              <w:t>0.017</w:t>
            </w:r>
          </w:p>
        </w:tc>
      </w:tr>
      <w:tr w:rsidR="00684EE0" w:rsidRPr="00311CE5" w14:paraId="796FAD61" w14:textId="77777777" w:rsidTr="00631DA0">
        <w:tc>
          <w:tcPr>
            <w:tcW w:w="3432" w:type="dxa"/>
            <w:vAlign w:val="center"/>
          </w:tcPr>
          <w:p w14:paraId="008B826D" w14:textId="46CEBADB" w:rsidR="00684EE0" w:rsidRPr="002F6C1D" w:rsidRDefault="00684EE0" w:rsidP="00684EE0">
            <w:pPr>
              <w:autoSpaceDE w:val="0"/>
              <w:autoSpaceDN w:val="0"/>
              <w:adjustRightInd w:val="0"/>
              <w:rPr>
                <w:color w:val="000000"/>
              </w:rPr>
            </w:pPr>
            <w:r w:rsidRPr="002F6C1D">
              <w:t>Yountville, Town of</w:t>
            </w:r>
          </w:p>
        </w:tc>
        <w:tc>
          <w:tcPr>
            <w:tcW w:w="3432" w:type="dxa"/>
          </w:tcPr>
          <w:p w14:paraId="03173D88" w14:textId="77777777" w:rsidR="00684EE0" w:rsidRPr="00311CE5" w:rsidRDefault="00684EE0" w:rsidP="00684EE0">
            <w:pPr>
              <w:autoSpaceDE w:val="0"/>
              <w:autoSpaceDN w:val="0"/>
              <w:adjustRightInd w:val="0"/>
              <w:jc w:val="center"/>
              <w:rPr>
                <w:color w:val="000000"/>
              </w:rPr>
            </w:pPr>
            <w:r w:rsidRPr="00311CE5">
              <w:rPr>
                <w:color w:val="000000"/>
              </w:rPr>
              <w:t>0.012</w:t>
            </w:r>
          </w:p>
        </w:tc>
        <w:tc>
          <w:tcPr>
            <w:tcW w:w="3594" w:type="dxa"/>
            <w:vAlign w:val="center"/>
          </w:tcPr>
          <w:p w14:paraId="2DA04B26" w14:textId="77777777" w:rsidR="00684EE0" w:rsidRPr="00311CE5" w:rsidRDefault="00684EE0" w:rsidP="00684EE0">
            <w:pPr>
              <w:autoSpaceDE w:val="0"/>
              <w:autoSpaceDN w:val="0"/>
              <w:adjustRightInd w:val="0"/>
              <w:jc w:val="center"/>
              <w:rPr>
                <w:color w:val="000000"/>
              </w:rPr>
            </w:pPr>
            <w:r w:rsidRPr="00311CE5">
              <w:rPr>
                <w:color w:val="000000"/>
              </w:rPr>
              <w:t>0.017</w:t>
            </w:r>
          </w:p>
        </w:tc>
      </w:tr>
    </w:tbl>
    <w:p w14:paraId="78ACCB1A" w14:textId="3AA357D1" w:rsidR="00AB3B47" w:rsidRPr="00AD16C3" w:rsidRDefault="00AB3B47" w:rsidP="00AB3B47">
      <w:pPr>
        <w:pStyle w:val="blankspacesaftertables"/>
        <w:tabs>
          <w:tab w:val="left" w:pos="540"/>
        </w:tabs>
        <w:spacing w:before="60" w:after="60"/>
        <w:rPr>
          <w:sz w:val="18"/>
          <w:szCs w:val="18"/>
          <w:u w:val="single"/>
        </w:rPr>
      </w:pPr>
      <w:r>
        <w:rPr>
          <w:sz w:val="18"/>
          <w:szCs w:val="18"/>
          <w:u w:val="single"/>
        </w:rPr>
        <w:t>Unit Abbreviation</w:t>
      </w:r>
      <w:r w:rsidRPr="00AD16C3">
        <w:rPr>
          <w:sz w:val="18"/>
          <w:szCs w:val="18"/>
          <w:u w:val="single"/>
        </w:rPr>
        <w:t>:</w:t>
      </w:r>
    </w:p>
    <w:p w14:paraId="17F89FC8" w14:textId="77777777" w:rsidR="00AB3B47" w:rsidRPr="00AD16C3" w:rsidRDefault="00AB3B47" w:rsidP="00AB3B47">
      <w:pPr>
        <w:pStyle w:val="blankspacesaftertables"/>
        <w:tabs>
          <w:tab w:val="left" w:pos="1080"/>
        </w:tabs>
        <w:rPr>
          <w:sz w:val="18"/>
          <w:szCs w:val="18"/>
        </w:rPr>
      </w:pPr>
      <w:r>
        <w:rPr>
          <w:sz w:val="18"/>
          <w:szCs w:val="18"/>
        </w:rPr>
        <w:t xml:space="preserve">µg/L </w:t>
      </w:r>
      <w:r w:rsidRPr="00AD16C3">
        <w:rPr>
          <w:sz w:val="18"/>
          <w:szCs w:val="18"/>
        </w:rPr>
        <w:t>= micrograms per liter</w:t>
      </w:r>
    </w:p>
    <w:p w14:paraId="2653993A" w14:textId="77777777" w:rsidR="006A40FD" w:rsidRDefault="006A40FD" w:rsidP="006A40FD">
      <w:pPr>
        <w:pStyle w:val="TableFootnotes"/>
        <w:spacing w:before="0" w:after="0"/>
        <w:rPr>
          <w:rFonts w:ascii="Times New Roman" w:hAnsi="Times New Roman" w:cs="Times New Roman"/>
        </w:rPr>
      </w:pPr>
    </w:p>
    <w:p w14:paraId="53E8F505" w14:textId="48B16A02" w:rsidR="006A40FD" w:rsidRDefault="006A40FD" w:rsidP="00D44854">
      <w:pPr>
        <w:pStyle w:val="H-indent5025"/>
        <w:keepNext/>
        <w:numPr>
          <w:ilvl w:val="0"/>
          <w:numId w:val="28"/>
        </w:numPr>
        <w:tabs>
          <w:tab w:val="clear" w:pos="1080"/>
          <w:tab w:val="left" w:pos="720"/>
        </w:tabs>
        <w:rPr>
          <w:rFonts w:ascii="Times New Roman" w:hAnsi="Times New Roman" w:cs="Times New Roman"/>
          <w:color w:val="000000" w:themeColor="text1"/>
        </w:rPr>
      </w:pPr>
      <w:r>
        <w:rPr>
          <w:rFonts w:ascii="Times New Roman" w:hAnsi="Times New Roman" w:cs="Times New Roman"/>
          <w:b/>
          <w:color w:val="000000" w:themeColor="text1"/>
        </w:rPr>
        <w:lastRenderedPageBreak/>
        <w:t>Industrial</w:t>
      </w:r>
      <w:r w:rsidRPr="006A40FD">
        <w:rPr>
          <w:rFonts w:ascii="Times New Roman" w:hAnsi="Times New Roman" w:cs="Times New Roman"/>
          <w:b/>
          <w:color w:val="000000" w:themeColor="text1"/>
        </w:rPr>
        <w:t xml:space="preserve"> Discharger Effluent Limitations for Mercury and PCBs. </w:t>
      </w:r>
      <w:r w:rsidRPr="006A40FD">
        <w:rPr>
          <w:rFonts w:ascii="Times New Roman" w:hAnsi="Times New Roman" w:cs="Times New Roman"/>
          <w:color w:val="000000" w:themeColor="text1"/>
        </w:rPr>
        <w:t xml:space="preserve">The Dischargers shall comply with the following mass and concentration effluent limitations </w:t>
      </w:r>
      <w:r w:rsidR="00D43498" w:rsidRPr="002A5B99">
        <w:rPr>
          <w:rFonts w:ascii="Times New Roman" w:hAnsi="Times New Roman"/>
          <w:bCs/>
          <w:color w:val="000000" w:themeColor="text1"/>
        </w:rPr>
        <w:t>at discharge points</w:t>
      </w:r>
      <w:r w:rsidR="00D43498">
        <w:rPr>
          <w:rFonts w:ascii="Times New Roman" w:hAnsi="Times New Roman"/>
          <w:bCs/>
          <w:color w:val="000000" w:themeColor="text1"/>
        </w:rPr>
        <w:t xml:space="preserve"> and monitoring locations </w:t>
      </w:r>
      <w:r w:rsidR="00D43498" w:rsidRPr="002A5B99">
        <w:rPr>
          <w:rFonts w:ascii="Times New Roman" w:hAnsi="Times New Roman"/>
          <w:bCs/>
          <w:color w:val="000000" w:themeColor="text1"/>
        </w:rPr>
        <w:t xml:space="preserve">specified in </w:t>
      </w:r>
      <w:r w:rsidR="00D43498">
        <w:rPr>
          <w:rFonts w:ascii="Times New Roman" w:hAnsi="Times New Roman"/>
          <w:bCs/>
          <w:color w:val="000000" w:themeColor="text1"/>
        </w:rPr>
        <w:t>Attachment E</w:t>
      </w:r>
      <w:r w:rsidRPr="006A40FD">
        <w:rPr>
          <w:rFonts w:ascii="Times New Roman" w:hAnsi="Times New Roman" w:cs="Times New Roman"/>
          <w:color w:val="000000" w:themeColor="text1"/>
        </w:rPr>
        <w:t>.</w:t>
      </w:r>
    </w:p>
    <w:p w14:paraId="419C2244" w14:textId="65B882A9" w:rsidR="00F07122" w:rsidRPr="00F07122" w:rsidRDefault="00F07122" w:rsidP="00D44854">
      <w:pPr>
        <w:pStyle w:val="H-indent5025"/>
        <w:keepNext/>
        <w:tabs>
          <w:tab w:val="clear" w:pos="1080"/>
          <w:tab w:val="left" w:pos="720"/>
        </w:tabs>
        <w:spacing w:after="0"/>
        <w:ind w:left="720" w:firstLine="0"/>
        <w:contextualSpacing/>
        <w:jc w:val="center"/>
        <w:rPr>
          <w:rFonts w:ascii="Times New Roman" w:hAnsi="Times New Roman" w:cs="Times New Roman"/>
          <w:b/>
          <w:color w:val="000000" w:themeColor="text1"/>
        </w:rPr>
      </w:pPr>
      <w:r w:rsidRPr="00F07122">
        <w:rPr>
          <w:rFonts w:ascii="Times New Roman" w:hAnsi="Times New Roman" w:cs="Times New Roman"/>
          <w:b/>
          <w:color w:val="000000" w:themeColor="text1"/>
        </w:rPr>
        <w:t xml:space="preserve">Table </w:t>
      </w:r>
      <w:r>
        <w:rPr>
          <w:rFonts w:ascii="Times New Roman" w:hAnsi="Times New Roman" w:cs="Times New Roman"/>
          <w:b/>
          <w:color w:val="000000" w:themeColor="text1"/>
        </w:rPr>
        <w:t>5</w:t>
      </w:r>
      <w:r w:rsidRPr="00F07122">
        <w:rPr>
          <w:rFonts w:ascii="Times New Roman" w:hAnsi="Times New Roman" w:cs="Times New Roman"/>
          <w:b/>
          <w:color w:val="000000" w:themeColor="text1"/>
        </w:rPr>
        <w:t>A.  Individual Mercury Effluent Limitations</w:t>
      </w:r>
    </w:p>
    <w:tbl>
      <w:tblPr>
        <w:tblW w:w="9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8"/>
        <w:gridCol w:w="1800"/>
        <w:gridCol w:w="1924"/>
        <w:gridCol w:w="1856"/>
      </w:tblGrid>
      <w:tr w:rsidR="00C21279" w:rsidRPr="00B55A80" w14:paraId="04428CEE" w14:textId="77777777" w:rsidTr="00340C37">
        <w:trPr>
          <w:cantSplit/>
          <w:jc w:val="center"/>
        </w:trPr>
        <w:tc>
          <w:tcPr>
            <w:tcW w:w="3998" w:type="dxa"/>
            <w:tcBorders>
              <w:top w:val="single" w:sz="12" w:space="0" w:color="auto"/>
              <w:left w:val="single" w:sz="12" w:space="0" w:color="auto"/>
            </w:tcBorders>
            <w:shd w:val="clear" w:color="auto" w:fill="auto"/>
            <w:vAlign w:val="center"/>
          </w:tcPr>
          <w:p w14:paraId="270D976A" w14:textId="26B3AF66" w:rsidR="00C21279" w:rsidRPr="00C21279" w:rsidRDefault="00C21279" w:rsidP="00D44854">
            <w:pPr>
              <w:keepNext/>
              <w:spacing w:before="20" w:after="20"/>
              <w:contextualSpacing/>
              <w:jc w:val="center"/>
              <w:rPr>
                <w:rFonts w:eastAsia="Arial Unicode MS"/>
                <w:b/>
              </w:rPr>
            </w:pPr>
            <w:r w:rsidRPr="00C21279">
              <w:rPr>
                <w:rFonts w:eastAsia="Arial Unicode MS"/>
                <w:b/>
              </w:rPr>
              <w:t>Discharger</w:t>
            </w:r>
          </w:p>
        </w:tc>
        <w:tc>
          <w:tcPr>
            <w:tcW w:w="1800" w:type="dxa"/>
            <w:tcBorders>
              <w:top w:val="single" w:sz="12" w:space="0" w:color="auto"/>
            </w:tcBorders>
            <w:shd w:val="clear" w:color="auto" w:fill="auto"/>
            <w:vAlign w:val="center"/>
          </w:tcPr>
          <w:p w14:paraId="4F7687A5" w14:textId="5C21E6F4" w:rsidR="00C21279" w:rsidRPr="00C21279" w:rsidRDefault="00C21279" w:rsidP="00D44854">
            <w:pPr>
              <w:keepNext/>
              <w:contextualSpacing/>
              <w:jc w:val="center"/>
              <w:rPr>
                <w:b/>
                <w:color w:val="000000"/>
              </w:rPr>
            </w:pPr>
            <w:r w:rsidRPr="00C21279">
              <w:rPr>
                <w:b/>
                <w:color w:val="000000"/>
              </w:rPr>
              <w:t>Average Annual Effluent Limit for Mercury</w:t>
            </w:r>
            <w:r w:rsidRPr="00C21279">
              <w:rPr>
                <w:b/>
                <w:color w:val="000000"/>
                <w:vertAlign w:val="superscript"/>
              </w:rPr>
              <w:t xml:space="preserve">[1] </w:t>
            </w:r>
            <w:r w:rsidRPr="00C21279">
              <w:rPr>
                <w:b/>
                <w:color w:val="000000"/>
              </w:rPr>
              <w:t>(kg/yr)</w:t>
            </w:r>
          </w:p>
        </w:tc>
        <w:tc>
          <w:tcPr>
            <w:tcW w:w="1924" w:type="dxa"/>
            <w:tcBorders>
              <w:top w:val="single" w:sz="12" w:space="0" w:color="auto"/>
              <w:right w:val="single" w:sz="4" w:space="0" w:color="auto"/>
            </w:tcBorders>
            <w:shd w:val="clear" w:color="auto" w:fill="auto"/>
            <w:vAlign w:val="center"/>
          </w:tcPr>
          <w:p w14:paraId="113EA018" w14:textId="30B9195B" w:rsidR="00C21279" w:rsidRPr="00C21279" w:rsidRDefault="00C21279" w:rsidP="00D44854">
            <w:pPr>
              <w:keepNext/>
              <w:contextualSpacing/>
              <w:jc w:val="center"/>
              <w:rPr>
                <w:b/>
                <w:color w:val="000000"/>
              </w:rPr>
            </w:pPr>
            <w:r w:rsidRPr="00C21279">
              <w:rPr>
                <w:b/>
                <w:color w:val="000000"/>
              </w:rPr>
              <w:t>Average Monthly Effluent Limit for Mercury (</w:t>
            </w:r>
            <w:r w:rsidRPr="006A40FD">
              <w:rPr>
                <w:b/>
                <w:color w:val="000000"/>
              </w:rPr>
              <w:t>µg/L</w:t>
            </w:r>
            <w:r w:rsidRPr="00C21279">
              <w:rPr>
                <w:b/>
                <w:color w:val="000000"/>
              </w:rPr>
              <w:t>)</w:t>
            </w:r>
          </w:p>
        </w:tc>
        <w:tc>
          <w:tcPr>
            <w:tcW w:w="1856" w:type="dxa"/>
            <w:tcBorders>
              <w:top w:val="single" w:sz="12" w:space="0" w:color="auto"/>
              <w:right w:val="single" w:sz="12" w:space="0" w:color="auto"/>
            </w:tcBorders>
            <w:shd w:val="clear" w:color="auto" w:fill="auto"/>
            <w:vAlign w:val="center"/>
          </w:tcPr>
          <w:p w14:paraId="2A907E1B" w14:textId="481368B3" w:rsidR="00C21279" w:rsidRPr="00C21279" w:rsidRDefault="00C21279" w:rsidP="00D44854">
            <w:pPr>
              <w:keepNext/>
              <w:contextualSpacing/>
              <w:jc w:val="center"/>
              <w:rPr>
                <w:b/>
                <w:color w:val="000000"/>
              </w:rPr>
            </w:pPr>
            <w:r w:rsidRPr="00C21279">
              <w:rPr>
                <w:b/>
                <w:color w:val="000000"/>
              </w:rPr>
              <w:t>Maximum Daily Effluent Limit for Mercury (</w:t>
            </w:r>
            <w:r w:rsidRPr="006A40FD">
              <w:rPr>
                <w:b/>
                <w:color w:val="000000"/>
              </w:rPr>
              <w:t>µg/L</w:t>
            </w:r>
            <w:r w:rsidRPr="00C21279">
              <w:rPr>
                <w:b/>
                <w:color w:val="000000"/>
              </w:rPr>
              <w:t>)</w:t>
            </w:r>
          </w:p>
        </w:tc>
      </w:tr>
      <w:tr w:rsidR="00C21279" w:rsidRPr="00B55A80" w14:paraId="0E3CECF0" w14:textId="77777777" w:rsidTr="00340C37">
        <w:trPr>
          <w:cantSplit/>
          <w:jc w:val="center"/>
        </w:trPr>
        <w:tc>
          <w:tcPr>
            <w:tcW w:w="9578" w:type="dxa"/>
            <w:gridSpan w:val="4"/>
            <w:tcBorders>
              <w:top w:val="single" w:sz="12" w:space="0" w:color="auto"/>
              <w:left w:val="single" w:sz="12" w:space="0" w:color="auto"/>
              <w:right w:val="single" w:sz="12" w:space="0" w:color="auto"/>
            </w:tcBorders>
            <w:shd w:val="clear" w:color="auto" w:fill="D9D9D9" w:themeFill="background1" w:themeFillShade="D9"/>
            <w:vAlign w:val="center"/>
          </w:tcPr>
          <w:p w14:paraId="2FA9555F" w14:textId="11630879" w:rsidR="00C21279" w:rsidRPr="00C21279" w:rsidRDefault="00C21279" w:rsidP="00D44854">
            <w:pPr>
              <w:keepNext/>
              <w:jc w:val="center"/>
              <w:rPr>
                <w:b/>
                <w:color w:val="000000"/>
              </w:rPr>
            </w:pPr>
            <w:r>
              <w:rPr>
                <w:b/>
                <w:color w:val="000000"/>
              </w:rPr>
              <w:t>Industrial Dischargers (Non-Petroleum Refinery)</w:t>
            </w:r>
          </w:p>
        </w:tc>
      </w:tr>
      <w:tr w:rsidR="00C21279" w:rsidRPr="00B55A80" w14:paraId="3DE69D9E" w14:textId="77777777" w:rsidTr="00340C37">
        <w:trPr>
          <w:cantSplit/>
          <w:jc w:val="center"/>
        </w:trPr>
        <w:tc>
          <w:tcPr>
            <w:tcW w:w="3998" w:type="dxa"/>
            <w:tcBorders>
              <w:top w:val="single" w:sz="12" w:space="0" w:color="auto"/>
              <w:left w:val="single" w:sz="12" w:space="0" w:color="auto"/>
            </w:tcBorders>
            <w:shd w:val="clear" w:color="auto" w:fill="auto"/>
          </w:tcPr>
          <w:p w14:paraId="027D4177" w14:textId="7A7C6693" w:rsidR="00C21279" w:rsidRPr="00B55A80" w:rsidRDefault="00C21279" w:rsidP="00D44854">
            <w:pPr>
              <w:keepNext/>
              <w:spacing w:before="20" w:after="20"/>
              <w:rPr>
                <w:rFonts w:eastAsia="Arial Unicode MS"/>
              </w:rPr>
            </w:pPr>
            <w:r w:rsidRPr="00B55A80">
              <w:rPr>
                <w:rFonts w:eastAsia="Arial Unicode MS"/>
              </w:rPr>
              <w:t>C&amp;H Sugar and Crockett Community Services D</w:t>
            </w:r>
            <w:r w:rsidR="00340C37">
              <w:rPr>
                <w:rFonts w:eastAsia="Arial Unicode MS"/>
              </w:rPr>
              <w:t>istrict, Crockett Sanitary Department</w:t>
            </w:r>
          </w:p>
        </w:tc>
        <w:tc>
          <w:tcPr>
            <w:tcW w:w="1800" w:type="dxa"/>
            <w:tcBorders>
              <w:top w:val="single" w:sz="12" w:space="0" w:color="auto"/>
            </w:tcBorders>
            <w:shd w:val="clear" w:color="auto" w:fill="auto"/>
            <w:vAlign w:val="center"/>
          </w:tcPr>
          <w:p w14:paraId="1A452303" w14:textId="14B81D7E" w:rsidR="00C21279" w:rsidRPr="00B55A80" w:rsidRDefault="00766D59" w:rsidP="00D44854">
            <w:pPr>
              <w:keepNext/>
              <w:jc w:val="center"/>
              <w:rPr>
                <w:color w:val="000000"/>
              </w:rPr>
            </w:pPr>
            <w:r>
              <w:rPr>
                <w:color w:val="000000"/>
              </w:rPr>
              <w:t>0.045</w:t>
            </w:r>
          </w:p>
        </w:tc>
        <w:tc>
          <w:tcPr>
            <w:tcW w:w="1924" w:type="dxa"/>
            <w:tcBorders>
              <w:top w:val="single" w:sz="12" w:space="0" w:color="auto"/>
              <w:right w:val="single" w:sz="4" w:space="0" w:color="auto"/>
            </w:tcBorders>
            <w:shd w:val="clear" w:color="auto" w:fill="auto"/>
            <w:vAlign w:val="center"/>
          </w:tcPr>
          <w:p w14:paraId="695CE715" w14:textId="1D24624D" w:rsidR="00C21279" w:rsidRPr="00B55A80" w:rsidRDefault="00766D59" w:rsidP="00D44854">
            <w:pPr>
              <w:keepNext/>
              <w:jc w:val="center"/>
              <w:rPr>
                <w:color w:val="000000"/>
              </w:rPr>
            </w:pPr>
            <w:r>
              <w:rPr>
                <w:color w:val="000000"/>
              </w:rPr>
              <w:t>0.079</w:t>
            </w:r>
          </w:p>
        </w:tc>
        <w:tc>
          <w:tcPr>
            <w:tcW w:w="1856" w:type="dxa"/>
            <w:tcBorders>
              <w:top w:val="single" w:sz="12" w:space="0" w:color="auto"/>
              <w:right w:val="single" w:sz="12" w:space="0" w:color="auto"/>
            </w:tcBorders>
            <w:shd w:val="clear" w:color="auto" w:fill="auto"/>
            <w:vAlign w:val="center"/>
          </w:tcPr>
          <w:p w14:paraId="7BE29121" w14:textId="4FDC6D2D" w:rsidR="00C21279" w:rsidRPr="00B55A80" w:rsidRDefault="00766D59" w:rsidP="00D44854">
            <w:pPr>
              <w:keepNext/>
              <w:jc w:val="center"/>
              <w:rPr>
                <w:color w:val="000000"/>
              </w:rPr>
            </w:pPr>
            <w:r>
              <w:rPr>
                <w:color w:val="000000"/>
              </w:rPr>
              <w:t>0.12</w:t>
            </w:r>
          </w:p>
        </w:tc>
      </w:tr>
      <w:tr w:rsidR="00C21279" w:rsidRPr="00B55A80" w14:paraId="513E2699" w14:textId="77777777" w:rsidTr="00340C37">
        <w:trPr>
          <w:cantSplit/>
          <w:jc w:val="center"/>
        </w:trPr>
        <w:tc>
          <w:tcPr>
            <w:tcW w:w="3998" w:type="dxa"/>
            <w:tcBorders>
              <w:left w:val="single" w:sz="12" w:space="0" w:color="auto"/>
            </w:tcBorders>
            <w:shd w:val="clear" w:color="auto" w:fill="auto"/>
          </w:tcPr>
          <w:p w14:paraId="53398F56" w14:textId="0233B7AD" w:rsidR="00C21279" w:rsidRPr="00B55A80" w:rsidRDefault="00C21279" w:rsidP="00967F70">
            <w:pPr>
              <w:spacing w:before="20" w:after="20"/>
              <w:rPr>
                <w:rFonts w:eastAsia="Arial Unicode MS"/>
              </w:rPr>
            </w:pPr>
            <w:r w:rsidRPr="00B55A80">
              <w:rPr>
                <w:rFonts w:eastAsia="Arial Unicode MS"/>
              </w:rPr>
              <w:t>Crockett Cogeneration, LP</w:t>
            </w:r>
          </w:p>
        </w:tc>
        <w:tc>
          <w:tcPr>
            <w:tcW w:w="1800" w:type="dxa"/>
            <w:shd w:val="clear" w:color="auto" w:fill="auto"/>
            <w:vAlign w:val="center"/>
          </w:tcPr>
          <w:p w14:paraId="623CC762" w14:textId="16D2CEB0" w:rsidR="00C21279" w:rsidRPr="00B55A80" w:rsidRDefault="00766D59" w:rsidP="002B393E">
            <w:pPr>
              <w:jc w:val="center"/>
              <w:rPr>
                <w:color w:val="000000"/>
              </w:rPr>
            </w:pPr>
            <w:r>
              <w:rPr>
                <w:color w:val="000000"/>
              </w:rPr>
              <w:t>0.0047</w:t>
            </w:r>
          </w:p>
        </w:tc>
        <w:tc>
          <w:tcPr>
            <w:tcW w:w="1924" w:type="dxa"/>
            <w:tcBorders>
              <w:right w:val="single" w:sz="4" w:space="0" w:color="auto"/>
            </w:tcBorders>
            <w:shd w:val="clear" w:color="auto" w:fill="auto"/>
            <w:vAlign w:val="center"/>
          </w:tcPr>
          <w:p w14:paraId="50B9DF14" w14:textId="6B2A03C9" w:rsidR="00C21279" w:rsidRPr="00B55A80" w:rsidRDefault="00766D59" w:rsidP="00D44854">
            <w:pPr>
              <w:keepNext/>
              <w:jc w:val="center"/>
              <w:rPr>
                <w:color w:val="000000"/>
              </w:rPr>
            </w:pPr>
            <w:r>
              <w:rPr>
                <w:color w:val="000000"/>
              </w:rPr>
              <w:t>0.079</w:t>
            </w:r>
          </w:p>
        </w:tc>
        <w:tc>
          <w:tcPr>
            <w:tcW w:w="1856" w:type="dxa"/>
            <w:tcBorders>
              <w:right w:val="single" w:sz="12" w:space="0" w:color="auto"/>
            </w:tcBorders>
            <w:shd w:val="clear" w:color="auto" w:fill="auto"/>
            <w:vAlign w:val="center"/>
          </w:tcPr>
          <w:p w14:paraId="49F18312" w14:textId="622998DA" w:rsidR="00C21279" w:rsidRPr="00B55A80" w:rsidRDefault="00766D59" w:rsidP="002B393E">
            <w:pPr>
              <w:jc w:val="center"/>
              <w:rPr>
                <w:color w:val="000000"/>
              </w:rPr>
            </w:pPr>
            <w:r>
              <w:rPr>
                <w:color w:val="000000"/>
              </w:rPr>
              <w:t>0.12</w:t>
            </w:r>
          </w:p>
        </w:tc>
      </w:tr>
      <w:tr w:rsidR="00766D59" w:rsidRPr="00B55A80" w14:paraId="7184935B" w14:textId="77777777" w:rsidTr="00340C37">
        <w:trPr>
          <w:cantSplit/>
          <w:jc w:val="center"/>
        </w:trPr>
        <w:tc>
          <w:tcPr>
            <w:tcW w:w="3998" w:type="dxa"/>
            <w:tcBorders>
              <w:left w:val="single" w:sz="12" w:space="0" w:color="auto"/>
            </w:tcBorders>
            <w:shd w:val="clear" w:color="auto" w:fill="auto"/>
          </w:tcPr>
          <w:p w14:paraId="585BAC59" w14:textId="77777777" w:rsidR="00766D59" w:rsidRPr="00B55A80" w:rsidRDefault="00766D59" w:rsidP="00766D59">
            <w:pPr>
              <w:spacing w:before="20" w:after="20"/>
              <w:rPr>
                <w:rFonts w:eastAsia="Arial Unicode MS"/>
              </w:rPr>
            </w:pPr>
            <w:r>
              <w:rPr>
                <w:rFonts w:eastAsia="Arial Unicode MS"/>
              </w:rPr>
              <w:t>Eco Services Operations LLC</w:t>
            </w:r>
          </w:p>
        </w:tc>
        <w:tc>
          <w:tcPr>
            <w:tcW w:w="1800" w:type="dxa"/>
            <w:shd w:val="clear" w:color="auto" w:fill="auto"/>
            <w:vAlign w:val="center"/>
          </w:tcPr>
          <w:p w14:paraId="4FEFBA55" w14:textId="5411DB23" w:rsidR="00766D59" w:rsidRPr="00B55A80" w:rsidRDefault="00766D59" w:rsidP="00766D59">
            <w:pPr>
              <w:jc w:val="center"/>
              <w:rPr>
                <w:color w:val="000000"/>
              </w:rPr>
            </w:pPr>
            <w:r w:rsidRPr="006A40FD">
              <w:rPr>
                <w:color w:val="000000"/>
              </w:rPr>
              <w:t>0.011</w:t>
            </w:r>
          </w:p>
        </w:tc>
        <w:tc>
          <w:tcPr>
            <w:tcW w:w="1924" w:type="dxa"/>
            <w:tcBorders>
              <w:right w:val="single" w:sz="4" w:space="0" w:color="auto"/>
            </w:tcBorders>
            <w:shd w:val="clear" w:color="auto" w:fill="auto"/>
          </w:tcPr>
          <w:p w14:paraId="3ACC2D37" w14:textId="371B1732" w:rsidR="00766D59" w:rsidRPr="00B55A80" w:rsidRDefault="00766D59" w:rsidP="00766D59">
            <w:pPr>
              <w:jc w:val="center"/>
              <w:rPr>
                <w:color w:val="000000"/>
              </w:rPr>
            </w:pPr>
            <w:r w:rsidRPr="006A40FD">
              <w:rPr>
                <w:color w:val="000000"/>
              </w:rPr>
              <w:t>0.079</w:t>
            </w:r>
          </w:p>
        </w:tc>
        <w:tc>
          <w:tcPr>
            <w:tcW w:w="1856" w:type="dxa"/>
            <w:tcBorders>
              <w:right w:val="single" w:sz="12" w:space="0" w:color="auto"/>
            </w:tcBorders>
            <w:shd w:val="clear" w:color="auto" w:fill="auto"/>
          </w:tcPr>
          <w:p w14:paraId="0BF92EC9" w14:textId="648D15DA" w:rsidR="00766D59" w:rsidRPr="00B55A80" w:rsidRDefault="00766D59" w:rsidP="00766D59">
            <w:pPr>
              <w:jc w:val="center"/>
              <w:rPr>
                <w:color w:val="000000"/>
              </w:rPr>
            </w:pPr>
            <w:r w:rsidRPr="006A40FD">
              <w:rPr>
                <w:color w:val="000000"/>
              </w:rPr>
              <w:t>0.12</w:t>
            </w:r>
          </w:p>
        </w:tc>
      </w:tr>
      <w:tr w:rsidR="00766D59" w:rsidRPr="00B55A80" w14:paraId="4C0B1A49" w14:textId="77777777" w:rsidTr="00340C37">
        <w:trPr>
          <w:cantSplit/>
          <w:jc w:val="center"/>
        </w:trPr>
        <w:tc>
          <w:tcPr>
            <w:tcW w:w="3998" w:type="dxa"/>
            <w:tcBorders>
              <w:left w:val="single" w:sz="12" w:space="0" w:color="auto"/>
            </w:tcBorders>
            <w:shd w:val="clear" w:color="auto" w:fill="auto"/>
          </w:tcPr>
          <w:p w14:paraId="06160F0F" w14:textId="5DB8BA30" w:rsidR="00766D59" w:rsidRPr="00B55A80" w:rsidRDefault="00766D59" w:rsidP="00766D59">
            <w:pPr>
              <w:spacing w:before="20" w:after="20"/>
              <w:rPr>
                <w:rFonts w:eastAsia="Arial Unicode MS"/>
              </w:rPr>
            </w:pPr>
            <w:r>
              <w:rPr>
                <w:rFonts w:eastAsia="Arial Unicode MS"/>
              </w:rPr>
              <w:t>GenOn Delta, LLC</w:t>
            </w:r>
          </w:p>
        </w:tc>
        <w:tc>
          <w:tcPr>
            <w:tcW w:w="1800" w:type="dxa"/>
            <w:shd w:val="clear" w:color="auto" w:fill="auto"/>
            <w:vAlign w:val="center"/>
          </w:tcPr>
          <w:p w14:paraId="174C75D0" w14:textId="1CA1FEB4" w:rsidR="00766D59" w:rsidRPr="00B55A80" w:rsidRDefault="00766D59" w:rsidP="00766D59">
            <w:pPr>
              <w:jc w:val="center"/>
              <w:rPr>
                <w:color w:val="000000"/>
              </w:rPr>
            </w:pPr>
            <w:r w:rsidRPr="006A40FD">
              <w:rPr>
                <w:color w:val="000000"/>
              </w:rPr>
              <w:t>0.0078</w:t>
            </w:r>
          </w:p>
        </w:tc>
        <w:tc>
          <w:tcPr>
            <w:tcW w:w="1924" w:type="dxa"/>
            <w:tcBorders>
              <w:right w:val="single" w:sz="4" w:space="0" w:color="auto"/>
            </w:tcBorders>
            <w:shd w:val="clear" w:color="auto" w:fill="auto"/>
          </w:tcPr>
          <w:p w14:paraId="6B506B5A" w14:textId="74FADC1B" w:rsidR="00766D59" w:rsidRPr="00B55A80" w:rsidRDefault="00766D59" w:rsidP="00766D59">
            <w:pPr>
              <w:jc w:val="center"/>
              <w:rPr>
                <w:color w:val="000000"/>
              </w:rPr>
            </w:pPr>
            <w:r w:rsidRPr="006A40FD">
              <w:rPr>
                <w:color w:val="000000"/>
              </w:rPr>
              <w:t>0.079</w:t>
            </w:r>
          </w:p>
        </w:tc>
        <w:tc>
          <w:tcPr>
            <w:tcW w:w="1856" w:type="dxa"/>
            <w:tcBorders>
              <w:right w:val="single" w:sz="12" w:space="0" w:color="auto"/>
            </w:tcBorders>
            <w:shd w:val="clear" w:color="auto" w:fill="auto"/>
          </w:tcPr>
          <w:p w14:paraId="53D5CC4A" w14:textId="28E522CA" w:rsidR="00766D59" w:rsidRPr="00B55A80" w:rsidRDefault="00766D59" w:rsidP="00766D59">
            <w:pPr>
              <w:jc w:val="center"/>
              <w:rPr>
                <w:color w:val="000000"/>
              </w:rPr>
            </w:pPr>
            <w:r w:rsidRPr="006A40FD">
              <w:rPr>
                <w:color w:val="000000"/>
              </w:rPr>
              <w:t>0.12</w:t>
            </w:r>
          </w:p>
        </w:tc>
      </w:tr>
      <w:tr w:rsidR="00766D59" w:rsidRPr="00B55A80" w14:paraId="2E3D943D" w14:textId="77777777" w:rsidTr="00340C37">
        <w:trPr>
          <w:cantSplit/>
          <w:jc w:val="center"/>
        </w:trPr>
        <w:tc>
          <w:tcPr>
            <w:tcW w:w="3998" w:type="dxa"/>
            <w:tcBorders>
              <w:left w:val="single" w:sz="12" w:space="0" w:color="auto"/>
              <w:bottom w:val="single" w:sz="12" w:space="0" w:color="auto"/>
            </w:tcBorders>
            <w:shd w:val="clear" w:color="auto" w:fill="auto"/>
          </w:tcPr>
          <w:p w14:paraId="42DF5406" w14:textId="77777777" w:rsidR="00766D59" w:rsidRPr="00B55A80" w:rsidRDefault="00766D59" w:rsidP="00766D59">
            <w:pPr>
              <w:spacing w:before="20" w:after="20"/>
            </w:pPr>
            <w:r w:rsidRPr="00B55A80">
              <w:rPr>
                <w:rFonts w:eastAsia="Arial Unicode MS"/>
              </w:rPr>
              <w:t>USS-Posco Industries</w:t>
            </w:r>
          </w:p>
        </w:tc>
        <w:tc>
          <w:tcPr>
            <w:tcW w:w="1800" w:type="dxa"/>
            <w:tcBorders>
              <w:bottom w:val="single" w:sz="12" w:space="0" w:color="auto"/>
            </w:tcBorders>
            <w:shd w:val="clear" w:color="auto" w:fill="auto"/>
            <w:vAlign w:val="center"/>
          </w:tcPr>
          <w:p w14:paraId="0CA73B2E" w14:textId="211C31A3" w:rsidR="00766D59" w:rsidRPr="00B55A80" w:rsidRDefault="00766D59" w:rsidP="00766D59">
            <w:pPr>
              <w:jc w:val="center"/>
              <w:rPr>
                <w:color w:val="000000"/>
              </w:rPr>
            </w:pPr>
            <w:r w:rsidRPr="006A40FD">
              <w:rPr>
                <w:color w:val="000000"/>
              </w:rPr>
              <w:t>0.045</w:t>
            </w:r>
          </w:p>
        </w:tc>
        <w:tc>
          <w:tcPr>
            <w:tcW w:w="1924" w:type="dxa"/>
            <w:tcBorders>
              <w:bottom w:val="single" w:sz="12" w:space="0" w:color="auto"/>
              <w:right w:val="single" w:sz="4" w:space="0" w:color="auto"/>
            </w:tcBorders>
            <w:shd w:val="clear" w:color="auto" w:fill="auto"/>
            <w:vAlign w:val="center"/>
          </w:tcPr>
          <w:p w14:paraId="069614C1" w14:textId="5DD23600" w:rsidR="00766D59" w:rsidRPr="00B55A80" w:rsidRDefault="00766D59" w:rsidP="00766D59">
            <w:pPr>
              <w:jc w:val="center"/>
              <w:rPr>
                <w:color w:val="000000"/>
              </w:rPr>
            </w:pPr>
            <w:r w:rsidRPr="006A40FD">
              <w:rPr>
                <w:color w:val="000000"/>
              </w:rPr>
              <w:t>0.079</w:t>
            </w:r>
          </w:p>
        </w:tc>
        <w:tc>
          <w:tcPr>
            <w:tcW w:w="1856" w:type="dxa"/>
            <w:tcBorders>
              <w:bottom w:val="single" w:sz="12" w:space="0" w:color="auto"/>
              <w:right w:val="single" w:sz="12" w:space="0" w:color="auto"/>
            </w:tcBorders>
            <w:shd w:val="clear" w:color="auto" w:fill="auto"/>
            <w:vAlign w:val="center"/>
          </w:tcPr>
          <w:p w14:paraId="09877FC6" w14:textId="646E77FD" w:rsidR="00766D59" w:rsidRPr="00B55A80" w:rsidRDefault="00766D59" w:rsidP="00766D59">
            <w:pPr>
              <w:jc w:val="center"/>
              <w:rPr>
                <w:color w:val="000000"/>
              </w:rPr>
            </w:pPr>
            <w:r w:rsidRPr="006A40FD">
              <w:rPr>
                <w:color w:val="000000"/>
              </w:rPr>
              <w:t>0.12</w:t>
            </w:r>
          </w:p>
        </w:tc>
      </w:tr>
      <w:tr w:rsidR="00C21279" w:rsidRPr="00B55A80" w14:paraId="66752A82" w14:textId="77777777" w:rsidTr="00340C37">
        <w:trPr>
          <w:cantSplit/>
          <w:jc w:val="center"/>
        </w:trPr>
        <w:tc>
          <w:tcPr>
            <w:tcW w:w="95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B6CC2AD" w14:textId="77777777" w:rsidR="00C21279" w:rsidRPr="00B55A80" w:rsidRDefault="00C21279" w:rsidP="002B393E">
            <w:pPr>
              <w:jc w:val="center"/>
              <w:rPr>
                <w:color w:val="000000"/>
              </w:rPr>
            </w:pPr>
            <w:r>
              <w:rPr>
                <w:b/>
                <w:color w:val="000000"/>
              </w:rPr>
              <w:t>Industrial Dischargers (Petroleum Refinery)</w:t>
            </w:r>
          </w:p>
        </w:tc>
      </w:tr>
      <w:tr w:rsidR="00766D59" w:rsidRPr="00B55A80" w14:paraId="7D472BB6" w14:textId="77777777" w:rsidTr="00340C37">
        <w:trPr>
          <w:cantSplit/>
          <w:jc w:val="center"/>
        </w:trPr>
        <w:tc>
          <w:tcPr>
            <w:tcW w:w="3998" w:type="dxa"/>
            <w:tcBorders>
              <w:top w:val="single" w:sz="12" w:space="0" w:color="auto"/>
              <w:left w:val="single" w:sz="12" w:space="0" w:color="auto"/>
            </w:tcBorders>
            <w:shd w:val="clear" w:color="auto" w:fill="auto"/>
          </w:tcPr>
          <w:p w14:paraId="37EC97E4" w14:textId="77777777" w:rsidR="00766D59" w:rsidRPr="00B55A80" w:rsidRDefault="00766D59" w:rsidP="00766D59">
            <w:pPr>
              <w:spacing w:before="20" w:after="20"/>
            </w:pPr>
            <w:r w:rsidRPr="00B55A80">
              <w:t>Chevron Products Company</w:t>
            </w:r>
          </w:p>
        </w:tc>
        <w:tc>
          <w:tcPr>
            <w:tcW w:w="1800" w:type="dxa"/>
            <w:tcBorders>
              <w:top w:val="single" w:sz="12" w:space="0" w:color="auto"/>
            </w:tcBorders>
            <w:shd w:val="clear" w:color="auto" w:fill="auto"/>
            <w:vAlign w:val="center"/>
          </w:tcPr>
          <w:p w14:paraId="0A8BD76E" w14:textId="189A1EE6" w:rsidR="00766D59" w:rsidRPr="00B55A80" w:rsidRDefault="00766D59" w:rsidP="00766D59">
            <w:pPr>
              <w:jc w:val="center"/>
              <w:rPr>
                <w:color w:val="000000"/>
              </w:rPr>
            </w:pPr>
            <w:r w:rsidRPr="006A40FD">
              <w:rPr>
                <w:color w:val="000000"/>
              </w:rPr>
              <w:t>0.34</w:t>
            </w:r>
          </w:p>
        </w:tc>
        <w:tc>
          <w:tcPr>
            <w:tcW w:w="1924" w:type="dxa"/>
            <w:tcBorders>
              <w:top w:val="single" w:sz="12" w:space="0" w:color="auto"/>
              <w:right w:val="single" w:sz="4" w:space="0" w:color="auto"/>
            </w:tcBorders>
            <w:shd w:val="clear" w:color="auto" w:fill="auto"/>
          </w:tcPr>
          <w:p w14:paraId="31D44305" w14:textId="76839408" w:rsidR="00766D59" w:rsidRPr="00B55A80" w:rsidRDefault="00766D59" w:rsidP="00766D59">
            <w:pPr>
              <w:jc w:val="center"/>
              <w:rPr>
                <w:color w:val="000000"/>
              </w:rPr>
            </w:pPr>
            <w:r w:rsidRPr="006A40FD">
              <w:rPr>
                <w:color w:val="000000"/>
              </w:rPr>
              <w:t>0.079</w:t>
            </w:r>
          </w:p>
        </w:tc>
        <w:tc>
          <w:tcPr>
            <w:tcW w:w="1856" w:type="dxa"/>
            <w:tcBorders>
              <w:top w:val="single" w:sz="12" w:space="0" w:color="auto"/>
              <w:right w:val="single" w:sz="12" w:space="0" w:color="auto"/>
            </w:tcBorders>
            <w:shd w:val="clear" w:color="auto" w:fill="auto"/>
          </w:tcPr>
          <w:p w14:paraId="44CCBBA3" w14:textId="30D2F84F" w:rsidR="00766D59" w:rsidRPr="00B55A80" w:rsidRDefault="00766D59" w:rsidP="00766D59">
            <w:pPr>
              <w:jc w:val="center"/>
              <w:rPr>
                <w:color w:val="000000"/>
              </w:rPr>
            </w:pPr>
            <w:r w:rsidRPr="006A40FD">
              <w:rPr>
                <w:color w:val="000000"/>
              </w:rPr>
              <w:t>0.12</w:t>
            </w:r>
          </w:p>
        </w:tc>
      </w:tr>
      <w:tr w:rsidR="00766D59" w:rsidRPr="00B55A80" w14:paraId="0455EE15" w14:textId="77777777" w:rsidTr="00340C37">
        <w:trPr>
          <w:cantSplit/>
          <w:jc w:val="center"/>
        </w:trPr>
        <w:tc>
          <w:tcPr>
            <w:tcW w:w="3998" w:type="dxa"/>
            <w:tcBorders>
              <w:left w:val="single" w:sz="12" w:space="0" w:color="auto"/>
            </w:tcBorders>
            <w:shd w:val="clear" w:color="auto" w:fill="auto"/>
          </w:tcPr>
          <w:p w14:paraId="2E64DA9B" w14:textId="07118143" w:rsidR="00766D59" w:rsidRPr="00B55A80" w:rsidRDefault="00766D59" w:rsidP="00766D59">
            <w:pPr>
              <w:spacing w:before="20" w:after="20"/>
            </w:pPr>
            <w:r w:rsidRPr="00B55A80">
              <w:t xml:space="preserve">Phillips 66 </w:t>
            </w:r>
          </w:p>
        </w:tc>
        <w:tc>
          <w:tcPr>
            <w:tcW w:w="1800" w:type="dxa"/>
            <w:shd w:val="clear" w:color="auto" w:fill="auto"/>
            <w:vAlign w:val="center"/>
          </w:tcPr>
          <w:p w14:paraId="6E233EF4" w14:textId="59727B7F" w:rsidR="00766D59" w:rsidRPr="00B55A80" w:rsidRDefault="00766D59" w:rsidP="00766D59">
            <w:pPr>
              <w:jc w:val="center"/>
              <w:rPr>
                <w:color w:val="000000"/>
              </w:rPr>
            </w:pPr>
            <w:r w:rsidRPr="006A40FD">
              <w:rPr>
                <w:color w:val="000000"/>
              </w:rPr>
              <w:t>0.13</w:t>
            </w:r>
          </w:p>
        </w:tc>
        <w:tc>
          <w:tcPr>
            <w:tcW w:w="1924" w:type="dxa"/>
            <w:tcBorders>
              <w:right w:val="single" w:sz="4" w:space="0" w:color="auto"/>
            </w:tcBorders>
            <w:shd w:val="clear" w:color="auto" w:fill="auto"/>
          </w:tcPr>
          <w:p w14:paraId="5932FDE4" w14:textId="36519352" w:rsidR="00766D59" w:rsidRPr="00B55A80" w:rsidRDefault="00766D59" w:rsidP="00766D59">
            <w:pPr>
              <w:jc w:val="center"/>
              <w:rPr>
                <w:color w:val="000000"/>
              </w:rPr>
            </w:pPr>
            <w:r w:rsidRPr="006A40FD">
              <w:rPr>
                <w:color w:val="000000"/>
              </w:rPr>
              <w:t>0.079</w:t>
            </w:r>
          </w:p>
        </w:tc>
        <w:tc>
          <w:tcPr>
            <w:tcW w:w="1856" w:type="dxa"/>
            <w:tcBorders>
              <w:right w:val="single" w:sz="12" w:space="0" w:color="auto"/>
            </w:tcBorders>
            <w:shd w:val="clear" w:color="auto" w:fill="auto"/>
          </w:tcPr>
          <w:p w14:paraId="6864F69E" w14:textId="728D7EC9" w:rsidR="00766D59" w:rsidRPr="00B55A80" w:rsidRDefault="00766D59" w:rsidP="00766D59">
            <w:pPr>
              <w:jc w:val="center"/>
              <w:rPr>
                <w:color w:val="000000"/>
              </w:rPr>
            </w:pPr>
            <w:r w:rsidRPr="006A40FD">
              <w:rPr>
                <w:color w:val="000000"/>
              </w:rPr>
              <w:t>0.12</w:t>
            </w:r>
          </w:p>
        </w:tc>
      </w:tr>
      <w:tr w:rsidR="00766D59" w:rsidRPr="00B55A80" w14:paraId="5605DDA1" w14:textId="77777777" w:rsidTr="00340C37">
        <w:trPr>
          <w:cantSplit/>
          <w:jc w:val="center"/>
        </w:trPr>
        <w:tc>
          <w:tcPr>
            <w:tcW w:w="3998" w:type="dxa"/>
            <w:tcBorders>
              <w:left w:val="single" w:sz="12" w:space="0" w:color="auto"/>
            </w:tcBorders>
            <w:shd w:val="clear" w:color="auto" w:fill="auto"/>
          </w:tcPr>
          <w:p w14:paraId="6F9B5792" w14:textId="77777777" w:rsidR="00766D59" w:rsidRPr="00B55A80" w:rsidRDefault="00766D59" w:rsidP="00766D59">
            <w:pPr>
              <w:tabs>
                <w:tab w:val="left" w:pos="459"/>
              </w:tabs>
              <w:rPr>
                <w:rFonts w:eastAsia="Arial Unicode MS"/>
              </w:rPr>
            </w:pPr>
            <w:r w:rsidRPr="00B55A80">
              <w:rPr>
                <w:rFonts w:eastAsia="Arial Unicode MS"/>
              </w:rPr>
              <w:t>Shell Oil Products US and Equilon Enterprises LLC</w:t>
            </w:r>
          </w:p>
        </w:tc>
        <w:tc>
          <w:tcPr>
            <w:tcW w:w="1800" w:type="dxa"/>
            <w:shd w:val="clear" w:color="auto" w:fill="auto"/>
            <w:vAlign w:val="center"/>
          </w:tcPr>
          <w:p w14:paraId="357B61DE" w14:textId="45DA3482" w:rsidR="00766D59" w:rsidRPr="00B55A80" w:rsidRDefault="00766D59" w:rsidP="00766D59">
            <w:pPr>
              <w:jc w:val="center"/>
              <w:rPr>
                <w:color w:val="000000"/>
              </w:rPr>
            </w:pPr>
            <w:r w:rsidRPr="006A40FD">
              <w:rPr>
                <w:color w:val="000000"/>
              </w:rPr>
              <w:t>0.22</w:t>
            </w:r>
          </w:p>
        </w:tc>
        <w:tc>
          <w:tcPr>
            <w:tcW w:w="1924" w:type="dxa"/>
            <w:tcBorders>
              <w:right w:val="single" w:sz="4" w:space="0" w:color="auto"/>
            </w:tcBorders>
            <w:shd w:val="clear" w:color="auto" w:fill="auto"/>
            <w:vAlign w:val="center"/>
          </w:tcPr>
          <w:p w14:paraId="596655CB" w14:textId="017EB7B1" w:rsidR="00766D59" w:rsidRPr="00B55A80" w:rsidRDefault="00766D59" w:rsidP="00766D59">
            <w:pPr>
              <w:jc w:val="center"/>
              <w:rPr>
                <w:color w:val="000000"/>
              </w:rPr>
            </w:pPr>
            <w:r w:rsidRPr="006A40FD">
              <w:rPr>
                <w:color w:val="000000"/>
              </w:rPr>
              <w:t>0.079</w:t>
            </w:r>
          </w:p>
        </w:tc>
        <w:tc>
          <w:tcPr>
            <w:tcW w:w="1856" w:type="dxa"/>
            <w:tcBorders>
              <w:right w:val="single" w:sz="12" w:space="0" w:color="auto"/>
            </w:tcBorders>
            <w:shd w:val="clear" w:color="auto" w:fill="auto"/>
            <w:vAlign w:val="center"/>
          </w:tcPr>
          <w:p w14:paraId="0F193B55" w14:textId="7559C542" w:rsidR="00766D59" w:rsidRPr="00B55A80" w:rsidRDefault="00766D59" w:rsidP="00766D59">
            <w:pPr>
              <w:jc w:val="center"/>
              <w:rPr>
                <w:color w:val="000000"/>
              </w:rPr>
            </w:pPr>
            <w:r w:rsidRPr="006A40FD">
              <w:rPr>
                <w:color w:val="000000"/>
              </w:rPr>
              <w:t>0.12</w:t>
            </w:r>
          </w:p>
        </w:tc>
      </w:tr>
      <w:tr w:rsidR="00C21279" w:rsidRPr="00B55A80" w14:paraId="57498494" w14:textId="77777777" w:rsidTr="00340C37">
        <w:trPr>
          <w:cantSplit/>
          <w:jc w:val="center"/>
        </w:trPr>
        <w:tc>
          <w:tcPr>
            <w:tcW w:w="3998" w:type="dxa"/>
            <w:tcBorders>
              <w:left w:val="single" w:sz="12" w:space="0" w:color="auto"/>
            </w:tcBorders>
            <w:shd w:val="clear" w:color="auto" w:fill="auto"/>
          </w:tcPr>
          <w:p w14:paraId="3A145AB5" w14:textId="77777777" w:rsidR="00C21279" w:rsidRPr="00B55A80" w:rsidRDefault="00C21279" w:rsidP="002B393E">
            <w:pPr>
              <w:spacing w:before="20" w:after="20"/>
              <w:rPr>
                <w:rFonts w:eastAsia="Arial Unicode MS"/>
              </w:rPr>
            </w:pPr>
            <w:r w:rsidRPr="00B55A80">
              <w:rPr>
                <w:rFonts w:eastAsia="Arial Unicode MS"/>
              </w:rPr>
              <w:t>Tesoro Refining &amp; Marketing Co.</w:t>
            </w:r>
          </w:p>
        </w:tc>
        <w:tc>
          <w:tcPr>
            <w:tcW w:w="1800" w:type="dxa"/>
            <w:shd w:val="clear" w:color="auto" w:fill="auto"/>
            <w:vAlign w:val="center"/>
          </w:tcPr>
          <w:p w14:paraId="39E896D7" w14:textId="123AE952" w:rsidR="00C21279" w:rsidRPr="00B55A80" w:rsidRDefault="00766D59" w:rsidP="00766D59">
            <w:pPr>
              <w:jc w:val="center"/>
              <w:rPr>
                <w:color w:val="000000"/>
              </w:rPr>
            </w:pPr>
            <w:r>
              <w:rPr>
                <w:color w:val="000000"/>
              </w:rPr>
              <w:t>0.11</w:t>
            </w:r>
          </w:p>
        </w:tc>
        <w:tc>
          <w:tcPr>
            <w:tcW w:w="1924" w:type="dxa"/>
            <w:tcBorders>
              <w:right w:val="single" w:sz="4" w:space="0" w:color="auto"/>
            </w:tcBorders>
            <w:shd w:val="clear" w:color="auto" w:fill="auto"/>
            <w:vAlign w:val="center"/>
          </w:tcPr>
          <w:p w14:paraId="2AEF7BB7" w14:textId="416136CA" w:rsidR="00C21279" w:rsidRPr="00B55A80" w:rsidRDefault="00766D59" w:rsidP="00766D59">
            <w:pPr>
              <w:jc w:val="center"/>
              <w:rPr>
                <w:color w:val="000000"/>
              </w:rPr>
            </w:pPr>
            <w:r>
              <w:rPr>
                <w:bCs/>
                <w:color w:val="000000"/>
              </w:rPr>
              <w:t>0.079</w:t>
            </w:r>
          </w:p>
        </w:tc>
        <w:tc>
          <w:tcPr>
            <w:tcW w:w="1856" w:type="dxa"/>
            <w:tcBorders>
              <w:right w:val="single" w:sz="12" w:space="0" w:color="auto"/>
            </w:tcBorders>
            <w:shd w:val="clear" w:color="auto" w:fill="auto"/>
            <w:vAlign w:val="center"/>
          </w:tcPr>
          <w:p w14:paraId="3A7C8D67" w14:textId="751318A5" w:rsidR="00C21279" w:rsidRPr="00B55A80" w:rsidRDefault="00766D59" w:rsidP="00766D59">
            <w:pPr>
              <w:jc w:val="center"/>
              <w:rPr>
                <w:color w:val="000000"/>
              </w:rPr>
            </w:pPr>
            <w:r>
              <w:rPr>
                <w:color w:val="000000"/>
              </w:rPr>
              <w:t>0.12</w:t>
            </w:r>
          </w:p>
        </w:tc>
      </w:tr>
      <w:tr w:rsidR="00C21279" w:rsidRPr="00B55A80" w14:paraId="05EA0F60" w14:textId="77777777" w:rsidTr="00340C37">
        <w:trPr>
          <w:cantSplit/>
          <w:jc w:val="center"/>
        </w:trPr>
        <w:tc>
          <w:tcPr>
            <w:tcW w:w="3998" w:type="dxa"/>
            <w:tcBorders>
              <w:left w:val="single" w:sz="12" w:space="0" w:color="auto"/>
            </w:tcBorders>
            <w:shd w:val="clear" w:color="auto" w:fill="auto"/>
          </w:tcPr>
          <w:p w14:paraId="3A700BA4" w14:textId="77777777" w:rsidR="00C21279" w:rsidRPr="00B55A80" w:rsidRDefault="00C21279" w:rsidP="002B393E">
            <w:pPr>
              <w:spacing w:before="20" w:after="20"/>
              <w:rPr>
                <w:rFonts w:eastAsia="Arial Unicode MS"/>
              </w:rPr>
            </w:pPr>
            <w:r w:rsidRPr="00B55A80">
              <w:rPr>
                <w:rFonts w:eastAsia="Arial Unicode MS"/>
              </w:rPr>
              <w:t>Valero Refining Company</w:t>
            </w:r>
          </w:p>
        </w:tc>
        <w:tc>
          <w:tcPr>
            <w:tcW w:w="1800" w:type="dxa"/>
            <w:shd w:val="clear" w:color="auto" w:fill="auto"/>
            <w:vAlign w:val="center"/>
          </w:tcPr>
          <w:p w14:paraId="777B5F4D" w14:textId="235364D8" w:rsidR="00C21279" w:rsidRPr="00B55A80" w:rsidRDefault="00766D59" w:rsidP="00766D59">
            <w:pPr>
              <w:jc w:val="center"/>
              <w:rPr>
                <w:color w:val="000000"/>
              </w:rPr>
            </w:pPr>
            <w:r>
              <w:rPr>
                <w:color w:val="000000"/>
              </w:rPr>
              <w:t>0.08</w:t>
            </w:r>
          </w:p>
        </w:tc>
        <w:tc>
          <w:tcPr>
            <w:tcW w:w="1924" w:type="dxa"/>
            <w:tcBorders>
              <w:right w:val="single" w:sz="4" w:space="0" w:color="auto"/>
            </w:tcBorders>
            <w:shd w:val="clear" w:color="auto" w:fill="auto"/>
            <w:vAlign w:val="center"/>
          </w:tcPr>
          <w:p w14:paraId="53040D2D" w14:textId="7419730D" w:rsidR="00C21279" w:rsidRPr="00B55A80" w:rsidRDefault="00766D59" w:rsidP="00766D59">
            <w:pPr>
              <w:jc w:val="center"/>
              <w:rPr>
                <w:color w:val="000000"/>
              </w:rPr>
            </w:pPr>
            <w:r>
              <w:rPr>
                <w:bCs/>
                <w:color w:val="000000"/>
              </w:rPr>
              <w:t>0.079</w:t>
            </w:r>
          </w:p>
        </w:tc>
        <w:tc>
          <w:tcPr>
            <w:tcW w:w="1856" w:type="dxa"/>
            <w:tcBorders>
              <w:right w:val="single" w:sz="12" w:space="0" w:color="auto"/>
            </w:tcBorders>
            <w:shd w:val="clear" w:color="auto" w:fill="auto"/>
            <w:vAlign w:val="center"/>
          </w:tcPr>
          <w:p w14:paraId="3752FE14" w14:textId="0C17E19B" w:rsidR="00C21279" w:rsidRPr="00B55A80" w:rsidRDefault="00766D59" w:rsidP="00766D59">
            <w:pPr>
              <w:jc w:val="center"/>
              <w:rPr>
                <w:color w:val="000000"/>
              </w:rPr>
            </w:pPr>
            <w:r>
              <w:rPr>
                <w:color w:val="000000"/>
              </w:rPr>
              <w:t>0.12</w:t>
            </w:r>
          </w:p>
        </w:tc>
      </w:tr>
      <w:tr w:rsidR="00766D59" w:rsidRPr="00B55A80" w14:paraId="70BA3E11" w14:textId="77777777" w:rsidTr="00340C37">
        <w:trPr>
          <w:cantSplit/>
          <w:jc w:val="center"/>
        </w:trPr>
        <w:tc>
          <w:tcPr>
            <w:tcW w:w="3998" w:type="dxa"/>
            <w:tcBorders>
              <w:left w:val="single" w:sz="12" w:space="0" w:color="auto"/>
              <w:bottom w:val="single" w:sz="12" w:space="0" w:color="auto"/>
            </w:tcBorders>
            <w:shd w:val="clear" w:color="auto" w:fill="auto"/>
          </w:tcPr>
          <w:p w14:paraId="0A70FEE9" w14:textId="592BF73C" w:rsidR="00766D59" w:rsidRPr="00B55A80" w:rsidRDefault="00F07122" w:rsidP="002B393E">
            <w:pPr>
              <w:spacing w:before="20" w:after="20"/>
              <w:rPr>
                <w:rFonts w:eastAsia="Arial Unicode MS"/>
              </w:rPr>
            </w:pPr>
            <w:r w:rsidRPr="00F07122">
              <w:rPr>
                <w:rFonts w:eastAsia="Arial Unicode MS"/>
                <w:b/>
              </w:rPr>
              <w:t>Aggregate Mass Emission Limit</w:t>
            </w:r>
            <w:r>
              <w:rPr>
                <w:rFonts w:eastAsia="Arial Unicode MS"/>
                <w:b/>
                <w:vertAlign w:val="superscript"/>
              </w:rPr>
              <w:t>[</w:t>
            </w:r>
            <w:r w:rsidRPr="00F07122">
              <w:rPr>
                <w:rFonts w:eastAsia="Arial Unicode MS"/>
                <w:b/>
                <w:vertAlign w:val="superscript"/>
              </w:rPr>
              <w:t>2</w:t>
            </w:r>
            <w:r>
              <w:rPr>
                <w:rFonts w:eastAsia="Arial Unicode MS"/>
                <w:b/>
                <w:vertAlign w:val="superscript"/>
              </w:rPr>
              <w:t>]</w:t>
            </w:r>
            <w:r w:rsidRPr="00F07122">
              <w:rPr>
                <w:rFonts w:eastAsia="Arial Unicode MS"/>
                <w:b/>
              </w:rPr>
              <w:t xml:space="preserve"> (kg/yr)</w:t>
            </w:r>
          </w:p>
        </w:tc>
        <w:tc>
          <w:tcPr>
            <w:tcW w:w="1800" w:type="dxa"/>
            <w:tcBorders>
              <w:bottom w:val="single" w:sz="12" w:space="0" w:color="auto"/>
            </w:tcBorders>
            <w:shd w:val="clear" w:color="auto" w:fill="auto"/>
            <w:vAlign w:val="center"/>
          </w:tcPr>
          <w:p w14:paraId="2BEFE060" w14:textId="59749353" w:rsidR="00766D59" w:rsidRPr="00F07122" w:rsidRDefault="00F07122" w:rsidP="00766D59">
            <w:pPr>
              <w:jc w:val="center"/>
              <w:rPr>
                <w:b/>
                <w:color w:val="000000"/>
              </w:rPr>
            </w:pPr>
            <w:r w:rsidRPr="00F07122">
              <w:rPr>
                <w:b/>
                <w:color w:val="000000"/>
              </w:rPr>
              <w:t>1.0</w:t>
            </w:r>
          </w:p>
        </w:tc>
        <w:tc>
          <w:tcPr>
            <w:tcW w:w="1924" w:type="dxa"/>
            <w:tcBorders>
              <w:bottom w:val="single" w:sz="12" w:space="0" w:color="auto"/>
              <w:right w:val="single" w:sz="4" w:space="0" w:color="auto"/>
            </w:tcBorders>
            <w:shd w:val="clear" w:color="auto" w:fill="auto"/>
            <w:vAlign w:val="center"/>
          </w:tcPr>
          <w:p w14:paraId="2C7F9167" w14:textId="75E9F4FB" w:rsidR="00766D59" w:rsidRPr="00F07122" w:rsidRDefault="00F07122" w:rsidP="00766D59">
            <w:pPr>
              <w:jc w:val="center"/>
              <w:rPr>
                <w:b/>
                <w:bCs/>
                <w:color w:val="000000"/>
              </w:rPr>
            </w:pPr>
            <w:r w:rsidRPr="00F07122">
              <w:rPr>
                <w:b/>
                <w:bCs/>
                <w:color w:val="000000"/>
              </w:rPr>
              <w:t>Not Applicable</w:t>
            </w:r>
          </w:p>
        </w:tc>
        <w:tc>
          <w:tcPr>
            <w:tcW w:w="1856" w:type="dxa"/>
            <w:tcBorders>
              <w:bottom w:val="single" w:sz="12" w:space="0" w:color="auto"/>
              <w:right w:val="single" w:sz="12" w:space="0" w:color="auto"/>
            </w:tcBorders>
            <w:shd w:val="clear" w:color="auto" w:fill="auto"/>
            <w:vAlign w:val="center"/>
          </w:tcPr>
          <w:p w14:paraId="34F9DDAE" w14:textId="1251A4FB" w:rsidR="00766D59" w:rsidRPr="00F07122" w:rsidRDefault="00F07122" w:rsidP="00766D59">
            <w:pPr>
              <w:jc w:val="center"/>
              <w:rPr>
                <w:b/>
                <w:color w:val="000000"/>
              </w:rPr>
            </w:pPr>
            <w:r w:rsidRPr="00F07122">
              <w:rPr>
                <w:b/>
                <w:color w:val="000000"/>
              </w:rPr>
              <w:t>Not Applicable</w:t>
            </w:r>
          </w:p>
        </w:tc>
      </w:tr>
    </w:tbl>
    <w:p w14:paraId="564D3C97" w14:textId="77777777" w:rsidR="00D552BF" w:rsidRPr="00AD16C3" w:rsidRDefault="00D552BF" w:rsidP="00D552BF">
      <w:pPr>
        <w:pStyle w:val="blankspacesaftertables"/>
        <w:tabs>
          <w:tab w:val="left" w:pos="540"/>
        </w:tabs>
        <w:spacing w:before="60" w:after="60"/>
        <w:ind w:firstLine="270"/>
        <w:rPr>
          <w:sz w:val="18"/>
          <w:szCs w:val="18"/>
          <w:u w:val="single"/>
        </w:rPr>
      </w:pPr>
      <w:r w:rsidRPr="00AD16C3">
        <w:rPr>
          <w:sz w:val="18"/>
          <w:szCs w:val="18"/>
          <w:u w:val="single"/>
        </w:rPr>
        <w:t>Unit Abbreviations:</w:t>
      </w:r>
    </w:p>
    <w:p w14:paraId="6C1A4D23" w14:textId="77777777" w:rsidR="00D552BF" w:rsidRPr="00AD16C3" w:rsidRDefault="00D552BF" w:rsidP="00D552BF">
      <w:pPr>
        <w:pStyle w:val="blankspacesaftertables"/>
        <w:tabs>
          <w:tab w:val="left" w:pos="1080"/>
        </w:tabs>
        <w:ind w:left="540" w:hanging="270"/>
        <w:rPr>
          <w:sz w:val="18"/>
          <w:szCs w:val="18"/>
        </w:rPr>
      </w:pPr>
      <w:r>
        <w:rPr>
          <w:sz w:val="18"/>
          <w:szCs w:val="18"/>
        </w:rPr>
        <w:t>kg/yr</w:t>
      </w:r>
      <w:r w:rsidRPr="00AD16C3">
        <w:rPr>
          <w:sz w:val="18"/>
          <w:szCs w:val="18"/>
        </w:rPr>
        <w:tab/>
        <w:t xml:space="preserve">= </w:t>
      </w:r>
      <w:r>
        <w:rPr>
          <w:sz w:val="18"/>
          <w:szCs w:val="18"/>
        </w:rPr>
        <w:t>kilog</w:t>
      </w:r>
      <w:r w:rsidRPr="00AD16C3">
        <w:rPr>
          <w:sz w:val="18"/>
          <w:szCs w:val="18"/>
        </w:rPr>
        <w:t xml:space="preserve">rams per </w:t>
      </w:r>
      <w:r>
        <w:rPr>
          <w:sz w:val="18"/>
          <w:szCs w:val="18"/>
        </w:rPr>
        <w:t>year</w:t>
      </w:r>
    </w:p>
    <w:p w14:paraId="480E2137" w14:textId="77777777" w:rsidR="00D552BF" w:rsidRPr="00AD16C3" w:rsidRDefault="00D552BF" w:rsidP="00D552BF">
      <w:pPr>
        <w:pStyle w:val="blankspacesaftertables"/>
        <w:tabs>
          <w:tab w:val="left" w:pos="1080"/>
        </w:tabs>
        <w:ind w:left="540" w:hanging="270"/>
        <w:rPr>
          <w:sz w:val="18"/>
          <w:szCs w:val="18"/>
        </w:rPr>
      </w:pPr>
      <w:r w:rsidRPr="00AD16C3">
        <w:rPr>
          <w:sz w:val="18"/>
          <w:szCs w:val="18"/>
        </w:rPr>
        <w:t>µg/L</w:t>
      </w:r>
      <w:r w:rsidRPr="00AD16C3">
        <w:rPr>
          <w:sz w:val="18"/>
          <w:szCs w:val="18"/>
        </w:rPr>
        <w:tab/>
        <w:t>= micrograms per liter</w:t>
      </w:r>
    </w:p>
    <w:p w14:paraId="611D0B3A" w14:textId="77777777" w:rsidR="00D552BF" w:rsidRPr="00AD16C3" w:rsidRDefault="00D552BF" w:rsidP="00D552BF">
      <w:pPr>
        <w:pStyle w:val="TableFootnotes"/>
        <w:ind w:left="540" w:right="-180" w:hanging="270"/>
        <w:rPr>
          <w:rFonts w:ascii="Times New Roman" w:hAnsi="Times New Roman" w:cs="Times New Roman"/>
          <w:vertAlign w:val="superscript"/>
        </w:rPr>
      </w:pPr>
      <w:r w:rsidRPr="00AD16C3">
        <w:rPr>
          <w:rFonts w:ascii="Times New Roman" w:hAnsi="Times New Roman" w:cs="Times New Roman"/>
          <w:u w:val="single"/>
        </w:rPr>
        <w:t>Footnote</w:t>
      </w:r>
      <w:r>
        <w:rPr>
          <w:rFonts w:ascii="Times New Roman" w:hAnsi="Times New Roman" w:cs="Times New Roman"/>
          <w:u w:val="single"/>
        </w:rPr>
        <w:t>s</w:t>
      </w:r>
      <w:r w:rsidRPr="00AD16C3">
        <w:rPr>
          <w:rFonts w:ascii="Times New Roman" w:hAnsi="Times New Roman" w:cs="Times New Roman"/>
          <w:u w:val="single"/>
        </w:rPr>
        <w:t>:</w:t>
      </w:r>
      <w:r w:rsidRPr="00AD16C3">
        <w:rPr>
          <w:rFonts w:ascii="Times New Roman" w:hAnsi="Times New Roman" w:cs="Times New Roman"/>
          <w:vertAlign w:val="superscript"/>
        </w:rPr>
        <w:t xml:space="preserve"> </w:t>
      </w:r>
    </w:p>
    <w:p w14:paraId="32449E84" w14:textId="55094D98" w:rsidR="00D552BF" w:rsidRDefault="00D552BF" w:rsidP="00D552BF">
      <w:pPr>
        <w:pStyle w:val="TableFootnotes"/>
        <w:ind w:left="540" w:hanging="270"/>
        <w:rPr>
          <w:rFonts w:ascii="Times New Roman" w:hAnsi="Times New Roman" w:cs="Times New Roman"/>
        </w:rPr>
      </w:pPr>
      <w:r w:rsidRPr="00AD16C3">
        <w:rPr>
          <w:rFonts w:ascii="Times New Roman" w:hAnsi="Times New Roman" w:cs="Times New Roman"/>
          <w:vertAlign w:val="superscript"/>
        </w:rPr>
        <w:t>[1]</w:t>
      </w:r>
      <w:r>
        <w:rPr>
          <w:rFonts w:ascii="Times New Roman" w:hAnsi="Times New Roman" w:cs="Times New Roman"/>
        </w:rPr>
        <w:tab/>
      </w:r>
      <w:r w:rsidRPr="00A3653E">
        <w:rPr>
          <w:rFonts w:ascii="Times New Roman" w:hAnsi="Times New Roman" w:cs="Times New Roman"/>
        </w:rPr>
        <w:t xml:space="preserve">Compliance with the Average Annual Effluent Limitations is determined annually for each </w:t>
      </w:r>
      <w:r w:rsidR="00B2294A">
        <w:rPr>
          <w:rFonts w:ascii="Times New Roman" w:hAnsi="Times New Roman" w:cs="Times New Roman"/>
        </w:rPr>
        <w:t>Industrial</w:t>
      </w:r>
      <w:r w:rsidRPr="00A3653E">
        <w:rPr>
          <w:rFonts w:ascii="Times New Roman" w:hAnsi="Times New Roman" w:cs="Times New Roman"/>
        </w:rPr>
        <w:t xml:space="preserve"> Discharger each calendar year and is attained if the sum of all individual </w:t>
      </w:r>
      <w:r w:rsidR="00B2294A">
        <w:rPr>
          <w:rFonts w:ascii="Times New Roman" w:hAnsi="Times New Roman" w:cs="Times New Roman"/>
        </w:rPr>
        <w:t xml:space="preserve">Industrial </w:t>
      </w:r>
      <w:r w:rsidRPr="00A3653E">
        <w:rPr>
          <w:rFonts w:ascii="Times New Roman" w:hAnsi="Times New Roman" w:cs="Times New Roman"/>
        </w:rPr>
        <w:t>Dischargers’ mercury mass emissions, calculated as described below, is not greater than the Aggregate Mass Emission Limit of 1</w:t>
      </w:r>
      <w:r>
        <w:rPr>
          <w:rFonts w:ascii="Times New Roman" w:hAnsi="Times New Roman" w:cs="Times New Roman"/>
        </w:rPr>
        <w:t>.0</w:t>
      </w:r>
      <w:r w:rsidRPr="00A3653E">
        <w:rPr>
          <w:rFonts w:ascii="Times New Roman" w:hAnsi="Times New Roman" w:cs="Times New Roman"/>
        </w:rPr>
        <w:t xml:space="preserve"> kg/yr. If the sum of all individual </w:t>
      </w:r>
      <w:r w:rsidR="00B2294A">
        <w:rPr>
          <w:rFonts w:ascii="Times New Roman" w:hAnsi="Times New Roman" w:cs="Times New Roman"/>
        </w:rPr>
        <w:t xml:space="preserve">Industrial </w:t>
      </w:r>
      <w:r w:rsidRPr="00A3653E">
        <w:rPr>
          <w:rFonts w:ascii="Times New Roman" w:hAnsi="Times New Roman" w:cs="Times New Roman"/>
        </w:rPr>
        <w:t>Dischargers’ mercury mass emission(s) is greater than 1</w:t>
      </w:r>
      <w:r>
        <w:rPr>
          <w:rFonts w:ascii="Times New Roman" w:hAnsi="Times New Roman" w:cs="Times New Roman"/>
        </w:rPr>
        <w:t xml:space="preserve">.0 </w:t>
      </w:r>
      <w:r w:rsidRPr="00A3653E">
        <w:rPr>
          <w:rFonts w:ascii="Times New Roman" w:hAnsi="Times New Roman" w:cs="Times New Roman"/>
        </w:rPr>
        <w:t xml:space="preserve">kg/yr, the </w:t>
      </w:r>
      <w:r w:rsidR="007775B4">
        <w:rPr>
          <w:rFonts w:ascii="Times New Roman" w:hAnsi="Times New Roman" w:cs="Times New Roman"/>
        </w:rPr>
        <w:t>Industrial Discharger</w:t>
      </w:r>
      <w:r w:rsidRPr="00A3653E">
        <w:rPr>
          <w:rFonts w:ascii="Times New Roman" w:hAnsi="Times New Roman" w:cs="Times New Roman"/>
        </w:rPr>
        <w:t>(s) whose mercury mass emission(s) exceed(s) its (their) individual limitation(s) in Table 5A shall be deemed to be in violation of its (their) mercury mass limitation(s). For compliance determination, mass emissions shall be determined as defined below:</w:t>
      </w:r>
    </w:p>
    <w:p w14:paraId="0D81FDC1" w14:textId="36870413" w:rsidR="00D552BF" w:rsidRPr="00A3653E" w:rsidRDefault="00D552BF" w:rsidP="00D552BF">
      <w:pPr>
        <w:pStyle w:val="TableFootnotes"/>
        <w:ind w:left="810" w:hanging="270"/>
        <w:rPr>
          <w:rFonts w:ascii="Times New Roman" w:hAnsi="Times New Roman" w:cs="Times New Roman"/>
        </w:rPr>
      </w:pPr>
      <w:r w:rsidRPr="00A3653E">
        <w:rPr>
          <w:rFonts w:ascii="Times New Roman" w:hAnsi="Times New Roman" w:cs="Times New Roman"/>
        </w:rPr>
        <w:t>a.</w:t>
      </w:r>
      <w:r w:rsidRPr="00A3653E">
        <w:rPr>
          <w:rFonts w:ascii="Times New Roman" w:hAnsi="Times New Roman" w:cs="Times New Roman"/>
        </w:rPr>
        <w:tab/>
        <w:t xml:space="preserve">The total annual aggregate mass emission shall be the sum of the individual annual mass emissions from each </w:t>
      </w:r>
      <w:r w:rsidR="009C7B2D">
        <w:rPr>
          <w:rFonts w:ascii="Times New Roman" w:hAnsi="Times New Roman" w:cs="Times New Roman"/>
        </w:rPr>
        <w:t>Industrial</w:t>
      </w:r>
      <w:r w:rsidRPr="00A3653E">
        <w:rPr>
          <w:rFonts w:ascii="Times New Roman" w:hAnsi="Times New Roman" w:cs="Times New Roman"/>
        </w:rPr>
        <w:t xml:space="preserve"> Discharger. The sum shall be rounded to the nearest </w:t>
      </w:r>
      <w:r w:rsidR="00230D70">
        <w:rPr>
          <w:rFonts w:ascii="Times New Roman" w:hAnsi="Times New Roman" w:cs="Times New Roman"/>
        </w:rPr>
        <w:t xml:space="preserve">tenth of a </w:t>
      </w:r>
      <w:r w:rsidRPr="00A3653E">
        <w:rPr>
          <w:rFonts w:ascii="Times New Roman" w:hAnsi="Times New Roman" w:cs="Times New Roman"/>
        </w:rPr>
        <w:t xml:space="preserve">kilogram for comparison with the </w:t>
      </w:r>
      <w:r w:rsidR="009C7B2D">
        <w:rPr>
          <w:rFonts w:ascii="Times New Roman" w:hAnsi="Times New Roman" w:cs="Times New Roman"/>
        </w:rPr>
        <w:t>1.0</w:t>
      </w:r>
      <w:r w:rsidRPr="00A3653E">
        <w:rPr>
          <w:rFonts w:ascii="Times New Roman" w:hAnsi="Times New Roman" w:cs="Times New Roman"/>
        </w:rPr>
        <w:t xml:space="preserve"> kg/yr.</w:t>
      </w:r>
    </w:p>
    <w:p w14:paraId="4EF099BF" w14:textId="77777777" w:rsidR="00D552BF" w:rsidRPr="00A3653E" w:rsidRDefault="00D552BF" w:rsidP="00D552BF">
      <w:pPr>
        <w:pStyle w:val="TableFootnotes"/>
        <w:ind w:left="810" w:hanging="270"/>
        <w:rPr>
          <w:rFonts w:ascii="Times New Roman" w:hAnsi="Times New Roman" w:cs="Times New Roman"/>
        </w:rPr>
      </w:pPr>
      <w:r w:rsidRPr="00A3653E">
        <w:rPr>
          <w:rFonts w:ascii="Times New Roman" w:hAnsi="Times New Roman" w:cs="Times New Roman"/>
        </w:rPr>
        <w:t>b.</w:t>
      </w:r>
      <w:r w:rsidRPr="00A3653E">
        <w:rPr>
          <w:rFonts w:ascii="Times New Roman" w:hAnsi="Times New Roman" w:cs="Times New Roman"/>
        </w:rPr>
        <w:tab/>
        <w:t xml:space="preserve">The annual average mass emission for each Discharger shall be computed for the period January 1 through December 31, annually. </w:t>
      </w:r>
    </w:p>
    <w:p w14:paraId="7F471CE8" w14:textId="77777777" w:rsidR="00D552BF" w:rsidRDefault="00D552BF" w:rsidP="00D552BF">
      <w:pPr>
        <w:pStyle w:val="TableFootnotes"/>
        <w:ind w:left="810" w:hanging="274"/>
        <w:rPr>
          <w:rFonts w:ascii="Times New Roman" w:hAnsi="Times New Roman" w:cs="Times New Roman"/>
        </w:rPr>
      </w:pPr>
      <w:r w:rsidRPr="00A3653E">
        <w:rPr>
          <w:rFonts w:ascii="Times New Roman" w:hAnsi="Times New Roman" w:cs="Times New Roman"/>
        </w:rPr>
        <w:t>c.</w:t>
      </w:r>
      <w:r w:rsidRPr="00A3653E">
        <w:rPr>
          <w:rFonts w:ascii="Times New Roman" w:hAnsi="Times New Roman" w:cs="Times New Roman"/>
        </w:rPr>
        <w:tab/>
        <w:t>The annual average mass emission for each Discharger listed in Table 5A above shall be the sum of monthly emissions on a calendar year basis and computed as follows:</w:t>
      </w:r>
      <w:r w:rsidRPr="00473796">
        <w:rPr>
          <w:sz w:val="20"/>
        </w:rPr>
        <w:t xml:space="preserve"> </w:t>
      </w:r>
    </w:p>
    <w:p w14:paraId="662CFF64" w14:textId="77777777" w:rsidR="00D552BF" w:rsidRDefault="00D552BF" w:rsidP="00DC3D02">
      <w:pPr>
        <w:pStyle w:val="TableFootnotes"/>
        <w:ind w:left="1080" w:hanging="4"/>
        <w:jc w:val="center"/>
        <w:rPr>
          <w:sz w:val="20"/>
        </w:rPr>
      </w:pPr>
      <w:r w:rsidRPr="00EE0E45">
        <w:rPr>
          <w:rFonts w:ascii="Times New Roman" w:hAnsi="Times New Roman" w:cs="Times New Roman"/>
          <w:position w:val="-10"/>
        </w:rPr>
        <w:object w:dxaOrig="6259" w:dyaOrig="340" w14:anchorId="219FEE1E">
          <v:shape id="_x0000_i1029" type="#_x0000_t75" style="width:342pt;height:18pt" o:ole="">
            <v:imagedata r:id="rId19" o:title=""/>
          </v:shape>
          <o:OLEObject Type="Embed" ProgID="Equation.3" ShapeID="_x0000_i1029" DrawAspect="Content" ObjectID="_1564294204" r:id="rId27"/>
        </w:object>
      </w:r>
    </w:p>
    <w:p w14:paraId="674E9D21" w14:textId="77777777" w:rsidR="00D552BF" w:rsidRDefault="00D552BF" w:rsidP="00D552BF">
      <w:pPr>
        <w:pStyle w:val="TableFootnotes"/>
        <w:ind w:left="810"/>
        <w:rPr>
          <w:rFonts w:ascii="Times New Roman" w:hAnsi="Times New Roman" w:cs="Times New Roman"/>
        </w:rPr>
      </w:pPr>
      <w:r w:rsidRPr="00EF535C">
        <w:rPr>
          <w:rFonts w:ascii="Times New Roman" w:hAnsi="Times New Roman" w:cs="Times New Roman"/>
        </w:rPr>
        <w:t>or, for Dischargers with less frequent mercury monitoring than monthly, the Annual Mass Emiss</w:t>
      </w:r>
      <w:r>
        <w:rPr>
          <w:rFonts w:ascii="Times New Roman" w:hAnsi="Times New Roman" w:cs="Times New Roman"/>
        </w:rPr>
        <w:t xml:space="preserve">ion shall be computed using the </w:t>
      </w:r>
      <w:r w:rsidRPr="00EF535C">
        <w:rPr>
          <w:rFonts w:ascii="Times New Roman" w:hAnsi="Times New Roman" w:cs="Times New Roman"/>
        </w:rPr>
        <w:t>arithmetic average of available monthly mass emissions as follows:</w:t>
      </w:r>
    </w:p>
    <w:p w14:paraId="4DEEFA37" w14:textId="77777777" w:rsidR="00D552BF" w:rsidRDefault="00D552BF" w:rsidP="00354DA9">
      <w:pPr>
        <w:pStyle w:val="TableFootnotes"/>
        <w:ind w:left="1080"/>
        <w:jc w:val="center"/>
        <w:rPr>
          <w:rFonts w:ascii="Times New Roman" w:hAnsi="Times New Roman" w:cs="Times New Roman"/>
        </w:rPr>
      </w:pPr>
      <w:r w:rsidRPr="00EE0E45">
        <w:rPr>
          <w:rFonts w:ascii="Times New Roman" w:hAnsi="Times New Roman" w:cs="Times New Roman"/>
          <w:position w:val="-32"/>
        </w:rPr>
        <w:object w:dxaOrig="8540" w:dyaOrig="760" w14:anchorId="0F7EB0EB">
          <v:shape id="_x0000_i1030" type="#_x0000_t75" style="width:429pt;height:38.25pt" o:ole="">
            <v:imagedata r:id="rId28" o:title=""/>
          </v:shape>
          <o:OLEObject Type="Embed" ProgID="Equation.3" ShapeID="_x0000_i1030" DrawAspect="Content" ObjectID="_1564294205" r:id="rId29"/>
        </w:object>
      </w:r>
    </w:p>
    <w:p w14:paraId="6401FA27" w14:textId="77777777" w:rsidR="00D552BF" w:rsidRDefault="00D552BF" w:rsidP="00D552BF">
      <w:pPr>
        <w:pStyle w:val="TableFootnotes"/>
        <w:ind w:left="810"/>
        <w:rPr>
          <w:rFonts w:ascii="Times New Roman" w:hAnsi="Times New Roman" w:cs="Times New Roman"/>
        </w:rPr>
      </w:pPr>
      <w:r>
        <w:rPr>
          <w:rFonts w:ascii="Times New Roman" w:hAnsi="Times New Roman" w:cs="Times New Roman"/>
        </w:rPr>
        <w:t>where:</w:t>
      </w:r>
    </w:p>
    <w:p w14:paraId="3AE692C5" w14:textId="74AD0D2A" w:rsidR="00D552BF" w:rsidRDefault="00FC03DB" w:rsidP="00354DA9">
      <w:pPr>
        <w:pStyle w:val="TableFootnotes"/>
        <w:ind w:left="1080"/>
        <w:jc w:val="center"/>
        <w:rPr>
          <w:rFonts w:ascii="Times New Roman" w:hAnsi="Times New Roman" w:cs="Times New Roman"/>
        </w:rPr>
      </w:pPr>
      <w:r w:rsidRPr="00A7677B">
        <w:rPr>
          <w:rFonts w:ascii="Times New Roman" w:hAnsi="Times New Roman" w:cs="Times New Roman"/>
          <w:position w:val="-28"/>
        </w:rPr>
        <w:object w:dxaOrig="7880" w:dyaOrig="680" w14:anchorId="0A55EDCF">
          <v:shape id="_x0000_i1031" type="#_x0000_t75" style="width:394.5pt;height:34.5pt" o:ole="">
            <v:imagedata r:id="rId30" o:title=""/>
          </v:shape>
          <o:OLEObject Type="Embed" ProgID="Equation.3" ShapeID="_x0000_i1031" DrawAspect="Content" ObjectID="_1564294206" r:id="rId31"/>
        </w:object>
      </w:r>
    </w:p>
    <w:p w14:paraId="3A9958EC" w14:textId="77777777" w:rsidR="00D552BF" w:rsidRDefault="00D552BF" w:rsidP="00D552BF">
      <w:pPr>
        <w:pStyle w:val="TableFootnotes"/>
        <w:ind w:left="1080" w:hanging="270"/>
        <w:rPr>
          <w:rFonts w:ascii="Times New Roman" w:hAnsi="Times New Roman" w:cs="Times New Roman"/>
        </w:rPr>
      </w:pPr>
      <w:r>
        <w:rPr>
          <w:rFonts w:ascii="Times New Roman" w:hAnsi="Times New Roman" w:cs="Times New Roman"/>
        </w:rPr>
        <w:t>and where:</w:t>
      </w:r>
    </w:p>
    <w:p w14:paraId="27F528E8" w14:textId="071A6B5E" w:rsidR="00D552BF" w:rsidRPr="000255A0" w:rsidRDefault="00D552BF" w:rsidP="00D552BF">
      <w:pPr>
        <w:tabs>
          <w:tab w:val="left" w:pos="1980"/>
          <w:tab w:val="left" w:pos="2160"/>
        </w:tabs>
        <w:ind w:left="1890" w:hanging="720"/>
        <w:rPr>
          <w:sz w:val="18"/>
          <w:szCs w:val="18"/>
        </w:rPr>
      </w:pPr>
      <w:r w:rsidRPr="000255A0">
        <w:rPr>
          <w:i/>
          <w:sz w:val="18"/>
          <w:szCs w:val="18"/>
        </w:rPr>
        <w:t>C</w:t>
      </w:r>
      <w:r w:rsidRPr="000255A0">
        <w:rPr>
          <w:i/>
          <w:sz w:val="18"/>
          <w:szCs w:val="18"/>
          <w:vertAlign w:val="subscript"/>
        </w:rPr>
        <w:t>i</w:t>
      </w:r>
      <w:r w:rsidRPr="000255A0">
        <w:rPr>
          <w:sz w:val="18"/>
          <w:szCs w:val="18"/>
        </w:rPr>
        <w:t xml:space="preserve">  </w:t>
      </w:r>
      <w:r>
        <w:rPr>
          <w:sz w:val="18"/>
          <w:szCs w:val="18"/>
        </w:rPr>
        <w:tab/>
      </w:r>
      <w:r>
        <w:rPr>
          <w:sz w:val="18"/>
          <w:szCs w:val="18"/>
        </w:rPr>
        <w:tab/>
      </w:r>
      <w:r w:rsidR="00160AB7" w:rsidRPr="000255A0">
        <w:rPr>
          <w:sz w:val="18"/>
          <w:szCs w:val="18"/>
        </w:rPr>
        <w:t>= mercury</w:t>
      </w:r>
      <w:r w:rsidRPr="000255A0">
        <w:rPr>
          <w:sz w:val="18"/>
          <w:szCs w:val="18"/>
        </w:rPr>
        <w:t xml:space="preserve"> concentration</w:t>
      </w:r>
      <w:r w:rsidR="00451E9E">
        <w:rPr>
          <w:sz w:val="18"/>
          <w:szCs w:val="18"/>
        </w:rPr>
        <w:t xml:space="preserve"> of each individual sample, μg/L</w:t>
      </w:r>
    </w:p>
    <w:p w14:paraId="032F1797" w14:textId="154AB9FC" w:rsidR="00D552BF" w:rsidRPr="000255A0" w:rsidRDefault="00D552BF" w:rsidP="00D552BF">
      <w:pPr>
        <w:tabs>
          <w:tab w:val="left" w:pos="1980"/>
          <w:tab w:val="left" w:pos="2160"/>
        </w:tabs>
        <w:ind w:left="1890" w:hanging="720"/>
        <w:rPr>
          <w:sz w:val="18"/>
          <w:szCs w:val="18"/>
        </w:rPr>
      </w:pPr>
      <w:r w:rsidRPr="000255A0">
        <w:rPr>
          <w:i/>
          <w:sz w:val="18"/>
          <w:szCs w:val="18"/>
        </w:rPr>
        <w:t>Q</w:t>
      </w:r>
      <w:r w:rsidRPr="000255A0">
        <w:rPr>
          <w:i/>
          <w:sz w:val="18"/>
          <w:szCs w:val="18"/>
          <w:vertAlign w:val="subscript"/>
        </w:rPr>
        <w:t>i</w:t>
      </w:r>
      <w:r w:rsidRPr="000255A0">
        <w:rPr>
          <w:sz w:val="18"/>
          <w:szCs w:val="18"/>
        </w:rPr>
        <w:t xml:space="preserve">  </w:t>
      </w:r>
      <w:r>
        <w:rPr>
          <w:sz w:val="18"/>
          <w:szCs w:val="18"/>
        </w:rPr>
        <w:tab/>
      </w:r>
      <w:r>
        <w:rPr>
          <w:sz w:val="18"/>
          <w:szCs w:val="18"/>
        </w:rPr>
        <w:tab/>
      </w:r>
      <w:r w:rsidR="00160AB7" w:rsidRPr="000255A0">
        <w:rPr>
          <w:sz w:val="18"/>
          <w:szCs w:val="18"/>
        </w:rPr>
        <w:t>= Discharger</w:t>
      </w:r>
      <w:r w:rsidRPr="000255A0">
        <w:rPr>
          <w:sz w:val="18"/>
          <w:szCs w:val="18"/>
        </w:rPr>
        <w:t xml:space="preserve"> flow rate on date of sample, millions of gallons per day (</w:t>
      </w:r>
      <w:r>
        <w:rPr>
          <w:sz w:val="18"/>
          <w:szCs w:val="18"/>
        </w:rPr>
        <w:t>MGD</w:t>
      </w:r>
      <w:r w:rsidRPr="000255A0">
        <w:rPr>
          <w:sz w:val="18"/>
          <w:szCs w:val="18"/>
        </w:rPr>
        <w:t>)</w:t>
      </w:r>
    </w:p>
    <w:p w14:paraId="40A89E06" w14:textId="408D1466" w:rsidR="00D552BF" w:rsidRPr="000255A0" w:rsidRDefault="00D552BF" w:rsidP="00D552BF">
      <w:pPr>
        <w:tabs>
          <w:tab w:val="left" w:pos="1980"/>
          <w:tab w:val="left" w:pos="2160"/>
        </w:tabs>
        <w:ind w:left="1890" w:hanging="720"/>
        <w:rPr>
          <w:sz w:val="18"/>
          <w:szCs w:val="18"/>
        </w:rPr>
      </w:pPr>
      <w:r w:rsidRPr="000255A0">
        <w:rPr>
          <w:i/>
          <w:sz w:val="18"/>
          <w:szCs w:val="18"/>
        </w:rPr>
        <w:lastRenderedPageBreak/>
        <w:t>N</w:t>
      </w:r>
      <w:r w:rsidRPr="000255A0">
        <w:rPr>
          <w:sz w:val="18"/>
          <w:szCs w:val="18"/>
        </w:rPr>
        <w:t xml:space="preserve">  </w:t>
      </w:r>
      <w:r>
        <w:rPr>
          <w:sz w:val="18"/>
          <w:szCs w:val="18"/>
        </w:rPr>
        <w:tab/>
      </w:r>
      <w:r>
        <w:rPr>
          <w:sz w:val="18"/>
          <w:szCs w:val="18"/>
        </w:rPr>
        <w:tab/>
      </w:r>
      <w:r w:rsidR="00160AB7" w:rsidRPr="000255A0">
        <w:rPr>
          <w:sz w:val="18"/>
          <w:szCs w:val="18"/>
        </w:rPr>
        <w:t>= number</w:t>
      </w:r>
      <w:r w:rsidRPr="000255A0">
        <w:rPr>
          <w:sz w:val="18"/>
          <w:szCs w:val="18"/>
        </w:rPr>
        <w:t xml:space="preserve"> of samples collected during the month</w:t>
      </w:r>
    </w:p>
    <w:p w14:paraId="1FC31F6E" w14:textId="5017157F" w:rsidR="00D552BF" w:rsidRPr="000255A0" w:rsidRDefault="00D552BF" w:rsidP="00D552BF">
      <w:pPr>
        <w:tabs>
          <w:tab w:val="left" w:pos="1440"/>
          <w:tab w:val="left" w:pos="1980"/>
          <w:tab w:val="left" w:pos="2160"/>
        </w:tabs>
        <w:ind w:left="1890" w:hanging="720"/>
        <w:rPr>
          <w:sz w:val="18"/>
          <w:szCs w:val="18"/>
        </w:rPr>
      </w:pPr>
      <w:r w:rsidRPr="000255A0">
        <w:rPr>
          <w:sz w:val="18"/>
          <w:szCs w:val="18"/>
        </w:rPr>
        <w:t xml:space="preserve">0.003785 </w:t>
      </w:r>
      <w:r>
        <w:rPr>
          <w:sz w:val="18"/>
          <w:szCs w:val="18"/>
        </w:rPr>
        <w:tab/>
      </w:r>
      <w:r w:rsidRPr="000255A0">
        <w:rPr>
          <w:sz w:val="18"/>
          <w:szCs w:val="18"/>
        </w:rPr>
        <w:t>= co</w:t>
      </w:r>
      <w:r w:rsidR="00451E9E">
        <w:rPr>
          <w:sz w:val="18"/>
          <w:szCs w:val="18"/>
        </w:rPr>
        <w:t>nversion factor to convert (μg/L</w:t>
      </w:r>
      <w:r w:rsidRPr="000255A0">
        <w:rPr>
          <w:sz w:val="18"/>
          <w:szCs w:val="18"/>
        </w:rPr>
        <w:t>)*(</w:t>
      </w:r>
      <w:r>
        <w:rPr>
          <w:sz w:val="18"/>
          <w:szCs w:val="18"/>
        </w:rPr>
        <w:t>MGD</w:t>
      </w:r>
      <w:r w:rsidRPr="000255A0">
        <w:rPr>
          <w:sz w:val="18"/>
          <w:szCs w:val="18"/>
        </w:rPr>
        <w:t>) into kg/day</w:t>
      </w:r>
    </w:p>
    <w:p w14:paraId="1B9981E0" w14:textId="77777777" w:rsidR="00D552BF" w:rsidRPr="000255A0" w:rsidRDefault="00D552BF" w:rsidP="00D552BF">
      <w:pPr>
        <w:tabs>
          <w:tab w:val="left" w:pos="1440"/>
          <w:tab w:val="left" w:pos="2070"/>
          <w:tab w:val="left" w:pos="2160"/>
        </w:tabs>
        <w:ind w:left="1980" w:hanging="810"/>
        <w:rPr>
          <w:sz w:val="18"/>
          <w:szCs w:val="18"/>
        </w:rPr>
      </w:pPr>
      <w:r w:rsidRPr="000255A0">
        <w:rPr>
          <w:sz w:val="18"/>
          <w:szCs w:val="18"/>
        </w:rPr>
        <w:t xml:space="preserve">30.5   </w:t>
      </w:r>
      <w:r>
        <w:rPr>
          <w:sz w:val="18"/>
          <w:szCs w:val="18"/>
        </w:rPr>
        <w:tab/>
      </w:r>
      <w:r w:rsidRPr="000255A0">
        <w:rPr>
          <w:sz w:val="18"/>
          <w:szCs w:val="18"/>
        </w:rPr>
        <w:t>= number of days in a standard month</w:t>
      </w:r>
    </w:p>
    <w:p w14:paraId="6B1829B7" w14:textId="77777777" w:rsidR="00D552BF" w:rsidRPr="000255A0" w:rsidRDefault="00D552BF" w:rsidP="00D552BF">
      <w:pPr>
        <w:tabs>
          <w:tab w:val="left" w:pos="2160"/>
        </w:tabs>
        <w:spacing w:after="240"/>
        <w:ind w:left="1980" w:hanging="810"/>
        <w:rPr>
          <w:sz w:val="18"/>
          <w:szCs w:val="18"/>
        </w:rPr>
      </w:pPr>
      <w:r w:rsidRPr="000255A0">
        <w:rPr>
          <w:sz w:val="18"/>
          <w:szCs w:val="18"/>
        </w:rPr>
        <w:t>0.1154425</w:t>
      </w:r>
      <w:r>
        <w:rPr>
          <w:sz w:val="18"/>
          <w:szCs w:val="18"/>
        </w:rPr>
        <w:tab/>
      </w:r>
      <w:r w:rsidRPr="000255A0">
        <w:rPr>
          <w:sz w:val="18"/>
          <w:szCs w:val="18"/>
        </w:rPr>
        <w:t>= product of (conversion factor)</w:t>
      </w:r>
      <w:r>
        <w:rPr>
          <w:sz w:val="18"/>
          <w:szCs w:val="18"/>
        </w:rPr>
        <w:t>*</w:t>
      </w:r>
      <w:r w:rsidRPr="000255A0">
        <w:rPr>
          <w:sz w:val="18"/>
          <w:szCs w:val="18"/>
        </w:rPr>
        <w:t>(number of standard days per month)</w:t>
      </w:r>
    </w:p>
    <w:p w14:paraId="19054C4A" w14:textId="77777777" w:rsidR="00D552BF" w:rsidRDefault="00D552BF" w:rsidP="00D552BF">
      <w:pPr>
        <w:pStyle w:val="TableFootnotes"/>
        <w:ind w:left="810"/>
        <w:rPr>
          <w:rFonts w:ascii="Times New Roman" w:hAnsi="Times New Roman" w:cs="Times New Roman"/>
        </w:rPr>
      </w:pPr>
      <w:r>
        <w:rPr>
          <w:rFonts w:ascii="Times New Roman" w:hAnsi="Times New Roman" w:cs="Times New Roman"/>
        </w:rPr>
        <w:t>For intermittent Dischargers (Dischargers who do not discharge every day in a calendar month, or who have no discharge for an entire month [</w:t>
      </w:r>
      <w:r w:rsidRPr="00DE3670">
        <w:rPr>
          <w:rFonts w:ascii="Times New Roman" w:hAnsi="Times New Roman" w:cs="Times New Roman"/>
        </w:rPr>
        <w:t>Qi</w:t>
      </w:r>
      <w:r>
        <w:rPr>
          <w:rFonts w:ascii="Times New Roman" w:hAnsi="Times New Roman" w:cs="Times New Roman"/>
        </w:rPr>
        <w:t xml:space="preserve"> = 0]), </w:t>
      </w:r>
      <w:r w:rsidRPr="000255A0">
        <w:rPr>
          <w:rFonts w:ascii="Times New Roman" w:hAnsi="Times New Roman" w:cs="Times New Roman"/>
        </w:rPr>
        <w:t>Q</w:t>
      </w:r>
      <w:r w:rsidRPr="000255A0">
        <w:rPr>
          <w:rFonts w:ascii="Times New Roman" w:hAnsi="Times New Roman" w:cs="Times New Roman"/>
          <w:vertAlign w:val="subscript"/>
        </w:rPr>
        <w:t>i</w:t>
      </w:r>
      <w:r>
        <w:rPr>
          <w:rFonts w:ascii="Times New Roman" w:hAnsi="Times New Roman" w:cs="Times New Roman"/>
        </w:rPr>
        <w:t xml:space="preserve"> shall be computed as follows:</w:t>
      </w:r>
    </w:p>
    <w:p w14:paraId="7B4C81A1" w14:textId="60F7B8A1" w:rsidR="00D552BF" w:rsidRDefault="00DD1EE5" w:rsidP="00354DA9">
      <w:pPr>
        <w:pStyle w:val="Bodytext-numbering"/>
        <w:tabs>
          <w:tab w:val="left" w:pos="1080"/>
        </w:tabs>
        <w:spacing w:before="60" w:after="60"/>
        <w:ind w:left="1080" w:firstLine="0"/>
        <w:jc w:val="center"/>
        <w:rPr>
          <w:rFonts w:ascii="Arial" w:hAnsi="Arial"/>
        </w:rPr>
      </w:pPr>
      <w:r w:rsidRPr="00DD1EE5">
        <w:rPr>
          <w:rFonts w:ascii="Arial" w:hAnsi="Arial"/>
          <w:position w:val="-46"/>
        </w:rPr>
        <w:object w:dxaOrig="1320" w:dyaOrig="1040" w14:anchorId="1D90C7C9">
          <v:shape id="_x0000_i1032" type="#_x0000_t75" style="width:65.25pt;height:52.5pt" o:ole="">
            <v:imagedata r:id="rId32" o:title=""/>
          </v:shape>
          <o:OLEObject Type="Embed" ProgID="Equation.3" ShapeID="_x0000_i1032" DrawAspect="Content" ObjectID="_1564294207" r:id="rId33"/>
        </w:object>
      </w:r>
    </w:p>
    <w:p w14:paraId="4115FA05" w14:textId="77777777" w:rsidR="00D552BF" w:rsidRDefault="00D552BF" w:rsidP="00D552BF">
      <w:pPr>
        <w:pStyle w:val="TableFootnotes"/>
        <w:ind w:left="810"/>
        <w:rPr>
          <w:rFonts w:ascii="Times New Roman" w:hAnsi="Times New Roman" w:cs="Times New Roman"/>
        </w:rPr>
      </w:pPr>
      <w:r>
        <w:rPr>
          <w:rFonts w:ascii="Times New Roman" w:hAnsi="Times New Roman" w:cs="Times New Roman"/>
        </w:rPr>
        <w:t>where:</w:t>
      </w:r>
    </w:p>
    <w:p w14:paraId="03256777" w14:textId="77777777" w:rsidR="00D552BF" w:rsidRPr="00DE3670" w:rsidRDefault="00D552BF" w:rsidP="00D552BF">
      <w:pPr>
        <w:tabs>
          <w:tab w:val="left" w:pos="1980"/>
        </w:tabs>
        <w:ind w:left="1170"/>
        <w:rPr>
          <w:sz w:val="18"/>
          <w:szCs w:val="18"/>
        </w:rPr>
      </w:pPr>
      <w:r w:rsidRPr="00DE3670">
        <w:rPr>
          <w:i/>
          <w:sz w:val="18"/>
          <w:szCs w:val="18"/>
        </w:rPr>
        <w:t>Q</w:t>
      </w:r>
      <w:r w:rsidRPr="00DE3670">
        <w:rPr>
          <w:i/>
          <w:sz w:val="18"/>
          <w:szCs w:val="18"/>
          <w:vertAlign w:val="subscript"/>
        </w:rPr>
        <w:t>d</w:t>
      </w:r>
      <w:r w:rsidRPr="00DE3670">
        <w:rPr>
          <w:i/>
          <w:sz w:val="18"/>
          <w:szCs w:val="18"/>
        </w:rPr>
        <w:t xml:space="preserve"> </w:t>
      </w:r>
      <w:r>
        <w:rPr>
          <w:i/>
          <w:sz w:val="18"/>
          <w:szCs w:val="18"/>
        </w:rPr>
        <w:tab/>
      </w:r>
      <w:r>
        <w:rPr>
          <w:sz w:val="18"/>
          <w:szCs w:val="18"/>
        </w:rPr>
        <w:t xml:space="preserve">= </w:t>
      </w:r>
      <w:r w:rsidRPr="00DE3670">
        <w:rPr>
          <w:sz w:val="18"/>
          <w:szCs w:val="18"/>
        </w:rPr>
        <w:t>total flow for the day when discharge occurred, million gallons</w:t>
      </w:r>
    </w:p>
    <w:p w14:paraId="4CFEE4F2" w14:textId="77777777" w:rsidR="00D552BF" w:rsidRPr="00DE3670" w:rsidRDefault="00D552BF" w:rsidP="00D552BF">
      <w:pPr>
        <w:tabs>
          <w:tab w:val="left" w:pos="1980"/>
        </w:tabs>
        <w:ind w:left="1170"/>
        <w:rPr>
          <w:sz w:val="18"/>
          <w:szCs w:val="18"/>
        </w:rPr>
      </w:pPr>
      <w:r w:rsidRPr="00DE3670">
        <w:rPr>
          <w:i/>
          <w:sz w:val="18"/>
          <w:szCs w:val="18"/>
        </w:rPr>
        <w:t>D</w:t>
      </w:r>
      <w:r w:rsidRPr="00DE3670">
        <w:rPr>
          <w:sz w:val="18"/>
          <w:szCs w:val="18"/>
        </w:rPr>
        <w:t xml:space="preserve">  </w:t>
      </w:r>
      <w:r>
        <w:rPr>
          <w:sz w:val="18"/>
          <w:szCs w:val="18"/>
        </w:rPr>
        <w:tab/>
      </w:r>
      <w:r w:rsidRPr="00DE3670">
        <w:rPr>
          <w:sz w:val="18"/>
          <w:szCs w:val="18"/>
        </w:rPr>
        <w:t>= total number of days where discharge occurred in a month</w:t>
      </w:r>
    </w:p>
    <w:p w14:paraId="69A1F1E7" w14:textId="77777777" w:rsidR="00D552BF" w:rsidRPr="00DE3670" w:rsidRDefault="00D552BF" w:rsidP="00D552BF">
      <w:pPr>
        <w:tabs>
          <w:tab w:val="left" w:pos="1980"/>
        </w:tabs>
        <w:ind w:left="1170"/>
        <w:rPr>
          <w:sz w:val="18"/>
          <w:szCs w:val="18"/>
        </w:rPr>
      </w:pPr>
      <w:r w:rsidRPr="00DE3670">
        <w:rPr>
          <w:sz w:val="18"/>
          <w:szCs w:val="18"/>
        </w:rPr>
        <w:t xml:space="preserve">30.5 </w:t>
      </w:r>
      <w:r>
        <w:rPr>
          <w:sz w:val="18"/>
          <w:szCs w:val="18"/>
        </w:rPr>
        <w:tab/>
      </w:r>
      <w:r w:rsidRPr="00DE3670">
        <w:rPr>
          <w:sz w:val="18"/>
          <w:szCs w:val="18"/>
        </w:rPr>
        <w:t>= number of days in a standard month</w:t>
      </w:r>
    </w:p>
    <w:p w14:paraId="5975267C" w14:textId="0C49D5A3" w:rsidR="00D552BF" w:rsidRDefault="00D552BF" w:rsidP="00BC3C39">
      <w:pPr>
        <w:pStyle w:val="TableFootnotes"/>
        <w:ind w:left="810" w:hanging="270"/>
        <w:rPr>
          <w:rFonts w:ascii="Times New Roman" w:hAnsi="Times New Roman" w:cs="Times New Roman"/>
        </w:rPr>
      </w:pPr>
      <w:r w:rsidRPr="00DE3670">
        <w:rPr>
          <w:rFonts w:ascii="Times New Roman" w:hAnsi="Times New Roman" w:cs="Times New Roman"/>
        </w:rPr>
        <w:t>d.</w:t>
      </w:r>
      <w:r w:rsidRPr="00DE3670">
        <w:rPr>
          <w:rFonts w:ascii="Times New Roman" w:hAnsi="Times New Roman" w:cs="Times New Roman"/>
        </w:rPr>
        <w:tab/>
      </w:r>
      <w:r w:rsidR="00BC3C39" w:rsidRPr="00BC3C39">
        <w:rPr>
          <w:rFonts w:ascii="Times New Roman" w:hAnsi="Times New Roman" w:cs="Times New Roman"/>
        </w:rPr>
        <w:t xml:space="preserve">For an Industrial Discharger who uses treated recycled wastewater for industrial supply from a Municipal Discharger named in this Order, the Industrial Discharger shall subtract from its Monthly Mass Emission in c., above, an adjustment for the recycled water used and discharged through its discharge point as provided in Provision </w:t>
      </w:r>
      <w:r w:rsidR="00D65C6D">
        <w:rPr>
          <w:rFonts w:ascii="Times New Roman" w:hAnsi="Times New Roman" w:cs="Times New Roman"/>
        </w:rPr>
        <w:t>VI.C.5</w:t>
      </w:r>
      <w:r w:rsidR="00BC3C39" w:rsidRPr="00BC3C39">
        <w:rPr>
          <w:rFonts w:ascii="Times New Roman" w:hAnsi="Times New Roman" w:cs="Times New Roman"/>
        </w:rPr>
        <w:t xml:space="preserve"> of this Order. The Industrial Discharger shall report this effluent discharge adjustment mass to the Municipal Discharger that provided the recycled wastewater within 15 days following the end of the calendar month for which an adjustment is applied and shall report the adjustment in each Self-Monitoring Report and in its Annual Report.</w:t>
      </w:r>
    </w:p>
    <w:p w14:paraId="168E1646" w14:textId="25DEA1C0" w:rsidR="00443BE4" w:rsidRDefault="00BC3C39" w:rsidP="002B5891">
      <w:pPr>
        <w:pStyle w:val="TableFootnotes"/>
        <w:spacing w:after="240"/>
        <w:ind w:left="540" w:hanging="270"/>
        <w:rPr>
          <w:rFonts w:ascii="Times New Roman" w:hAnsi="Times New Roman"/>
          <w:bCs/>
          <w:color w:val="000000" w:themeColor="text1"/>
        </w:rPr>
      </w:pPr>
      <w:r>
        <w:rPr>
          <w:rFonts w:ascii="Times New Roman" w:hAnsi="Times New Roman" w:cs="Times New Roman"/>
          <w:vertAlign w:val="superscript"/>
        </w:rPr>
        <w:t>[2</w:t>
      </w:r>
      <w:r w:rsidR="00D552BF" w:rsidRPr="00AD16C3">
        <w:rPr>
          <w:rFonts w:ascii="Times New Roman" w:hAnsi="Times New Roman" w:cs="Times New Roman"/>
          <w:vertAlign w:val="superscript"/>
        </w:rPr>
        <w:t>]</w:t>
      </w:r>
      <w:r w:rsidR="00D552BF" w:rsidRPr="00AD16C3">
        <w:rPr>
          <w:rFonts w:ascii="Times New Roman" w:hAnsi="Times New Roman" w:cs="Times New Roman"/>
        </w:rPr>
        <w:tab/>
      </w:r>
      <w:r w:rsidR="00D552BF" w:rsidRPr="00164D18">
        <w:rPr>
          <w:rFonts w:ascii="Times New Roman" w:hAnsi="Times New Roman"/>
          <w:bCs/>
          <w:color w:val="000000" w:themeColor="text1"/>
        </w:rPr>
        <w:t xml:space="preserve">Total differs slightly from the column sum due to rounding to </w:t>
      </w:r>
      <w:r w:rsidR="00DD1EE5">
        <w:rPr>
          <w:rFonts w:ascii="Times New Roman" w:hAnsi="Times New Roman"/>
          <w:bCs/>
          <w:color w:val="000000" w:themeColor="text1"/>
        </w:rPr>
        <w:t>the nearest kilogram</w:t>
      </w:r>
      <w:r w:rsidR="00D552BF" w:rsidRPr="00164D18">
        <w:rPr>
          <w:rFonts w:ascii="Times New Roman" w:hAnsi="Times New Roman"/>
          <w:bCs/>
          <w:color w:val="000000" w:themeColor="text1"/>
        </w:rPr>
        <w:t>.</w:t>
      </w:r>
    </w:p>
    <w:p w14:paraId="4946AA06" w14:textId="5A19CBDC" w:rsidR="002B5891" w:rsidRPr="00F07122" w:rsidRDefault="002B5891" w:rsidP="002B5891">
      <w:pPr>
        <w:pStyle w:val="H-indent5025"/>
        <w:tabs>
          <w:tab w:val="clear" w:pos="1080"/>
          <w:tab w:val="left" w:pos="720"/>
        </w:tabs>
        <w:spacing w:after="0"/>
        <w:ind w:left="720" w:firstLine="0"/>
        <w:contextualSpacing/>
        <w:jc w:val="center"/>
        <w:rPr>
          <w:rFonts w:ascii="Times New Roman" w:hAnsi="Times New Roman" w:cs="Times New Roman"/>
          <w:b/>
          <w:color w:val="000000" w:themeColor="text1"/>
        </w:rPr>
      </w:pPr>
      <w:r w:rsidRPr="00F07122">
        <w:rPr>
          <w:rFonts w:ascii="Times New Roman" w:hAnsi="Times New Roman" w:cs="Times New Roman"/>
          <w:b/>
          <w:color w:val="000000" w:themeColor="text1"/>
        </w:rPr>
        <w:t xml:space="preserve">Table </w:t>
      </w:r>
      <w:r>
        <w:rPr>
          <w:rFonts w:ascii="Times New Roman" w:hAnsi="Times New Roman" w:cs="Times New Roman"/>
          <w:b/>
          <w:color w:val="000000" w:themeColor="text1"/>
        </w:rPr>
        <w:t>5B</w:t>
      </w:r>
      <w:r w:rsidRPr="00F07122">
        <w:rPr>
          <w:rFonts w:ascii="Times New Roman" w:hAnsi="Times New Roman" w:cs="Times New Roman"/>
          <w:b/>
          <w:color w:val="000000" w:themeColor="text1"/>
        </w:rPr>
        <w:t xml:space="preserve">.  Individual </w:t>
      </w:r>
      <w:r>
        <w:rPr>
          <w:rFonts w:ascii="Times New Roman" w:hAnsi="Times New Roman" w:cs="Times New Roman"/>
          <w:b/>
          <w:color w:val="000000" w:themeColor="text1"/>
        </w:rPr>
        <w:t>PCBs</w:t>
      </w:r>
      <w:r w:rsidRPr="00F07122">
        <w:rPr>
          <w:rFonts w:ascii="Times New Roman" w:hAnsi="Times New Roman" w:cs="Times New Roman"/>
          <w:b/>
          <w:color w:val="000000" w:themeColor="text1"/>
        </w:rPr>
        <w:t xml:space="preserve"> Effluent Limitations</w:t>
      </w:r>
    </w:p>
    <w:tbl>
      <w:tblPr>
        <w:tblW w:w="7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8"/>
        <w:gridCol w:w="1800"/>
        <w:gridCol w:w="1924"/>
      </w:tblGrid>
      <w:tr w:rsidR="002B5891" w:rsidRPr="00B55A80" w14:paraId="6E7F75DC" w14:textId="77777777" w:rsidTr="00340C37">
        <w:trPr>
          <w:cantSplit/>
          <w:jc w:val="center"/>
        </w:trPr>
        <w:tc>
          <w:tcPr>
            <w:tcW w:w="3998" w:type="dxa"/>
            <w:tcBorders>
              <w:top w:val="single" w:sz="12" w:space="0" w:color="auto"/>
              <w:left w:val="single" w:sz="12" w:space="0" w:color="auto"/>
            </w:tcBorders>
            <w:shd w:val="clear" w:color="auto" w:fill="auto"/>
            <w:vAlign w:val="center"/>
          </w:tcPr>
          <w:p w14:paraId="36F577AE" w14:textId="77777777" w:rsidR="002B5891" w:rsidRPr="00C21279" w:rsidRDefault="002B5891" w:rsidP="002B393E">
            <w:pPr>
              <w:spacing w:before="20" w:after="20"/>
              <w:contextualSpacing/>
              <w:jc w:val="center"/>
              <w:rPr>
                <w:rFonts w:eastAsia="Arial Unicode MS"/>
                <w:b/>
              </w:rPr>
            </w:pPr>
            <w:r w:rsidRPr="00C21279">
              <w:rPr>
                <w:rFonts w:eastAsia="Arial Unicode MS"/>
                <w:b/>
              </w:rPr>
              <w:t>Discharger</w:t>
            </w:r>
          </w:p>
        </w:tc>
        <w:tc>
          <w:tcPr>
            <w:tcW w:w="1800" w:type="dxa"/>
            <w:tcBorders>
              <w:top w:val="single" w:sz="12" w:space="0" w:color="auto"/>
            </w:tcBorders>
            <w:shd w:val="clear" w:color="auto" w:fill="auto"/>
            <w:vAlign w:val="center"/>
          </w:tcPr>
          <w:p w14:paraId="01FD1D57" w14:textId="17FDDF19" w:rsidR="002B5891" w:rsidRPr="00C21279" w:rsidRDefault="002B5891" w:rsidP="005230D6">
            <w:pPr>
              <w:contextualSpacing/>
              <w:jc w:val="center"/>
              <w:rPr>
                <w:b/>
                <w:color w:val="000000"/>
              </w:rPr>
            </w:pPr>
            <w:r w:rsidRPr="00C21279">
              <w:rPr>
                <w:b/>
                <w:color w:val="000000"/>
              </w:rPr>
              <w:t xml:space="preserve">Average </w:t>
            </w:r>
            <w:r w:rsidR="005230D6">
              <w:rPr>
                <w:b/>
                <w:color w:val="000000"/>
              </w:rPr>
              <w:t xml:space="preserve">Monthly </w:t>
            </w:r>
            <w:r w:rsidRPr="00C21279">
              <w:rPr>
                <w:b/>
                <w:color w:val="000000"/>
              </w:rPr>
              <w:t xml:space="preserve">Effluent Limit for </w:t>
            </w:r>
            <w:r w:rsidR="00EC63E1">
              <w:rPr>
                <w:b/>
                <w:color w:val="000000"/>
              </w:rPr>
              <w:t>PCBs</w:t>
            </w:r>
            <w:r w:rsidR="00895528">
              <w:rPr>
                <w:b/>
                <w:color w:val="000000"/>
              </w:rPr>
              <w:t xml:space="preserve"> </w:t>
            </w:r>
            <w:r w:rsidR="00EC63E1" w:rsidRPr="00C21279">
              <w:rPr>
                <w:b/>
                <w:color w:val="000000"/>
              </w:rPr>
              <w:t>(</w:t>
            </w:r>
            <w:r w:rsidR="00EC63E1" w:rsidRPr="006A40FD">
              <w:rPr>
                <w:b/>
                <w:color w:val="000000"/>
              </w:rPr>
              <w:t>µg/L</w:t>
            </w:r>
            <w:r w:rsidR="00EC63E1" w:rsidRPr="00C21279">
              <w:rPr>
                <w:b/>
                <w:color w:val="000000"/>
              </w:rPr>
              <w:t>)</w:t>
            </w:r>
          </w:p>
        </w:tc>
        <w:tc>
          <w:tcPr>
            <w:tcW w:w="1924" w:type="dxa"/>
            <w:tcBorders>
              <w:top w:val="single" w:sz="12" w:space="0" w:color="auto"/>
              <w:right w:val="single" w:sz="12" w:space="0" w:color="auto"/>
            </w:tcBorders>
            <w:shd w:val="clear" w:color="auto" w:fill="auto"/>
            <w:vAlign w:val="center"/>
          </w:tcPr>
          <w:p w14:paraId="665B3EE3" w14:textId="071BBA2A" w:rsidR="002B5891" w:rsidRPr="00C21279" w:rsidRDefault="00EC63E1" w:rsidP="00EC63E1">
            <w:pPr>
              <w:contextualSpacing/>
              <w:jc w:val="center"/>
              <w:rPr>
                <w:b/>
                <w:color w:val="000000"/>
              </w:rPr>
            </w:pPr>
            <w:r>
              <w:rPr>
                <w:b/>
                <w:color w:val="000000"/>
              </w:rPr>
              <w:t>Maximum Daily</w:t>
            </w:r>
            <w:r w:rsidR="002B5891" w:rsidRPr="00C21279">
              <w:rPr>
                <w:b/>
                <w:color w:val="000000"/>
              </w:rPr>
              <w:t xml:space="preserve"> Effluent Limit for </w:t>
            </w:r>
            <w:r>
              <w:rPr>
                <w:b/>
                <w:color w:val="000000"/>
              </w:rPr>
              <w:t>PCBs</w:t>
            </w:r>
            <w:r w:rsidR="002B5891" w:rsidRPr="00C21279">
              <w:rPr>
                <w:b/>
                <w:color w:val="000000"/>
              </w:rPr>
              <w:t xml:space="preserve"> (</w:t>
            </w:r>
            <w:r w:rsidR="002B5891" w:rsidRPr="006A40FD">
              <w:rPr>
                <w:b/>
                <w:color w:val="000000"/>
              </w:rPr>
              <w:t>µg/L</w:t>
            </w:r>
            <w:r w:rsidR="002B5891" w:rsidRPr="00C21279">
              <w:rPr>
                <w:b/>
                <w:color w:val="000000"/>
              </w:rPr>
              <w:t>)</w:t>
            </w:r>
          </w:p>
        </w:tc>
      </w:tr>
      <w:tr w:rsidR="002B5891" w:rsidRPr="00B55A80" w14:paraId="01B53626" w14:textId="77777777" w:rsidTr="00340C37">
        <w:trPr>
          <w:cantSplit/>
          <w:jc w:val="center"/>
        </w:trPr>
        <w:tc>
          <w:tcPr>
            <w:tcW w:w="7722" w:type="dxa"/>
            <w:gridSpan w:val="3"/>
            <w:tcBorders>
              <w:top w:val="single" w:sz="12" w:space="0" w:color="auto"/>
              <w:left w:val="single" w:sz="12" w:space="0" w:color="auto"/>
              <w:right w:val="single" w:sz="12" w:space="0" w:color="auto"/>
            </w:tcBorders>
            <w:shd w:val="clear" w:color="auto" w:fill="D9D9D9" w:themeFill="background1" w:themeFillShade="D9"/>
          </w:tcPr>
          <w:p w14:paraId="69807FD6" w14:textId="2FF60DA2" w:rsidR="002B5891" w:rsidRDefault="002B5891" w:rsidP="0063111E">
            <w:pPr>
              <w:jc w:val="center"/>
              <w:rPr>
                <w:color w:val="000000"/>
              </w:rPr>
            </w:pPr>
            <w:r w:rsidRPr="002B5891">
              <w:rPr>
                <w:b/>
                <w:color w:val="000000"/>
              </w:rPr>
              <w:t>Industrial Dischargers (</w:t>
            </w:r>
            <w:r w:rsidR="0000136A">
              <w:rPr>
                <w:b/>
                <w:color w:val="000000"/>
              </w:rPr>
              <w:t>Non-</w:t>
            </w:r>
            <w:r w:rsidRPr="002B5891">
              <w:rPr>
                <w:b/>
                <w:color w:val="000000"/>
              </w:rPr>
              <w:t>Petroleum Refinery)</w:t>
            </w:r>
          </w:p>
        </w:tc>
      </w:tr>
      <w:tr w:rsidR="0000136A" w:rsidRPr="00B55A80" w14:paraId="689803E2" w14:textId="77777777" w:rsidTr="00340C37">
        <w:trPr>
          <w:cantSplit/>
          <w:jc w:val="center"/>
        </w:trPr>
        <w:tc>
          <w:tcPr>
            <w:tcW w:w="3998" w:type="dxa"/>
            <w:tcBorders>
              <w:top w:val="single" w:sz="12" w:space="0" w:color="auto"/>
              <w:left w:val="single" w:sz="12" w:space="0" w:color="auto"/>
            </w:tcBorders>
            <w:shd w:val="clear" w:color="auto" w:fill="auto"/>
          </w:tcPr>
          <w:p w14:paraId="6CC7398C" w14:textId="6CBD3E6A" w:rsidR="0000136A" w:rsidRPr="00B55A80" w:rsidRDefault="0000136A" w:rsidP="0000136A">
            <w:pPr>
              <w:spacing w:before="20" w:after="20"/>
              <w:rPr>
                <w:rFonts w:eastAsia="Arial Unicode MS"/>
              </w:rPr>
            </w:pPr>
            <w:r w:rsidRPr="00B55A80">
              <w:rPr>
                <w:rFonts w:eastAsia="Arial Unicode MS"/>
              </w:rPr>
              <w:t>C&amp;H Sugar and Crockett Community Services D</w:t>
            </w:r>
            <w:r>
              <w:rPr>
                <w:rFonts w:eastAsia="Arial Unicode MS"/>
              </w:rPr>
              <w:t>istrict, Crockett Sanitary Department</w:t>
            </w:r>
          </w:p>
        </w:tc>
        <w:tc>
          <w:tcPr>
            <w:tcW w:w="1800" w:type="dxa"/>
            <w:tcBorders>
              <w:top w:val="single" w:sz="12" w:space="0" w:color="auto"/>
            </w:tcBorders>
            <w:shd w:val="clear" w:color="auto" w:fill="auto"/>
            <w:vAlign w:val="center"/>
          </w:tcPr>
          <w:p w14:paraId="31F791CB" w14:textId="1523DB99" w:rsidR="0000136A" w:rsidRPr="00B55A80" w:rsidRDefault="0000136A" w:rsidP="0000136A">
            <w:pPr>
              <w:jc w:val="center"/>
              <w:rPr>
                <w:color w:val="000000"/>
              </w:rPr>
            </w:pPr>
            <w:r>
              <w:rPr>
                <w:color w:val="000000"/>
              </w:rPr>
              <w:t>0.012</w:t>
            </w:r>
          </w:p>
        </w:tc>
        <w:tc>
          <w:tcPr>
            <w:tcW w:w="1924" w:type="dxa"/>
            <w:tcBorders>
              <w:top w:val="single" w:sz="12" w:space="0" w:color="auto"/>
              <w:right w:val="single" w:sz="12" w:space="0" w:color="auto"/>
            </w:tcBorders>
            <w:shd w:val="clear" w:color="auto" w:fill="auto"/>
            <w:vAlign w:val="center"/>
          </w:tcPr>
          <w:p w14:paraId="01A0DBD0" w14:textId="38381B90" w:rsidR="0000136A" w:rsidRPr="00B55A80" w:rsidRDefault="0000136A" w:rsidP="0000136A">
            <w:pPr>
              <w:jc w:val="center"/>
              <w:rPr>
                <w:color w:val="000000"/>
              </w:rPr>
            </w:pPr>
            <w:r>
              <w:rPr>
                <w:color w:val="000000"/>
              </w:rPr>
              <w:t>0.018</w:t>
            </w:r>
          </w:p>
        </w:tc>
      </w:tr>
      <w:tr w:rsidR="0000136A" w:rsidRPr="00B55A80" w14:paraId="50B2C191" w14:textId="77777777" w:rsidTr="006D3570">
        <w:trPr>
          <w:cantSplit/>
          <w:jc w:val="center"/>
        </w:trPr>
        <w:tc>
          <w:tcPr>
            <w:tcW w:w="3998" w:type="dxa"/>
            <w:tcBorders>
              <w:left w:val="single" w:sz="12" w:space="0" w:color="auto"/>
            </w:tcBorders>
            <w:shd w:val="clear" w:color="auto" w:fill="auto"/>
          </w:tcPr>
          <w:p w14:paraId="4E410438" w14:textId="44445C9D" w:rsidR="0000136A" w:rsidRPr="00B55A80" w:rsidRDefault="0000136A" w:rsidP="0000136A">
            <w:pPr>
              <w:spacing w:before="20" w:after="20"/>
              <w:rPr>
                <w:rFonts w:eastAsia="Arial Unicode MS"/>
              </w:rPr>
            </w:pPr>
            <w:r>
              <w:rPr>
                <w:rFonts w:eastAsia="Arial Unicode MS"/>
              </w:rPr>
              <w:t>Eco Services Operations LLC</w:t>
            </w:r>
          </w:p>
        </w:tc>
        <w:tc>
          <w:tcPr>
            <w:tcW w:w="1800" w:type="dxa"/>
            <w:shd w:val="clear" w:color="auto" w:fill="auto"/>
            <w:vAlign w:val="center"/>
          </w:tcPr>
          <w:p w14:paraId="2F4BA96B" w14:textId="425F5BA3" w:rsidR="0000136A" w:rsidRDefault="0000136A" w:rsidP="00A15B0B">
            <w:pPr>
              <w:jc w:val="center"/>
              <w:rPr>
                <w:color w:val="000000"/>
              </w:rPr>
            </w:pPr>
            <w:r>
              <w:rPr>
                <w:color w:val="000000"/>
              </w:rPr>
              <w:t>0.</w:t>
            </w:r>
            <w:r w:rsidR="00A15B0B">
              <w:rPr>
                <w:color w:val="000000"/>
              </w:rPr>
              <w:t>012</w:t>
            </w:r>
          </w:p>
        </w:tc>
        <w:tc>
          <w:tcPr>
            <w:tcW w:w="1924" w:type="dxa"/>
            <w:tcBorders>
              <w:right w:val="single" w:sz="12" w:space="0" w:color="auto"/>
            </w:tcBorders>
            <w:shd w:val="clear" w:color="auto" w:fill="auto"/>
          </w:tcPr>
          <w:p w14:paraId="04AF35E2" w14:textId="4C06CB54" w:rsidR="0000136A" w:rsidRDefault="0000136A" w:rsidP="0000136A">
            <w:pPr>
              <w:jc w:val="center"/>
              <w:rPr>
                <w:color w:val="000000"/>
              </w:rPr>
            </w:pPr>
            <w:r>
              <w:rPr>
                <w:color w:val="000000"/>
              </w:rPr>
              <w:t>0.018</w:t>
            </w:r>
          </w:p>
        </w:tc>
      </w:tr>
      <w:tr w:rsidR="0000136A" w:rsidRPr="00B55A80" w14:paraId="0965CCDC" w14:textId="77777777" w:rsidTr="00340C37">
        <w:trPr>
          <w:cantSplit/>
          <w:jc w:val="center"/>
        </w:trPr>
        <w:tc>
          <w:tcPr>
            <w:tcW w:w="3998" w:type="dxa"/>
            <w:tcBorders>
              <w:left w:val="single" w:sz="12" w:space="0" w:color="auto"/>
              <w:bottom w:val="single" w:sz="12" w:space="0" w:color="auto"/>
            </w:tcBorders>
            <w:shd w:val="clear" w:color="auto" w:fill="auto"/>
          </w:tcPr>
          <w:p w14:paraId="4D73BD60" w14:textId="0F243E8B" w:rsidR="0000136A" w:rsidRPr="00B55A80" w:rsidRDefault="0000136A" w:rsidP="0000136A">
            <w:pPr>
              <w:spacing w:before="20" w:after="20"/>
            </w:pPr>
            <w:r w:rsidRPr="00B55A80">
              <w:rPr>
                <w:rFonts w:eastAsia="Arial Unicode MS"/>
              </w:rPr>
              <w:t>USS-Posco Industries</w:t>
            </w:r>
          </w:p>
        </w:tc>
        <w:tc>
          <w:tcPr>
            <w:tcW w:w="1800" w:type="dxa"/>
            <w:tcBorders>
              <w:bottom w:val="single" w:sz="12" w:space="0" w:color="auto"/>
            </w:tcBorders>
            <w:shd w:val="clear" w:color="auto" w:fill="auto"/>
            <w:vAlign w:val="center"/>
          </w:tcPr>
          <w:p w14:paraId="6C34F645" w14:textId="04D35584" w:rsidR="0000136A" w:rsidRPr="00B55A80" w:rsidRDefault="0000136A" w:rsidP="00A15B0B">
            <w:pPr>
              <w:jc w:val="center"/>
              <w:rPr>
                <w:color w:val="000000"/>
              </w:rPr>
            </w:pPr>
            <w:r>
              <w:rPr>
                <w:color w:val="000000"/>
              </w:rPr>
              <w:t>0.</w:t>
            </w:r>
            <w:r w:rsidR="00A15B0B">
              <w:rPr>
                <w:color w:val="000000"/>
              </w:rPr>
              <w:t>012</w:t>
            </w:r>
          </w:p>
        </w:tc>
        <w:tc>
          <w:tcPr>
            <w:tcW w:w="1924" w:type="dxa"/>
            <w:tcBorders>
              <w:bottom w:val="single" w:sz="12" w:space="0" w:color="auto"/>
              <w:right w:val="single" w:sz="12" w:space="0" w:color="auto"/>
            </w:tcBorders>
            <w:shd w:val="clear" w:color="auto" w:fill="auto"/>
            <w:vAlign w:val="center"/>
          </w:tcPr>
          <w:p w14:paraId="46D8B292" w14:textId="4A457585" w:rsidR="0000136A" w:rsidRPr="00B55A80" w:rsidRDefault="0000136A" w:rsidP="0000136A">
            <w:pPr>
              <w:jc w:val="center"/>
              <w:rPr>
                <w:color w:val="000000"/>
              </w:rPr>
            </w:pPr>
            <w:r>
              <w:rPr>
                <w:color w:val="000000"/>
              </w:rPr>
              <w:t>0.018</w:t>
            </w:r>
          </w:p>
        </w:tc>
      </w:tr>
      <w:tr w:rsidR="0000136A" w:rsidRPr="00B55A80" w14:paraId="78ECC70B" w14:textId="77777777" w:rsidTr="00340C37">
        <w:trPr>
          <w:cantSplit/>
          <w:jc w:val="center"/>
        </w:trPr>
        <w:tc>
          <w:tcPr>
            <w:tcW w:w="7722" w:type="dxa"/>
            <w:gridSpan w:val="3"/>
            <w:tcBorders>
              <w:top w:val="single" w:sz="12" w:space="0" w:color="auto"/>
              <w:left w:val="single" w:sz="12" w:space="0" w:color="auto"/>
              <w:right w:val="single" w:sz="12" w:space="0" w:color="auto"/>
            </w:tcBorders>
            <w:shd w:val="clear" w:color="auto" w:fill="D9D9D9" w:themeFill="background1" w:themeFillShade="D9"/>
          </w:tcPr>
          <w:p w14:paraId="260069EF" w14:textId="7A9DA113" w:rsidR="0000136A" w:rsidRPr="006A40FD" w:rsidRDefault="0000136A" w:rsidP="0000136A">
            <w:pPr>
              <w:jc w:val="center"/>
              <w:rPr>
                <w:color w:val="000000"/>
              </w:rPr>
            </w:pPr>
            <w:r w:rsidRPr="002B5891">
              <w:rPr>
                <w:b/>
                <w:color w:val="000000"/>
              </w:rPr>
              <w:t>Industrial Dischargers (Petroleum Refinery)</w:t>
            </w:r>
          </w:p>
        </w:tc>
      </w:tr>
      <w:tr w:rsidR="0000136A" w:rsidRPr="00B55A80" w14:paraId="6916FB30" w14:textId="77777777" w:rsidTr="005230D6">
        <w:trPr>
          <w:cantSplit/>
          <w:jc w:val="center"/>
        </w:trPr>
        <w:tc>
          <w:tcPr>
            <w:tcW w:w="3998" w:type="dxa"/>
            <w:tcBorders>
              <w:top w:val="single" w:sz="12" w:space="0" w:color="auto"/>
              <w:left w:val="single" w:sz="12" w:space="0" w:color="auto"/>
            </w:tcBorders>
            <w:shd w:val="clear" w:color="auto" w:fill="auto"/>
          </w:tcPr>
          <w:p w14:paraId="2EB1FCF2" w14:textId="7BC3815C" w:rsidR="0000136A" w:rsidRPr="00B55A80" w:rsidRDefault="0000136A" w:rsidP="0000136A">
            <w:pPr>
              <w:spacing w:before="20" w:after="20"/>
            </w:pPr>
            <w:r w:rsidRPr="00B55A80">
              <w:t>Chevron Products Company</w:t>
            </w:r>
          </w:p>
        </w:tc>
        <w:tc>
          <w:tcPr>
            <w:tcW w:w="1800" w:type="dxa"/>
            <w:tcBorders>
              <w:top w:val="single" w:sz="12" w:space="0" w:color="auto"/>
            </w:tcBorders>
            <w:shd w:val="clear" w:color="auto" w:fill="auto"/>
            <w:vAlign w:val="center"/>
          </w:tcPr>
          <w:p w14:paraId="7D41949F" w14:textId="2F33DCB8" w:rsidR="0000136A" w:rsidRPr="00B55A80" w:rsidRDefault="0000136A" w:rsidP="0000136A">
            <w:pPr>
              <w:jc w:val="center"/>
              <w:rPr>
                <w:color w:val="000000"/>
              </w:rPr>
            </w:pPr>
            <w:r>
              <w:rPr>
                <w:color w:val="000000"/>
              </w:rPr>
              <w:t>0.00095</w:t>
            </w:r>
          </w:p>
        </w:tc>
        <w:tc>
          <w:tcPr>
            <w:tcW w:w="1924" w:type="dxa"/>
            <w:tcBorders>
              <w:top w:val="single" w:sz="12" w:space="0" w:color="auto"/>
              <w:right w:val="single" w:sz="12" w:space="0" w:color="auto"/>
            </w:tcBorders>
            <w:shd w:val="clear" w:color="auto" w:fill="auto"/>
            <w:vAlign w:val="center"/>
          </w:tcPr>
          <w:p w14:paraId="57EF8741" w14:textId="73530227" w:rsidR="0000136A" w:rsidRPr="00B55A80" w:rsidRDefault="0000136A" w:rsidP="0000136A">
            <w:pPr>
              <w:jc w:val="center"/>
              <w:rPr>
                <w:color w:val="000000"/>
              </w:rPr>
            </w:pPr>
            <w:r>
              <w:rPr>
                <w:color w:val="000000"/>
              </w:rPr>
              <w:t>0.0015</w:t>
            </w:r>
          </w:p>
        </w:tc>
      </w:tr>
      <w:tr w:rsidR="0000136A" w:rsidRPr="00B55A80" w14:paraId="4B5F4CBF" w14:textId="77777777" w:rsidTr="00421B9A">
        <w:trPr>
          <w:cantSplit/>
          <w:jc w:val="center"/>
        </w:trPr>
        <w:tc>
          <w:tcPr>
            <w:tcW w:w="3998" w:type="dxa"/>
            <w:tcBorders>
              <w:left w:val="single" w:sz="12" w:space="0" w:color="auto"/>
            </w:tcBorders>
            <w:shd w:val="clear" w:color="auto" w:fill="auto"/>
          </w:tcPr>
          <w:p w14:paraId="48F38E60" w14:textId="0DBBAE82" w:rsidR="0000136A" w:rsidRPr="00B55A80" w:rsidRDefault="0000136A" w:rsidP="0000136A">
            <w:pPr>
              <w:spacing w:before="20" w:after="20"/>
              <w:rPr>
                <w:rFonts w:eastAsia="Arial Unicode MS"/>
              </w:rPr>
            </w:pPr>
            <w:r w:rsidRPr="00B55A80">
              <w:t xml:space="preserve">Phillips 66 </w:t>
            </w:r>
          </w:p>
        </w:tc>
        <w:tc>
          <w:tcPr>
            <w:tcW w:w="1800" w:type="dxa"/>
            <w:shd w:val="clear" w:color="auto" w:fill="auto"/>
            <w:vAlign w:val="center"/>
          </w:tcPr>
          <w:p w14:paraId="42A9D603" w14:textId="6475D678" w:rsidR="0000136A" w:rsidRDefault="0000136A" w:rsidP="0000136A">
            <w:pPr>
              <w:jc w:val="center"/>
              <w:rPr>
                <w:color w:val="000000"/>
              </w:rPr>
            </w:pPr>
            <w:r>
              <w:rPr>
                <w:color w:val="000000"/>
              </w:rPr>
              <w:t>0.00095</w:t>
            </w:r>
          </w:p>
        </w:tc>
        <w:tc>
          <w:tcPr>
            <w:tcW w:w="1924" w:type="dxa"/>
            <w:tcBorders>
              <w:right w:val="single" w:sz="12" w:space="0" w:color="auto"/>
            </w:tcBorders>
            <w:shd w:val="clear" w:color="auto" w:fill="auto"/>
          </w:tcPr>
          <w:p w14:paraId="08840277" w14:textId="14EFFE4A" w:rsidR="0000136A" w:rsidRDefault="0000136A" w:rsidP="0000136A">
            <w:pPr>
              <w:jc w:val="center"/>
              <w:rPr>
                <w:color w:val="000000"/>
              </w:rPr>
            </w:pPr>
            <w:r>
              <w:rPr>
                <w:color w:val="000000"/>
              </w:rPr>
              <w:t>0.0015</w:t>
            </w:r>
          </w:p>
        </w:tc>
      </w:tr>
      <w:tr w:rsidR="0000136A" w:rsidRPr="00B55A80" w14:paraId="698A059F" w14:textId="77777777" w:rsidTr="00AB62BE">
        <w:trPr>
          <w:cantSplit/>
          <w:jc w:val="center"/>
        </w:trPr>
        <w:tc>
          <w:tcPr>
            <w:tcW w:w="3998" w:type="dxa"/>
            <w:tcBorders>
              <w:left w:val="single" w:sz="12" w:space="0" w:color="auto"/>
            </w:tcBorders>
            <w:shd w:val="clear" w:color="auto" w:fill="auto"/>
          </w:tcPr>
          <w:p w14:paraId="763CC6D5" w14:textId="55FB15C1" w:rsidR="0000136A" w:rsidRDefault="0000136A" w:rsidP="0000136A">
            <w:pPr>
              <w:spacing w:before="20" w:after="20"/>
              <w:rPr>
                <w:rFonts w:eastAsia="Arial Unicode MS"/>
              </w:rPr>
            </w:pPr>
            <w:r w:rsidRPr="00B55A80">
              <w:rPr>
                <w:rFonts w:eastAsia="Arial Unicode MS"/>
              </w:rPr>
              <w:t>Shell Oil Products US and Equilon Enterprises LLC</w:t>
            </w:r>
          </w:p>
        </w:tc>
        <w:tc>
          <w:tcPr>
            <w:tcW w:w="1800" w:type="dxa"/>
            <w:shd w:val="clear" w:color="auto" w:fill="auto"/>
            <w:vAlign w:val="center"/>
          </w:tcPr>
          <w:p w14:paraId="14A4D444" w14:textId="1C7E61C9" w:rsidR="0000136A" w:rsidRDefault="0000136A" w:rsidP="0000136A">
            <w:pPr>
              <w:jc w:val="center"/>
              <w:rPr>
                <w:color w:val="000000"/>
              </w:rPr>
            </w:pPr>
            <w:r>
              <w:rPr>
                <w:color w:val="000000"/>
              </w:rPr>
              <w:t>0.00095</w:t>
            </w:r>
          </w:p>
        </w:tc>
        <w:tc>
          <w:tcPr>
            <w:tcW w:w="1924" w:type="dxa"/>
            <w:tcBorders>
              <w:right w:val="single" w:sz="12" w:space="0" w:color="auto"/>
            </w:tcBorders>
            <w:shd w:val="clear" w:color="auto" w:fill="auto"/>
            <w:vAlign w:val="center"/>
          </w:tcPr>
          <w:p w14:paraId="126FE3FC" w14:textId="377A193D" w:rsidR="0000136A" w:rsidRDefault="0000136A" w:rsidP="0000136A">
            <w:pPr>
              <w:jc w:val="center"/>
              <w:rPr>
                <w:color w:val="000000"/>
              </w:rPr>
            </w:pPr>
            <w:r>
              <w:rPr>
                <w:color w:val="000000"/>
              </w:rPr>
              <w:t>0.0015</w:t>
            </w:r>
          </w:p>
        </w:tc>
      </w:tr>
      <w:tr w:rsidR="0000136A" w:rsidRPr="00B55A80" w14:paraId="23B4DC3C" w14:textId="77777777" w:rsidTr="00AB62BE">
        <w:trPr>
          <w:cantSplit/>
          <w:jc w:val="center"/>
        </w:trPr>
        <w:tc>
          <w:tcPr>
            <w:tcW w:w="3998" w:type="dxa"/>
            <w:tcBorders>
              <w:left w:val="single" w:sz="12" w:space="0" w:color="auto"/>
            </w:tcBorders>
            <w:shd w:val="clear" w:color="auto" w:fill="auto"/>
          </w:tcPr>
          <w:p w14:paraId="23AE6825" w14:textId="6226FBFF" w:rsidR="0000136A" w:rsidRDefault="0000136A" w:rsidP="0000136A">
            <w:pPr>
              <w:spacing w:before="20" w:after="20"/>
              <w:rPr>
                <w:rFonts w:eastAsia="Arial Unicode MS"/>
              </w:rPr>
            </w:pPr>
            <w:r w:rsidRPr="00B55A80">
              <w:rPr>
                <w:rFonts w:eastAsia="Arial Unicode MS"/>
              </w:rPr>
              <w:t>Tesoro Refining &amp; Marketing Co.</w:t>
            </w:r>
          </w:p>
        </w:tc>
        <w:tc>
          <w:tcPr>
            <w:tcW w:w="1800" w:type="dxa"/>
            <w:shd w:val="clear" w:color="auto" w:fill="auto"/>
            <w:vAlign w:val="center"/>
          </w:tcPr>
          <w:p w14:paraId="74DE1633" w14:textId="0C9E4061" w:rsidR="0000136A" w:rsidRDefault="0000136A" w:rsidP="0000136A">
            <w:pPr>
              <w:jc w:val="center"/>
              <w:rPr>
                <w:color w:val="000000"/>
              </w:rPr>
            </w:pPr>
            <w:r>
              <w:rPr>
                <w:color w:val="000000"/>
              </w:rPr>
              <w:t>0.00095</w:t>
            </w:r>
          </w:p>
        </w:tc>
        <w:tc>
          <w:tcPr>
            <w:tcW w:w="1924" w:type="dxa"/>
            <w:tcBorders>
              <w:right w:val="single" w:sz="12" w:space="0" w:color="auto"/>
            </w:tcBorders>
            <w:shd w:val="clear" w:color="auto" w:fill="auto"/>
            <w:vAlign w:val="center"/>
          </w:tcPr>
          <w:p w14:paraId="07069CAA" w14:textId="2E187B71" w:rsidR="0000136A" w:rsidRDefault="0000136A" w:rsidP="0000136A">
            <w:pPr>
              <w:jc w:val="center"/>
              <w:rPr>
                <w:color w:val="000000"/>
              </w:rPr>
            </w:pPr>
            <w:r>
              <w:rPr>
                <w:color w:val="000000"/>
              </w:rPr>
              <w:t>0.0015</w:t>
            </w:r>
          </w:p>
        </w:tc>
      </w:tr>
      <w:tr w:rsidR="0000136A" w:rsidRPr="00B55A80" w14:paraId="71FBDF6B" w14:textId="77777777" w:rsidTr="00340C37">
        <w:trPr>
          <w:cantSplit/>
          <w:jc w:val="center"/>
        </w:trPr>
        <w:tc>
          <w:tcPr>
            <w:tcW w:w="3998" w:type="dxa"/>
            <w:tcBorders>
              <w:left w:val="single" w:sz="12" w:space="0" w:color="auto"/>
              <w:bottom w:val="single" w:sz="12" w:space="0" w:color="auto"/>
            </w:tcBorders>
            <w:shd w:val="clear" w:color="auto" w:fill="auto"/>
          </w:tcPr>
          <w:p w14:paraId="2CDE948D" w14:textId="67FD8B6A" w:rsidR="0000136A" w:rsidRPr="00B55A80" w:rsidRDefault="0000136A" w:rsidP="0000136A">
            <w:pPr>
              <w:spacing w:before="20" w:after="20"/>
              <w:rPr>
                <w:rFonts w:eastAsia="Arial Unicode MS"/>
              </w:rPr>
            </w:pPr>
            <w:r w:rsidRPr="00B55A80">
              <w:rPr>
                <w:rFonts w:eastAsia="Arial Unicode MS"/>
              </w:rPr>
              <w:t>Valero Refining Company</w:t>
            </w:r>
          </w:p>
        </w:tc>
        <w:tc>
          <w:tcPr>
            <w:tcW w:w="1800" w:type="dxa"/>
            <w:tcBorders>
              <w:bottom w:val="single" w:sz="12" w:space="0" w:color="auto"/>
            </w:tcBorders>
            <w:shd w:val="clear" w:color="auto" w:fill="auto"/>
            <w:vAlign w:val="center"/>
          </w:tcPr>
          <w:p w14:paraId="71F5A881" w14:textId="463173D4" w:rsidR="0000136A" w:rsidRDefault="0000136A" w:rsidP="0000136A">
            <w:pPr>
              <w:jc w:val="center"/>
              <w:rPr>
                <w:color w:val="000000"/>
              </w:rPr>
            </w:pPr>
            <w:r>
              <w:rPr>
                <w:color w:val="000000"/>
              </w:rPr>
              <w:t>0.00095</w:t>
            </w:r>
          </w:p>
        </w:tc>
        <w:tc>
          <w:tcPr>
            <w:tcW w:w="1924" w:type="dxa"/>
            <w:tcBorders>
              <w:bottom w:val="single" w:sz="12" w:space="0" w:color="auto"/>
              <w:right w:val="single" w:sz="12" w:space="0" w:color="auto"/>
            </w:tcBorders>
            <w:shd w:val="clear" w:color="auto" w:fill="auto"/>
            <w:vAlign w:val="center"/>
          </w:tcPr>
          <w:p w14:paraId="784E6169" w14:textId="043E237F" w:rsidR="0000136A" w:rsidRDefault="0000136A" w:rsidP="0000136A">
            <w:pPr>
              <w:jc w:val="center"/>
              <w:rPr>
                <w:color w:val="000000"/>
              </w:rPr>
            </w:pPr>
            <w:r>
              <w:rPr>
                <w:color w:val="000000"/>
              </w:rPr>
              <w:t>0.0015</w:t>
            </w:r>
          </w:p>
        </w:tc>
      </w:tr>
    </w:tbl>
    <w:p w14:paraId="24562E1E" w14:textId="3C3BF73A" w:rsidR="002B5891" w:rsidRPr="00AD16C3" w:rsidRDefault="00EC63E1" w:rsidP="00340C37">
      <w:pPr>
        <w:pStyle w:val="blankspacesaftertables"/>
        <w:tabs>
          <w:tab w:val="left" w:pos="540"/>
        </w:tabs>
        <w:spacing w:before="60" w:after="60"/>
        <w:ind w:firstLine="1170"/>
        <w:rPr>
          <w:sz w:val="18"/>
          <w:szCs w:val="18"/>
          <w:u w:val="single"/>
        </w:rPr>
      </w:pPr>
      <w:r>
        <w:rPr>
          <w:sz w:val="18"/>
          <w:szCs w:val="18"/>
          <w:u w:val="single"/>
        </w:rPr>
        <w:t>Unit Abbreviation</w:t>
      </w:r>
      <w:r w:rsidR="002B5891" w:rsidRPr="00AD16C3">
        <w:rPr>
          <w:sz w:val="18"/>
          <w:szCs w:val="18"/>
          <w:u w:val="single"/>
        </w:rPr>
        <w:t>:</w:t>
      </w:r>
    </w:p>
    <w:p w14:paraId="7C0C8701" w14:textId="650793D5" w:rsidR="002B5891" w:rsidRPr="00AD16C3" w:rsidRDefault="00340C37" w:rsidP="00340C37">
      <w:pPr>
        <w:pStyle w:val="blankspacesaftertables"/>
        <w:tabs>
          <w:tab w:val="left" w:pos="1170"/>
        </w:tabs>
        <w:rPr>
          <w:sz w:val="18"/>
          <w:szCs w:val="18"/>
        </w:rPr>
      </w:pPr>
      <w:r>
        <w:rPr>
          <w:sz w:val="18"/>
          <w:szCs w:val="18"/>
        </w:rPr>
        <w:tab/>
      </w:r>
      <w:r w:rsidR="002B5891">
        <w:rPr>
          <w:sz w:val="18"/>
          <w:szCs w:val="18"/>
        </w:rPr>
        <w:t xml:space="preserve">µg/L </w:t>
      </w:r>
      <w:r w:rsidR="002B5891" w:rsidRPr="00AD16C3">
        <w:rPr>
          <w:sz w:val="18"/>
          <w:szCs w:val="18"/>
        </w:rPr>
        <w:t>= micrograms per liter</w:t>
      </w:r>
    </w:p>
    <w:p w14:paraId="212D775C" w14:textId="77777777" w:rsidR="002B5891" w:rsidRPr="00443BE4" w:rsidRDefault="002B5891" w:rsidP="00443BE4">
      <w:pPr>
        <w:pStyle w:val="TableFootnotes"/>
        <w:ind w:left="540" w:hanging="270"/>
        <w:rPr>
          <w:rFonts w:ascii="Times New Roman" w:hAnsi="Times New Roman"/>
          <w:bCs/>
          <w:color w:val="000000" w:themeColor="text1"/>
        </w:rPr>
      </w:pPr>
    </w:p>
    <w:p w14:paraId="3BAD2BB3" w14:textId="30DDD8E2" w:rsidR="00F878D4" w:rsidRPr="002A5B99" w:rsidRDefault="00F878D4">
      <w:pPr>
        <w:pStyle w:val="Heading1"/>
        <w:rPr>
          <w:rFonts w:ascii="Times New Roman" w:hAnsi="Times New Roman"/>
          <w:color w:val="000000" w:themeColor="text1"/>
          <w:sz w:val="24"/>
        </w:rPr>
      </w:pPr>
      <w:bookmarkStart w:id="21" w:name="_Toc93309574"/>
      <w:bookmarkStart w:id="22" w:name="_Toc340137580"/>
      <w:bookmarkStart w:id="23" w:name="_Toc488046255"/>
      <w:bookmarkEnd w:id="19"/>
      <w:bookmarkEnd w:id="20"/>
      <w:r w:rsidRPr="002A5B99">
        <w:rPr>
          <w:rFonts w:ascii="Times New Roman" w:hAnsi="Times New Roman"/>
          <w:color w:val="000000" w:themeColor="text1"/>
          <w:sz w:val="24"/>
        </w:rPr>
        <w:t>V.</w:t>
      </w:r>
      <w:r w:rsidRPr="002A5B99">
        <w:rPr>
          <w:rFonts w:ascii="Times New Roman" w:hAnsi="Times New Roman"/>
          <w:color w:val="000000" w:themeColor="text1"/>
          <w:sz w:val="24"/>
        </w:rPr>
        <w:tab/>
        <w:t>Receiving Water Limitations</w:t>
      </w:r>
      <w:bookmarkEnd w:id="21"/>
      <w:bookmarkEnd w:id="22"/>
      <w:bookmarkEnd w:id="23"/>
    </w:p>
    <w:p w14:paraId="64F8CB9B" w14:textId="17B5AC03" w:rsidR="00F878D4" w:rsidRPr="002A5B99" w:rsidRDefault="008D7C82" w:rsidP="008D7C82">
      <w:pPr>
        <w:pStyle w:val="H-indent5025"/>
        <w:tabs>
          <w:tab w:val="clear" w:pos="1080"/>
          <w:tab w:val="left" w:pos="360"/>
        </w:tabs>
        <w:ind w:left="360" w:firstLine="0"/>
        <w:rPr>
          <w:rFonts w:ascii="Times New Roman" w:hAnsi="Times New Roman" w:cs="Times New Roman"/>
          <w:color w:val="000000" w:themeColor="text1"/>
        </w:rPr>
      </w:pPr>
      <w:r w:rsidRPr="002A5B99">
        <w:rPr>
          <w:rFonts w:ascii="Times New Roman" w:hAnsi="Times New Roman" w:cs="Times New Roman"/>
          <w:color w:val="000000" w:themeColor="text1"/>
        </w:rPr>
        <w:t>This Order continues receiving water limitations that are specified in the individual NPDES permits listed in Attachment B.</w:t>
      </w:r>
    </w:p>
    <w:p w14:paraId="37A7D998" w14:textId="77777777" w:rsidR="00F878D4" w:rsidRPr="002A5B99" w:rsidRDefault="00F878D4">
      <w:pPr>
        <w:pStyle w:val="Heading1"/>
        <w:rPr>
          <w:rFonts w:ascii="Times New Roman" w:hAnsi="Times New Roman"/>
          <w:color w:val="000000" w:themeColor="text1"/>
          <w:sz w:val="24"/>
        </w:rPr>
      </w:pPr>
      <w:bookmarkStart w:id="24" w:name="_Toc340137581"/>
      <w:bookmarkStart w:id="25" w:name="_Toc488046256"/>
      <w:bookmarkStart w:id="26" w:name="_Toc93309577"/>
      <w:r w:rsidRPr="002A5B99">
        <w:rPr>
          <w:rFonts w:ascii="Times New Roman" w:hAnsi="Times New Roman"/>
          <w:color w:val="000000" w:themeColor="text1"/>
          <w:sz w:val="24"/>
        </w:rPr>
        <w:lastRenderedPageBreak/>
        <w:t>VI.</w:t>
      </w:r>
      <w:r w:rsidRPr="002A5B99">
        <w:rPr>
          <w:rFonts w:ascii="Times New Roman" w:hAnsi="Times New Roman"/>
          <w:color w:val="000000" w:themeColor="text1"/>
          <w:sz w:val="24"/>
        </w:rPr>
        <w:tab/>
        <w:t>Provisions</w:t>
      </w:r>
      <w:bookmarkEnd w:id="24"/>
      <w:bookmarkEnd w:id="25"/>
    </w:p>
    <w:p w14:paraId="3D535F5B" w14:textId="77777777" w:rsidR="00F878D4" w:rsidRPr="002A5B99" w:rsidRDefault="00F878D4">
      <w:pPr>
        <w:pStyle w:val="Heading2"/>
        <w:rPr>
          <w:rFonts w:ascii="Times New Roman" w:hAnsi="Times New Roman" w:cs="Times New Roman"/>
          <w:color w:val="000000" w:themeColor="text1"/>
          <w:sz w:val="24"/>
          <w:szCs w:val="24"/>
        </w:rPr>
      </w:pPr>
      <w:bookmarkStart w:id="27" w:name="_Toc133309165"/>
      <w:bookmarkStart w:id="28" w:name="_Toc340137582"/>
      <w:bookmarkStart w:id="29" w:name="_Toc488046257"/>
      <w:r w:rsidRPr="002A5B99">
        <w:rPr>
          <w:rFonts w:ascii="Times New Roman" w:hAnsi="Times New Roman" w:cs="Times New Roman"/>
          <w:color w:val="000000" w:themeColor="text1"/>
          <w:sz w:val="24"/>
          <w:szCs w:val="24"/>
        </w:rPr>
        <w:t>A.</w:t>
      </w:r>
      <w:r w:rsidRPr="002A5B99">
        <w:rPr>
          <w:rFonts w:ascii="Times New Roman" w:hAnsi="Times New Roman" w:cs="Times New Roman"/>
          <w:color w:val="000000" w:themeColor="text1"/>
          <w:sz w:val="24"/>
          <w:szCs w:val="24"/>
        </w:rPr>
        <w:tab/>
        <w:t>Standard Provisions</w:t>
      </w:r>
      <w:bookmarkEnd w:id="27"/>
      <w:bookmarkEnd w:id="28"/>
      <w:bookmarkEnd w:id="29"/>
    </w:p>
    <w:p w14:paraId="1D6EDF00" w14:textId="4363F435" w:rsidR="0008496B" w:rsidRPr="002A5B99" w:rsidRDefault="0008496B" w:rsidP="0008496B">
      <w:pPr>
        <w:pStyle w:val="H-indent5025"/>
        <w:tabs>
          <w:tab w:val="clear" w:pos="1080"/>
          <w:tab w:val="left" w:pos="720"/>
        </w:tabs>
        <w:ind w:left="720" w:firstLine="0"/>
        <w:rPr>
          <w:rFonts w:ascii="Times New Roman" w:hAnsi="Times New Roman" w:cs="Times New Roman"/>
          <w:color w:val="000000" w:themeColor="text1"/>
        </w:rPr>
      </w:pPr>
      <w:r w:rsidRPr="002A5B99">
        <w:rPr>
          <w:rFonts w:ascii="Times New Roman" w:hAnsi="Times New Roman" w:cs="Times New Roman"/>
          <w:color w:val="000000" w:themeColor="text1"/>
        </w:rPr>
        <w:t>Dischargers shall comply with the Federal and Regional Standard Provisions included in Attachments D and G, as amended, of their individual NPDES permits listed in Attachment B</w:t>
      </w:r>
      <w:r w:rsidR="00AA2A73" w:rsidRPr="002A5B99">
        <w:rPr>
          <w:rFonts w:ascii="Times New Roman" w:hAnsi="Times New Roman" w:cs="Times New Roman"/>
          <w:color w:val="000000" w:themeColor="text1"/>
        </w:rPr>
        <w:t xml:space="preserve"> of this Order</w:t>
      </w:r>
      <w:r w:rsidRPr="002A5B99">
        <w:rPr>
          <w:rFonts w:ascii="Times New Roman" w:hAnsi="Times New Roman" w:cs="Times New Roman"/>
          <w:color w:val="000000" w:themeColor="text1"/>
        </w:rPr>
        <w:t>.</w:t>
      </w:r>
    </w:p>
    <w:p w14:paraId="58145474" w14:textId="77777777" w:rsidR="00F878D4" w:rsidRPr="002A5B99" w:rsidRDefault="00F878D4">
      <w:pPr>
        <w:pStyle w:val="Heading2"/>
        <w:rPr>
          <w:rFonts w:ascii="Times New Roman" w:hAnsi="Times New Roman" w:cs="Times New Roman"/>
          <w:color w:val="000000" w:themeColor="text1"/>
          <w:sz w:val="24"/>
          <w:szCs w:val="24"/>
        </w:rPr>
      </w:pPr>
      <w:bookmarkStart w:id="30" w:name="_Toc133309166"/>
      <w:bookmarkStart w:id="31" w:name="_Toc340137583"/>
      <w:bookmarkStart w:id="32" w:name="_Toc488046258"/>
      <w:r w:rsidRPr="002A5B99">
        <w:rPr>
          <w:rFonts w:ascii="Times New Roman" w:hAnsi="Times New Roman" w:cs="Times New Roman"/>
          <w:color w:val="000000" w:themeColor="text1"/>
          <w:sz w:val="24"/>
          <w:szCs w:val="24"/>
        </w:rPr>
        <w:t>B.</w:t>
      </w:r>
      <w:r w:rsidRPr="002A5B99">
        <w:rPr>
          <w:rFonts w:ascii="Times New Roman" w:hAnsi="Times New Roman" w:cs="Times New Roman"/>
          <w:color w:val="000000" w:themeColor="text1"/>
          <w:sz w:val="24"/>
          <w:szCs w:val="24"/>
        </w:rPr>
        <w:tab/>
      </w:r>
      <w:r w:rsidR="006B3726" w:rsidRPr="002A5B99">
        <w:rPr>
          <w:rFonts w:ascii="Times New Roman" w:hAnsi="Times New Roman" w:cs="Times New Roman"/>
          <w:color w:val="000000" w:themeColor="text1"/>
          <w:sz w:val="24"/>
          <w:szCs w:val="24"/>
        </w:rPr>
        <w:t>Monitoring and Reporting</w:t>
      </w:r>
      <w:bookmarkEnd w:id="30"/>
      <w:bookmarkEnd w:id="31"/>
      <w:bookmarkEnd w:id="32"/>
    </w:p>
    <w:p w14:paraId="1EF8D137" w14:textId="682719FD" w:rsidR="00F878D4" w:rsidRPr="002A5B99" w:rsidRDefault="00F878D4">
      <w:pPr>
        <w:pStyle w:val="Indent50"/>
        <w:rPr>
          <w:color w:val="000000" w:themeColor="text1"/>
          <w:sz w:val="24"/>
        </w:rPr>
      </w:pPr>
      <w:r w:rsidRPr="002A5B99">
        <w:rPr>
          <w:color w:val="000000" w:themeColor="text1"/>
          <w:sz w:val="24"/>
        </w:rPr>
        <w:t>Discharger</w:t>
      </w:r>
      <w:r w:rsidR="00EC5CB6" w:rsidRPr="002A5B99">
        <w:rPr>
          <w:color w:val="000000" w:themeColor="text1"/>
          <w:sz w:val="24"/>
        </w:rPr>
        <w:t>s</w:t>
      </w:r>
      <w:r w:rsidRPr="002A5B99">
        <w:rPr>
          <w:color w:val="000000" w:themeColor="text1"/>
          <w:sz w:val="24"/>
        </w:rPr>
        <w:t xml:space="preserve"> shall comply with the MRP</w:t>
      </w:r>
      <w:r w:rsidR="00D81F15" w:rsidRPr="002A5B99">
        <w:rPr>
          <w:color w:val="000000" w:themeColor="text1"/>
          <w:sz w:val="24"/>
        </w:rPr>
        <w:t xml:space="preserve"> (Attachment E)</w:t>
      </w:r>
      <w:r w:rsidR="00AA2A73" w:rsidRPr="002A5B99">
        <w:rPr>
          <w:color w:val="000000" w:themeColor="text1"/>
          <w:sz w:val="24"/>
        </w:rPr>
        <w:t xml:space="preserve"> </w:t>
      </w:r>
      <w:r w:rsidR="00272A7B" w:rsidRPr="002A5B99">
        <w:rPr>
          <w:color w:val="000000" w:themeColor="text1"/>
          <w:sz w:val="24"/>
        </w:rPr>
        <w:t>and future revisions thereto</w:t>
      </w:r>
      <w:r w:rsidR="00E17515" w:rsidRPr="002A5B99">
        <w:rPr>
          <w:color w:val="000000" w:themeColor="text1"/>
          <w:sz w:val="24"/>
        </w:rPr>
        <w:t xml:space="preserve"> and</w:t>
      </w:r>
      <w:r w:rsidRPr="002A5B99">
        <w:rPr>
          <w:color w:val="000000" w:themeColor="text1"/>
          <w:sz w:val="24"/>
        </w:rPr>
        <w:t xml:space="preserve"> applicable sampling and reporting requirements in </w:t>
      </w:r>
      <w:r w:rsidR="00E17515" w:rsidRPr="002A5B99">
        <w:rPr>
          <w:color w:val="000000" w:themeColor="text1"/>
          <w:sz w:val="24"/>
        </w:rPr>
        <w:t>Attachments D and G</w:t>
      </w:r>
      <w:r w:rsidR="00AA2A73" w:rsidRPr="002A5B99">
        <w:rPr>
          <w:color w:val="000000" w:themeColor="text1"/>
          <w:sz w:val="24"/>
        </w:rPr>
        <w:t>, as amended, of their individual NPDES permits listed in Attachment B of this Order.</w:t>
      </w:r>
    </w:p>
    <w:p w14:paraId="4A7EF41C" w14:textId="6FAEE8B1" w:rsidR="00F878D4" w:rsidRDefault="00F878D4" w:rsidP="00F009DF">
      <w:pPr>
        <w:pStyle w:val="Heading2"/>
        <w:numPr>
          <w:ilvl w:val="0"/>
          <w:numId w:val="28"/>
        </w:numPr>
        <w:rPr>
          <w:rFonts w:ascii="Times New Roman" w:hAnsi="Times New Roman" w:cs="Times New Roman"/>
          <w:color w:val="000000" w:themeColor="text1"/>
          <w:sz w:val="24"/>
          <w:szCs w:val="24"/>
        </w:rPr>
      </w:pPr>
      <w:bookmarkStart w:id="33" w:name="_Toc133309167"/>
      <w:bookmarkStart w:id="34" w:name="_Toc340137584"/>
      <w:bookmarkStart w:id="35" w:name="_Toc488046259"/>
      <w:r w:rsidRPr="002A5B99">
        <w:rPr>
          <w:rFonts w:ascii="Times New Roman" w:hAnsi="Times New Roman" w:cs="Times New Roman"/>
          <w:color w:val="000000" w:themeColor="text1"/>
          <w:sz w:val="24"/>
          <w:szCs w:val="24"/>
        </w:rPr>
        <w:t>Special Provisions</w:t>
      </w:r>
      <w:bookmarkEnd w:id="33"/>
      <w:bookmarkEnd w:id="34"/>
      <w:bookmarkEnd w:id="35"/>
    </w:p>
    <w:p w14:paraId="1C7F666E" w14:textId="77777777" w:rsidR="00D56302" w:rsidRPr="00D56302" w:rsidRDefault="00D56302" w:rsidP="00D56302">
      <w:pPr>
        <w:pStyle w:val="Heading3"/>
        <w:rPr>
          <w:rFonts w:ascii="Times New Roman" w:hAnsi="Times New Roman"/>
          <w:color w:val="000000" w:themeColor="text1"/>
          <w:sz w:val="24"/>
          <w:szCs w:val="24"/>
        </w:rPr>
      </w:pPr>
      <w:bookmarkStart w:id="36" w:name="_Toc488046260"/>
      <w:r w:rsidRPr="00D56302">
        <w:rPr>
          <w:rFonts w:ascii="Times New Roman" w:hAnsi="Times New Roman"/>
          <w:color w:val="000000" w:themeColor="text1"/>
          <w:sz w:val="24"/>
          <w:szCs w:val="24"/>
        </w:rPr>
        <w:t>1.</w:t>
      </w:r>
      <w:r w:rsidRPr="00D56302">
        <w:rPr>
          <w:rFonts w:ascii="Times New Roman" w:hAnsi="Times New Roman"/>
          <w:color w:val="000000" w:themeColor="text1"/>
          <w:sz w:val="24"/>
          <w:szCs w:val="24"/>
        </w:rPr>
        <w:tab/>
        <w:t>Reopener Provisions</w:t>
      </w:r>
      <w:bookmarkEnd w:id="36"/>
    </w:p>
    <w:p w14:paraId="5E893BA3" w14:textId="3102BCAE" w:rsidR="00D56302" w:rsidRPr="00E824E6" w:rsidRDefault="00D56302" w:rsidP="00D43498">
      <w:pPr>
        <w:pStyle w:val="H-indent7525"/>
        <w:tabs>
          <w:tab w:val="left" w:pos="1080"/>
        </w:tabs>
        <w:ind w:left="1080" w:firstLine="0"/>
        <w:rPr>
          <w:color w:val="000000" w:themeColor="text1"/>
        </w:rPr>
      </w:pPr>
      <w:r w:rsidRPr="00E824E6">
        <w:rPr>
          <w:color w:val="000000" w:themeColor="text1"/>
        </w:rPr>
        <w:t xml:space="preserve">The Regional Water Board may modify or reopen this Order prior to its expiration date </w:t>
      </w:r>
      <w:r w:rsidR="00D43498" w:rsidRPr="00D43498">
        <w:rPr>
          <w:color w:val="000000" w:themeColor="text1"/>
        </w:rPr>
        <w:t>if there is modification of the San Francisco Bay Mercury or PCBs TMDL implementation provisions.</w:t>
      </w:r>
    </w:p>
    <w:p w14:paraId="0367BACE" w14:textId="4086D801" w:rsidR="00F878D4" w:rsidRPr="002A5B99" w:rsidRDefault="00D56302">
      <w:pPr>
        <w:pStyle w:val="Heading3"/>
        <w:rPr>
          <w:rFonts w:ascii="Times New Roman" w:hAnsi="Times New Roman"/>
          <w:color w:val="000000" w:themeColor="text1"/>
          <w:sz w:val="24"/>
          <w:szCs w:val="24"/>
        </w:rPr>
      </w:pPr>
      <w:bookmarkStart w:id="37" w:name="_Toc133309168"/>
      <w:bookmarkStart w:id="38" w:name="_Toc340137585"/>
      <w:bookmarkStart w:id="39" w:name="_Toc488046261"/>
      <w:r>
        <w:rPr>
          <w:rFonts w:ascii="Times New Roman" w:hAnsi="Times New Roman"/>
          <w:color w:val="000000" w:themeColor="text1"/>
          <w:sz w:val="24"/>
          <w:szCs w:val="24"/>
        </w:rPr>
        <w:t>2</w:t>
      </w:r>
      <w:r w:rsidR="00F878D4" w:rsidRPr="002A5B99">
        <w:rPr>
          <w:rFonts w:ascii="Times New Roman" w:hAnsi="Times New Roman"/>
          <w:color w:val="000000" w:themeColor="text1"/>
          <w:sz w:val="24"/>
          <w:szCs w:val="24"/>
        </w:rPr>
        <w:t>.</w:t>
      </w:r>
      <w:r w:rsidR="00F878D4" w:rsidRPr="002A5B99">
        <w:rPr>
          <w:rFonts w:ascii="Times New Roman" w:hAnsi="Times New Roman"/>
          <w:color w:val="000000" w:themeColor="text1"/>
          <w:sz w:val="24"/>
          <w:szCs w:val="24"/>
        </w:rPr>
        <w:tab/>
      </w:r>
      <w:bookmarkEnd w:id="37"/>
      <w:bookmarkEnd w:id="38"/>
      <w:r w:rsidR="00D24560" w:rsidRPr="002A5B99">
        <w:rPr>
          <w:rFonts w:ascii="Times New Roman" w:hAnsi="Times New Roman"/>
          <w:color w:val="000000" w:themeColor="text1"/>
          <w:sz w:val="24"/>
          <w:szCs w:val="24"/>
        </w:rPr>
        <w:t>Triggers for Additional Mercury Control</w:t>
      </w:r>
      <w:bookmarkEnd w:id="39"/>
    </w:p>
    <w:p w14:paraId="7808867B" w14:textId="458E071A" w:rsidR="00F878D4" w:rsidRPr="002A5B99" w:rsidRDefault="00F878D4">
      <w:pPr>
        <w:pStyle w:val="H-indent7525"/>
        <w:rPr>
          <w:color w:val="000000" w:themeColor="text1"/>
        </w:rPr>
      </w:pPr>
      <w:r w:rsidRPr="002A5B99">
        <w:rPr>
          <w:b/>
          <w:color w:val="000000" w:themeColor="text1"/>
        </w:rPr>
        <w:t>a.</w:t>
      </w:r>
      <w:r w:rsidRPr="002A5B99">
        <w:rPr>
          <w:color w:val="000000" w:themeColor="text1"/>
        </w:rPr>
        <w:tab/>
      </w:r>
      <w:r w:rsidR="00025DD2" w:rsidRPr="002A5B99">
        <w:rPr>
          <w:color w:val="000000" w:themeColor="text1"/>
        </w:rPr>
        <w:t>Each individual Discharger shall comply with the tasks specified in C.</w:t>
      </w:r>
      <w:r w:rsidR="00FA0F4F">
        <w:rPr>
          <w:color w:val="000000" w:themeColor="text1"/>
        </w:rPr>
        <w:t>2</w:t>
      </w:r>
      <w:r w:rsidR="00025DD2" w:rsidRPr="002A5B99">
        <w:rPr>
          <w:color w:val="000000" w:themeColor="text1"/>
        </w:rPr>
        <w:t xml:space="preserve">.c. of this Order if its discharge exceeds any of the applicable mercury triggers described in Tables </w:t>
      </w:r>
      <w:r w:rsidR="00A9572A" w:rsidRPr="002A5B99">
        <w:rPr>
          <w:color w:val="000000" w:themeColor="text1"/>
        </w:rPr>
        <w:t>6</w:t>
      </w:r>
      <w:r w:rsidR="00025DD2" w:rsidRPr="002A5B99">
        <w:rPr>
          <w:color w:val="000000" w:themeColor="text1"/>
        </w:rPr>
        <w:t xml:space="preserve"> and </w:t>
      </w:r>
      <w:r w:rsidR="00A9572A" w:rsidRPr="002A5B99">
        <w:rPr>
          <w:color w:val="000000" w:themeColor="text1"/>
        </w:rPr>
        <w:t>7</w:t>
      </w:r>
      <w:r w:rsidR="00025DD2" w:rsidRPr="002A5B99">
        <w:rPr>
          <w:color w:val="000000" w:themeColor="text1"/>
        </w:rPr>
        <w:t>.</w:t>
      </w:r>
    </w:p>
    <w:p w14:paraId="4A9B5707" w14:textId="0C3A2EF1" w:rsidR="001A33CB" w:rsidRPr="002A5B99" w:rsidRDefault="001A33CB" w:rsidP="006E559E">
      <w:pPr>
        <w:keepNext/>
        <w:tabs>
          <w:tab w:val="left" w:pos="360"/>
        </w:tabs>
        <w:spacing w:after="60"/>
        <w:ind w:firstLine="1080"/>
        <w:jc w:val="center"/>
        <w:rPr>
          <w:b/>
          <w:sz w:val="24"/>
          <w:szCs w:val="24"/>
        </w:rPr>
      </w:pPr>
      <w:bookmarkStart w:id="40" w:name="_Toc161458386"/>
      <w:r w:rsidRPr="002A5B99">
        <w:rPr>
          <w:b/>
          <w:sz w:val="24"/>
          <w:szCs w:val="24"/>
        </w:rPr>
        <w:t xml:space="preserve">Table </w:t>
      </w:r>
      <w:r w:rsidR="00D271BE" w:rsidRPr="002A5B99">
        <w:rPr>
          <w:b/>
          <w:sz w:val="24"/>
          <w:szCs w:val="24"/>
        </w:rPr>
        <w:t>6</w:t>
      </w:r>
      <w:r w:rsidRPr="002A5B99">
        <w:rPr>
          <w:b/>
          <w:sz w:val="24"/>
          <w:szCs w:val="24"/>
        </w:rPr>
        <w:t>.  Mercury Triggers for Municipal Dischargers</w:t>
      </w:r>
      <w:bookmarkEnd w:id="40"/>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1"/>
        <w:gridCol w:w="2664"/>
        <w:gridCol w:w="2807"/>
      </w:tblGrid>
      <w:tr w:rsidR="001A33CB" w:rsidRPr="001A33CB" w14:paraId="6411795F" w14:textId="77777777" w:rsidTr="002B393E">
        <w:tc>
          <w:tcPr>
            <w:tcW w:w="3449" w:type="dxa"/>
            <w:tcBorders>
              <w:top w:val="single" w:sz="12" w:space="0" w:color="auto"/>
              <w:left w:val="single" w:sz="12" w:space="0" w:color="auto"/>
              <w:bottom w:val="single" w:sz="12" w:space="0" w:color="auto"/>
            </w:tcBorders>
            <w:shd w:val="clear" w:color="auto" w:fill="auto"/>
            <w:vAlign w:val="center"/>
          </w:tcPr>
          <w:p w14:paraId="44667817" w14:textId="77777777" w:rsidR="001A33CB" w:rsidRPr="001A33CB" w:rsidRDefault="001A33CB" w:rsidP="006E559E">
            <w:pPr>
              <w:keepNext/>
              <w:spacing w:before="60" w:after="60"/>
              <w:jc w:val="center"/>
              <w:rPr>
                <w:b/>
              </w:rPr>
            </w:pPr>
            <w:r w:rsidRPr="001A33CB">
              <w:rPr>
                <w:b/>
              </w:rPr>
              <w:t>Type of Trigger</w:t>
            </w:r>
          </w:p>
        </w:tc>
        <w:tc>
          <w:tcPr>
            <w:tcW w:w="2713" w:type="dxa"/>
            <w:tcBorders>
              <w:top w:val="single" w:sz="12" w:space="0" w:color="auto"/>
              <w:bottom w:val="single" w:sz="12" w:space="0" w:color="auto"/>
            </w:tcBorders>
            <w:shd w:val="clear" w:color="auto" w:fill="auto"/>
            <w:vAlign w:val="center"/>
          </w:tcPr>
          <w:p w14:paraId="2A19EE50" w14:textId="77777777" w:rsidR="001A33CB" w:rsidRPr="001A33CB" w:rsidRDefault="001A33CB" w:rsidP="006E559E">
            <w:pPr>
              <w:keepNext/>
              <w:spacing w:before="60" w:after="60"/>
              <w:jc w:val="center"/>
              <w:rPr>
                <w:b/>
              </w:rPr>
            </w:pPr>
            <w:r w:rsidRPr="001A33CB">
              <w:rPr>
                <w:b/>
              </w:rPr>
              <w:t>Average Monthly</w:t>
            </w:r>
          </w:p>
        </w:tc>
        <w:tc>
          <w:tcPr>
            <w:tcW w:w="2856" w:type="dxa"/>
            <w:tcBorders>
              <w:top w:val="single" w:sz="12" w:space="0" w:color="auto"/>
              <w:bottom w:val="single" w:sz="12" w:space="0" w:color="auto"/>
              <w:right w:val="single" w:sz="12" w:space="0" w:color="auto"/>
            </w:tcBorders>
            <w:shd w:val="clear" w:color="auto" w:fill="auto"/>
            <w:vAlign w:val="center"/>
          </w:tcPr>
          <w:p w14:paraId="3FD83261" w14:textId="77777777" w:rsidR="001A33CB" w:rsidRPr="001A33CB" w:rsidRDefault="001A33CB" w:rsidP="006E559E">
            <w:pPr>
              <w:keepNext/>
              <w:spacing w:before="60" w:after="60"/>
              <w:jc w:val="center"/>
              <w:rPr>
                <w:b/>
              </w:rPr>
            </w:pPr>
            <w:r w:rsidRPr="001A33CB">
              <w:rPr>
                <w:b/>
              </w:rPr>
              <w:t>Maximum Daily</w:t>
            </w:r>
          </w:p>
        </w:tc>
      </w:tr>
      <w:tr w:rsidR="001A33CB" w:rsidRPr="001A33CB" w14:paraId="1FAE45FB" w14:textId="77777777" w:rsidTr="002B393E">
        <w:trPr>
          <w:trHeight w:val="715"/>
        </w:trPr>
        <w:tc>
          <w:tcPr>
            <w:tcW w:w="3449" w:type="dxa"/>
            <w:tcBorders>
              <w:left w:val="single" w:sz="12" w:space="0" w:color="auto"/>
            </w:tcBorders>
            <w:shd w:val="clear" w:color="auto" w:fill="auto"/>
            <w:vAlign w:val="center"/>
          </w:tcPr>
          <w:p w14:paraId="0D6A0BF4" w14:textId="77777777" w:rsidR="001A33CB" w:rsidRPr="001A33CB" w:rsidRDefault="001A33CB" w:rsidP="006E559E">
            <w:pPr>
              <w:keepNext/>
              <w:spacing w:before="60" w:after="60"/>
            </w:pPr>
            <w:r w:rsidRPr="001A33CB">
              <w:t>Concentration of Mercury in Discharge for Secondary Treatment Plants</w:t>
            </w:r>
          </w:p>
        </w:tc>
        <w:tc>
          <w:tcPr>
            <w:tcW w:w="2713" w:type="dxa"/>
            <w:shd w:val="clear" w:color="auto" w:fill="auto"/>
            <w:vAlign w:val="center"/>
          </w:tcPr>
          <w:p w14:paraId="38594C55" w14:textId="77777777" w:rsidR="001A33CB" w:rsidRPr="001A33CB" w:rsidRDefault="001A33CB" w:rsidP="006E559E">
            <w:pPr>
              <w:keepNext/>
              <w:spacing w:before="60" w:after="60"/>
              <w:jc w:val="center"/>
            </w:pPr>
            <w:r w:rsidRPr="001A33CB">
              <w:t xml:space="preserve">0.041 </w:t>
            </w:r>
            <w:r w:rsidRPr="001A33CB">
              <w:sym w:font="Symbol" w:char="F06D"/>
            </w:r>
            <w:r w:rsidRPr="001A33CB">
              <w:t>g/L</w:t>
            </w:r>
          </w:p>
        </w:tc>
        <w:tc>
          <w:tcPr>
            <w:tcW w:w="2856" w:type="dxa"/>
            <w:tcBorders>
              <w:right w:val="single" w:sz="12" w:space="0" w:color="auto"/>
            </w:tcBorders>
            <w:shd w:val="clear" w:color="auto" w:fill="auto"/>
            <w:vAlign w:val="center"/>
          </w:tcPr>
          <w:p w14:paraId="54D237AA" w14:textId="77777777" w:rsidR="001A33CB" w:rsidRPr="001A33CB" w:rsidRDefault="001A33CB" w:rsidP="006E559E">
            <w:pPr>
              <w:keepNext/>
              <w:jc w:val="center"/>
              <w:rPr>
                <w:color w:val="000000"/>
              </w:rPr>
            </w:pPr>
            <w:r w:rsidRPr="001A33CB">
              <w:rPr>
                <w:color w:val="000000"/>
              </w:rPr>
              <w:t xml:space="preserve">0.065 </w:t>
            </w:r>
            <w:r w:rsidRPr="001A33CB">
              <w:rPr>
                <w:color w:val="000000"/>
              </w:rPr>
              <w:sym w:font="Symbol" w:char="F06D"/>
            </w:r>
            <w:r w:rsidRPr="001A33CB">
              <w:rPr>
                <w:color w:val="000000"/>
              </w:rPr>
              <w:t>g/L</w:t>
            </w:r>
          </w:p>
        </w:tc>
      </w:tr>
      <w:tr w:rsidR="001A33CB" w:rsidRPr="001A33CB" w14:paraId="1CA708FE" w14:textId="77777777" w:rsidTr="002B393E">
        <w:trPr>
          <w:trHeight w:val="715"/>
        </w:trPr>
        <w:tc>
          <w:tcPr>
            <w:tcW w:w="3449" w:type="dxa"/>
            <w:tcBorders>
              <w:left w:val="single" w:sz="12" w:space="0" w:color="auto"/>
              <w:bottom w:val="single" w:sz="12" w:space="0" w:color="auto"/>
            </w:tcBorders>
            <w:shd w:val="clear" w:color="auto" w:fill="auto"/>
            <w:vAlign w:val="center"/>
          </w:tcPr>
          <w:p w14:paraId="7BBF841F" w14:textId="77777777" w:rsidR="001A33CB" w:rsidRPr="001A33CB" w:rsidRDefault="001A33CB" w:rsidP="001A33CB">
            <w:pPr>
              <w:spacing w:before="60" w:after="60"/>
            </w:pPr>
            <w:r w:rsidRPr="001A33CB">
              <w:t>Concentration of Mercury in Discharge for Advanced Secondary Treatment Plants</w:t>
            </w:r>
          </w:p>
        </w:tc>
        <w:tc>
          <w:tcPr>
            <w:tcW w:w="2713" w:type="dxa"/>
            <w:tcBorders>
              <w:bottom w:val="single" w:sz="12" w:space="0" w:color="auto"/>
            </w:tcBorders>
            <w:shd w:val="clear" w:color="auto" w:fill="auto"/>
            <w:vAlign w:val="center"/>
          </w:tcPr>
          <w:p w14:paraId="7D3CA693" w14:textId="77777777" w:rsidR="001A33CB" w:rsidRPr="001A33CB" w:rsidRDefault="001A33CB" w:rsidP="001A33CB">
            <w:pPr>
              <w:spacing w:before="60" w:after="60"/>
              <w:jc w:val="center"/>
            </w:pPr>
            <w:r w:rsidRPr="001A33CB">
              <w:t xml:space="preserve">0.011 </w:t>
            </w:r>
            <w:r w:rsidRPr="001A33CB">
              <w:sym w:font="Symbol" w:char="F06D"/>
            </w:r>
            <w:r w:rsidRPr="001A33CB">
              <w:t>g/L</w:t>
            </w:r>
          </w:p>
        </w:tc>
        <w:tc>
          <w:tcPr>
            <w:tcW w:w="2856" w:type="dxa"/>
            <w:tcBorders>
              <w:bottom w:val="single" w:sz="12" w:space="0" w:color="auto"/>
              <w:right w:val="single" w:sz="12" w:space="0" w:color="auto"/>
            </w:tcBorders>
            <w:shd w:val="clear" w:color="auto" w:fill="auto"/>
            <w:vAlign w:val="center"/>
          </w:tcPr>
          <w:p w14:paraId="1ACF456C" w14:textId="77777777" w:rsidR="001A33CB" w:rsidRPr="001A33CB" w:rsidRDefault="001A33CB" w:rsidP="001A33CB">
            <w:pPr>
              <w:jc w:val="center"/>
              <w:rPr>
                <w:color w:val="000000"/>
              </w:rPr>
            </w:pPr>
            <w:r w:rsidRPr="001A33CB">
              <w:rPr>
                <w:color w:val="000000"/>
              </w:rPr>
              <w:t xml:space="preserve">0.021 </w:t>
            </w:r>
            <w:r w:rsidRPr="001A33CB">
              <w:rPr>
                <w:color w:val="000000"/>
              </w:rPr>
              <w:sym w:font="Symbol" w:char="F06D"/>
            </w:r>
            <w:r w:rsidRPr="001A33CB">
              <w:rPr>
                <w:color w:val="000000"/>
              </w:rPr>
              <w:t>g/L</w:t>
            </w:r>
          </w:p>
        </w:tc>
      </w:tr>
      <w:tr w:rsidR="001A33CB" w:rsidRPr="001A33CB" w14:paraId="638127BD" w14:textId="77777777" w:rsidTr="002B393E">
        <w:trPr>
          <w:trHeight w:val="715"/>
        </w:trPr>
        <w:tc>
          <w:tcPr>
            <w:tcW w:w="3449" w:type="dxa"/>
            <w:tcBorders>
              <w:top w:val="single" w:sz="12" w:space="0" w:color="auto"/>
              <w:left w:val="single" w:sz="12" w:space="0" w:color="auto"/>
              <w:bottom w:val="single" w:sz="12" w:space="0" w:color="auto"/>
            </w:tcBorders>
            <w:shd w:val="clear" w:color="auto" w:fill="auto"/>
            <w:vAlign w:val="center"/>
          </w:tcPr>
          <w:p w14:paraId="4F10BA0F" w14:textId="77777777" w:rsidR="001A33CB" w:rsidRPr="001A33CB" w:rsidRDefault="001A33CB" w:rsidP="001A33CB">
            <w:pPr>
              <w:spacing w:before="60" w:after="60"/>
            </w:pPr>
            <w:r w:rsidRPr="001A33CB">
              <w:t>Mass Emission of Mercury in Discharge</w:t>
            </w:r>
          </w:p>
        </w:tc>
        <w:tc>
          <w:tcPr>
            <w:tcW w:w="5569" w:type="dxa"/>
            <w:gridSpan w:val="2"/>
            <w:tcBorders>
              <w:top w:val="single" w:sz="12" w:space="0" w:color="auto"/>
              <w:bottom w:val="single" w:sz="12" w:space="0" w:color="auto"/>
              <w:right w:val="single" w:sz="12" w:space="0" w:color="auto"/>
            </w:tcBorders>
            <w:shd w:val="clear" w:color="auto" w:fill="auto"/>
          </w:tcPr>
          <w:p w14:paraId="4FBEBDB8" w14:textId="4920A00D" w:rsidR="001A33CB" w:rsidRPr="001A33CB" w:rsidRDefault="001A33CB" w:rsidP="001A33CB">
            <w:pPr>
              <w:keepNext/>
              <w:tabs>
                <w:tab w:val="left" w:pos="2232"/>
                <w:tab w:val="left" w:pos="3960"/>
                <w:tab w:val="left" w:pos="6120"/>
                <w:tab w:val="left" w:pos="6480"/>
                <w:tab w:val="left" w:pos="8100"/>
                <w:tab w:val="left" w:pos="9720"/>
              </w:tabs>
              <w:spacing w:before="60" w:after="60"/>
              <w:ind w:right="360"/>
              <w:outlineLvl w:val="6"/>
            </w:pPr>
            <w:r w:rsidRPr="001A33CB">
              <w:t>Individual annual mass emissi</w:t>
            </w:r>
            <w:r w:rsidR="00D45331">
              <w:t>on limit, as depicted in Table 4</w:t>
            </w:r>
            <w:r w:rsidRPr="001A33CB">
              <w:t xml:space="preserve">A, above, and computed as a 12-month </w:t>
            </w:r>
            <w:r w:rsidR="00D45331">
              <w:t>running average, as shown in C.2</w:t>
            </w:r>
            <w:r w:rsidRPr="001A33CB">
              <w:t>.b., below.</w:t>
            </w:r>
          </w:p>
        </w:tc>
      </w:tr>
    </w:tbl>
    <w:p w14:paraId="2E36E281" w14:textId="77777777" w:rsidR="001A33CB" w:rsidRPr="00AD16C3" w:rsidRDefault="001A33CB" w:rsidP="001A33CB">
      <w:pPr>
        <w:pStyle w:val="blankspacesaftertables"/>
        <w:tabs>
          <w:tab w:val="left" w:pos="540"/>
        </w:tabs>
        <w:spacing w:before="60" w:after="60"/>
        <w:ind w:firstLine="1080"/>
        <w:rPr>
          <w:sz w:val="18"/>
          <w:szCs w:val="18"/>
          <w:u w:val="single"/>
        </w:rPr>
      </w:pPr>
      <w:r>
        <w:rPr>
          <w:sz w:val="18"/>
          <w:szCs w:val="18"/>
          <w:u w:val="single"/>
        </w:rPr>
        <w:t>Unit Abbreviation</w:t>
      </w:r>
      <w:r w:rsidRPr="00AD16C3">
        <w:rPr>
          <w:sz w:val="18"/>
          <w:szCs w:val="18"/>
          <w:u w:val="single"/>
        </w:rPr>
        <w:t>:</w:t>
      </w:r>
    </w:p>
    <w:p w14:paraId="0A9C3992" w14:textId="7C07F1B3" w:rsidR="001A33CB" w:rsidRPr="00AD16C3" w:rsidRDefault="001A33CB" w:rsidP="001A33CB">
      <w:pPr>
        <w:pStyle w:val="blankspacesaftertables"/>
        <w:tabs>
          <w:tab w:val="left" w:pos="1080"/>
        </w:tabs>
        <w:rPr>
          <w:sz w:val="18"/>
          <w:szCs w:val="18"/>
        </w:rPr>
      </w:pPr>
      <w:r>
        <w:rPr>
          <w:sz w:val="18"/>
          <w:szCs w:val="18"/>
        </w:rPr>
        <w:tab/>
        <w:t xml:space="preserve">µg/L </w:t>
      </w:r>
      <w:r w:rsidRPr="00AD16C3">
        <w:rPr>
          <w:sz w:val="18"/>
          <w:szCs w:val="18"/>
        </w:rPr>
        <w:t>= micrograms per liter</w:t>
      </w:r>
    </w:p>
    <w:p w14:paraId="2C0B75ED" w14:textId="6990E52C" w:rsidR="001A33CB" w:rsidRPr="001A33CB" w:rsidRDefault="001A33CB" w:rsidP="001A33CB">
      <w:pPr>
        <w:ind w:firstLine="1080"/>
        <w:rPr>
          <w:szCs w:val="24"/>
        </w:rPr>
      </w:pPr>
    </w:p>
    <w:p w14:paraId="4EB7E109" w14:textId="04D2B001" w:rsidR="001A33CB" w:rsidRPr="00FC7B2B" w:rsidRDefault="001A33CB" w:rsidP="001A33CB">
      <w:pPr>
        <w:keepNext/>
        <w:tabs>
          <w:tab w:val="left" w:pos="360"/>
        </w:tabs>
        <w:spacing w:after="60"/>
        <w:ind w:firstLine="1080"/>
        <w:jc w:val="center"/>
        <w:rPr>
          <w:b/>
          <w:sz w:val="24"/>
          <w:szCs w:val="24"/>
          <w:vertAlign w:val="superscript"/>
        </w:rPr>
      </w:pPr>
      <w:bookmarkStart w:id="41" w:name="_Toc161458387"/>
      <w:r w:rsidRPr="00FC7B2B">
        <w:rPr>
          <w:b/>
          <w:sz w:val="24"/>
          <w:szCs w:val="24"/>
        </w:rPr>
        <w:t xml:space="preserve">Table </w:t>
      </w:r>
      <w:r w:rsidR="00D271BE" w:rsidRPr="00FC7B2B">
        <w:rPr>
          <w:b/>
          <w:sz w:val="24"/>
          <w:szCs w:val="24"/>
        </w:rPr>
        <w:t>7</w:t>
      </w:r>
      <w:r w:rsidRPr="00FC7B2B">
        <w:rPr>
          <w:b/>
          <w:sz w:val="24"/>
          <w:szCs w:val="24"/>
        </w:rPr>
        <w:t>.  Mercury Triggers for Industrial Dischargers</w:t>
      </w:r>
      <w:bookmarkEnd w:id="41"/>
    </w:p>
    <w:tbl>
      <w:tblPr>
        <w:tblW w:w="0" w:type="auto"/>
        <w:tblInd w:w="1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2"/>
        <w:gridCol w:w="2669"/>
        <w:gridCol w:w="2804"/>
      </w:tblGrid>
      <w:tr w:rsidR="001A33CB" w:rsidRPr="001A33CB" w14:paraId="6EBE4EE9" w14:textId="77777777" w:rsidTr="002B393E">
        <w:tc>
          <w:tcPr>
            <w:tcW w:w="3420" w:type="dxa"/>
            <w:tcBorders>
              <w:top w:val="single" w:sz="12" w:space="0" w:color="auto"/>
              <w:left w:val="single" w:sz="12" w:space="0" w:color="auto"/>
              <w:bottom w:val="single" w:sz="12" w:space="0" w:color="auto"/>
            </w:tcBorders>
            <w:shd w:val="clear" w:color="auto" w:fill="auto"/>
            <w:vAlign w:val="center"/>
          </w:tcPr>
          <w:p w14:paraId="7F40EB3C" w14:textId="77777777" w:rsidR="001A33CB" w:rsidRPr="001A33CB" w:rsidRDefault="001A33CB" w:rsidP="001A33CB">
            <w:pPr>
              <w:spacing w:before="60" w:after="60"/>
              <w:jc w:val="center"/>
              <w:rPr>
                <w:b/>
              </w:rPr>
            </w:pPr>
            <w:r w:rsidRPr="001A33CB">
              <w:rPr>
                <w:b/>
              </w:rPr>
              <w:t>Type of Trigger</w:t>
            </w:r>
          </w:p>
        </w:tc>
        <w:tc>
          <w:tcPr>
            <w:tcW w:w="2718" w:type="dxa"/>
            <w:tcBorders>
              <w:top w:val="single" w:sz="12" w:space="0" w:color="auto"/>
              <w:bottom w:val="single" w:sz="12" w:space="0" w:color="auto"/>
            </w:tcBorders>
            <w:shd w:val="clear" w:color="auto" w:fill="auto"/>
            <w:vAlign w:val="center"/>
          </w:tcPr>
          <w:p w14:paraId="788D5C3F" w14:textId="77777777" w:rsidR="001A33CB" w:rsidRPr="001A33CB" w:rsidRDefault="001A33CB" w:rsidP="001A33CB">
            <w:pPr>
              <w:spacing w:before="60" w:after="60"/>
              <w:jc w:val="center"/>
              <w:rPr>
                <w:b/>
              </w:rPr>
            </w:pPr>
            <w:r w:rsidRPr="001A33CB">
              <w:rPr>
                <w:b/>
              </w:rPr>
              <w:t>Average Monthly</w:t>
            </w:r>
          </w:p>
        </w:tc>
        <w:tc>
          <w:tcPr>
            <w:tcW w:w="2853" w:type="dxa"/>
            <w:tcBorders>
              <w:top w:val="single" w:sz="12" w:space="0" w:color="auto"/>
              <w:bottom w:val="single" w:sz="12" w:space="0" w:color="auto"/>
              <w:right w:val="single" w:sz="12" w:space="0" w:color="auto"/>
            </w:tcBorders>
            <w:shd w:val="clear" w:color="auto" w:fill="auto"/>
            <w:vAlign w:val="center"/>
          </w:tcPr>
          <w:p w14:paraId="6218DC0A" w14:textId="77777777" w:rsidR="001A33CB" w:rsidRPr="001A33CB" w:rsidRDefault="001A33CB" w:rsidP="001A33CB">
            <w:pPr>
              <w:spacing w:before="60" w:after="60"/>
              <w:jc w:val="center"/>
              <w:rPr>
                <w:b/>
              </w:rPr>
            </w:pPr>
            <w:r w:rsidRPr="001A33CB">
              <w:rPr>
                <w:b/>
              </w:rPr>
              <w:t>Maximum Daily</w:t>
            </w:r>
          </w:p>
        </w:tc>
      </w:tr>
      <w:tr w:rsidR="001A33CB" w:rsidRPr="001A33CB" w14:paraId="1E68B5FB" w14:textId="77777777" w:rsidTr="002B393E">
        <w:trPr>
          <w:trHeight w:hRule="exact" w:val="597"/>
        </w:trPr>
        <w:tc>
          <w:tcPr>
            <w:tcW w:w="3420" w:type="dxa"/>
            <w:tcBorders>
              <w:left w:val="single" w:sz="12" w:space="0" w:color="auto"/>
              <w:bottom w:val="single" w:sz="12" w:space="0" w:color="auto"/>
            </w:tcBorders>
            <w:shd w:val="clear" w:color="auto" w:fill="auto"/>
            <w:vAlign w:val="center"/>
          </w:tcPr>
          <w:p w14:paraId="15E63456" w14:textId="77777777" w:rsidR="001A33CB" w:rsidRPr="001A33CB" w:rsidRDefault="001A33CB" w:rsidP="001A33CB">
            <w:pPr>
              <w:spacing w:before="60" w:after="60"/>
            </w:pPr>
            <w:r w:rsidRPr="001A33CB">
              <w:t>Concentration of Mercury in Discharge</w:t>
            </w:r>
          </w:p>
        </w:tc>
        <w:tc>
          <w:tcPr>
            <w:tcW w:w="2718" w:type="dxa"/>
            <w:tcBorders>
              <w:bottom w:val="single" w:sz="12" w:space="0" w:color="auto"/>
            </w:tcBorders>
            <w:shd w:val="clear" w:color="auto" w:fill="auto"/>
            <w:vAlign w:val="center"/>
          </w:tcPr>
          <w:p w14:paraId="3B728C1A" w14:textId="77777777" w:rsidR="001A33CB" w:rsidRPr="001A33CB" w:rsidRDefault="001A33CB" w:rsidP="001A33CB">
            <w:pPr>
              <w:spacing w:before="60" w:after="60"/>
              <w:jc w:val="center"/>
            </w:pPr>
            <w:r w:rsidRPr="001A33CB">
              <w:t xml:space="preserve">0.037 </w:t>
            </w:r>
            <w:r w:rsidRPr="001A33CB">
              <w:sym w:font="Symbol" w:char="F06D"/>
            </w:r>
            <w:r w:rsidRPr="001A33CB">
              <w:t>g/L</w:t>
            </w:r>
          </w:p>
        </w:tc>
        <w:tc>
          <w:tcPr>
            <w:tcW w:w="2853" w:type="dxa"/>
            <w:tcBorders>
              <w:bottom w:val="single" w:sz="12" w:space="0" w:color="auto"/>
              <w:right w:val="single" w:sz="12" w:space="0" w:color="auto"/>
            </w:tcBorders>
            <w:shd w:val="clear" w:color="auto" w:fill="auto"/>
            <w:vAlign w:val="center"/>
          </w:tcPr>
          <w:p w14:paraId="34759883" w14:textId="77777777" w:rsidR="001A33CB" w:rsidRPr="001A33CB" w:rsidRDefault="001A33CB" w:rsidP="001A33CB">
            <w:pPr>
              <w:jc w:val="center"/>
              <w:rPr>
                <w:color w:val="000000"/>
              </w:rPr>
            </w:pPr>
            <w:r w:rsidRPr="001A33CB">
              <w:rPr>
                <w:color w:val="000000"/>
              </w:rPr>
              <w:t xml:space="preserve">0.062 </w:t>
            </w:r>
            <w:r w:rsidRPr="001A33CB">
              <w:rPr>
                <w:color w:val="000000"/>
              </w:rPr>
              <w:sym w:font="Symbol" w:char="F06D"/>
            </w:r>
            <w:r w:rsidRPr="001A33CB">
              <w:rPr>
                <w:color w:val="000000"/>
              </w:rPr>
              <w:t>g/L</w:t>
            </w:r>
          </w:p>
        </w:tc>
      </w:tr>
      <w:tr w:rsidR="001A33CB" w:rsidRPr="001A33CB" w14:paraId="363353A5" w14:textId="77777777" w:rsidTr="002B393E">
        <w:trPr>
          <w:trHeight w:val="715"/>
        </w:trPr>
        <w:tc>
          <w:tcPr>
            <w:tcW w:w="3420" w:type="dxa"/>
            <w:tcBorders>
              <w:top w:val="single" w:sz="12" w:space="0" w:color="auto"/>
              <w:left w:val="single" w:sz="12" w:space="0" w:color="auto"/>
              <w:bottom w:val="single" w:sz="12" w:space="0" w:color="auto"/>
            </w:tcBorders>
            <w:shd w:val="clear" w:color="auto" w:fill="auto"/>
            <w:vAlign w:val="center"/>
          </w:tcPr>
          <w:p w14:paraId="321A103D" w14:textId="77777777" w:rsidR="001A33CB" w:rsidRPr="001A33CB" w:rsidRDefault="001A33CB" w:rsidP="001A33CB">
            <w:pPr>
              <w:spacing w:before="60" w:after="60"/>
            </w:pPr>
            <w:r w:rsidRPr="001A33CB">
              <w:t xml:space="preserve">Mass Emission of Mercury in Discharge </w:t>
            </w:r>
          </w:p>
        </w:tc>
        <w:tc>
          <w:tcPr>
            <w:tcW w:w="5571" w:type="dxa"/>
            <w:gridSpan w:val="2"/>
            <w:tcBorders>
              <w:top w:val="single" w:sz="12" w:space="0" w:color="auto"/>
              <w:bottom w:val="single" w:sz="12" w:space="0" w:color="auto"/>
              <w:right w:val="single" w:sz="12" w:space="0" w:color="auto"/>
            </w:tcBorders>
            <w:shd w:val="clear" w:color="auto" w:fill="auto"/>
          </w:tcPr>
          <w:p w14:paraId="2CEDB486" w14:textId="1B2323EC" w:rsidR="001A33CB" w:rsidRPr="001A33CB" w:rsidRDefault="001A33CB" w:rsidP="001A33CB">
            <w:pPr>
              <w:keepNext/>
              <w:tabs>
                <w:tab w:val="left" w:pos="2232"/>
                <w:tab w:val="left" w:pos="3960"/>
                <w:tab w:val="left" w:pos="6120"/>
                <w:tab w:val="left" w:pos="6480"/>
                <w:tab w:val="left" w:pos="8100"/>
                <w:tab w:val="left" w:pos="9720"/>
              </w:tabs>
              <w:spacing w:before="60" w:after="60"/>
              <w:ind w:right="360"/>
              <w:outlineLvl w:val="6"/>
            </w:pPr>
            <w:r w:rsidRPr="001A33CB">
              <w:t>Individual annual mass emissi</w:t>
            </w:r>
            <w:r w:rsidR="00034216">
              <w:t>on limit, as depicted in Table 5</w:t>
            </w:r>
            <w:r w:rsidRPr="001A33CB">
              <w:t xml:space="preserve">A, above, and computed as a 12-month </w:t>
            </w:r>
            <w:r w:rsidR="00034216">
              <w:t>running average, as shown in C.2</w:t>
            </w:r>
            <w:r w:rsidRPr="001A33CB">
              <w:t>.b., below.</w:t>
            </w:r>
          </w:p>
        </w:tc>
      </w:tr>
    </w:tbl>
    <w:p w14:paraId="1373084A" w14:textId="77777777" w:rsidR="001A33CB" w:rsidRPr="00AD16C3" w:rsidRDefault="001A33CB" w:rsidP="00036AF6">
      <w:pPr>
        <w:pStyle w:val="blankspacesaftertables"/>
        <w:keepNext/>
        <w:tabs>
          <w:tab w:val="left" w:pos="540"/>
        </w:tabs>
        <w:spacing w:before="60" w:after="60"/>
        <w:ind w:firstLine="1080"/>
        <w:rPr>
          <w:sz w:val="18"/>
          <w:szCs w:val="18"/>
          <w:u w:val="single"/>
        </w:rPr>
      </w:pPr>
      <w:r>
        <w:rPr>
          <w:sz w:val="18"/>
          <w:szCs w:val="18"/>
          <w:u w:val="single"/>
        </w:rPr>
        <w:lastRenderedPageBreak/>
        <w:t>Unit Abbreviation</w:t>
      </w:r>
      <w:r w:rsidRPr="00AD16C3">
        <w:rPr>
          <w:sz w:val="18"/>
          <w:szCs w:val="18"/>
          <w:u w:val="single"/>
        </w:rPr>
        <w:t>:</w:t>
      </w:r>
    </w:p>
    <w:p w14:paraId="1D95EE61" w14:textId="61530E79" w:rsidR="001A33CB" w:rsidRPr="001A33CB" w:rsidRDefault="001A33CB" w:rsidP="00036AF6">
      <w:pPr>
        <w:pStyle w:val="blankspacesaftertables"/>
        <w:keepNext/>
        <w:tabs>
          <w:tab w:val="left" w:pos="1080"/>
        </w:tabs>
        <w:spacing w:after="240"/>
        <w:rPr>
          <w:sz w:val="18"/>
          <w:szCs w:val="18"/>
        </w:rPr>
      </w:pPr>
      <w:r>
        <w:rPr>
          <w:sz w:val="18"/>
          <w:szCs w:val="18"/>
        </w:rPr>
        <w:tab/>
        <w:t xml:space="preserve">µg/L </w:t>
      </w:r>
      <w:r w:rsidRPr="00AD16C3">
        <w:rPr>
          <w:sz w:val="18"/>
          <w:szCs w:val="18"/>
        </w:rPr>
        <w:t>= micrograms per liter</w:t>
      </w:r>
    </w:p>
    <w:p w14:paraId="30B0076E" w14:textId="4FF20760" w:rsidR="00CD0A0B" w:rsidRPr="00FC7B2B" w:rsidRDefault="00F878D4" w:rsidP="00FC7B2B">
      <w:pPr>
        <w:pStyle w:val="H-indent7525"/>
        <w:spacing w:after="120"/>
        <w:rPr>
          <w:color w:val="000000" w:themeColor="text1"/>
        </w:rPr>
      </w:pPr>
      <w:r w:rsidRPr="00E824E6">
        <w:rPr>
          <w:b/>
          <w:color w:val="000000" w:themeColor="text1"/>
        </w:rPr>
        <w:t>b.</w:t>
      </w:r>
      <w:r w:rsidRPr="00E824E6">
        <w:rPr>
          <w:color w:val="000000" w:themeColor="text1"/>
        </w:rPr>
        <w:tab/>
      </w:r>
      <w:r w:rsidR="009B3039" w:rsidRPr="009B3039">
        <w:rPr>
          <w:color w:val="000000" w:themeColor="text1"/>
        </w:rPr>
        <w:t>The running 12-month average mercury mass emission shall be c</w:t>
      </w:r>
      <w:r w:rsidR="00560F32">
        <w:rPr>
          <w:color w:val="000000" w:themeColor="text1"/>
        </w:rPr>
        <w:t>alculated</w:t>
      </w:r>
      <w:r w:rsidR="009B3039" w:rsidRPr="009B3039">
        <w:rPr>
          <w:color w:val="000000" w:themeColor="text1"/>
        </w:rPr>
        <w:t xml:space="preserve"> monthly for each calendar month as follows:</w:t>
      </w:r>
    </w:p>
    <w:p w14:paraId="339B8BF3" w14:textId="7D7E1EA3" w:rsidR="00FC7B2B" w:rsidRPr="00FC7B2B" w:rsidRDefault="0013573F" w:rsidP="00CD0A0B">
      <w:pPr>
        <w:pStyle w:val="H-indent7525"/>
        <w:jc w:val="center"/>
        <w:rPr>
          <w:i/>
        </w:rPr>
      </w:pPr>
      <m:oMathPara>
        <m:oMath>
          <m:d>
            <m:dPr>
              <m:ctrlPr>
                <w:rPr>
                  <w:rFonts w:ascii="Cambria Math" w:hAnsi="Cambria Math"/>
                  <w:i/>
                </w:rPr>
              </m:ctrlPr>
            </m:dPr>
            <m:e>
              <m:r>
                <m:rPr>
                  <m:nor/>
                </m:rPr>
                <w:rPr>
                  <w:i/>
                </w:rPr>
                <m:t>12-month running average, kg</m:t>
              </m:r>
            </m:e>
          </m:d>
          <m:r>
            <m:rPr>
              <m:nor/>
            </m:rPr>
            <w:rPr>
              <w:i/>
            </w:rPr>
            <m:t>=</m:t>
          </m:r>
          <m:d>
            <m:dPr>
              <m:ctrlPr>
                <w:rPr>
                  <w:rFonts w:ascii="Cambria Math" w:hAnsi="Cambria Math"/>
                  <w:i/>
                </w:rPr>
              </m:ctrlPr>
            </m:dPr>
            <m:e>
              <m:r>
                <m:rPr>
                  <m:nor/>
                </m:rPr>
                <w:rPr>
                  <w:i/>
                </w:rPr>
                <m:t>current mass emission, kg</m:t>
              </m:r>
            </m:e>
          </m:d>
          <m:r>
            <m:rPr>
              <m:nor/>
            </m:rPr>
            <w:rPr>
              <w:rFonts w:ascii="Cambria Math"/>
              <w:i/>
            </w:rPr>
            <m:t xml:space="preserve"> </m:t>
          </m:r>
          <m:r>
            <m:rPr>
              <m:nor/>
            </m:rPr>
            <w:rPr>
              <w:i/>
            </w:rPr>
            <m:t>+</m:t>
          </m:r>
          <m:nary>
            <m:naryPr>
              <m:chr m:val="∑"/>
              <m:limLoc m:val="undOvr"/>
              <m:subHide m:val="1"/>
              <m:supHide m:val="1"/>
              <m:ctrlPr>
                <w:rPr>
                  <w:rFonts w:ascii="Cambria Math" w:hAnsi="Cambria Math"/>
                  <w:i/>
                </w:rPr>
              </m:ctrlPr>
            </m:naryPr>
            <m:sub/>
            <m:sup/>
            <m:e>
              <m:r>
                <m:rPr>
                  <m:nor/>
                </m:rPr>
                <w:rPr>
                  <w:i/>
                </w:rPr>
                <m:t>(Previous 11 month</m:t>
              </m:r>
              <m:sSup>
                <m:sSupPr>
                  <m:ctrlPr>
                    <w:rPr>
                      <w:rFonts w:ascii="Cambria Math" w:hAnsi="Cambria Math"/>
                      <w:i/>
                    </w:rPr>
                  </m:ctrlPr>
                </m:sSupPr>
                <m:e>
                  <m:r>
                    <m:rPr>
                      <m:nor/>
                    </m:rPr>
                    <w:rPr>
                      <w:i/>
                    </w:rPr>
                    <m:t>s</m:t>
                  </m:r>
                </m:e>
                <m:sup>
                  <m:r>
                    <m:rPr>
                      <m:nor/>
                    </m:rPr>
                    <w:rPr>
                      <w:i/>
                    </w:rPr>
                    <m:t>'</m:t>
                  </m:r>
                </m:sup>
              </m:sSup>
              <m:r>
                <m:rPr>
                  <m:nor/>
                </m:rPr>
                <w:rPr>
                  <w:i/>
                </w:rPr>
                <m:t>mass emissions, kg)</m:t>
              </m:r>
            </m:e>
          </m:nary>
        </m:oMath>
      </m:oMathPara>
    </w:p>
    <w:p w14:paraId="66A44A02" w14:textId="2DBBEB36" w:rsidR="008A5E9E" w:rsidRPr="00E824E6" w:rsidRDefault="008A5E9E" w:rsidP="008A5E9E">
      <w:pPr>
        <w:pStyle w:val="H-indent7525"/>
        <w:ind w:firstLine="0"/>
        <w:rPr>
          <w:color w:val="000000" w:themeColor="text1"/>
        </w:rPr>
      </w:pPr>
      <w:r>
        <w:rPr>
          <w:color w:val="000000" w:themeColor="text1"/>
        </w:rPr>
        <w:t xml:space="preserve">where the current mass emission is the monthly </w:t>
      </w:r>
      <w:r w:rsidR="001D3105">
        <w:rPr>
          <w:color w:val="000000" w:themeColor="text1"/>
        </w:rPr>
        <w:t>mass</w:t>
      </w:r>
      <w:r>
        <w:rPr>
          <w:color w:val="000000" w:themeColor="text1"/>
        </w:rPr>
        <w:t xml:space="preserve"> emission for the current calendar month computed as shown in </w:t>
      </w:r>
      <w:r w:rsidR="00FA0F4F">
        <w:rPr>
          <w:color w:val="000000" w:themeColor="text1"/>
        </w:rPr>
        <w:t xml:space="preserve">Effluent Limitations and Discharge Specifications </w:t>
      </w:r>
      <w:r>
        <w:rPr>
          <w:color w:val="000000" w:themeColor="text1"/>
        </w:rPr>
        <w:t xml:space="preserve">IV.A, footnote c above. </w:t>
      </w:r>
    </w:p>
    <w:p w14:paraId="24255B49" w14:textId="068E8A16" w:rsidR="00F878D4" w:rsidRDefault="00F878D4">
      <w:pPr>
        <w:pStyle w:val="H-indent7525"/>
        <w:rPr>
          <w:color w:val="000000" w:themeColor="text1"/>
        </w:rPr>
      </w:pPr>
      <w:r w:rsidRPr="00E824E6">
        <w:rPr>
          <w:b/>
          <w:color w:val="000000" w:themeColor="text1"/>
        </w:rPr>
        <w:t>c.</w:t>
      </w:r>
      <w:r w:rsidRPr="00E824E6">
        <w:rPr>
          <w:color w:val="000000" w:themeColor="text1"/>
        </w:rPr>
        <w:tab/>
      </w:r>
      <w:r w:rsidR="004A79F2">
        <w:rPr>
          <w:color w:val="000000" w:themeColor="text1"/>
        </w:rPr>
        <w:t xml:space="preserve">Each </w:t>
      </w:r>
      <w:r w:rsidR="004A79F2" w:rsidRPr="004A79F2">
        <w:rPr>
          <w:color w:val="000000" w:themeColor="text1"/>
        </w:rPr>
        <w:t xml:space="preserve">Discharger who exceeds any of the applicable triggers for mercury listed in Table </w:t>
      </w:r>
      <w:r w:rsidR="004A79F2">
        <w:rPr>
          <w:color w:val="000000" w:themeColor="text1"/>
        </w:rPr>
        <w:t>6</w:t>
      </w:r>
      <w:r w:rsidR="004A79F2" w:rsidRPr="004A79F2">
        <w:rPr>
          <w:color w:val="000000" w:themeColor="text1"/>
        </w:rPr>
        <w:t xml:space="preserve"> or </w:t>
      </w:r>
      <w:r w:rsidR="004A79F2">
        <w:rPr>
          <w:color w:val="000000" w:themeColor="text1"/>
        </w:rPr>
        <w:t>7</w:t>
      </w:r>
      <w:r w:rsidR="004A79F2" w:rsidRPr="004A79F2">
        <w:rPr>
          <w:color w:val="000000" w:themeColor="text1"/>
        </w:rPr>
        <w:t>, above, shall comply with the following action requirements:</w:t>
      </w:r>
    </w:p>
    <w:p w14:paraId="0A305564" w14:textId="44143F33" w:rsidR="004A79F2" w:rsidRPr="00FC7B2B" w:rsidRDefault="004A79F2" w:rsidP="004A79F2">
      <w:pPr>
        <w:spacing w:after="60"/>
        <w:ind w:left="360" w:firstLine="720"/>
        <w:jc w:val="center"/>
        <w:rPr>
          <w:b/>
          <w:bCs/>
          <w:sz w:val="24"/>
          <w:szCs w:val="24"/>
        </w:rPr>
      </w:pPr>
      <w:bookmarkStart w:id="42" w:name="_Toc161458388"/>
      <w:r w:rsidRPr="00FC7B2B">
        <w:rPr>
          <w:b/>
          <w:bCs/>
          <w:sz w:val="24"/>
          <w:szCs w:val="24"/>
        </w:rPr>
        <w:t>Table 8.  Action Plan Required in Response to Mercury Trigger Exceedance</w:t>
      </w:r>
      <w:bookmarkEnd w:id="42"/>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7"/>
        <w:gridCol w:w="2143"/>
      </w:tblGrid>
      <w:tr w:rsidR="004A79F2" w:rsidRPr="004A79F2" w14:paraId="7D81FC53" w14:textId="77777777" w:rsidTr="002B393E">
        <w:trPr>
          <w:tblHeader/>
        </w:trPr>
        <w:tc>
          <w:tcPr>
            <w:tcW w:w="7038" w:type="dxa"/>
            <w:tcBorders>
              <w:top w:val="single" w:sz="12" w:space="0" w:color="auto"/>
              <w:left w:val="single" w:sz="12" w:space="0" w:color="auto"/>
              <w:bottom w:val="single" w:sz="12" w:space="0" w:color="auto"/>
            </w:tcBorders>
            <w:shd w:val="clear" w:color="auto" w:fill="auto"/>
            <w:vAlign w:val="center"/>
          </w:tcPr>
          <w:p w14:paraId="7B48911A" w14:textId="77777777" w:rsidR="004A79F2" w:rsidRPr="004A79F2" w:rsidRDefault="004A79F2" w:rsidP="004A79F2">
            <w:pPr>
              <w:tabs>
                <w:tab w:val="left" w:pos="-1440"/>
              </w:tabs>
              <w:spacing w:before="60" w:after="60"/>
              <w:jc w:val="center"/>
              <w:rPr>
                <w:b/>
              </w:rPr>
            </w:pPr>
            <w:r w:rsidRPr="004A79F2">
              <w:rPr>
                <w:b/>
              </w:rPr>
              <w:t>Task</w:t>
            </w:r>
          </w:p>
        </w:tc>
        <w:tc>
          <w:tcPr>
            <w:tcW w:w="2178" w:type="dxa"/>
            <w:tcBorders>
              <w:top w:val="single" w:sz="12" w:space="0" w:color="auto"/>
              <w:bottom w:val="single" w:sz="12" w:space="0" w:color="auto"/>
              <w:right w:val="single" w:sz="12" w:space="0" w:color="auto"/>
            </w:tcBorders>
            <w:shd w:val="clear" w:color="auto" w:fill="auto"/>
            <w:vAlign w:val="center"/>
          </w:tcPr>
          <w:p w14:paraId="29F37FFE" w14:textId="77777777" w:rsidR="004A79F2" w:rsidRPr="004A79F2" w:rsidRDefault="004A79F2" w:rsidP="004A79F2">
            <w:pPr>
              <w:tabs>
                <w:tab w:val="left" w:pos="-1440"/>
              </w:tabs>
              <w:spacing w:before="60" w:after="60"/>
              <w:jc w:val="center"/>
              <w:rPr>
                <w:b/>
              </w:rPr>
            </w:pPr>
            <w:r w:rsidRPr="004A79F2">
              <w:rPr>
                <w:b/>
              </w:rPr>
              <w:t>Deadline</w:t>
            </w:r>
          </w:p>
        </w:tc>
      </w:tr>
      <w:tr w:rsidR="004A79F2" w:rsidRPr="004A79F2" w14:paraId="2C1CB791" w14:textId="77777777" w:rsidTr="00DB5DFD">
        <w:tc>
          <w:tcPr>
            <w:tcW w:w="7038" w:type="dxa"/>
            <w:tcBorders>
              <w:top w:val="single" w:sz="12" w:space="0" w:color="auto"/>
              <w:left w:val="single" w:sz="12" w:space="0" w:color="auto"/>
            </w:tcBorders>
            <w:shd w:val="clear" w:color="auto" w:fill="auto"/>
          </w:tcPr>
          <w:p w14:paraId="7EBA002C" w14:textId="2233354D" w:rsidR="004A79F2" w:rsidRPr="004A79F2" w:rsidRDefault="00C9152A" w:rsidP="00571A40">
            <w:pPr>
              <w:tabs>
                <w:tab w:val="left" w:pos="-1440"/>
              </w:tabs>
            </w:pPr>
            <w:r w:rsidRPr="004A79F2">
              <w:rPr>
                <w:b/>
              </w:rPr>
              <w:t>i.</w:t>
            </w:r>
            <w:r w:rsidRPr="004A79F2">
              <w:t xml:space="preserve"> </w:t>
            </w:r>
            <w:r w:rsidRPr="00C9152A">
              <w:rPr>
                <w:b/>
                <w:i/>
              </w:rPr>
              <w:t>Accelerated</w:t>
            </w:r>
            <w:r w:rsidR="004A79F2" w:rsidRPr="004A79F2">
              <w:rPr>
                <w:b/>
                <w:i/>
              </w:rPr>
              <w:t xml:space="preserve"> Sampling.</w:t>
            </w:r>
            <w:r w:rsidR="004A79F2" w:rsidRPr="004A79F2">
              <w:t xml:space="preserve">  As soon as the Discharger becomes aware of an exceedance of a mercury trigger, resample within 48 hours and commence</w:t>
            </w:r>
            <w:r w:rsidR="00851689">
              <w:t xml:space="preserve"> at minimum</w:t>
            </w:r>
            <w:r w:rsidR="004A79F2" w:rsidRPr="004A79F2">
              <w:t xml:space="preserve"> weekly sampling for a total of at least 6 new samples. If all 6 new samples show mercury levels below the triggers, return to routine sampling.  If during the accelerated sampling, (1) any of the new samples are above the maximum daily trigger, or (2) the monthly average of the new samples is above the monthly trigger, or (3) the 12-month running average mass is above the mass trigger, then proceed with</w:t>
            </w:r>
            <w:r w:rsidR="00B50908">
              <w:t xml:space="preserve"> an</w:t>
            </w:r>
            <w:r w:rsidR="004A79F2" w:rsidRPr="004A79F2">
              <w:t xml:space="preserve"> action plan for mercury reduction and continue sampling monthly until the observed mercury discharge is below the trigger levels for 3 consecutive months, at which point the Discharger shall complete the reporting of this exc</w:t>
            </w:r>
            <w:r w:rsidR="009F71A0">
              <w:t>eedance as required by t</w:t>
            </w:r>
            <w:r w:rsidR="004A79F2" w:rsidRPr="004A79F2">
              <w:t>asks ii and iv</w:t>
            </w:r>
            <w:r w:rsidR="00840714">
              <w:t xml:space="preserve">, </w:t>
            </w:r>
            <w:r w:rsidR="006040B1">
              <w:t>below</w:t>
            </w:r>
            <w:r w:rsidR="004A79F2" w:rsidRPr="004A79F2">
              <w:t>, and return to routine monitoring,</w:t>
            </w:r>
            <w:r w:rsidR="00840714">
              <w:t xml:space="preserve"> and discontinue efforts under t</w:t>
            </w:r>
            <w:r w:rsidR="004A79F2" w:rsidRPr="004A79F2">
              <w:t>ask iii, below.</w:t>
            </w:r>
          </w:p>
        </w:tc>
        <w:tc>
          <w:tcPr>
            <w:tcW w:w="2178" w:type="dxa"/>
            <w:tcBorders>
              <w:top w:val="single" w:sz="12" w:space="0" w:color="auto"/>
              <w:right w:val="single" w:sz="12" w:space="0" w:color="auto"/>
            </w:tcBorders>
            <w:shd w:val="clear" w:color="auto" w:fill="auto"/>
            <w:vAlign w:val="center"/>
          </w:tcPr>
          <w:p w14:paraId="40A59A49" w14:textId="77777777" w:rsidR="004A79F2" w:rsidRPr="004A79F2" w:rsidRDefault="004A79F2" w:rsidP="00DB5DFD">
            <w:pPr>
              <w:tabs>
                <w:tab w:val="left" w:pos="-1440"/>
              </w:tabs>
              <w:spacing w:after="240"/>
            </w:pPr>
            <w:r w:rsidRPr="004A79F2">
              <w:t>See deadlines in task description.</w:t>
            </w:r>
          </w:p>
        </w:tc>
      </w:tr>
      <w:tr w:rsidR="004A79F2" w:rsidRPr="004A79F2" w14:paraId="62A4BC6B" w14:textId="77777777" w:rsidTr="002B393E">
        <w:tc>
          <w:tcPr>
            <w:tcW w:w="7038" w:type="dxa"/>
            <w:tcBorders>
              <w:left w:val="single" w:sz="12" w:space="0" w:color="auto"/>
            </w:tcBorders>
            <w:shd w:val="clear" w:color="auto" w:fill="auto"/>
          </w:tcPr>
          <w:p w14:paraId="64BAEF5E" w14:textId="49711387" w:rsidR="004A79F2" w:rsidRPr="004A79F2" w:rsidRDefault="004A79F2" w:rsidP="00571A40">
            <w:pPr>
              <w:tabs>
                <w:tab w:val="left" w:pos="-1440"/>
              </w:tabs>
              <w:rPr>
                <w:b/>
                <w:i/>
              </w:rPr>
            </w:pPr>
            <w:r w:rsidRPr="004A79F2">
              <w:rPr>
                <w:b/>
              </w:rPr>
              <w:t>ii.</w:t>
            </w:r>
            <w:r w:rsidRPr="004A79F2">
              <w:rPr>
                <w:b/>
                <w:i/>
              </w:rPr>
              <w:t xml:space="preserve"> Report Trigger Exceedance.  </w:t>
            </w:r>
            <w:r w:rsidR="00571A40">
              <w:t>R</w:t>
            </w:r>
            <w:r w:rsidRPr="004A79F2">
              <w:t>eport to the Regional Water Board any exceedance of mercury trigger levels in the cover letter of its Self</w:t>
            </w:r>
            <w:r w:rsidR="000077F7">
              <w:noBreakHyphen/>
            </w:r>
            <w:r w:rsidRPr="004A79F2">
              <w:t>Monitoring Report and the status of its plans and actions to accelerate monitoring and/or develop and implement an action plan for mercury reduction.</w:t>
            </w:r>
          </w:p>
        </w:tc>
        <w:tc>
          <w:tcPr>
            <w:tcW w:w="2178" w:type="dxa"/>
            <w:tcBorders>
              <w:right w:val="single" w:sz="12" w:space="0" w:color="auto"/>
            </w:tcBorders>
            <w:shd w:val="clear" w:color="auto" w:fill="auto"/>
          </w:tcPr>
          <w:p w14:paraId="727DE41A" w14:textId="77777777" w:rsidR="004A79F2" w:rsidRPr="004A79F2" w:rsidRDefault="004A79F2" w:rsidP="004A79F2">
            <w:pPr>
              <w:tabs>
                <w:tab w:val="left" w:pos="-1440"/>
              </w:tabs>
            </w:pPr>
            <w:r w:rsidRPr="004A79F2">
              <w:t>In the Self-Monitoring Report due 30 days after the end of the monitoring period.</w:t>
            </w:r>
          </w:p>
        </w:tc>
      </w:tr>
      <w:tr w:rsidR="004A79F2" w:rsidRPr="004A79F2" w14:paraId="7C80C9DF" w14:textId="77777777" w:rsidTr="00C43FA8">
        <w:tc>
          <w:tcPr>
            <w:tcW w:w="7038" w:type="dxa"/>
            <w:tcBorders>
              <w:left w:val="single" w:sz="12" w:space="0" w:color="auto"/>
            </w:tcBorders>
            <w:shd w:val="clear" w:color="auto" w:fill="auto"/>
          </w:tcPr>
          <w:p w14:paraId="64DD4231" w14:textId="5FAC90E9" w:rsidR="004A79F2" w:rsidRPr="004A79F2" w:rsidRDefault="004A79F2" w:rsidP="004A79F2">
            <w:pPr>
              <w:tabs>
                <w:tab w:val="left" w:pos="-1440"/>
              </w:tabs>
            </w:pPr>
            <w:r w:rsidRPr="004A79F2">
              <w:rPr>
                <w:b/>
              </w:rPr>
              <w:t>iii.</w:t>
            </w:r>
            <w:r w:rsidRPr="004A79F2">
              <w:t xml:space="preserve"> </w:t>
            </w:r>
            <w:r w:rsidRPr="004A79F2">
              <w:rPr>
                <w:b/>
                <w:i/>
              </w:rPr>
              <w:t>Action Plan for Mercury Reduction</w:t>
            </w:r>
            <w:r w:rsidRPr="004A79F2">
              <w:rPr>
                <w:b/>
              </w:rPr>
              <w:t>.</w:t>
            </w:r>
            <w:r w:rsidRPr="004A79F2">
              <w:t xml:space="preserve">  </w:t>
            </w:r>
            <w:r w:rsidR="00571A40">
              <w:t>Develop</w:t>
            </w:r>
            <w:r w:rsidRPr="004A79F2">
              <w:t>, submit, and implement an Action Plan that (1) evaluates the cause</w:t>
            </w:r>
            <w:r w:rsidRPr="004A79F2">
              <w:rPr>
                <w:vertAlign w:val="superscript"/>
              </w:rPr>
              <w:t>1</w:t>
            </w:r>
            <w:r w:rsidRPr="004A79F2">
              <w:t xml:space="preserve"> of the trigger exceedance(s); (2) evaluates the effectiveness of existing pollution prevention or pretreatment programs and methods for preventing future exceedances; (3) evaluates the feasibility and effectiveness of technology enhancements to improve treatment plant performance; and (4) evaluates other measures for preventing future exceedances. In addition, the Discharger shall identify in the Action Plan mercury reduction measures it will take along with an implementation schedule for those measures to correct current and prevent future trigger exceedances.</w:t>
            </w:r>
          </w:p>
          <w:p w14:paraId="17412C2B" w14:textId="77777777" w:rsidR="004A79F2" w:rsidRPr="004A79F2" w:rsidRDefault="004A79F2" w:rsidP="004A79F2">
            <w:pPr>
              <w:tabs>
                <w:tab w:val="left" w:pos="-1440"/>
              </w:tabs>
              <w:spacing w:before="120"/>
            </w:pPr>
            <w:r w:rsidRPr="004A79F2">
              <w:rPr>
                <w:vertAlign w:val="superscript"/>
              </w:rPr>
              <w:t xml:space="preserve">1 </w:t>
            </w:r>
            <w:r w:rsidRPr="004A79F2">
              <w:rPr>
                <w:i/>
              </w:rPr>
              <w:t>Possible causes of exceedances include (but are not limited to) changes in reclamation; increases in the number of sewer connections, increases in infiltration and inflow (I/I); changes in the type or number of industrial, commercial, or residential sources; changes in the raw material used in manufacturing processes; changes in treatment system operation; or factors beyond the Discharger’s control, such as a natural disaster, vandalism, illegal dumping, or extreme flood event.</w:t>
            </w:r>
          </w:p>
        </w:tc>
        <w:tc>
          <w:tcPr>
            <w:tcW w:w="2178" w:type="dxa"/>
            <w:tcBorders>
              <w:right w:val="single" w:sz="12" w:space="0" w:color="auto"/>
            </w:tcBorders>
            <w:shd w:val="clear" w:color="auto" w:fill="auto"/>
            <w:vAlign w:val="center"/>
          </w:tcPr>
          <w:p w14:paraId="3A482358" w14:textId="77777777" w:rsidR="004A79F2" w:rsidRPr="004A79F2" w:rsidRDefault="004A79F2" w:rsidP="00C43FA8">
            <w:pPr>
              <w:tabs>
                <w:tab w:val="left" w:pos="-1440"/>
              </w:tabs>
            </w:pPr>
            <w:r w:rsidRPr="004A79F2">
              <w:t>Within 130 days of the initial trigger exceedance.</w:t>
            </w:r>
          </w:p>
        </w:tc>
      </w:tr>
      <w:tr w:rsidR="004A79F2" w:rsidRPr="004A79F2" w14:paraId="09048021" w14:textId="77777777" w:rsidTr="002B393E">
        <w:tc>
          <w:tcPr>
            <w:tcW w:w="7038" w:type="dxa"/>
            <w:tcBorders>
              <w:left w:val="single" w:sz="12" w:space="0" w:color="auto"/>
              <w:bottom w:val="single" w:sz="12" w:space="0" w:color="auto"/>
            </w:tcBorders>
            <w:shd w:val="clear" w:color="auto" w:fill="auto"/>
          </w:tcPr>
          <w:p w14:paraId="73CD6738" w14:textId="37227A47" w:rsidR="004A79F2" w:rsidRPr="004A79F2" w:rsidRDefault="004A79F2" w:rsidP="009138AE">
            <w:pPr>
              <w:tabs>
                <w:tab w:val="left" w:pos="-1440"/>
              </w:tabs>
            </w:pPr>
            <w:r w:rsidRPr="004A79F2">
              <w:rPr>
                <w:b/>
              </w:rPr>
              <w:t>iv.</w:t>
            </w:r>
            <w:r w:rsidRPr="004A79F2">
              <w:t xml:space="preserve"> </w:t>
            </w:r>
            <w:r w:rsidRPr="004A79F2">
              <w:rPr>
                <w:b/>
                <w:i/>
              </w:rPr>
              <w:t>Annual Reporting</w:t>
            </w:r>
            <w:r w:rsidRPr="004A79F2">
              <w:rPr>
                <w:b/>
              </w:rPr>
              <w:t>.</w:t>
            </w:r>
            <w:r w:rsidRPr="004A79F2">
              <w:t xml:space="preserve">  </w:t>
            </w:r>
            <w:r w:rsidR="009138AE">
              <w:t>Provide</w:t>
            </w:r>
            <w:r w:rsidRPr="004A79F2">
              <w:t xml:space="preserve"> a status of its mercury reduction efforts in the annual Self-Monitoring Report. Additionally, as causes and corrective actions are identified, the Discharger shall amend or supplement its Action Plan as appropriate. Such changes shall be reported to the Regional Water Board in the Discharger’s Annual Self-Monitoring Report.</w:t>
            </w:r>
          </w:p>
        </w:tc>
        <w:tc>
          <w:tcPr>
            <w:tcW w:w="2178" w:type="dxa"/>
            <w:tcBorders>
              <w:bottom w:val="single" w:sz="12" w:space="0" w:color="auto"/>
              <w:right w:val="single" w:sz="12" w:space="0" w:color="auto"/>
            </w:tcBorders>
            <w:shd w:val="clear" w:color="auto" w:fill="auto"/>
          </w:tcPr>
          <w:p w14:paraId="29FDCF3F" w14:textId="77777777" w:rsidR="004A79F2" w:rsidRPr="004A79F2" w:rsidRDefault="004A79F2" w:rsidP="004A79F2">
            <w:pPr>
              <w:tabs>
                <w:tab w:val="left" w:pos="-1440"/>
              </w:tabs>
            </w:pPr>
            <w:r w:rsidRPr="004A79F2">
              <w:t xml:space="preserve">Annually due February 1 of each year until the Discharger demonstrates compliance with trigger </w:t>
            </w:r>
            <w:r w:rsidRPr="004A79F2">
              <w:lastRenderedPageBreak/>
              <w:t>levels for a continuous 3-month period of sampling.</w:t>
            </w:r>
          </w:p>
        </w:tc>
      </w:tr>
    </w:tbl>
    <w:p w14:paraId="2554206C" w14:textId="77777777" w:rsidR="004A79F2" w:rsidRPr="00E824E6" w:rsidRDefault="004A79F2" w:rsidP="007B7976">
      <w:pPr>
        <w:pStyle w:val="H-indent7525"/>
        <w:spacing w:after="0"/>
        <w:ind w:left="0" w:firstLine="0"/>
        <w:rPr>
          <w:color w:val="000000" w:themeColor="text1"/>
        </w:rPr>
      </w:pPr>
    </w:p>
    <w:p w14:paraId="49B03F6E" w14:textId="5A9AF960" w:rsidR="0097436E" w:rsidRPr="00900C03" w:rsidRDefault="00D56302" w:rsidP="0097436E">
      <w:pPr>
        <w:pStyle w:val="Heading3"/>
        <w:rPr>
          <w:rFonts w:ascii="Times New Roman" w:hAnsi="Times New Roman"/>
          <w:bCs/>
          <w:color w:val="000000" w:themeColor="text1"/>
          <w:sz w:val="24"/>
          <w:szCs w:val="24"/>
        </w:rPr>
      </w:pPr>
      <w:bookmarkStart w:id="43" w:name="_Toc133309169"/>
      <w:bookmarkStart w:id="44" w:name="_Toc340137586"/>
      <w:bookmarkStart w:id="45" w:name="_Toc488046262"/>
      <w:r>
        <w:rPr>
          <w:rFonts w:ascii="Times New Roman" w:hAnsi="Times New Roman"/>
          <w:bCs/>
          <w:color w:val="000000" w:themeColor="text1"/>
          <w:sz w:val="24"/>
          <w:szCs w:val="24"/>
        </w:rPr>
        <w:t>3</w:t>
      </w:r>
      <w:r w:rsidR="00F878D4" w:rsidRPr="00900C03">
        <w:rPr>
          <w:rFonts w:ascii="Times New Roman" w:hAnsi="Times New Roman"/>
          <w:bCs/>
          <w:color w:val="000000" w:themeColor="text1"/>
          <w:sz w:val="24"/>
          <w:szCs w:val="24"/>
        </w:rPr>
        <w:t>.</w:t>
      </w:r>
      <w:r w:rsidR="00F878D4" w:rsidRPr="00900C03">
        <w:rPr>
          <w:rFonts w:ascii="Times New Roman" w:hAnsi="Times New Roman"/>
          <w:bCs/>
          <w:color w:val="000000" w:themeColor="text1"/>
          <w:sz w:val="24"/>
          <w:szCs w:val="24"/>
        </w:rPr>
        <w:tab/>
      </w:r>
      <w:bookmarkStart w:id="46" w:name="_Toc133309170"/>
      <w:bookmarkEnd w:id="43"/>
      <w:bookmarkEnd w:id="44"/>
      <w:r w:rsidR="00033D6B" w:rsidRPr="00900C03">
        <w:rPr>
          <w:rFonts w:ascii="Times New Roman" w:hAnsi="Times New Roman"/>
          <w:bCs/>
          <w:color w:val="000000" w:themeColor="text1"/>
          <w:sz w:val="24"/>
          <w:szCs w:val="24"/>
        </w:rPr>
        <w:t>Mercury and PCBs Source Control Program</w:t>
      </w:r>
      <w:bookmarkEnd w:id="45"/>
      <w:r w:rsidR="00F878D4" w:rsidRPr="00900C03">
        <w:rPr>
          <w:rFonts w:ascii="Times New Roman" w:hAnsi="Times New Roman"/>
          <w:bCs/>
          <w:color w:val="000000" w:themeColor="text1"/>
          <w:sz w:val="24"/>
          <w:szCs w:val="24"/>
        </w:rPr>
        <w:t xml:space="preserve"> </w:t>
      </w:r>
    </w:p>
    <w:p w14:paraId="1BC74BC9" w14:textId="7636685C" w:rsidR="00736D94" w:rsidRPr="00900C03" w:rsidRDefault="0097436E" w:rsidP="00A00A01">
      <w:pPr>
        <w:tabs>
          <w:tab w:val="left" w:pos="-1440"/>
        </w:tabs>
        <w:ind w:left="1080"/>
        <w:rPr>
          <w:color w:val="000000" w:themeColor="text1"/>
          <w:sz w:val="24"/>
          <w:szCs w:val="24"/>
        </w:rPr>
      </w:pPr>
      <w:r w:rsidRPr="00900C03">
        <w:rPr>
          <w:color w:val="000000" w:themeColor="text1"/>
          <w:sz w:val="24"/>
          <w:szCs w:val="24"/>
        </w:rPr>
        <w:t>Each Discharger shall evaluate whether there are controllable sources of mercury or PCBs to its wastewater system</w:t>
      </w:r>
      <w:r w:rsidR="00A07A54" w:rsidRPr="00900C03">
        <w:rPr>
          <w:color w:val="000000" w:themeColor="text1"/>
          <w:sz w:val="24"/>
          <w:szCs w:val="24"/>
        </w:rPr>
        <w:t xml:space="preserve"> (e.g., PCBs-containing </w:t>
      </w:r>
      <w:r w:rsidRPr="00900C03">
        <w:rPr>
          <w:color w:val="000000" w:themeColor="text1"/>
          <w:sz w:val="24"/>
          <w:szCs w:val="24"/>
        </w:rPr>
        <w:t xml:space="preserve">industrial equipment </w:t>
      </w:r>
      <w:r w:rsidR="00A07A54" w:rsidRPr="00900C03">
        <w:rPr>
          <w:color w:val="000000" w:themeColor="text1"/>
          <w:sz w:val="24"/>
          <w:szCs w:val="24"/>
        </w:rPr>
        <w:t>for</w:t>
      </w:r>
      <w:r w:rsidRPr="00900C03">
        <w:rPr>
          <w:color w:val="000000" w:themeColor="text1"/>
          <w:sz w:val="24"/>
          <w:szCs w:val="24"/>
        </w:rPr>
        <w:t xml:space="preserve"> PCBs</w:t>
      </w:r>
      <w:r w:rsidR="00A07A54" w:rsidRPr="00900C03">
        <w:rPr>
          <w:color w:val="000000" w:themeColor="text1"/>
          <w:sz w:val="24"/>
          <w:szCs w:val="24"/>
        </w:rPr>
        <w:t xml:space="preserve">, </w:t>
      </w:r>
      <w:r w:rsidRPr="00900C03">
        <w:rPr>
          <w:color w:val="000000" w:themeColor="text1"/>
          <w:sz w:val="24"/>
          <w:szCs w:val="24"/>
        </w:rPr>
        <w:t xml:space="preserve">discharges from amalgam-generating dental practices </w:t>
      </w:r>
      <w:r w:rsidR="00A07A54" w:rsidRPr="00900C03">
        <w:rPr>
          <w:color w:val="000000" w:themeColor="text1"/>
          <w:sz w:val="24"/>
          <w:szCs w:val="24"/>
        </w:rPr>
        <w:t>for mercury)</w:t>
      </w:r>
      <w:r w:rsidRPr="00900C03">
        <w:rPr>
          <w:color w:val="000000" w:themeColor="text1"/>
          <w:sz w:val="24"/>
          <w:szCs w:val="24"/>
        </w:rPr>
        <w:t>. The Discharger shall continue to implement and look for opportunities to improve existing measures to control such sources. Each Discharger shall submit the results of this evaluation, including any proposed control actions and implementation schedules, in its annual pollution prevention reports required by its individual NPDES permit.</w:t>
      </w:r>
    </w:p>
    <w:p w14:paraId="4FD4EB97" w14:textId="77777777" w:rsidR="00F878D4" w:rsidRPr="00900C03" w:rsidRDefault="00F878D4" w:rsidP="00F878D4">
      <w:pPr>
        <w:tabs>
          <w:tab w:val="left" w:pos="1800"/>
        </w:tabs>
        <w:ind w:left="1800"/>
        <w:rPr>
          <w:color w:val="000000" w:themeColor="text1"/>
          <w:sz w:val="24"/>
          <w:szCs w:val="24"/>
        </w:rPr>
      </w:pPr>
    </w:p>
    <w:p w14:paraId="365ED3B3" w14:textId="1FECC639" w:rsidR="00F878D4" w:rsidRPr="00900C03" w:rsidRDefault="00D56302" w:rsidP="00CC251F">
      <w:pPr>
        <w:pStyle w:val="Heading3"/>
        <w:rPr>
          <w:rFonts w:ascii="Times New Roman" w:hAnsi="Times New Roman"/>
          <w:color w:val="000000" w:themeColor="text1"/>
          <w:sz w:val="24"/>
          <w:szCs w:val="24"/>
        </w:rPr>
      </w:pPr>
      <w:bookmarkStart w:id="47" w:name="_Toc340137587"/>
      <w:bookmarkStart w:id="48" w:name="_Toc488046263"/>
      <w:r>
        <w:rPr>
          <w:rFonts w:ascii="Times New Roman" w:hAnsi="Times New Roman"/>
          <w:color w:val="000000" w:themeColor="text1"/>
          <w:sz w:val="24"/>
          <w:szCs w:val="24"/>
        </w:rPr>
        <w:t>4</w:t>
      </w:r>
      <w:r w:rsidR="00F878D4" w:rsidRPr="00900C03">
        <w:rPr>
          <w:rFonts w:ascii="Times New Roman" w:hAnsi="Times New Roman"/>
          <w:color w:val="000000" w:themeColor="text1"/>
          <w:sz w:val="24"/>
          <w:szCs w:val="24"/>
        </w:rPr>
        <w:t>.</w:t>
      </w:r>
      <w:r w:rsidR="00F878D4" w:rsidRPr="00900C03">
        <w:rPr>
          <w:rFonts w:ascii="Times New Roman" w:hAnsi="Times New Roman"/>
          <w:color w:val="000000" w:themeColor="text1"/>
          <w:sz w:val="24"/>
          <w:szCs w:val="24"/>
        </w:rPr>
        <w:tab/>
      </w:r>
      <w:bookmarkEnd w:id="46"/>
      <w:bookmarkEnd w:id="47"/>
      <w:r w:rsidR="00A07A54" w:rsidRPr="00900C03">
        <w:rPr>
          <w:rFonts w:ascii="Times New Roman" w:hAnsi="Times New Roman"/>
          <w:color w:val="000000" w:themeColor="text1"/>
          <w:sz w:val="24"/>
          <w:szCs w:val="24"/>
        </w:rPr>
        <w:t>Risk Reduction Programs</w:t>
      </w:r>
      <w:bookmarkEnd w:id="48"/>
      <w:r w:rsidR="00F878D4" w:rsidRPr="00900C03">
        <w:rPr>
          <w:rFonts w:ascii="Times New Roman" w:hAnsi="Times New Roman"/>
          <w:color w:val="000000" w:themeColor="text1"/>
          <w:sz w:val="24"/>
          <w:szCs w:val="24"/>
        </w:rPr>
        <w:t xml:space="preserve"> </w:t>
      </w:r>
    </w:p>
    <w:p w14:paraId="215998A1" w14:textId="38D964EB" w:rsidR="00F878D4" w:rsidRPr="00900C03" w:rsidRDefault="00A07A54" w:rsidP="00A07A54">
      <w:pPr>
        <w:tabs>
          <w:tab w:val="left" w:pos="-1440"/>
          <w:tab w:val="left" w:pos="-720"/>
          <w:tab w:val="left" w:pos="1080"/>
        </w:tabs>
        <w:ind w:left="1080"/>
        <w:rPr>
          <w:color w:val="000000" w:themeColor="text1"/>
          <w:sz w:val="24"/>
          <w:szCs w:val="24"/>
        </w:rPr>
      </w:pPr>
      <w:bookmarkStart w:id="49" w:name="_Toc134415339"/>
      <w:bookmarkStart w:id="50" w:name="_Toc134507111"/>
      <w:bookmarkStart w:id="51" w:name="_Toc136449477"/>
      <w:bookmarkStart w:id="52" w:name="_Toc136934852"/>
      <w:bookmarkStart w:id="53" w:name="_Toc136935006"/>
      <w:bookmarkStart w:id="54" w:name="_Toc137459959"/>
      <w:bookmarkStart w:id="55" w:name="_Toc74727098"/>
      <w:bookmarkStart w:id="56" w:name="_Toc101069912"/>
      <w:bookmarkStart w:id="57" w:name="_Toc129322298"/>
      <w:bookmarkStart w:id="58" w:name="_Toc129324902"/>
      <w:bookmarkStart w:id="59" w:name="_Toc129325082"/>
      <w:bookmarkStart w:id="60" w:name="_Toc129325194"/>
      <w:bookmarkStart w:id="61" w:name="_Toc129325362"/>
      <w:bookmarkStart w:id="62" w:name="_Toc129325746"/>
      <w:bookmarkStart w:id="63" w:name="_Toc129326133"/>
      <w:bookmarkStart w:id="64" w:name="_Toc129326366"/>
      <w:bookmarkStart w:id="65" w:name="_Toc130349758"/>
      <w:bookmarkStart w:id="66" w:name="_Toc130351110"/>
      <w:bookmarkStart w:id="67" w:name="_Toc130351448"/>
      <w:bookmarkStart w:id="68" w:name="_Toc130352572"/>
      <w:bookmarkStart w:id="69" w:name="_Toc130391303"/>
      <w:bookmarkStart w:id="70" w:name="_Toc131561045"/>
      <w:bookmarkStart w:id="71" w:name="_Toc131561700"/>
      <w:r w:rsidRPr="00900C03">
        <w:rPr>
          <w:color w:val="000000" w:themeColor="text1"/>
          <w:sz w:val="24"/>
          <w:szCs w:val="24"/>
        </w:rPr>
        <w:t xml:space="preserve">Each Discharger shall continue to implement and participate in programs to reduce mercury and PCBs-related risks to humans from consumption </w:t>
      </w:r>
      <w:r w:rsidR="006B1A1A" w:rsidRPr="00900C03">
        <w:rPr>
          <w:color w:val="000000" w:themeColor="text1"/>
          <w:sz w:val="24"/>
          <w:szCs w:val="24"/>
        </w:rPr>
        <w:t>of San Francisco Bay and Sacramento</w:t>
      </w:r>
      <w:r w:rsidR="006B1A1A" w:rsidRPr="00900C03">
        <w:rPr>
          <w:color w:val="000000" w:themeColor="text1"/>
          <w:sz w:val="24"/>
          <w:szCs w:val="24"/>
        </w:rPr>
        <w:noBreakHyphen/>
        <w:t xml:space="preserve">San Joaquin River </w:t>
      </w:r>
      <w:r w:rsidRPr="00900C03">
        <w:rPr>
          <w:color w:val="000000" w:themeColor="text1"/>
          <w:sz w:val="24"/>
          <w:szCs w:val="24"/>
        </w:rPr>
        <w:t xml:space="preserve">Delta fish. This requirement may be satisfied by a combination of related efforts through the Regional Monitoring Program or other similar collaborative efforts. </w:t>
      </w:r>
      <w:r w:rsidR="0021404A" w:rsidRPr="00900C03">
        <w:rPr>
          <w:color w:val="000000" w:themeColor="text1"/>
          <w:sz w:val="24"/>
          <w:szCs w:val="24"/>
        </w:rPr>
        <w:t>Each Discharger</w:t>
      </w:r>
      <w:r w:rsidRPr="00900C03">
        <w:rPr>
          <w:color w:val="000000" w:themeColor="text1"/>
          <w:sz w:val="24"/>
          <w:szCs w:val="24"/>
        </w:rPr>
        <w:t xml:space="preserve"> shall describe th</w:t>
      </w:r>
      <w:r w:rsidR="0021404A" w:rsidRPr="00900C03">
        <w:rPr>
          <w:color w:val="000000" w:themeColor="text1"/>
          <w:sz w:val="24"/>
          <w:szCs w:val="24"/>
        </w:rPr>
        <w:t xml:space="preserve">e progress of </w:t>
      </w:r>
      <w:r w:rsidR="00557C33" w:rsidRPr="00900C03">
        <w:rPr>
          <w:color w:val="000000" w:themeColor="text1"/>
          <w:sz w:val="24"/>
          <w:szCs w:val="24"/>
        </w:rPr>
        <w:t>its</w:t>
      </w:r>
      <w:r w:rsidR="0021404A" w:rsidRPr="00900C03">
        <w:rPr>
          <w:color w:val="000000" w:themeColor="text1"/>
          <w:sz w:val="24"/>
          <w:szCs w:val="24"/>
        </w:rPr>
        <w:t xml:space="preserve"> efforts in its</w:t>
      </w:r>
      <w:r w:rsidRPr="00900C03">
        <w:rPr>
          <w:color w:val="000000" w:themeColor="text1"/>
          <w:sz w:val="24"/>
          <w:szCs w:val="24"/>
        </w:rPr>
        <w:t xml:space="preserve"> Annual Self-Monitoring Report. Alternatively, the Bay Area Clean Water Agencies (BACWA) may fulfill the annual reporting requirement by providing a summary of annual risk reduction program efforts for agencies that choose to participate through BACWA.</w:t>
      </w:r>
    </w:p>
    <w:p w14:paraId="36AE7ABF" w14:textId="0458FF1D" w:rsidR="00F878D4" w:rsidRPr="00900C03" w:rsidRDefault="00F878D4" w:rsidP="00A07A54">
      <w:pPr>
        <w:tabs>
          <w:tab w:val="left" w:pos="1530"/>
          <w:tab w:val="left" w:pos="1800"/>
        </w:tabs>
        <w:ind w:right="4"/>
        <w:rPr>
          <w:color w:val="000000" w:themeColor="text1"/>
          <w:sz w:val="24"/>
          <w:szCs w:val="24"/>
        </w:rPr>
      </w:pPr>
    </w:p>
    <w:p w14:paraId="5EA7B425" w14:textId="371DBF65" w:rsidR="00A47045" w:rsidRPr="00900C03" w:rsidRDefault="00D56302" w:rsidP="00A47045">
      <w:pPr>
        <w:pStyle w:val="Heading3"/>
        <w:rPr>
          <w:rFonts w:ascii="Times New Roman" w:hAnsi="Times New Roman"/>
          <w:color w:val="000000" w:themeColor="text1"/>
          <w:sz w:val="24"/>
          <w:szCs w:val="24"/>
        </w:rPr>
      </w:pPr>
      <w:bookmarkStart w:id="72" w:name="_Toc124841611"/>
      <w:bookmarkStart w:id="73" w:name="_Toc134415340"/>
      <w:bookmarkStart w:id="74" w:name="_Toc134507112"/>
      <w:bookmarkStart w:id="75" w:name="_Toc136449478"/>
      <w:bookmarkStart w:id="76" w:name="_Toc136934853"/>
      <w:bookmarkStart w:id="77" w:name="_Toc136935007"/>
      <w:bookmarkStart w:id="78" w:name="_Toc137459960"/>
      <w:bookmarkStart w:id="79" w:name="_Toc340137588"/>
      <w:bookmarkStart w:id="80" w:name="_Toc488046264"/>
      <w:bookmarkEnd w:id="49"/>
      <w:bookmarkEnd w:id="50"/>
      <w:bookmarkEnd w:id="51"/>
      <w:bookmarkEnd w:id="52"/>
      <w:bookmarkEnd w:id="53"/>
      <w:bookmarkEnd w:id="54"/>
      <w:r>
        <w:rPr>
          <w:rFonts w:ascii="Times New Roman" w:hAnsi="Times New Roman"/>
          <w:color w:val="000000" w:themeColor="text1"/>
          <w:sz w:val="24"/>
          <w:szCs w:val="24"/>
        </w:rPr>
        <w:t>5</w:t>
      </w:r>
      <w:r w:rsidR="00F878D4" w:rsidRPr="00900C03">
        <w:rPr>
          <w:rFonts w:ascii="Times New Roman" w:hAnsi="Times New Roman"/>
          <w:color w:val="000000" w:themeColor="text1"/>
          <w:sz w:val="24"/>
          <w:szCs w:val="24"/>
        </w:rPr>
        <w:t>.</w:t>
      </w:r>
      <w:r w:rsidR="00F878D4" w:rsidRPr="00900C03">
        <w:rPr>
          <w:rFonts w:ascii="Times New Roman" w:hAnsi="Times New Roman"/>
          <w:color w:val="000000" w:themeColor="text1"/>
          <w:sz w:val="24"/>
          <w:szCs w:val="24"/>
        </w:rPr>
        <w:tab/>
      </w:r>
      <w:bookmarkEnd w:id="72"/>
      <w:bookmarkEnd w:id="73"/>
      <w:bookmarkEnd w:id="74"/>
      <w:bookmarkEnd w:id="75"/>
      <w:bookmarkEnd w:id="76"/>
      <w:bookmarkEnd w:id="77"/>
      <w:bookmarkEnd w:id="78"/>
      <w:bookmarkEnd w:id="79"/>
      <w:r w:rsidR="004B1398" w:rsidRPr="00900C03">
        <w:rPr>
          <w:rFonts w:ascii="Times New Roman" w:hAnsi="Times New Roman"/>
          <w:color w:val="000000" w:themeColor="text1"/>
          <w:sz w:val="24"/>
          <w:szCs w:val="24"/>
        </w:rPr>
        <w:t>Mercury and PCBs Discharge Adjustments for Recycled Wastewater Use by Industrial Dischargers</w:t>
      </w:r>
      <w:bookmarkEnd w:id="80"/>
    </w:p>
    <w:p w14:paraId="0E6265BF" w14:textId="3033862A" w:rsidR="004B1398" w:rsidRPr="00900C03" w:rsidRDefault="004B1398" w:rsidP="00996D74">
      <w:pPr>
        <w:spacing w:after="120"/>
        <w:ind w:left="1080"/>
        <w:rPr>
          <w:sz w:val="24"/>
          <w:szCs w:val="24"/>
        </w:rPr>
      </w:pPr>
      <w:r w:rsidRPr="00900C03">
        <w:rPr>
          <w:sz w:val="24"/>
          <w:szCs w:val="24"/>
        </w:rPr>
        <w:t xml:space="preserve">When an Industrial Discharger named on Table 1B of this Order uses recycled wastewater from a Municipal Discharger named on Table 1A of this Order, the Industrial Discharger may, at its option, apply </w:t>
      </w:r>
      <w:r w:rsidR="00FB4DA6">
        <w:rPr>
          <w:sz w:val="24"/>
          <w:szCs w:val="24"/>
        </w:rPr>
        <w:t xml:space="preserve">discharge </w:t>
      </w:r>
      <w:r w:rsidRPr="00900C03">
        <w:rPr>
          <w:sz w:val="24"/>
          <w:szCs w:val="24"/>
        </w:rPr>
        <w:t>adjustments (hereinafter</w:t>
      </w:r>
      <w:r w:rsidR="00996D74" w:rsidRPr="00900C03">
        <w:rPr>
          <w:sz w:val="24"/>
          <w:szCs w:val="24"/>
        </w:rPr>
        <w:t xml:space="preserve"> </w:t>
      </w:r>
      <w:r w:rsidR="006D1239" w:rsidRPr="00900C03">
        <w:rPr>
          <w:sz w:val="24"/>
          <w:szCs w:val="24"/>
        </w:rPr>
        <w:t>M</w:t>
      </w:r>
      <w:r w:rsidRPr="00900C03">
        <w:rPr>
          <w:sz w:val="24"/>
          <w:szCs w:val="24"/>
        </w:rPr>
        <w:t>er</w:t>
      </w:r>
      <w:r w:rsidR="00703801" w:rsidRPr="00900C03">
        <w:rPr>
          <w:sz w:val="24"/>
          <w:szCs w:val="24"/>
        </w:rPr>
        <w:t>cury or PCBs Adjustment) to its</w:t>
      </w:r>
      <w:r w:rsidRPr="00900C03">
        <w:rPr>
          <w:sz w:val="24"/>
          <w:szCs w:val="24"/>
        </w:rPr>
        <w:t xml:space="preserve"> mercury or PCBs discharge concentration </w:t>
      </w:r>
      <w:r w:rsidR="00703801" w:rsidRPr="00900C03">
        <w:rPr>
          <w:sz w:val="24"/>
          <w:szCs w:val="24"/>
        </w:rPr>
        <w:t xml:space="preserve">or mercury mass emission to be subtracted from the final discharge concentration or mass emission </w:t>
      </w:r>
      <w:r w:rsidRPr="00900C03">
        <w:rPr>
          <w:sz w:val="24"/>
          <w:szCs w:val="24"/>
        </w:rPr>
        <w:t xml:space="preserve">when determining compliance with its concentration and mass limits specified in </w:t>
      </w:r>
      <w:r w:rsidR="001A2CBD">
        <w:rPr>
          <w:sz w:val="24"/>
          <w:szCs w:val="24"/>
        </w:rPr>
        <w:t>Tables 5A and 5B</w:t>
      </w:r>
      <w:r w:rsidRPr="00900C03">
        <w:rPr>
          <w:sz w:val="24"/>
          <w:szCs w:val="24"/>
        </w:rPr>
        <w:t xml:space="preserve"> of this Order. The </w:t>
      </w:r>
      <w:r w:rsidR="001A2CBD">
        <w:rPr>
          <w:sz w:val="24"/>
          <w:szCs w:val="24"/>
        </w:rPr>
        <w:t>M</w:t>
      </w:r>
      <w:r w:rsidRPr="00900C03">
        <w:rPr>
          <w:sz w:val="24"/>
          <w:szCs w:val="24"/>
        </w:rPr>
        <w:t>ercury or PCBs Adjustments shall be based on measured influent mercury and PCBs levels from the recycled wastewater in accordance with the following:</w:t>
      </w:r>
    </w:p>
    <w:p w14:paraId="78553283" w14:textId="2F0A67C5" w:rsidR="00E51396" w:rsidRPr="00900C03" w:rsidRDefault="00A47045" w:rsidP="00F4138D">
      <w:pPr>
        <w:tabs>
          <w:tab w:val="left" w:pos="-1440"/>
          <w:tab w:val="left" w:pos="1440"/>
        </w:tabs>
        <w:spacing w:after="240"/>
        <w:ind w:left="1440" w:hanging="360"/>
        <w:rPr>
          <w:sz w:val="24"/>
          <w:szCs w:val="24"/>
        </w:rPr>
      </w:pPr>
      <w:r w:rsidRPr="00900C03">
        <w:rPr>
          <w:b/>
          <w:color w:val="000000" w:themeColor="text1"/>
          <w:sz w:val="24"/>
          <w:szCs w:val="24"/>
        </w:rPr>
        <w:t>a.</w:t>
      </w:r>
      <w:bookmarkStart w:id="81" w:name="_Toc129322302"/>
      <w:bookmarkStart w:id="82" w:name="_Toc129324906"/>
      <w:bookmarkStart w:id="83" w:name="_Toc129325086"/>
      <w:bookmarkStart w:id="84" w:name="_Toc129325198"/>
      <w:bookmarkStart w:id="85" w:name="_Toc129325366"/>
      <w:bookmarkStart w:id="86" w:name="_Toc129325750"/>
      <w:bookmarkStart w:id="87" w:name="_Toc129326137"/>
      <w:bookmarkStart w:id="88" w:name="_Toc129326370"/>
      <w:bookmarkStart w:id="89" w:name="_Toc130349762"/>
      <w:bookmarkStart w:id="90" w:name="_Toc130351114"/>
      <w:bookmarkStart w:id="91" w:name="_Toc130351452"/>
      <w:bookmarkStart w:id="92" w:name="_Toc130352576"/>
      <w:bookmarkStart w:id="93" w:name="_Toc130391307"/>
      <w:bookmarkStart w:id="94" w:name="_Toc131561049"/>
      <w:bookmarkStart w:id="95" w:name="_Toc131561704"/>
      <w:bookmarkStart w:id="96" w:name="_Toc134415342"/>
      <w:bookmarkStart w:id="97" w:name="_Toc13450711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00E51396" w:rsidRPr="00900C03">
        <w:rPr>
          <w:sz w:val="24"/>
          <w:szCs w:val="24"/>
        </w:rPr>
        <w:tab/>
      </w:r>
      <w:r w:rsidR="00FC1718" w:rsidRPr="00900C03">
        <w:rPr>
          <w:b/>
          <w:sz w:val="24"/>
          <w:szCs w:val="24"/>
        </w:rPr>
        <w:t>Monitoring Frequencies</w:t>
      </w:r>
      <w:r w:rsidR="00E51396" w:rsidRPr="00900C03">
        <w:rPr>
          <w:b/>
          <w:sz w:val="24"/>
          <w:szCs w:val="24"/>
        </w:rPr>
        <w:t>.</w:t>
      </w:r>
      <w:r w:rsidR="00E51396" w:rsidRPr="00900C03">
        <w:rPr>
          <w:sz w:val="24"/>
          <w:szCs w:val="24"/>
        </w:rPr>
        <w:t xml:space="preserve"> </w:t>
      </w:r>
      <w:r w:rsidR="00A67741" w:rsidRPr="00900C03">
        <w:rPr>
          <w:sz w:val="24"/>
          <w:szCs w:val="24"/>
        </w:rPr>
        <w:t xml:space="preserve">The </w:t>
      </w:r>
      <w:r w:rsidR="00FC1718" w:rsidRPr="00900C03">
        <w:rPr>
          <w:sz w:val="24"/>
          <w:szCs w:val="24"/>
        </w:rPr>
        <w:t>Industrial Discharger shall sample and analyze the influent recycled wastewater and the effluent discharge at least monthly for mercury and quarterly for PCBs. Influent sampling shall include measurement of daily flow volum</w:t>
      </w:r>
      <w:r w:rsidR="00C71146">
        <w:rPr>
          <w:sz w:val="24"/>
          <w:szCs w:val="24"/>
        </w:rPr>
        <w:t>e for the entire duration that M</w:t>
      </w:r>
      <w:r w:rsidR="00FC1718" w:rsidRPr="00900C03">
        <w:rPr>
          <w:sz w:val="24"/>
          <w:szCs w:val="24"/>
        </w:rPr>
        <w:t>ercury or PCBs Adjustments are applied. Influent sampling shall occur at an appropriate influent sampling station as identified in the Discharger’s individual permit.</w:t>
      </w:r>
    </w:p>
    <w:p w14:paraId="5D9C37B2" w14:textId="290AC6F5" w:rsidR="00F878D4" w:rsidRPr="00900C03" w:rsidRDefault="00E51396" w:rsidP="004C5065">
      <w:pPr>
        <w:tabs>
          <w:tab w:val="left" w:pos="-1440"/>
          <w:tab w:val="left" w:pos="1440"/>
        </w:tabs>
        <w:spacing w:after="240"/>
        <w:ind w:left="1440" w:hanging="360"/>
        <w:rPr>
          <w:color w:val="000000" w:themeColor="text1"/>
          <w:sz w:val="24"/>
          <w:szCs w:val="24"/>
        </w:rPr>
      </w:pPr>
      <w:r w:rsidRPr="00900C03">
        <w:rPr>
          <w:b/>
          <w:color w:val="000000" w:themeColor="text1"/>
          <w:sz w:val="24"/>
          <w:szCs w:val="24"/>
        </w:rPr>
        <w:t>b.</w:t>
      </w:r>
      <w:r w:rsidRPr="00900C03">
        <w:rPr>
          <w:color w:val="000000" w:themeColor="text1"/>
          <w:sz w:val="24"/>
          <w:szCs w:val="24"/>
        </w:rPr>
        <w:t xml:space="preserve"> </w:t>
      </w:r>
      <w:r w:rsidR="00FC1718" w:rsidRPr="00900C03">
        <w:rPr>
          <w:color w:val="000000" w:themeColor="text1"/>
          <w:sz w:val="24"/>
          <w:szCs w:val="24"/>
        </w:rPr>
        <w:tab/>
      </w:r>
      <w:r w:rsidR="009F5BF9" w:rsidRPr="00900C03">
        <w:rPr>
          <w:b/>
          <w:color w:val="000000" w:themeColor="text1"/>
          <w:sz w:val="24"/>
          <w:szCs w:val="24"/>
        </w:rPr>
        <w:t>Time</w:t>
      </w:r>
      <w:r w:rsidR="006E559E" w:rsidRPr="00900C03">
        <w:rPr>
          <w:b/>
          <w:color w:val="000000" w:themeColor="text1"/>
          <w:sz w:val="24"/>
          <w:szCs w:val="24"/>
        </w:rPr>
        <w:t xml:space="preserve"> Intervals between Influent and Effluent Sampling</w:t>
      </w:r>
      <w:r w:rsidR="00FC1718" w:rsidRPr="00900C03">
        <w:rPr>
          <w:b/>
          <w:sz w:val="24"/>
          <w:szCs w:val="24"/>
        </w:rPr>
        <w:t xml:space="preserve">. </w:t>
      </w:r>
      <w:r w:rsidR="00F4138D" w:rsidRPr="00900C03">
        <w:rPr>
          <w:sz w:val="24"/>
          <w:szCs w:val="24"/>
        </w:rPr>
        <w:t xml:space="preserve">The Industrial Discharger shall determine the time interval </w:t>
      </w:r>
      <w:r w:rsidR="00590A95" w:rsidRPr="00900C03">
        <w:rPr>
          <w:sz w:val="24"/>
          <w:szCs w:val="24"/>
        </w:rPr>
        <w:t xml:space="preserve">(i.e., lag time) </w:t>
      </w:r>
      <w:r w:rsidR="00F4138D" w:rsidRPr="00900C03">
        <w:rPr>
          <w:sz w:val="24"/>
          <w:szCs w:val="24"/>
        </w:rPr>
        <w:t xml:space="preserve">between </w:t>
      </w:r>
      <w:r w:rsidR="006E559E" w:rsidRPr="00900C03">
        <w:rPr>
          <w:sz w:val="24"/>
          <w:szCs w:val="24"/>
        </w:rPr>
        <w:t>sampling</w:t>
      </w:r>
      <w:r w:rsidR="00F4138D" w:rsidRPr="00900C03">
        <w:rPr>
          <w:sz w:val="24"/>
          <w:szCs w:val="24"/>
        </w:rPr>
        <w:t xml:space="preserve"> a given constituent of concern in the influent recycled water and </w:t>
      </w:r>
      <w:r w:rsidR="006E559E" w:rsidRPr="00900C03">
        <w:rPr>
          <w:sz w:val="24"/>
          <w:szCs w:val="24"/>
        </w:rPr>
        <w:t xml:space="preserve">sampling </w:t>
      </w:r>
      <w:r w:rsidR="00A00A01" w:rsidRPr="00900C03">
        <w:rPr>
          <w:sz w:val="24"/>
          <w:szCs w:val="24"/>
        </w:rPr>
        <w:t xml:space="preserve">the same water </w:t>
      </w:r>
      <w:r w:rsidR="00D44925">
        <w:rPr>
          <w:sz w:val="24"/>
          <w:szCs w:val="24"/>
        </w:rPr>
        <w:t>for the</w:t>
      </w:r>
      <w:r w:rsidR="00A00A01" w:rsidRPr="00900C03">
        <w:rPr>
          <w:sz w:val="24"/>
          <w:szCs w:val="24"/>
        </w:rPr>
        <w:t xml:space="preserve"> </w:t>
      </w:r>
      <w:r w:rsidR="00F4138D" w:rsidRPr="00900C03">
        <w:rPr>
          <w:sz w:val="24"/>
          <w:szCs w:val="24"/>
        </w:rPr>
        <w:t xml:space="preserve">constituent </w:t>
      </w:r>
      <w:r w:rsidR="00D44925">
        <w:rPr>
          <w:sz w:val="24"/>
          <w:szCs w:val="24"/>
        </w:rPr>
        <w:t>when it appears in</w:t>
      </w:r>
      <w:r w:rsidR="00F4138D" w:rsidRPr="00900C03">
        <w:rPr>
          <w:sz w:val="24"/>
          <w:szCs w:val="24"/>
        </w:rPr>
        <w:t xml:space="preserve"> the final effluent. The basis for this determination must be included in any</w:t>
      </w:r>
      <w:r w:rsidR="0053332E">
        <w:rPr>
          <w:sz w:val="24"/>
          <w:szCs w:val="24"/>
        </w:rPr>
        <w:t xml:space="preserve"> calculation of M</w:t>
      </w:r>
      <w:r w:rsidR="00F4138D" w:rsidRPr="00900C03">
        <w:rPr>
          <w:sz w:val="24"/>
          <w:szCs w:val="24"/>
        </w:rPr>
        <w:t>ercury or PCBs Adjustments.</w:t>
      </w:r>
    </w:p>
    <w:p w14:paraId="37ACD4FB" w14:textId="2A554452" w:rsidR="0046283E" w:rsidRPr="00900C03" w:rsidRDefault="001D02E9" w:rsidP="00B44A18">
      <w:pPr>
        <w:tabs>
          <w:tab w:val="left" w:pos="-1440"/>
          <w:tab w:val="left" w:pos="1440"/>
        </w:tabs>
        <w:ind w:left="1440" w:hanging="360"/>
        <w:rPr>
          <w:color w:val="000000" w:themeColor="text1"/>
          <w:sz w:val="24"/>
          <w:szCs w:val="24"/>
        </w:rPr>
      </w:pPr>
      <w:r w:rsidRPr="00900C03">
        <w:rPr>
          <w:b/>
          <w:color w:val="000000" w:themeColor="text1"/>
          <w:sz w:val="24"/>
          <w:szCs w:val="24"/>
        </w:rPr>
        <w:lastRenderedPageBreak/>
        <w:t>c</w:t>
      </w:r>
      <w:r w:rsidR="007B5AB2" w:rsidRPr="00900C03">
        <w:rPr>
          <w:b/>
          <w:color w:val="000000" w:themeColor="text1"/>
          <w:sz w:val="24"/>
          <w:szCs w:val="24"/>
        </w:rPr>
        <w:t>.</w:t>
      </w:r>
      <w:r w:rsidR="007B5AB2" w:rsidRPr="00900C03">
        <w:rPr>
          <w:b/>
          <w:color w:val="000000" w:themeColor="text1"/>
          <w:sz w:val="24"/>
          <w:szCs w:val="24"/>
        </w:rPr>
        <w:tab/>
      </w:r>
      <w:r w:rsidR="00A942D9" w:rsidRPr="00900C03">
        <w:rPr>
          <w:b/>
          <w:color w:val="000000" w:themeColor="text1"/>
          <w:sz w:val="24"/>
          <w:szCs w:val="24"/>
        </w:rPr>
        <w:t xml:space="preserve">Adjustment </w:t>
      </w:r>
      <w:r w:rsidR="004C5065" w:rsidRPr="00900C03">
        <w:rPr>
          <w:b/>
          <w:color w:val="000000" w:themeColor="text1"/>
          <w:sz w:val="24"/>
          <w:szCs w:val="24"/>
        </w:rPr>
        <w:t>Calculation Procedure</w:t>
      </w:r>
      <w:r w:rsidR="007B5AB2" w:rsidRPr="00900C03">
        <w:rPr>
          <w:b/>
          <w:color w:val="000000" w:themeColor="text1"/>
          <w:sz w:val="24"/>
          <w:szCs w:val="24"/>
        </w:rPr>
        <w:t>.</w:t>
      </w:r>
      <w:r w:rsidR="00823001" w:rsidRPr="00900C03">
        <w:rPr>
          <w:color w:val="000000" w:themeColor="text1"/>
          <w:sz w:val="24"/>
          <w:szCs w:val="24"/>
        </w:rPr>
        <w:t xml:space="preserve"> </w:t>
      </w:r>
    </w:p>
    <w:p w14:paraId="69CB0F6E" w14:textId="77777777" w:rsidR="00B44A18" w:rsidRPr="00900C03" w:rsidRDefault="00B44A18" w:rsidP="00B44A18">
      <w:pPr>
        <w:pStyle w:val="ListParagraph"/>
        <w:spacing w:after="240"/>
        <w:ind w:left="1440"/>
        <w:rPr>
          <w:sz w:val="24"/>
          <w:szCs w:val="24"/>
        </w:rPr>
      </w:pPr>
    </w:p>
    <w:p w14:paraId="2E1BED24" w14:textId="43753238" w:rsidR="00B44A18" w:rsidRPr="00900C03" w:rsidRDefault="00B44A18" w:rsidP="00F009DF">
      <w:pPr>
        <w:pStyle w:val="ListParagraph"/>
        <w:numPr>
          <w:ilvl w:val="2"/>
          <w:numId w:val="30"/>
        </w:numPr>
        <w:shd w:val="clear" w:color="auto" w:fill="FFFFFF"/>
        <w:tabs>
          <w:tab w:val="left" w:pos="1800"/>
        </w:tabs>
        <w:ind w:left="1800" w:hanging="270"/>
        <w:rPr>
          <w:b/>
          <w:sz w:val="24"/>
          <w:szCs w:val="24"/>
        </w:rPr>
      </w:pPr>
      <w:r w:rsidRPr="00900C03">
        <w:rPr>
          <w:b/>
          <w:sz w:val="24"/>
          <w:szCs w:val="24"/>
        </w:rPr>
        <w:t xml:space="preserve">Concentration Adjustment. </w:t>
      </w:r>
      <w:r w:rsidRPr="00900C03">
        <w:rPr>
          <w:iCs/>
          <w:sz w:val="24"/>
          <w:szCs w:val="24"/>
        </w:rPr>
        <w:t>T</w:t>
      </w:r>
      <w:r w:rsidR="000F179A">
        <w:rPr>
          <w:iCs/>
          <w:sz w:val="24"/>
          <w:szCs w:val="24"/>
        </w:rPr>
        <w:t>he Mercury or PCBs Adjustment fo</w:t>
      </w:r>
      <w:r w:rsidRPr="00900C03">
        <w:rPr>
          <w:iCs/>
          <w:sz w:val="24"/>
          <w:szCs w:val="24"/>
        </w:rPr>
        <w:t>r concentration shall be calculated as follows:</w:t>
      </w:r>
    </w:p>
    <w:p w14:paraId="203399CE" w14:textId="747A1042" w:rsidR="00491139" w:rsidRPr="00900C03" w:rsidRDefault="0013573F" w:rsidP="002B1FE5">
      <w:pPr>
        <w:pStyle w:val="ListParagraph"/>
        <w:shd w:val="clear" w:color="auto" w:fill="FFFFFF"/>
        <w:tabs>
          <w:tab w:val="left" w:pos="1800"/>
        </w:tabs>
        <w:spacing w:after="240"/>
        <w:ind w:left="1350" w:hanging="630"/>
        <w:rPr>
          <w:b/>
          <w:sz w:val="24"/>
          <w:szCs w:val="24"/>
        </w:rPr>
      </w:pPr>
      <m:oMathPara>
        <m:oMath>
          <m:sSub>
            <m:sSubPr>
              <m:ctrlPr>
                <w:rPr>
                  <w:rFonts w:ascii="Cambria Math" w:hAnsi="Cambria Math"/>
                  <w:i/>
                  <w:color w:val="000000" w:themeColor="text1"/>
                  <w:sz w:val="24"/>
                  <w:szCs w:val="24"/>
                </w:rPr>
              </m:ctrlPr>
            </m:sSubPr>
            <m:e>
              <m:r>
                <m:rPr>
                  <m:nor/>
                </m:rPr>
                <w:rPr>
                  <w:i/>
                  <w:color w:val="000000" w:themeColor="text1"/>
                  <w:sz w:val="24"/>
                  <w:szCs w:val="24"/>
                </w:rPr>
                <m:t>(C</m:t>
              </m:r>
            </m:e>
            <m:sub>
              <m:r>
                <m:rPr>
                  <m:nor/>
                </m:rPr>
                <w:rPr>
                  <w:i/>
                  <w:color w:val="000000" w:themeColor="text1"/>
                  <w:sz w:val="24"/>
                  <w:szCs w:val="24"/>
                </w:rPr>
                <m:t>i</m:t>
              </m:r>
            </m:sub>
          </m:sSub>
          <m:r>
            <m:rPr>
              <m:nor/>
            </m:rPr>
            <w:rPr>
              <w:rFonts w:ascii="Cambria Math"/>
              <w:i/>
              <w:color w:val="000000" w:themeColor="text1"/>
              <w:sz w:val="24"/>
              <w:szCs w:val="24"/>
            </w:rPr>
            <m:t xml:space="preserve">- </m:t>
          </m:r>
          <m:sSub>
            <m:sSubPr>
              <m:ctrlPr>
                <w:rPr>
                  <w:rFonts w:ascii="Cambria Math" w:hAnsi="Cambria Math"/>
                  <w:i/>
                  <w:color w:val="000000" w:themeColor="text1"/>
                  <w:sz w:val="24"/>
                  <w:szCs w:val="24"/>
                </w:rPr>
              </m:ctrlPr>
            </m:sSubPr>
            <m:e>
              <m:r>
                <m:rPr>
                  <m:nor/>
                </m:rPr>
                <w:rPr>
                  <w:i/>
                  <w:color w:val="000000" w:themeColor="text1"/>
                  <w:sz w:val="24"/>
                  <w:szCs w:val="24"/>
                </w:rPr>
                <m:t>C</m:t>
              </m:r>
            </m:e>
            <m:sub>
              <m:r>
                <m:rPr>
                  <m:nor/>
                </m:rPr>
                <w:rPr>
                  <w:rFonts w:ascii="Cambria Math"/>
                  <w:i/>
                  <w:color w:val="000000" w:themeColor="text1"/>
                  <w:sz w:val="24"/>
                  <w:szCs w:val="24"/>
                </w:rPr>
                <m:t>p</m:t>
              </m:r>
            </m:sub>
          </m:sSub>
          <m:r>
            <m:rPr>
              <m:nor/>
            </m:rPr>
            <w:rPr>
              <w:rFonts w:ascii="Cambria Math"/>
              <w:i/>
              <w:color w:val="000000" w:themeColor="text1"/>
              <w:sz w:val="24"/>
              <w:szCs w:val="24"/>
            </w:rPr>
            <m:t xml:space="preserve">) </m:t>
          </m:r>
          <m:r>
            <m:rPr>
              <m:nor/>
            </m:rPr>
            <w:rPr>
              <w:i/>
              <w:color w:val="000000" w:themeColor="text1"/>
              <w:sz w:val="24"/>
              <w:szCs w:val="24"/>
            </w:rPr>
            <m:t xml:space="preserve">× </m:t>
          </m:r>
          <m:sSub>
            <m:sSubPr>
              <m:ctrlPr>
                <w:rPr>
                  <w:rFonts w:ascii="Cambria Math" w:hAnsi="Cambria Math"/>
                  <w:i/>
                  <w:color w:val="000000" w:themeColor="text1"/>
                  <w:sz w:val="24"/>
                  <w:szCs w:val="24"/>
                </w:rPr>
              </m:ctrlPr>
            </m:sSubPr>
            <m:e>
              <m:r>
                <m:rPr>
                  <m:nor/>
                </m:rPr>
                <w:rPr>
                  <w:i/>
                  <w:color w:val="000000" w:themeColor="text1"/>
                  <w:sz w:val="24"/>
                  <w:szCs w:val="24"/>
                </w:rPr>
                <m:t>Q</m:t>
              </m:r>
            </m:e>
            <m:sub>
              <m:r>
                <m:rPr>
                  <m:nor/>
                </m:rPr>
                <w:rPr>
                  <w:i/>
                  <w:color w:val="000000" w:themeColor="text1"/>
                  <w:sz w:val="24"/>
                  <w:szCs w:val="24"/>
                </w:rPr>
                <m:t>t</m:t>
              </m:r>
            </m:sub>
          </m:sSub>
          <m:r>
            <m:rPr>
              <m:nor/>
            </m:rPr>
            <w:rPr>
              <w:i/>
              <w:color w:val="000000" w:themeColor="text1"/>
              <w:sz w:val="24"/>
              <w:szCs w:val="24"/>
            </w:rPr>
            <m:t xml:space="preserve"> ÷ </m:t>
          </m:r>
          <m:sSub>
            <m:sSubPr>
              <m:ctrlPr>
                <w:rPr>
                  <w:rFonts w:ascii="Cambria Math" w:hAnsi="Cambria Math"/>
                  <w:i/>
                  <w:color w:val="000000" w:themeColor="text1"/>
                  <w:sz w:val="24"/>
                  <w:szCs w:val="24"/>
                </w:rPr>
              </m:ctrlPr>
            </m:sSubPr>
            <m:e>
              <m:r>
                <m:rPr>
                  <m:nor/>
                </m:rPr>
                <w:rPr>
                  <w:i/>
                  <w:color w:val="000000" w:themeColor="text1"/>
                  <w:sz w:val="24"/>
                  <w:szCs w:val="24"/>
                </w:rPr>
                <m:t>Q</m:t>
              </m:r>
            </m:e>
            <m:sub>
              <m:r>
                <m:rPr>
                  <m:nor/>
                </m:rPr>
                <w:rPr>
                  <w:i/>
                  <w:color w:val="000000" w:themeColor="text1"/>
                  <w:sz w:val="24"/>
                  <w:szCs w:val="24"/>
                </w:rPr>
                <m:t>y</m:t>
              </m:r>
            </m:sub>
          </m:sSub>
        </m:oMath>
      </m:oMathPara>
    </w:p>
    <w:p w14:paraId="16437343" w14:textId="1F631376" w:rsidR="002B393E" w:rsidRPr="00900C03" w:rsidRDefault="002B393E" w:rsidP="002B393E">
      <w:pPr>
        <w:tabs>
          <w:tab w:val="left" w:pos="1440"/>
        </w:tabs>
        <w:ind w:firstLine="1440"/>
        <w:rPr>
          <w:color w:val="000000" w:themeColor="text1"/>
          <w:sz w:val="24"/>
          <w:szCs w:val="24"/>
        </w:rPr>
      </w:pPr>
      <w:r w:rsidRPr="00900C03">
        <w:rPr>
          <w:color w:val="000000" w:themeColor="text1"/>
          <w:sz w:val="24"/>
          <w:szCs w:val="24"/>
        </w:rPr>
        <w:t xml:space="preserve">where </w:t>
      </w:r>
    </w:p>
    <w:p w14:paraId="36EE5170" w14:textId="77777777" w:rsidR="002B393E" w:rsidRPr="00900C03" w:rsidRDefault="002B393E" w:rsidP="002B393E">
      <w:pPr>
        <w:tabs>
          <w:tab w:val="left" w:pos="1440"/>
        </w:tabs>
        <w:ind w:firstLine="1440"/>
        <w:rPr>
          <w:color w:val="000000" w:themeColor="text1"/>
          <w:sz w:val="24"/>
          <w:szCs w:val="24"/>
        </w:rPr>
      </w:pPr>
    </w:p>
    <w:p w14:paraId="4C9F4E7F" w14:textId="77777777" w:rsidR="00FC5E44" w:rsidRPr="00900C03" w:rsidRDefault="00FC5E44" w:rsidP="00FC5E44">
      <w:pPr>
        <w:tabs>
          <w:tab w:val="left" w:pos="1440"/>
        </w:tabs>
        <w:ind w:left="1440"/>
        <w:rPr>
          <w:color w:val="000000" w:themeColor="text1"/>
          <w:sz w:val="24"/>
          <w:szCs w:val="24"/>
        </w:rPr>
      </w:pPr>
      <w:r w:rsidRPr="00900C03">
        <w:rPr>
          <w:i/>
          <w:color w:val="000000" w:themeColor="text1"/>
          <w:sz w:val="24"/>
          <w:szCs w:val="24"/>
        </w:rPr>
        <w:t>C</w:t>
      </w:r>
      <w:r w:rsidRPr="00900C03">
        <w:rPr>
          <w:i/>
          <w:color w:val="000000" w:themeColor="text1"/>
          <w:sz w:val="24"/>
          <w:szCs w:val="24"/>
          <w:vertAlign w:val="subscript"/>
        </w:rPr>
        <w:t>i</w:t>
      </w:r>
      <w:r w:rsidRPr="00900C03">
        <w:rPr>
          <w:color w:val="000000" w:themeColor="text1"/>
          <w:sz w:val="24"/>
          <w:szCs w:val="24"/>
        </w:rPr>
        <w:t xml:space="preserve">  </w:t>
      </w:r>
      <w:r w:rsidRPr="00900C03">
        <w:rPr>
          <w:color w:val="000000" w:themeColor="text1"/>
          <w:sz w:val="24"/>
          <w:szCs w:val="24"/>
        </w:rPr>
        <w:tab/>
        <w:t>= Recycled water influent mercury or PCBs concentration, μg/L</w:t>
      </w:r>
    </w:p>
    <w:p w14:paraId="1E778580" w14:textId="38459796" w:rsidR="00FC5E44" w:rsidRPr="00900C03" w:rsidRDefault="00FC5E44" w:rsidP="00FC5E44">
      <w:pPr>
        <w:tabs>
          <w:tab w:val="left" w:pos="1440"/>
        </w:tabs>
        <w:ind w:left="1440"/>
        <w:rPr>
          <w:color w:val="000000" w:themeColor="text1"/>
          <w:sz w:val="24"/>
          <w:szCs w:val="24"/>
        </w:rPr>
      </w:pPr>
      <w:r w:rsidRPr="00900C03">
        <w:rPr>
          <w:i/>
          <w:color w:val="000000" w:themeColor="text1"/>
          <w:sz w:val="24"/>
          <w:szCs w:val="24"/>
        </w:rPr>
        <w:t>C</w:t>
      </w:r>
      <w:r>
        <w:rPr>
          <w:i/>
          <w:color w:val="000000" w:themeColor="text1"/>
          <w:sz w:val="24"/>
          <w:szCs w:val="24"/>
          <w:vertAlign w:val="subscript"/>
        </w:rPr>
        <w:t>p</w:t>
      </w:r>
      <w:r w:rsidRPr="00900C03">
        <w:rPr>
          <w:color w:val="000000" w:themeColor="text1"/>
          <w:sz w:val="24"/>
          <w:szCs w:val="24"/>
        </w:rPr>
        <w:t xml:space="preserve">  </w:t>
      </w:r>
      <w:r w:rsidRPr="00900C03">
        <w:rPr>
          <w:color w:val="000000" w:themeColor="text1"/>
          <w:sz w:val="24"/>
          <w:szCs w:val="24"/>
        </w:rPr>
        <w:tab/>
        <w:t>=</w:t>
      </w:r>
      <w:r>
        <w:rPr>
          <w:color w:val="000000" w:themeColor="text1"/>
          <w:sz w:val="24"/>
          <w:szCs w:val="24"/>
        </w:rPr>
        <w:t xml:space="preserve">Potable </w:t>
      </w:r>
      <w:r w:rsidRPr="00900C03">
        <w:rPr>
          <w:color w:val="000000" w:themeColor="text1"/>
          <w:sz w:val="24"/>
          <w:szCs w:val="24"/>
        </w:rPr>
        <w:t xml:space="preserve"> water influent mercury or PCBs concentration, μg/L</w:t>
      </w:r>
    </w:p>
    <w:p w14:paraId="53B6705E" w14:textId="60D7C654" w:rsidR="00E84896" w:rsidRPr="00900C03" w:rsidRDefault="00E84896" w:rsidP="00006325">
      <w:pPr>
        <w:tabs>
          <w:tab w:val="left" w:pos="2160"/>
          <w:tab w:val="left" w:pos="2430"/>
        </w:tabs>
        <w:ind w:left="2340" w:hanging="900"/>
        <w:rPr>
          <w:color w:val="000000" w:themeColor="text1"/>
          <w:sz w:val="24"/>
          <w:szCs w:val="24"/>
        </w:rPr>
      </w:pPr>
      <w:r w:rsidRPr="00900C03">
        <w:rPr>
          <w:i/>
          <w:color w:val="000000" w:themeColor="text1"/>
          <w:sz w:val="24"/>
          <w:szCs w:val="24"/>
        </w:rPr>
        <w:t>Q</w:t>
      </w:r>
      <w:r w:rsidR="006E559E" w:rsidRPr="00900C03">
        <w:rPr>
          <w:i/>
          <w:color w:val="000000" w:themeColor="text1"/>
          <w:sz w:val="24"/>
          <w:szCs w:val="24"/>
          <w:vertAlign w:val="subscript"/>
        </w:rPr>
        <w:t>t</w:t>
      </w:r>
      <w:r w:rsidRPr="00900C03">
        <w:rPr>
          <w:color w:val="000000" w:themeColor="text1"/>
          <w:sz w:val="24"/>
          <w:szCs w:val="24"/>
        </w:rPr>
        <w:t xml:space="preserve">  </w:t>
      </w:r>
      <w:r w:rsidRPr="00900C03">
        <w:rPr>
          <w:color w:val="000000" w:themeColor="text1"/>
          <w:sz w:val="24"/>
          <w:szCs w:val="24"/>
        </w:rPr>
        <w:tab/>
        <w:t xml:space="preserve">= </w:t>
      </w:r>
      <w:r w:rsidR="004775B9" w:rsidRPr="00900C03">
        <w:rPr>
          <w:color w:val="000000" w:themeColor="text1"/>
          <w:sz w:val="24"/>
          <w:szCs w:val="24"/>
        </w:rPr>
        <w:t xml:space="preserve">Total </w:t>
      </w:r>
      <w:r w:rsidR="00006325" w:rsidRPr="00900C03">
        <w:rPr>
          <w:color w:val="000000" w:themeColor="text1"/>
          <w:sz w:val="24"/>
          <w:szCs w:val="24"/>
        </w:rPr>
        <w:t xml:space="preserve">influent recycled water flow volume </w:t>
      </w:r>
      <w:r w:rsidR="00AC789F">
        <w:rPr>
          <w:color w:val="000000" w:themeColor="text1"/>
          <w:sz w:val="24"/>
          <w:szCs w:val="24"/>
        </w:rPr>
        <w:t xml:space="preserve">corresponding to </w:t>
      </w:r>
      <w:r w:rsidR="00E11B14" w:rsidRPr="00900C03">
        <w:rPr>
          <w:color w:val="000000" w:themeColor="text1"/>
          <w:sz w:val="24"/>
          <w:szCs w:val="24"/>
        </w:rPr>
        <w:t>the appropriate</w:t>
      </w:r>
      <w:r w:rsidR="00006325" w:rsidRPr="00900C03">
        <w:rPr>
          <w:color w:val="000000" w:themeColor="text1"/>
          <w:sz w:val="24"/>
          <w:szCs w:val="24"/>
        </w:rPr>
        <w:t xml:space="preserve"> monitoring </w:t>
      </w:r>
      <w:r w:rsidR="00280220" w:rsidRPr="00900C03">
        <w:rPr>
          <w:color w:val="000000" w:themeColor="text1"/>
          <w:sz w:val="24"/>
          <w:szCs w:val="24"/>
        </w:rPr>
        <w:t>period</w:t>
      </w:r>
      <w:r w:rsidR="006E559E" w:rsidRPr="00900C03">
        <w:rPr>
          <w:color w:val="000000" w:themeColor="text1"/>
          <w:sz w:val="24"/>
          <w:szCs w:val="24"/>
        </w:rPr>
        <w:t xml:space="preserve"> (e.g., monthl</w:t>
      </w:r>
      <w:r w:rsidR="00D637EE">
        <w:rPr>
          <w:color w:val="000000" w:themeColor="text1"/>
          <w:sz w:val="24"/>
          <w:szCs w:val="24"/>
        </w:rPr>
        <w:t xml:space="preserve">y flow volume </w:t>
      </w:r>
      <w:r w:rsidR="006E559E" w:rsidRPr="00900C03">
        <w:rPr>
          <w:color w:val="000000" w:themeColor="text1"/>
          <w:sz w:val="24"/>
          <w:szCs w:val="24"/>
        </w:rPr>
        <w:t>for mercury, quarterly</w:t>
      </w:r>
      <w:r w:rsidR="00D637EE">
        <w:rPr>
          <w:color w:val="000000" w:themeColor="text1"/>
          <w:sz w:val="24"/>
          <w:szCs w:val="24"/>
        </w:rPr>
        <w:t xml:space="preserve"> flow volume</w:t>
      </w:r>
      <w:r w:rsidR="006E559E" w:rsidRPr="00900C03">
        <w:rPr>
          <w:color w:val="000000" w:themeColor="text1"/>
          <w:sz w:val="24"/>
          <w:szCs w:val="24"/>
        </w:rPr>
        <w:t xml:space="preserve"> for PCBs)</w:t>
      </w:r>
      <w:r w:rsidR="00006325" w:rsidRPr="00900C03">
        <w:rPr>
          <w:color w:val="000000" w:themeColor="text1"/>
          <w:sz w:val="24"/>
          <w:szCs w:val="24"/>
        </w:rPr>
        <w:t>, million gallons</w:t>
      </w:r>
    </w:p>
    <w:p w14:paraId="19019F64" w14:textId="56ED5EBB" w:rsidR="00E84896" w:rsidRPr="00900C03" w:rsidRDefault="001A099B" w:rsidP="00E24C2F">
      <w:pPr>
        <w:tabs>
          <w:tab w:val="left" w:pos="2160"/>
          <w:tab w:val="left" w:pos="2430"/>
        </w:tabs>
        <w:ind w:left="2340" w:hanging="900"/>
        <w:rPr>
          <w:color w:val="000000" w:themeColor="text1"/>
          <w:sz w:val="24"/>
          <w:szCs w:val="24"/>
        </w:rPr>
      </w:pPr>
      <w:r w:rsidRPr="00900C03">
        <w:rPr>
          <w:i/>
          <w:color w:val="000000" w:themeColor="text1"/>
          <w:sz w:val="24"/>
          <w:szCs w:val="24"/>
        </w:rPr>
        <w:t>Q</w:t>
      </w:r>
      <w:r w:rsidR="002A62C3" w:rsidRPr="00900C03">
        <w:rPr>
          <w:i/>
          <w:color w:val="000000" w:themeColor="text1"/>
          <w:sz w:val="24"/>
          <w:szCs w:val="24"/>
          <w:vertAlign w:val="subscript"/>
        </w:rPr>
        <w:t>y</w:t>
      </w:r>
      <w:r w:rsidR="00E84896" w:rsidRPr="00900C03">
        <w:rPr>
          <w:color w:val="000000" w:themeColor="text1"/>
          <w:sz w:val="24"/>
          <w:szCs w:val="24"/>
        </w:rPr>
        <w:t xml:space="preserve">  </w:t>
      </w:r>
      <w:r w:rsidR="00E84896" w:rsidRPr="00900C03">
        <w:rPr>
          <w:color w:val="000000" w:themeColor="text1"/>
          <w:sz w:val="24"/>
          <w:szCs w:val="24"/>
        </w:rPr>
        <w:tab/>
        <w:t xml:space="preserve">= Total effluent flow volume </w:t>
      </w:r>
      <w:r w:rsidR="00AC789F">
        <w:rPr>
          <w:color w:val="000000" w:themeColor="text1"/>
          <w:sz w:val="24"/>
          <w:szCs w:val="24"/>
        </w:rPr>
        <w:t>corresponding to</w:t>
      </w:r>
      <w:r w:rsidR="00E24C2F" w:rsidRPr="00900C03">
        <w:rPr>
          <w:color w:val="000000" w:themeColor="text1"/>
          <w:sz w:val="24"/>
          <w:szCs w:val="24"/>
        </w:rPr>
        <w:t xml:space="preserve"> the</w:t>
      </w:r>
      <w:r w:rsidR="00E84896" w:rsidRPr="00900C03">
        <w:rPr>
          <w:color w:val="000000" w:themeColor="text1"/>
          <w:sz w:val="24"/>
          <w:szCs w:val="24"/>
        </w:rPr>
        <w:t xml:space="preserve"> appropriate </w:t>
      </w:r>
      <w:r w:rsidR="002A62C3" w:rsidRPr="00900C03">
        <w:rPr>
          <w:color w:val="000000" w:themeColor="text1"/>
          <w:sz w:val="24"/>
          <w:szCs w:val="24"/>
        </w:rPr>
        <w:t xml:space="preserve">monitoring </w:t>
      </w:r>
      <w:r w:rsidR="00280220" w:rsidRPr="00900C03">
        <w:rPr>
          <w:color w:val="000000" w:themeColor="text1"/>
          <w:sz w:val="24"/>
          <w:szCs w:val="24"/>
        </w:rPr>
        <w:t>period</w:t>
      </w:r>
      <w:r w:rsidR="00AC789F">
        <w:rPr>
          <w:color w:val="000000" w:themeColor="text1"/>
          <w:sz w:val="24"/>
          <w:szCs w:val="24"/>
        </w:rPr>
        <w:t xml:space="preserve"> and</w:t>
      </w:r>
      <w:r w:rsidR="00F64DA7">
        <w:rPr>
          <w:color w:val="000000" w:themeColor="text1"/>
          <w:sz w:val="24"/>
          <w:szCs w:val="24"/>
        </w:rPr>
        <w:t xml:space="preserve"> lag time</w:t>
      </w:r>
      <w:r w:rsidRPr="00900C03">
        <w:rPr>
          <w:color w:val="000000" w:themeColor="text1"/>
          <w:sz w:val="24"/>
          <w:szCs w:val="24"/>
        </w:rPr>
        <w:t xml:space="preserve"> </w:t>
      </w:r>
      <w:r w:rsidR="00F64DA7">
        <w:rPr>
          <w:color w:val="000000" w:themeColor="text1"/>
          <w:sz w:val="24"/>
          <w:szCs w:val="24"/>
        </w:rPr>
        <w:t>(e.g.,</w:t>
      </w:r>
      <w:r w:rsidR="002A62C3" w:rsidRPr="00900C03">
        <w:rPr>
          <w:color w:val="000000" w:themeColor="text1"/>
          <w:sz w:val="24"/>
          <w:szCs w:val="24"/>
        </w:rPr>
        <w:t>Y days</w:t>
      </w:r>
      <w:r w:rsidR="00F64DA7">
        <w:rPr>
          <w:color w:val="000000" w:themeColor="text1"/>
          <w:sz w:val="24"/>
          <w:szCs w:val="24"/>
        </w:rPr>
        <w:t>)</w:t>
      </w:r>
      <w:r w:rsidR="002A62C3" w:rsidRPr="00900C03">
        <w:rPr>
          <w:color w:val="000000" w:themeColor="text1"/>
          <w:sz w:val="24"/>
          <w:szCs w:val="24"/>
        </w:rPr>
        <w:t xml:space="preserve"> after influent is sampled, </w:t>
      </w:r>
      <w:r w:rsidRPr="00900C03">
        <w:rPr>
          <w:color w:val="000000" w:themeColor="text1"/>
          <w:sz w:val="24"/>
          <w:szCs w:val="24"/>
        </w:rPr>
        <w:t>million gallons</w:t>
      </w:r>
    </w:p>
    <w:p w14:paraId="6B8907DA" w14:textId="714D013C" w:rsidR="002B393E" w:rsidRPr="00900C03" w:rsidRDefault="002B393E" w:rsidP="00E24C2F">
      <w:pPr>
        <w:tabs>
          <w:tab w:val="left" w:pos="1440"/>
          <w:tab w:val="left" w:pos="2430"/>
        </w:tabs>
        <w:ind w:left="2160" w:hanging="720"/>
        <w:rPr>
          <w:color w:val="000000" w:themeColor="text1"/>
          <w:sz w:val="24"/>
          <w:szCs w:val="24"/>
        </w:rPr>
      </w:pPr>
    </w:p>
    <w:p w14:paraId="323548C9" w14:textId="4CE64711" w:rsidR="002A62C3" w:rsidRPr="00900C03" w:rsidRDefault="002A62C3" w:rsidP="00E24C2F">
      <w:pPr>
        <w:tabs>
          <w:tab w:val="left" w:pos="1440"/>
          <w:tab w:val="left" w:pos="2430"/>
        </w:tabs>
        <w:ind w:left="2160" w:hanging="720"/>
        <w:rPr>
          <w:color w:val="000000" w:themeColor="text1"/>
          <w:sz w:val="24"/>
          <w:szCs w:val="24"/>
        </w:rPr>
      </w:pPr>
      <w:r w:rsidRPr="00900C03">
        <w:rPr>
          <w:color w:val="000000" w:themeColor="text1"/>
          <w:sz w:val="24"/>
          <w:szCs w:val="24"/>
        </w:rPr>
        <w:t>Example: Mercury is monitored monthly. The lag time is Y days.</w:t>
      </w:r>
    </w:p>
    <w:p w14:paraId="39413D3B" w14:textId="0E1070A8" w:rsidR="002A62C3" w:rsidRPr="00900C03" w:rsidRDefault="002A62C3" w:rsidP="00E24C2F">
      <w:pPr>
        <w:tabs>
          <w:tab w:val="left" w:pos="1440"/>
          <w:tab w:val="left" w:pos="2430"/>
        </w:tabs>
        <w:ind w:left="2160" w:hanging="720"/>
        <w:rPr>
          <w:color w:val="000000" w:themeColor="text1"/>
          <w:sz w:val="24"/>
          <w:szCs w:val="24"/>
        </w:rPr>
      </w:pPr>
    </w:p>
    <w:p w14:paraId="2AC60CD8" w14:textId="1C478D69" w:rsidR="002A62C3" w:rsidRPr="00900C03" w:rsidRDefault="002A62C3" w:rsidP="002A62C3">
      <w:pPr>
        <w:tabs>
          <w:tab w:val="left" w:pos="-1440"/>
          <w:tab w:val="left" w:pos="2160"/>
        </w:tabs>
        <w:ind w:left="2160" w:hanging="720"/>
        <w:rPr>
          <w:sz w:val="24"/>
          <w:szCs w:val="24"/>
        </w:rPr>
      </w:pPr>
      <w:r w:rsidRPr="00900C03">
        <w:rPr>
          <w:sz w:val="24"/>
          <w:szCs w:val="24"/>
        </w:rPr>
        <w:t>Step 1: {</w:t>
      </w:r>
      <w:r w:rsidR="006E559E" w:rsidRPr="00900C03">
        <w:rPr>
          <w:sz w:val="24"/>
          <w:szCs w:val="24"/>
        </w:rPr>
        <w:t>(i</w:t>
      </w:r>
      <w:r w:rsidRPr="00900C03">
        <w:rPr>
          <w:sz w:val="24"/>
          <w:szCs w:val="24"/>
        </w:rPr>
        <w:t xml:space="preserve">nfluent concentration of </w:t>
      </w:r>
      <w:r w:rsidR="006E559E" w:rsidRPr="00900C03">
        <w:rPr>
          <w:sz w:val="24"/>
          <w:szCs w:val="24"/>
        </w:rPr>
        <w:t>mercury in recycled w</w:t>
      </w:r>
      <w:r w:rsidRPr="00900C03">
        <w:rPr>
          <w:sz w:val="24"/>
          <w:szCs w:val="24"/>
        </w:rPr>
        <w:t>astewater</w:t>
      </w:r>
      <w:r w:rsidR="006E559E" w:rsidRPr="00900C03">
        <w:rPr>
          <w:sz w:val="24"/>
          <w:szCs w:val="24"/>
        </w:rPr>
        <w:t xml:space="preserve">, </w:t>
      </w:r>
      <w:r w:rsidR="006E559E" w:rsidRPr="00900C03">
        <w:rPr>
          <w:i/>
          <w:color w:val="000000" w:themeColor="text1"/>
          <w:sz w:val="24"/>
          <w:szCs w:val="24"/>
        </w:rPr>
        <w:t>C</w:t>
      </w:r>
      <w:r w:rsidR="00A00A01" w:rsidRPr="00900C03">
        <w:rPr>
          <w:i/>
          <w:color w:val="000000" w:themeColor="text1"/>
          <w:sz w:val="24"/>
          <w:szCs w:val="24"/>
          <w:vertAlign w:val="subscript"/>
        </w:rPr>
        <w:t>2i</w:t>
      </w:r>
      <w:r w:rsidRPr="00900C03">
        <w:rPr>
          <w:sz w:val="24"/>
          <w:szCs w:val="24"/>
        </w:rPr>
        <w:t xml:space="preserve">) </w:t>
      </w:r>
      <w:r w:rsidR="006E559E" w:rsidRPr="00900C03">
        <w:rPr>
          <w:sz w:val="24"/>
          <w:szCs w:val="24"/>
        </w:rPr>
        <w:t>– (i</w:t>
      </w:r>
      <w:r w:rsidRPr="00900C03">
        <w:rPr>
          <w:sz w:val="24"/>
          <w:szCs w:val="24"/>
        </w:rPr>
        <w:t>nfluent concentration of mercury in potable water</w:t>
      </w:r>
      <w:r w:rsidR="006E559E" w:rsidRPr="00900C03">
        <w:rPr>
          <w:sz w:val="24"/>
          <w:szCs w:val="24"/>
        </w:rPr>
        <w:t xml:space="preserve">, </w:t>
      </w:r>
      <w:r w:rsidR="006E559E" w:rsidRPr="00900C03">
        <w:rPr>
          <w:i/>
          <w:color w:val="000000" w:themeColor="text1"/>
          <w:sz w:val="24"/>
          <w:szCs w:val="24"/>
        </w:rPr>
        <w:t>C</w:t>
      </w:r>
      <w:r w:rsidR="00A00A01" w:rsidRPr="00900C03">
        <w:rPr>
          <w:i/>
          <w:color w:val="000000" w:themeColor="text1"/>
          <w:sz w:val="24"/>
          <w:szCs w:val="24"/>
          <w:vertAlign w:val="subscript"/>
        </w:rPr>
        <w:t>1i</w:t>
      </w:r>
      <w:r w:rsidRPr="00900C03">
        <w:rPr>
          <w:sz w:val="24"/>
          <w:szCs w:val="24"/>
        </w:rPr>
        <w:t>)}</w:t>
      </w:r>
      <w:r w:rsidR="006E559E" w:rsidRPr="00900C03">
        <w:rPr>
          <w:sz w:val="24"/>
          <w:szCs w:val="24"/>
        </w:rPr>
        <w:t xml:space="preserve"> x (t</w:t>
      </w:r>
      <w:r w:rsidR="005D0EBC" w:rsidRPr="00900C03">
        <w:rPr>
          <w:sz w:val="24"/>
          <w:szCs w:val="24"/>
        </w:rPr>
        <w:t>otal influent volume of r</w:t>
      </w:r>
      <w:r w:rsidRPr="00900C03">
        <w:rPr>
          <w:sz w:val="24"/>
          <w:szCs w:val="24"/>
        </w:rPr>
        <w:t>ecycl</w:t>
      </w:r>
      <w:r w:rsidR="005D0EBC" w:rsidRPr="00900C03">
        <w:rPr>
          <w:sz w:val="24"/>
          <w:szCs w:val="24"/>
        </w:rPr>
        <w:t>ed w</w:t>
      </w:r>
      <w:r w:rsidRPr="00900C03">
        <w:rPr>
          <w:sz w:val="24"/>
          <w:szCs w:val="24"/>
        </w:rPr>
        <w:t>astewater for the month</w:t>
      </w:r>
      <w:r w:rsidR="006E559E" w:rsidRPr="00900C03">
        <w:rPr>
          <w:sz w:val="24"/>
          <w:szCs w:val="24"/>
        </w:rPr>
        <w:t xml:space="preserve">, </w:t>
      </w:r>
      <w:r w:rsidR="006E559E" w:rsidRPr="00900C03">
        <w:rPr>
          <w:i/>
          <w:color w:val="000000" w:themeColor="text1"/>
          <w:sz w:val="24"/>
          <w:szCs w:val="24"/>
        </w:rPr>
        <w:t>Q</w:t>
      </w:r>
      <w:r w:rsidR="006E559E" w:rsidRPr="00900C03">
        <w:rPr>
          <w:i/>
          <w:color w:val="000000" w:themeColor="text1"/>
          <w:sz w:val="24"/>
          <w:szCs w:val="24"/>
          <w:vertAlign w:val="subscript"/>
        </w:rPr>
        <w:t>t</w:t>
      </w:r>
      <w:r w:rsidR="005D0EBC" w:rsidRPr="00900C03">
        <w:rPr>
          <w:sz w:val="24"/>
          <w:szCs w:val="24"/>
        </w:rPr>
        <w:t>) = (i</w:t>
      </w:r>
      <w:r w:rsidRPr="00900C03">
        <w:rPr>
          <w:sz w:val="24"/>
          <w:szCs w:val="24"/>
        </w:rPr>
        <w:t>nfluent mass</w:t>
      </w:r>
      <w:r w:rsidR="005D0EBC" w:rsidRPr="00900C03">
        <w:rPr>
          <w:sz w:val="24"/>
          <w:szCs w:val="24"/>
        </w:rPr>
        <w:t xml:space="preserve"> of mercury from r</w:t>
      </w:r>
      <w:r w:rsidRPr="00900C03">
        <w:rPr>
          <w:sz w:val="24"/>
          <w:szCs w:val="24"/>
        </w:rPr>
        <w:t xml:space="preserve">ecycled </w:t>
      </w:r>
      <w:r w:rsidR="005D0EBC" w:rsidRPr="00900C03">
        <w:rPr>
          <w:sz w:val="24"/>
          <w:szCs w:val="24"/>
        </w:rPr>
        <w:t>w</w:t>
      </w:r>
      <w:r w:rsidRPr="00900C03">
        <w:rPr>
          <w:sz w:val="24"/>
          <w:szCs w:val="24"/>
        </w:rPr>
        <w:t>astewater)</w:t>
      </w:r>
    </w:p>
    <w:p w14:paraId="0AE77764" w14:textId="77777777" w:rsidR="002A62C3" w:rsidRPr="00900C03" w:rsidRDefault="002A62C3" w:rsidP="002A62C3">
      <w:pPr>
        <w:tabs>
          <w:tab w:val="left" w:pos="-1440"/>
        </w:tabs>
        <w:ind w:left="1800" w:hanging="360"/>
        <w:rPr>
          <w:sz w:val="24"/>
          <w:szCs w:val="24"/>
        </w:rPr>
      </w:pPr>
      <w:r w:rsidRPr="00900C03">
        <w:rPr>
          <w:sz w:val="24"/>
          <w:szCs w:val="24"/>
        </w:rPr>
        <w:tab/>
      </w:r>
    </w:p>
    <w:p w14:paraId="6CDBDE4A" w14:textId="4B7715B3" w:rsidR="002A62C3" w:rsidRPr="00900C03" w:rsidRDefault="002A62C3" w:rsidP="002A62C3">
      <w:pPr>
        <w:tabs>
          <w:tab w:val="left" w:pos="-1440"/>
          <w:tab w:val="left" w:pos="2160"/>
        </w:tabs>
        <w:ind w:left="2160" w:hanging="720"/>
        <w:rPr>
          <w:sz w:val="24"/>
          <w:szCs w:val="24"/>
        </w:rPr>
      </w:pPr>
      <w:r w:rsidRPr="00900C03">
        <w:rPr>
          <w:sz w:val="24"/>
          <w:szCs w:val="24"/>
        </w:rPr>
        <w:t xml:space="preserve">Step </w:t>
      </w:r>
      <w:r w:rsidR="00AF75B4" w:rsidRPr="00900C03">
        <w:rPr>
          <w:sz w:val="24"/>
          <w:szCs w:val="24"/>
        </w:rPr>
        <w:t>2:  (i</w:t>
      </w:r>
      <w:r w:rsidRPr="00900C03">
        <w:rPr>
          <w:sz w:val="24"/>
          <w:szCs w:val="24"/>
        </w:rPr>
        <w:t>nfluent mass) ÷ (</w:t>
      </w:r>
      <w:r w:rsidR="00AF75B4" w:rsidRPr="00900C03">
        <w:rPr>
          <w:sz w:val="24"/>
          <w:szCs w:val="24"/>
        </w:rPr>
        <w:t>t</w:t>
      </w:r>
      <w:r w:rsidRPr="00900C03">
        <w:rPr>
          <w:sz w:val="24"/>
          <w:szCs w:val="24"/>
        </w:rPr>
        <w:t>otal effluent discharge volume for the 30-day period, Y days after influent sampled</w:t>
      </w:r>
      <w:r w:rsidR="006E559E" w:rsidRPr="00900C03">
        <w:rPr>
          <w:sz w:val="24"/>
          <w:szCs w:val="24"/>
        </w:rPr>
        <w:t xml:space="preserve">, </w:t>
      </w:r>
      <w:r w:rsidR="006E559E" w:rsidRPr="00900C03">
        <w:rPr>
          <w:i/>
          <w:color w:val="000000" w:themeColor="text1"/>
          <w:sz w:val="24"/>
          <w:szCs w:val="24"/>
        </w:rPr>
        <w:t>Q</w:t>
      </w:r>
      <w:r w:rsidR="006E559E" w:rsidRPr="00900C03">
        <w:rPr>
          <w:i/>
          <w:color w:val="000000" w:themeColor="text1"/>
          <w:sz w:val="24"/>
          <w:szCs w:val="24"/>
          <w:vertAlign w:val="subscript"/>
        </w:rPr>
        <w:t>y</w:t>
      </w:r>
      <w:r w:rsidRPr="00900C03">
        <w:rPr>
          <w:sz w:val="24"/>
          <w:szCs w:val="24"/>
        </w:rPr>
        <w:t>) = (</w:t>
      </w:r>
      <w:r w:rsidR="006D1239" w:rsidRPr="00900C03">
        <w:rPr>
          <w:sz w:val="24"/>
          <w:szCs w:val="24"/>
        </w:rPr>
        <w:t xml:space="preserve">Mercury </w:t>
      </w:r>
      <w:r w:rsidRPr="00900C03">
        <w:rPr>
          <w:sz w:val="24"/>
          <w:szCs w:val="24"/>
        </w:rPr>
        <w:t>Adjustment to be subtracted from concentration of mercury in the discharge, valid for that month)</w:t>
      </w:r>
    </w:p>
    <w:p w14:paraId="27BE9A79" w14:textId="0CBEBB0D" w:rsidR="002A62C3" w:rsidRPr="00900C03" w:rsidRDefault="002A62C3" w:rsidP="00E24C2F">
      <w:pPr>
        <w:tabs>
          <w:tab w:val="left" w:pos="1440"/>
          <w:tab w:val="left" w:pos="2430"/>
        </w:tabs>
        <w:ind w:left="2160" w:hanging="720"/>
        <w:rPr>
          <w:color w:val="000000" w:themeColor="text1"/>
          <w:sz w:val="24"/>
          <w:szCs w:val="24"/>
        </w:rPr>
      </w:pPr>
    </w:p>
    <w:p w14:paraId="406CE116" w14:textId="564FEA18" w:rsidR="003358D3" w:rsidRPr="00900C03" w:rsidRDefault="003358D3" w:rsidP="00F009DF">
      <w:pPr>
        <w:pStyle w:val="ListParagraph"/>
        <w:numPr>
          <w:ilvl w:val="0"/>
          <w:numId w:val="34"/>
        </w:numPr>
        <w:shd w:val="clear" w:color="auto" w:fill="FFFFFF"/>
        <w:tabs>
          <w:tab w:val="left" w:pos="1800"/>
        </w:tabs>
        <w:spacing w:after="240"/>
        <w:ind w:left="1800" w:hanging="270"/>
        <w:rPr>
          <w:b/>
          <w:sz w:val="24"/>
          <w:szCs w:val="24"/>
        </w:rPr>
      </w:pPr>
      <w:r w:rsidRPr="00900C03">
        <w:rPr>
          <w:b/>
          <w:sz w:val="24"/>
          <w:szCs w:val="24"/>
        </w:rPr>
        <w:t xml:space="preserve">Mass Adjustment. </w:t>
      </w:r>
      <w:r w:rsidRPr="00900C03">
        <w:rPr>
          <w:iCs/>
          <w:sz w:val="24"/>
          <w:szCs w:val="24"/>
        </w:rPr>
        <w:t>T</w:t>
      </w:r>
      <w:r w:rsidR="00C34CBB">
        <w:rPr>
          <w:iCs/>
          <w:sz w:val="24"/>
          <w:szCs w:val="24"/>
        </w:rPr>
        <w:t>he Mercury or PCBs Adjustment fo</w:t>
      </w:r>
      <w:r w:rsidRPr="00900C03">
        <w:rPr>
          <w:iCs/>
          <w:sz w:val="24"/>
          <w:szCs w:val="24"/>
        </w:rPr>
        <w:t xml:space="preserve">r </w:t>
      </w:r>
      <w:r w:rsidR="00542693">
        <w:rPr>
          <w:iCs/>
          <w:sz w:val="24"/>
          <w:szCs w:val="24"/>
        </w:rPr>
        <w:t>mass</w:t>
      </w:r>
      <w:r w:rsidRPr="00900C03">
        <w:rPr>
          <w:iCs/>
          <w:sz w:val="24"/>
          <w:szCs w:val="24"/>
        </w:rPr>
        <w:t xml:space="preserve"> shall be calculated as follows:</w:t>
      </w:r>
    </w:p>
    <w:p w14:paraId="09CE4885" w14:textId="30E9FFCD" w:rsidR="003358D3" w:rsidRPr="00900C03" w:rsidRDefault="0013573F" w:rsidP="00280220">
      <w:pPr>
        <w:tabs>
          <w:tab w:val="left" w:pos="-1440"/>
          <w:tab w:val="left" w:pos="1440"/>
        </w:tabs>
        <w:spacing w:after="240"/>
        <w:ind w:left="1440" w:hanging="360"/>
        <w:rPr>
          <w:i/>
          <w:color w:val="000000" w:themeColor="text1"/>
          <w:sz w:val="24"/>
          <w:szCs w:val="24"/>
        </w:rPr>
      </w:pPr>
      <m:oMathPara>
        <m:oMath>
          <m:sSub>
            <m:sSubPr>
              <m:ctrlPr>
                <w:rPr>
                  <w:rFonts w:ascii="Cambria Math" w:hAnsi="Cambria Math"/>
                  <w:i/>
                  <w:color w:val="000000" w:themeColor="text1"/>
                  <w:sz w:val="24"/>
                  <w:szCs w:val="24"/>
                </w:rPr>
              </m:ctrlPr>
            </m:sSubPr>
            <m:e>
              <m:r>
                <m:rPr>
                  <m:nor/>
                </m:rPr>
                <w:rPr>
                  <w:rFonts w:ascii="Cambria Math"/>
                  <w:i/>
                  <w:color w:val="000000" w:themeColor="text1"/>
                  <w:sz w:val="24"/>
                  <w:szCs w:val="24"/>
                </w:rPr>
                <m:t>(</m:t>
              </m:r>
              <m:r>
                <m:rPr>
                  <m:nor/>
                </m:rPr>
                <w:rPr>
                  <w:i/>
                  <w:color w:val="000000" w:themeColor="text1"/>
                  <w:sz w:val="24"/>
                  <w:szCs w:val="24"/>
                </w:rPr>
                <m:t>C</m:t>
              </m:r>
            </m:e>
            <m:sub>
              <m:r>
                <m:rPr>
                  <m:nor/>
                </m:rPr>
                <w:rPr>
                  <w:i/>
                  <w:color w:val="000000" w:themeColor="text1"/>
                  <w:sz w:val="24"/>
                  <w:szCs w:val="24"/>
                </w:rPr>
                <m:t>i</m:t>
              </m:r>
            </m:sub>
          </m:sSub>
          <m:r>
            <m:rPr>
              <m:nor/>
            </m:rPr>
            <w:rPr>
              <w:rFonts w:ascii="Cambria Math"/>
              <w:i/>
              <w:color w:val="000000" w:themeColor="text1"/>
              <w:sz w:val="24"/>
              <w:szCs w:val="24"/>
            </w:rPr>
            <m:t xml:space="preserve">- </m:t>
          </m:r>
          <m:sSub>
            <m:sSubPr>
              <m:ctrlPr>
                <w:rPr>
                  <w:rFonts w:ascii="Cambria Math" w:hAnsi="Cambria Math"/>
                  <w:i/>
                  <w:color w:val="000000" w:themeColor="text1"/>
                  <w:sz w:val="24"/>
                  <w:szCs w:val="24"/>
                </w:rPr>
              </m:ctrlPr>
            </m:sSubPr>
            <m:e>
              <m:r>
                <m:rPr>
                  <m:nor/>
                </m:rPr>
                <w:rPr>
                  <w:i/>
                  <w:color w:val="000000" w:themeColor="text1"/>
                  <w:sz w:val="24"/>
                  <w:szCs w:val="24"/>
                </w:rPr>
                <m:t>C</m:t>
              </m:r>
            </m:e>
            <m:sub>
              <m:r>
                <m:rPr>
                  <m:nor/>
                </m:rPr>
                <w:rPr>
                  <w:rFonts w:ascii="Cambria Math"/>
                  <w:i/>
                  <w:color w:val="000000" w:themeColor="text1"/>
                  <w:sz w:val="24"/>
                  <w:szCs w:val="24"/>
                </w:rPr>
                <m:t>p</m:t>
              </m:r>
            </m:sub>
          </m:sSub>
          <m:r>
            <m:rPr>
              <m:nor/>
            </m:rPr>
            <w:rPr>
              <w:rFonts w:ascii="Cambria Math"/>
              <w:i/>
              <w:color w:val="000000" w:themeColor="text1"/>
              <w:sz w:val="24"/>
              <w:szCs w:val="24"/>
            </w:rPr>
            <m:t xml:space="preserve">) </m:t>
          </m:r>
          <m:r>
            <m:rPr>
              <m:nor/>
            </m:rPr>
            <w:rPr>
              <w:i/>
              <w:color w:val="000000" w:themeColor="text1"/>
              <w:sz w:val="24"/>
              <w:szCs w:val="24"/>
            </w:rPr>
            <m:t xml:space="preserve"> × </m:t>
          </m:r>
          <m:sSub>
            <m:sSubPr>
              <m:ctrlPr>
                <w:rPr>
                  <w:rFonts w:ascii="Cambria Math" w:hAnsi="Cambria Math"/>
                  <w:i/>
                  <w:color w:val="000000" w:themeColor="text1"/>
                  <w:sz w:val="24"/>
                  <w:szCs w:val="24"/>
                </w:rPr>
              </m:ctrlPr>
            </m:sSubPr>
            <m:e>
              <m:r>
                <m:rPr>
                  <m:nor/>
                </m:rPr>
                <w:rPr>
                  <w:i/>
                  <w:color w:val="000000" w:themeColor="text1"/>
                  <w:sz w:val="24"/>
                  <w:szCs w:val="24"/>
                </w:rPr>
                <m:t>Q</m:t>
              </m:r>
            </m:e>
            <m:sub>
              <m:r>
                <m:rPr>
                  <m:nor/>
                </m:rPr>
                <w:rPr>
                  <w:i/>
                  <w:color w:val="000000" w:themeColor="text1"/>
                  <w:sz w:val="24"/>
                  <w:szCs w:val="24"/>
                </w:rPr>
                <m:t>t</m:t>
              </m:r>
            </m:sub>
          </m:sSub>
          <m:r>
            <m:rPr>
              <m:nor/>
            </m:rPr>
            <w:rPr>
              <w:i/>
              <w:color w:val="000000" w:themeColor="text1"/>
              <w:sz w:val="24"/>
              <w:szCs w:val="24"/>
            </w:rPr>
            <m:t xml:space="preserve"> ÷ </m:t>
          </m:r>
          <m:sSub>
            <m:sSubPr>
              <m:ctrlPr>
                <w:rPr>
                  <w:rFonts w:ascii="Cambria Math" w:hAnsi="Cambria Math"/>
                  <w:i/>
                  <w:color w:val="000000" w:themeColor="text1"/>
                  <w:sz w:val="24"/>
                  <w:szCs w:val="24"/>
                </w:rPr>
              </m:ctrlPr>
            </m:sSubPr>
            <m:e>
              <m:r>
                <m:rPr>
                  <m:nor/>
                </m:rPr>
                <w:rPr>
                  <w:i/>
                  <w:color w:val="000000" w:themeColor="text1"/>
                  <w:sz w:val="24"/>
                  <w:szCs w:val="24"/>
                </w:rPr>
                <m:t>D</m:t>
              </m:r>
            </m:e>
            <m:sub>
              <m:r>
                <m:rPr>
                  <m:nor/>
                </m:rPr>
                <w:rPr>
                  <w:i/>
                  <w:color w:val="000000" w:themeColor="text1"/>
                  <w:sz w:val="24"/>
                  <w:szCs w:val="24"/>
                </w:rPr>
                <m:t>t</m:t>
              </m:r>
            </m:sub>
          </m:sSub>
          <m:r>
            <w:rPr>
              <w:rFonts w:ascii="Cambria Math" w:hAnsi="Cambria Math"/>
              <w:color w:val="000000" w:themeColor="text1"/>
              <w:sz w:val="24"/>
              <w:szCs w:val="24"/>
            </w:rPr>
            <m:t xml:space="preserve"> </m:t>
          </m:r>
        </m:oMath>
      </m:oMathPara>
    </w:p>
    <w:p w14:paraId="43080945" w14:textId="77777777" w:rsidR="00280220" w:rsidRPr="00900C03" w:rsidRDefault="00280220" w:rsidP="00280220">
      <w:pPr>
        <w:tabs>
          <w:tab w:val="left" w:pos="1440"/>
        </w:tabs>
        <w:ind w:firstLine="1440"/>
        <w:rPr>
          <w:color w:val="000000" w:themeColor="text1"/>
          <w:sz w:val="24"/>
          <w:szCs w:val="24"/>
        </w:rPr>
      </w:pPr>
      <w:r w:rsidRPr="00900C03">
        <w:rPr>
          <w:color w:val="000000" w:themeColor="text1"/>
          <w:sz w:val="24"/>
          <w:szCs w:val="24"/>
        </w:rPr>
        <w:t xml:space="preserve">where </w:t>
      </w:r>
    </w:p>
    <w:p w14:paraId="2658686C" w14:textId="77777777" w:rsidR="00280220" w:rsidRPr="00900C03" w:rsidRDefault="00280220" w:rsidP="00280220">
      <w:pPr>
        <w:tabs>
          <w:tab w:val="left" w:pos="1440"/>
        </w:tabs>
        <w:ind w:firstLine="1440"/>
        <w:rPr>
          <w:color w:val="000000" w:themeColor="text1"/>
          <w:sz w:val="24"/>
          <w:szCs w:val="24"/>
        </w:rPr>
      </w:pPr>
    </w:p>
    <w:p w14:paraId="28AAAE3C" w14:textId="2736CFEA" w:rsidR="00280220" w:rsidRDefault="00280220" w:rsidP="00280220">
      <w:pPr>
        <w:tabs>
          <w:tab w:val="left" w:pos="1440"/>
        </w:tabs>
        <w:ind w:left="1440"/>
        <w:rPr>
          <w:color w:val="000000" w:themeColor="text1"/>
          <w:sz w:val="24"/>
          <w:szCs w:val="24"/>
        </w:rPr>
      </w:pPr>
      <w:r w:rsidRPr="00900C03">
        <w:rPr>
          <w:i/>
          <w:color w:val="000000" w:themeColor="text1"/>
          <w:sz w:val="24"/>
          <w:szCs w:val="24"/>
        </w:rPr>
        <w:t>C</w:t>
      </w:r>
      <w:r w:rsidRPr="00900C03">
        <w:rPr>
          <w:i/>
          <w:color w:val="000000" w:themeColor="text1"/>
          <w:sz w:val="24"/>
          <w:szCs w:val="24"/>
          <w:vertAlign w:val="subscript"/>
        </w:rPr>
        <w:t>i</w:t>
      </w:r>
      <w:r w:rsidRPr="00900C03">
        <w:rPr>
          <w:color w:val="000000" w:themeColor="text1"/>
          <w:sz w:val="24"/>
          <w:szCs w:val="24"/>
        </w:rPr>
        <w:t xml:space="preserve">  </w:t>
      </w:r>
      <w:r w:rsidRPr="00900C03">
        <w:rPr>
          <w:color w:val="000000" w:themeColor="text1"/>
          <w:sz w:val="24"/>
          <w:szCs w:val="24"/>
        </w:rPr>
        <w:tab/>
        <w:t>= Recycled water influent mercury or PCBs concentration, μg/L</w:t>
      </w:r>
    </w:p>
    <w:p w14:paraId="7CD314C7" w14:textId="4C20B48D" w:rsidR="00FC5E44" w:rsidRPr="00900C03" w:rsidRDefault="00FC5E44" w:rsidP="00FC5E44">
      <w:pPr>
        <w:tabs>
          <w:tab w:val="left" w:pos="1440"/>
        </w:tabs>
        <w:ind w:left="1440"/>
        <w:rPr>
          <w:color w:val="000000" w:themeColor="text1"/>
          <w:sz w:val="24"/>
          <w:szCs w:val="24"/>
        </w:rPr>
      </w:pPr>
      <w:r w:rsidRPr="00900C03">
        <w:rPr>
          <w:i/>
          <w:color w:val="000000" w:themeColor="text1"/>
          <w:sz w:val="24"/>
          <w:szCs w:val="24"/>
        </w:rPr>
        <w:t>C</w:t>
      </w:r>
      <w:r>
        <w:rPr>
          <w:i/>
          <w:color w:val="000000" w:themeColor="text1"/>
          <w:sz w:val="24"/>
          <w:szCs w:val="24"/>
          <w:vertAlign w:val="subscript"/>
        </w:rPr>
        <w:t>p</w:t>
      </w:r>
      <w:r w:rsidRPr="00900C03">
        <w:rPr>
          <w:color w:val="000000" w:themeColor="text1"/>
          <w:sz w:val="24"/>
          <w:szCs w:val="24"/>
        </w:rPr>
        <w:t xml:space="preserve">  </w:t>
      </w:r>
      <w:r w:rsidRPr="00900C03">
        <w:rPr>
          <w:color w:val="000000" w:themeColor="text1"/>
          <w:sz w:val="24"/>
          <w:szCs w:val="24"/>
        </w:rPr>
        <w:tab/>
        <w:t>=</w:t>
      </w:r>
      <w:r w:rsidR="00874ABE">
        <w:rPr>
          <w:color w:val="000000" w:themeColor="text1"/>
          <w:sz w:val="24"/>
          <w:szCs w:val="24"/>
        </w:rPr>
        <w:t xml:space="preserve"> </w:t>
      </w:r>
      <w:r>
        <w:rPr>
          <w:color w:val="000000" w:themeColor="text1"/>
          <w:sz w:val="24"/>
          <w:szCs w:val="24"/>
        </w:rPr>
        <w:t>Potable</w:t>
      </w:r>
      <w:r w:rsidRPr="00900C03">
        <w:rPr>
          <w:color w:val="000000" w:themeColor="text1"/>
          <w:sz w:val="24"/>
          <w:szCs w:val="24"/>
        </w:rPr>
        <w:t xml:space="preserve"> water influent mercury or PCBs concentration, μg/L</w:t>
      </w:r>
    </w:p>
    <w:p w14:paraId="36EAF3B6" w14:textId="192BFD7A" w:rsidR="00280220" w:rsidRPr="00900C03" w:rsidRDefault="00280220" w:rsidP="00280220">
      <w:pPr>
        <w:tabs>
          <w:tab w:val="left" w:pos="2160"/>
          <w:tab w:val="left" w:pos="2430"/>
        </w:tabs>
        <w:ind w:left="2340" w:hanging="900"/>
        <w:rPr>
          <w:color w:val="000000" w:themeColor="text1"/>
          <w:sz w:val="24"/>
          <w:szCs w:val="24"/>
        </w:rPr>
      </w:pPr>
      <w:r w:rsidRPr="00900C03">
        <w:rPr>
          <w:i/>
          <w:color w:val="000000" w:themeColor="text1"/>
          <w:sz w:val="24"/>
          <w:szCs w:val="24"/>
        </w:rPr>
        <w:t>Q</w:t>
      </w:r>
      <w:r w:rsidRPr="00900C03">
        <w:rPr>
          <w:i/>
          <w:color w:val="000000" w:themeColor="text1"/>
          <w:sz w:val="24"/>
          <w:szCs w:val="24"/>
          <w:vertAlign w:val="subscript"/>
        </w:rPr>
        <w:t>t</w:t>
      </w:r>
      <w:r w:rsidRPr="00900C03">
        <w:rPr>
          <w:color w:val="000000" w:themeColor="text1"/>
          <w:sz w:val="24"/>
          <w:szCs w:val="24"/>
        </w:rPr>
        <w:t xml:space="preserve">  </w:t>
      </w:r>
      <w:r w:rsidRPr="00900C03">
        <w:rPr>
          <w:color w:val="000000" w:themeColor="text1"/>
          <w:sz w:val="24"/>
          <w:szCs w:val="24"/>
        </w:rPr>
        <w:tab/>
        <w:t xml:space="preserve">= Total influent recycled water flow volume </w:t>
      </w:r>
      <w:r w:rsidR="007C4161">
        <w:rPr>
          <w:color w:val="000000" w:themeColor="text1"/>
          <w:sz w:val="24"/>
          <w:szCs w:val="24"/>
        </w:rPr>
        <w:t>corresponding to</w:t>
      </w:r>
      <w:r w:rsidRPr="00900C03">
        <w:rPr>
          <w:color w:val="000000" w:themeColor="text1"/>
          <w:sz w:val="24"/>
          <w:szCs w:val="24"/>
        </w:rPr>
        <w:t xml:space="preserve"> the appropriate monitoring period (e.g., monthly </w:t>
      </w:r>
      <w:r w:rsidR="001566F4">
        <w:rPr>
          <w:color w:val="000000" w:themeColor="text1"/>
          <w:sz w:val="24"/>
          <w:szCs w:val="24"/>
        </w:rPr>
        <w:t xml:space="preserve">[30.5 days] </w:t>
      </w:r>
      <w:r w:rsidR="00A323FD">
        <w:rPr>
          <w:color w:val="000000" w:themeColor="text1"/>
          <w:sz w:val="24"/>
          <w:szCs w:val="24"/>
        </w:rPr>
        <w:t xml:space="preserve">flow volume </w:t>
      </w:r>
      <w:r w:rsidRPr="00900C03">
        <w:rPr>
          <w:color w:val="000000" w:themeColor="text1"/>
          <w:sz w:val="24"/>
          <w:szCs w:val="24"/>
        </w:rPr>
        <w:t>for mercury, quarterly</w:t>
      </w:r>
      <w:r w:rsidR="00C36CFC">
        <w:rPr>
          <w:color w:val="000000" w:themeColor="text1"/>
          <w:sz w:val="24"/>
          <w:szCs w:val="24"/>
        </w:rPr>
        <w:t xml:space="preserve"> </w:t>
      </w:r>
      <w:r w:rsidR="001566F4">
        <w:rPr>
          <w:color w:val="000000" w:themeColor="text1"/>
          <w:sz w:val="24"/>
          <w:szCs w:val="24"/>
        </w:rPr>
        <w:t xml:space="preserve">[90 days] </w:t>
      </w:r>
      <w:r w:rsidR="00C36CFC">
        <w:rPr>
          <w:color w:val="000000" w:themeColor="text1"/>
          <w:sz w:val="24"/>
          <w:szCs w:val="24"/>
        </w:rPr>
        <w:t>flow volume</w:t>
      </w:r>
      <w:r w:rsidRPr="00900C03">
        <w:rPr>
          <w:color w:val="000000" w:themeColor="text1"/>
          <w:sz w:val="24"/>
          <w:szCs w:val="24"/>
        </w:rPr>
        <w:t xml:space="preserve"> for PCBs), million gallons</w:t>
      </w:r>
    </w:p>
    <w:p w14:paraId="6E9464A2" w14:textId="16B1E21B" w:rsidR="00280220" w:rsidRPr="00900C03" w:rsidRDefault="00280220" w:rsidP="00280220">
      <w:pPr>
        <w:tabs>
          <w:tab w:val="left" w:pos="2160"/>
          <w:tab w:val="left" w:pos="2430"/>
        </w:tabs>
        <w:ind w:left="2340" w:hanging="900"/>
        <w:rPr>
          <w:color w:val="000000" w:themeColor="text1"/>
          <w:sz w:val="24"/>
          <w:szCs w:val="24"/>
        </w:rPr>
      </w:pPr>
      <w:r w:rsidRPr="00900C03">
        <w:rPr>
          <w:i/>
          <w:color w:val="000000" w:themeColor="text1"/>
          <w:sz w:val="24"/>
          <w:szCs w:val="24"/>
        </w:rPr>
        <w:t>D</w:t>
      </w:r>
      <w:r w:rsidRPr="00900C03">
        <w:rPr>
          <w:i/>
          <w:color w:val="000000" w:themeColor="text1"/>
          <w:sz w:val="24"/>
          <w:szCs w:val="24"/>
          <w:vertAlign w:val="subscript"/>
        </w:rPr>
        <w:t>t</w:t>
      </w:r>
      <w:r w:rsidRPr="00900C03">
        <w:rPr>
          <w:color w:val="000000" w:themeColor="text1"/>
          <w:sz w:val="24"/>
          <w:szCs w:val="24"/>
        </w:rPr>
        <w:t xml:space="preserve">  </w:t>
      </w:r>
      <w:r w:rsidRPr="00900C03">
        <w:rPr>
          <w:color w:val="000000" w:themeColor="text1"/>
          <w:sz w:val="24"/>
          <w:szCs w:val="24"/>
        </w:rPr>
        <w:tab/>
        <w:t xml:space="preserve">= </w:t>
      </w:r>
      <w:r w:rsidR="00FB6313" w:rsidRPr="00900C03">
        <w:rPr>
          <w:color w:val="000000" w:themeColor="text1"/>
          <w:sz w:val="24"/>
          <w:szCs w:val="24"/>
        </w:rPr>
        <w:t>Total n</w:t>
      </w:r>
      <w:r w:rsidRPr="00900C03">
        <w:rPr>
          <w:color w:val="000000" w:themeColor="text1"/>
          <w:sz w:val="24"/>
          <w:szCs w:val="24"/>
        </w:rPr>
        <w:t>umber of days in the appropriate monitoring period</w:t>
      </w:r>
    </w:p>
    <w:p w14:paraId="216AA5D7" w14:textId="58993BC6" w:rsidR="00280220" w:rsidRPr="00900C03" w:rsidRDefault="00280220" w:rsidP="00280220">
      <w:pPr>
        <w:tabs>
          <w:tab w:val="left" w:pos="2160"/>
          <w:tab w:val="left" w:pos="2430"/>
        </w:tabs>
        <w:ind w:left="2340" w:hanging="900"/>
        <w:rPr>
          <w:color w:val="000000" w:themeColor="text1"/>
          <w:sz w:val="24"/>
          <w:szCs w:val="24"/>
        </w:rPr>
      </w:pPr>
    </w:p>
    <w:p w14:paraId="04A8CAF7" w14:textId="77777777" w:rsidR="00280220" w:rsidRPr="00900C03" w:rsidRDefault="00280220" w:rsidP="00280220">
      <w:pPr>
        <w:tabs>
          <w:tab w:val="left" w:pos="1440"/>
          <w:tab w:val="left" w:pos="2430"/>
        </w:tabs>
        <w:ind w:left="2160" w:hanging="720"/>
        <w:rPr>
          <w:color w:val="000000" w:themeColor="text1"/>
          <w:sz w:val="24"/>
          <w:szCs w:val="24"/>
        </w:rPr>
      </w:pPr>
      <w:r w:rsidRPr="00900C03">
        <w:rPr>
          <w:color w:val="000000" w:themeColor="text1"/>
          <w:sz w:val="24"/>
          <w:szCs w:val="24"/>
        </w:rPr>
        <w:t>Example: Mercury is monitored monthly. The lag time is Y days.</w:t>
      </w:r>
    </w:p>
    <w:p w14:paraId="5A7F21F9" w14:textId="77777777" w:rsidR="00280220" w:rsidRPr="00900C03" w:rsidRDefault="00280220" w:rsidP="00280220">
      <w:pPr>
        <w:tabs>
          <w:tab w:val="left" w:pos="1440"/>
          <w:tab w:val="left" w:pos="2430"/>
        </w:tabs>
        <w:ind w:left="2160" w:hanging="720"/>
        <w:rPr>
          <w:color w:val="000000" w:themeColor="text1"/>
          <w:sz w:val="24"/>
          <w:szCs w:val="24"/>
        </w:rPr>
      </w:pPr>
    </w:p>
    <w:p w14:paraId="5A4728CB" w14:textId="3C0963BC" w:rsidR="00280220" w:rsidRPr="00900C03" w:rsidRDefault="00D95DF2" w:rsidP="00D95DF2">
      <w:pPr>
        <w:tabs>
          <w:tab w:val="left" w:pos="-1440"/>
          <w:tab w:val="left" w:pos="2250"/>
        </w:tabs>
        <w:ind w:left="2160" w:hanging="720"/>
        <w:rPr>
          <w:sz w:val="24"/>
          <w:szCs w:val="24"/>
        </w:rPr>
      </w:pPr>
      <w:r>
        <w:rPr>
          <w:sz w:val="24"/>
          <w:szCs w:val="24"/>
        </w:rPr>
        <w:t>Step 1 :</w:t>
      </w:r>
      <w:r w:rsidR="00280220" w:rsidRPr="00900C03">
        <w:rPr>
          <w:sz w:val="24"/>
          <w:szCs w:val="24"/>
        </w:rPr>
        <w:t>{</w:t>
      </w:r>
      <w:r>
        <w:rPr>
          <w:sz w:val="24"/>
          <w:szCs w:val="24"/>
        </w:rPr>
        <w:t>(</w:t>
      </w:r>
      <w:r w:rsidRPr="00900C03">
        <w:rPr>
          <w:sz w:val="24"/>
          <w:szCs w:val="24"/>
        </w:rPr>
        <w:t>influent</w:t>
      </w:r>
      <w:r w:rsidR="00280220" w:rsidRPr="00900C03">
        <w:rPr>
          <w:sz w:val="24"/>
          <w:szCs w:val="24"/>
        </w:rPr>
        <w:t xml:space="preserve"> concentration of mercury in recycled wastewater, </w:t>
      </w:r>
      <w:r w:rsidR="00280220" w:rsidRPr="00900C03">
        <w:rPr>
          <w:i/>
          <w:color w:val="000000" w:themeColor="text1"/>
          <w:sz w:val="24"/>
          <w:szCs w:val="24"/>
        </w:rPr>
        <w:t>C</w:t>
      </w:r>
      <w:r w:rsidR="00280220" w:rsidRPr="00900C03">
        <w:rPr>
          <w:i/>
          <w:color w:val="000000" w:themeColor="text1"/>
          <w:sz w:val="24"/>
          <w:szCs w:val="24"/>
          <w:vertAlign w:val="subscript"/>
        </w:rPr>
        <w:t>2i</w:t>
      </w:r>
      <w:r w:rsidR="00280220" w:rsidRPr="00900C03">
        <w:rPr>
          <w:sz w:val="24"/>
          <w:szCs w:val="24"/>
        </w:rPr>
        <w:t xml:space="preserve">) – (influent concentration of mercury in potable water, </w:t>
      </w:r>
      <w:r w:rsidR="00280220" w:rsidRPr="00900C03">
        <w:rPr>
          <w:i/>
          <w:color w:val="000000" w:themeColor="text1"/>
          <w:sz w:val="24"/>
          <w:szCs w:val="24"/>
        </w:rPr>
        <w:t>C</w:t>
      </w:r>
      <w:r w:rsidR="00280220" w:rsidRPr="00900C03">
        <w:rPr>
          <w:i/>
          <w:color w:val="000000" w:themeColor="text1"/>
          <w:sz w:val="24"/>
          <w:szCs w:val="24"/>
          <w:vertAlign w:val="subscript"/>
        </w:rPr>
        <w:t>1i</w:t>
      </w:r>
      <w:r w:rsidR="00280220" w:rsidRPr="00900C03">
        <w:rPr>
          <w:sz w:val="24"/>
          <w:szCs w:val="24"/>
        </w:rPr>
        <w:t xml:space="preserve">)} x (total influent volume of recycled wastewater for the month, </w:t>
      </w:r>
      <w:r w:rsidR="00280220" w:rsidRPr="00900C03">
        <w:rPr>
          <w:i/>
          <w:color w:val="000000" w:themeColor="text1"/>
          <w:sz w:val="24"/>
          <w:szCs w:val="24"/>
        </w:rPr>
        <w:t>Q</w:t>
      </w:r>
      <w:r w:rsidR="00280220" w:rsidRPr="00900C03">
        <w:rPr>
          <w:i/>
          <w:color w:val="000000" w:themeColor="text1"/>
          <w:sz w:val="24"/>
          <w:szCs w:val="24"/>
          <w:vertAlign w:val="subscript"/>
        </w:rPr>
        <w:t>t</w:t>
      </w:r>
      <w:r w:rsidR="00280220" w:rsidRPr="00900C03">
        <w:rPr>
          <w:sz w:val="24"/>
          <w:szCs w:val="24"/>
        </w:rPr>
        <w:t>) = (influent mass of mercury from recycled wastewater)</w:t>
      </w:r>
    </w:p>
    <w:p w14:paraId="76F4DDB1" w14:textId="77777777" w:rsidR="00280220" w:rsidRPr="00900C03" w:rsidRDefault="00280220" w:rsidP="00280220">
      <w:pPr>
        <w:tabs>
          <w:tab w:val="left" w:pos="-1440"/>
        </w:tabs>
        <w:ind w:left="1800" w:hanging="360"/>
        <w:rPr>
          <w:sz w:val="24"/>
          <w:szCs w:val="24"/>
        </w:rPr>
      </w:pPr>
      <w:r w:rsidRPr="00900C03">
        <w:rPr>
          <w:sz w:val="24"/>
          <w:szCs w:val="24"/>
        </w:rPr>
        <w:tab/>
      </w:r>
    </w:p>
    <w:p w14:paraId="2AE9C95C" w14:textId="4997A46E" w:rsidR="00280220" w:rsidRDefault="00280220" w:rsidP="00280220">
      <w:pPr>
        <w:tabs>
          <w:tab w:val="left" w:pos="-1440"/>
          <w:tab w:val="left" w:pos="2160"/>
        </w:tabs>
        <w:ind w:left="2160" w:hanging="720"/>
        <w:rPr>
          <w:sz w:val="24"/>
          <w:szCs w:val="24"/>
        </w:rPr>
      </w:pPr>
      <w:r w:rsidRPr="00900C03">
        <w:rPr>
          <w:sz w:val="24"/>
          <w:szCs w:val="24"/>
        </w:rPr>
        <w:lastRenderedPageBreak/>
        <w:t xml:space="preserve">Step </w:t>
      </w:r>
      <w:r w:rsidR="00D95DF2">
        <w:rPr>
          <w:sz w:val="24"/>
          <w:szCs w:val="24"/>
        </w:rPr>
        <w:t xml:space="preserve">2: </w:t>
      </w:r>
      <w:r w:rsidRPr="00900C03">
        <w:rPr>
          <w:sz w:val="24"/>
          <w:szCs w:val="24"/>
        </w:rPr>
        <w:t>(influent mass) ÷ (</w:t>
      </w:r>
      <w:r w:rsidR="00FB6313" w:rsidRPr="00900C03">
        <w:rPr>
          <w:sz w:val="24"/>
          <w:szCs w:val="24"/>
        </w:rPr>
        <w:t>30.5</w:t>
      </w:r>
      <w:r w:rsidRPr="00900C03">
        <w:rPr>
          <w:sz w:val="24"/>
          <w:szCs w:val="24"/>
        </w:rPr>
        <w:t xml:space="preserve">, </w:t>
      </w:r>
      <w:r w:rsidR="00FB6313" w:rsidRPr="00900C03">
        <w:rPr>
          <w:sz w:val="24"/>
          <w:szCs w:val="24"/>
        </w:rPr>
        <w:t>the number of days in a standard month</w:t>
      </w:r>
      <w:r w:rsidRPr="00900C03">
        <w:rPr>
          <w:sz w:val="24"/>
          <w:szCs w:val="24"/>
        </w:rPr>
        <w:t xml:space="preserve">, </w:t>
      </w:r>
      <w:r w:rsidR="00FB6313" w:rsidRPr="00900C03">
        <w:rPr>
          <w:i/>
          <w:color w:val="000000" w:themeColor="text1"/>
          <w:sz w:val="24"/>
          <w:szCs w:val="24"/>
        </w:rPr>
        <w:t>D</w:t>
      </w:r>
      <w:r w:rsidR="00FB6313" w:rsidRPr="00900C03">
        <w:rPr>
          <w:i/>
          <w:color w:val="000000" w:themeColor="text1"/>
          <w:sz w:val="24"/>
          <w:szCs w:val="24"/>
          <w:vertAlign w:val="subscript"/>
        </w:rPr>
        <w:t>t</w:t>
      </w:r>
      <w:r w:rsidRPr="00900C03">
        <w:rPr>
          <w:sz w:val="24"/>
          <w:szCs w:val="24"/>
        </w:rPr>
        <w:t xml:space="preserve">) = (Mercury Adjustment to be subtracted from </w:t>
      </w:r>
      <w:r w:rsidR="00FB6313" w:rsidRPr="00900C03">
        <w:rPr>
          <w:sz w:val="24"/>
          <w:szCs w:val="24"/>
        </w:rPr>
        <w:t>monthly mass emission</w:t>
      </w:r>
      <w:r w:rsidRPr="00900C03">
        <w:rPr>
          <w:sz w:val="24"/>
          <w:szCs w:val="24"/>
        </w:rPr>
        <w:t>, valid for that month)</w:t>
      </w:r>
    </w:p>
    <w:p w14:paraId="615EC101" w14:textId="77777777" w:rsidR="00900C03" w:rsidRPr="00900C03" w:rsidRDefault="00900C03" w:rsidP="00280220">
      <w:pPr>
        <w:tabs>
          <w:tab w:val="left" w:pos="-1440"/>
          <w:tab w:val="left" w:pos="2160"/>
        </w:tabs>
        <w:ind w:left="2160" w:hanging="720"/>
        <w:rPr>
          <w:sz w:val="24"/>
          <w:szCs w:val="24"/>
        </w:rPr>
      </w:pPr>
    </w:p>
    <w:p w14:paraId="70BF8A12" w14:textId="098E9A42" w:rsidR="00900C03" w:rsidRPr="00900C03" w:rsidRDefault="00701EE9" w:rsidP="00900C03">
      <w:pPr>
        <w:tabs>
          <w:tab w:val="left" w:pos="-1440"/>
          <w:tab w:val="left" w:pos="1440"/>
        </w:tabs>
        <w:spacing w:after="120"/>
        <w:ind w:left="1440" w:hanging="360"/>
        <w:rPr>
          <w:color w:val="000000" w:themeColor="text1"/>
          <w:sz w:val="24"/>
          <w:szCs w:val="24"/>
        </w:rPr>
      </w:pPr>
      <w:r w:rsidRPr="00900C03">
        <w:rPr>
          <w:b/>
          <w:color w:val="000000" w:themeColor="text1"/>
          <w:sz w:val="24"/>
          <w:szCs w:val="24"/>
        </w:rPr>
        <w:t>d.</w:t>
      </w:r>
      <w:r w:rsidRPr="00900C03">
        <w:rPr>
          <w:b/>
          <w:color w:val="000000" w:themeColor="text1"/>
          <w:sz w:val="24"/>
          <w:szCs w:val="24"/>
        </w:rPr>
        <w:tab/>
      </w:r>
      <w:r w:rsidR="00900C03" w:rsidRPr="00900C03">
        <w:rPr>
          <w:b/>
          <w:color w:val="000000" w:themeColor="text1"/>
          <w:sz w:val="24"/>
          <w:szCs w:val="24"/>
        </w:rPr>
        <w:t>Effluent Limit Exceedance</w:t>
      </w:r>
      <w:r w:rsidRPr="00900C03">
        <w:rPr>
          <w:b/>
          <w:color w:val="000000" w:themeColor="text1"/>
          <w:sz w:val="24"/>
          <w:szCs w:val="24"/>
        </w:rPr>
        <w:t>.</w:t>
      </w:r>
      <w:r w:rsidR="00900C03" w:rsidRPr="00900C03">
        <w:rPr>
          <w:b/>
          <w:color w:val="000000" w:themeColor="text1"/>
          <w:sz w:val="24"/>
          <w:szCs w:val="24"/>
        </w:rPr>
        <w:t xml:space="preserve"> </w:t>
      </w:r>
      <w:r w:rsidRPr="00900C03">
        <w:rPr>
          <w:color w:val="000000" w:themeColor="text1"/>
          <w:sz w:val="24"/>
          <w:szCs w:val="24"/>
        </w:rPr>
        <w:t xml:space="preserve"> </w:t>
      </w:r>
      <w:r w:rsidR="00900C03" w:rsidRPr="00900C03">
        <w:rPr>
          <w:color w:val="000000" w:themeColor="text1"/>
          <w:sz w:val="24"/>
          <w:szCs w:val="24"/>
        </w:rPr>
        <w:t>If an Industrial Discharger opts to apply a Mass Adjustment, the Regional Water Boa</w:t>
      </w:r>
      <w:r w:rsidR="00C36CFC">
        <w:rPr>
          <w:color w:val="000000" w:themeColor="text1"/>
          <w:sz w:val="24"/>
          <w:szCs w:val="24"/>
        </w:rPr>
        <w:t>rd shall transfer that a</w:t>
      </w:r>
      <w:r w:rsidR="00900C03" w:rsidRPr="00900C03">
        <w:rPr>
          <w:color w:val="000000" w:themeColor="text1"/>
          <w:sz w:val="24"/>
          <w:szCs w:val="24"/>
        </w:rPr>
        <w:t>djustment to the mass emission for the corresponding discharge interval from the Municipal Discharger who is the producer and source of the recycl</w:t>
      </w:r>
      <w:r w:rsidR="00C36CFC">
        <w:rPr>
          <w:color w:val="000000" w:themeColor="text1"/>
          <w:sz w:val="24"/>
          <w:szCs w:val="24"/>
        </w:rPr>
        <w:t>ed wastewater. If this reverse a</w:t>
      </w:r>
      <w:r w:rsidR="00900C03" w:rsidRPr="00900C03">
        <w:rPr>
          <w:color w:val="000000" w:themeColor="text1"/>
          <w:sz w:val="24"/>
          <w:szCs w:val="24"/>
        </w:rPr>
        <w:t>djustment results in an adjusted mass discharge level above both of the following criteria, then that Municipal Discharger is in violation of its Annual Average Effluent Limit and is subject to enforcement action by the Regional Water Board:</w:t>
      </w:r>
    </w:p>
    <w:p w14:paraId="5D2BAF49" w14:textId="04B5D813" w:rsidR="00900C03" w:rsidRPr="00900C03" w:rsidRDefault="00FA0F4F" w:rsidP="00F009DF">
      <w:pPr>
        <w:pStyle w:val="ListParagraph"/>
        <w:numPr>
          <w:ilvl w:val="0"/>
          <w:numId w:val="35"/>
        </w:numPr>
        <w:shd w:val="clear" w:color="auto" w:fill="FFFFFF"/>
        <w:tabs>
          <w:tab w:val="left" w:pos="1800"/>
        </w:tabs>
        <w:spacing w:after="240"/>
        <w:ind w:left="1800" w:hanging="270"/>
        <w:rPr>
          <w:b/>
          <w:sz w:val="24"/>
          <w:szCs w:val="24"/>
        </w:rPr>
      </w:pPr>
      <w:r>
        <w:rPr>
          <w:b/>
          <w:sz w:val="24"/>
          <w:szCs w:val="24"/>
        </w:rPr>
        <w:t>Individual Mass</w:t>
      </w:r>
      <w:r w:rsidRPr="00900C03">
        <w:rPr>
          <w:b/>
          <w:sz w:val="24"/>
          <w:szCs w:val="24"/>
        </w:rPr>
        <w:t xml:space="preserve"> </w:t>
      </w:r>
      <w:r w:rsidR="00900C03" w:rsidRPr="00900C03">
        <w:rPr>
          <w:b/>
          <w:sz w:val="24"/>
          <w:szCs w:val="24"/>
        </w:rPr>
        <w:t xml:space="preserve">Adjustment. </w:t>
      </w:r>
      <w:r w:rsidR="00900C03" w:rsidRPr="00900C03">
        <w:rPr>
          <w:iCs/>
          <w:sz w:val="24"/>
          <w:szCs w:val="24"/>
        </w:rPr>
        <w:t xml:space="preserve">The </w:t>
      </w:r>
      <w:r w:rsidR="002A5B99" w:rsidRPr="002A5B99">
        <w:rPr>
          <w:iCs/>
          <w:sz w:val="24"/>
          <w:szCs w:val="24"/>
        </w:rPr>
        <w:t>sum of the adjusted mass discharge levels from the Industrial Discharger and the Municipal Discharger exceeds the sum of the individual Average Annual Effluent Limits for these two Dischargers; and</w:t>
      </w:r>
    </w:p>
    <w:p w14:paraId="4F358104" w14:textId="77777777" w:rsidR="00900C03" w:rsidRPr="00900C03" w:rsidRDefault="00900C03" w:rsidP="00900C03">
      <w:pPr>
        <w:pStyle w:val="ListParagraph"/>
        <w:shd w:val="clear" w:color="auto" w:fill="FFFFFF"/>
        <w:tabs>
          <w:tab w:val="left" w:pos="1800"/>
        </w:tabs>
        <w:spacing w:after="240"/>
        <w:ind w:left="2160" w:hanging="630"/>
        <w:rPr>
          <w:b/>
          <w:sz w:val="24"/>
          <w:szCs w:val="24"/>
        </w:rPr>
      </w:pPr>
    </w:p>
    <w:p w14:paraId="0C1A8DDC" w14:textId="7FDFC386" w:rsidR="005B2F29" w:rsidRPr="00446A0F" w:rsidRDefault="00FA0F4F" w:rsidP="00F009DF">
      <w:pPr>
        <w:pStyle w:val="ListParagraph"/>
        <w:numPr>
          <w:ilvl w:val="0"/>
          <w:numId w:val="35"/>
        </w:numPr>
        <w:shd w:val="clear" w:color="auto" w:fill="FFFFFF"/>
        <w:tabs>
          <w:tab w:val="left" w:pos="1800"/>
        </w:tabs>
        <w:spacing w:after="240"/>
        <w:ind w:left="1800" w:hanging="270"/>
        <w:rPr>
          <w:b/>
          <w:sz w:val="24"/>
          <w:szCs w:val="24"/>
        </w:rPr>
      </w:pPr>
      <w:r>
        <w:rPr>
          <w:b/>
          <w:sz w:val="24"/>
          <w:szCs w:val="24"/>
        </w:rPr>
        <w:t xml:space="preserve">Aggregate </w:t>
      </w:r>
      <w:r w:rsidR="00900C03" w:rsidRPr="00900C03">
        <w:rPr>
          <w:b/>
          <w:sz w:val="24"/>
          <w:szCs w:val="24"/>
        </w:rPr>
        <w:t xml:space="preserve">Mass Adjustment. </w:t>
      </w:r>
      <w:r w:rsidR="00900C03" w:rsidRPr="00900C03">
        <w:rPr>
          <w:iCs/>
          <w:sz w:val="24"/>
          <w:szCs w:val="24"/>
        </w:rPr>
        <w:t xml:space="preserve">The </w:t>
      </w:r>
      <w:r w:rsidR="002A5B99" w:rsidRPr="002A5B99">
        <w:rPr>
          <w:iCs/>
          <w:sz w:val="24"/>
          <w:szCs w:val="24"/>
        </w:rPr>
        <w:t>adjusted mass discharge levels from the Municipal Discharger results in an aggregate mass emission from all Municipal Dischargers that exceeds the Aggregate Mass Emission Limit for Municipal Dischargers.</w:t>
      </w:r>
    </w:p>
    <w:p w14:paraId="7C7360CB" w14:textId="778C9359" w:rsidR="00326054" w:rsidRDefault="00D56302" w:rsidP="00863E0C">
      <w:pPr>
        <w:pStyle w:val="Heading3"/>
        <w:rPr>
          <w:rFonts w:ascii="Times New Roman" w:hAnsi="Times New Roman"/>
          <w:color w:val="000000" w:themeColor="text1"/>
          <w:sz w:val="24"/>
          <w:szCs w:val="24"/>
        </w:rPr>
      </w:pPr>
      <w:bookmarkStart w:id="98" w:name="_Toc488046265"/>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Pr>
          <w:rFonts w:ascii="Times New Roman" w:hAnsi="Times New Roman"/>
          <w:color w:val="000000" w:themeColor="text1"/>
          <w:sz w:val="24"/>
          <w:szCs w:val="24"/>
        </w:rPr>
        <w:t>6</w:t>
      </w:r>
      <w:r w:rsidR="00816949" w:rsidRPr="002A5B99">
        <w:rPr>
          <w:rFonts w:ascii="Times New Roman" w:hAnsi="Times New Roman"/>
          <w:color w:val="000000" w:themeColor="text1"/>
          <w:sz w:val="24"/>
          <w:szCs w:val="24"/>
        </w:rPr>
        <w:t>.</w:t>
      </w:r>
      <w:r w:rsidR="00816949" w:rsidRPr="002A5B99">
        <w:rPr>
          <w:rFonts w:ascii="Times New Roman" w:hAnsi="Times New Roman"/>
          <w:color w:val="000000" w:themeColor="text1"/>
          <w:sz w:val="24"/>
          <w:szCs w:val="24"/>
        </w:rPr>
        <w:tab/>
      </w:r>
      <w:r w:rsidR="007B7976">
        <w:rPr>
          <w:rFonts w:ascii="Times New Roman" w:hAnsi="Times New Roman"/>
          <w:color w:val="000000" w:themeColor="text1"/>
          <w:sz w:val="24"/>
          <w:szCs w:val="24"/>
        </w:rPr>
        <w:t>PCBs Discharge Adjustment for Urban Stormwater Treatment by Municipal Dischargers</w:t>
      </w:r>
      <w:bookmarkEnd w:id="98"/>
    </w:p>
    <w:p w14:paraId="45FE2067" w14:textId="694A4750" w:rsidR="0065359B" w:rsidRPr="0065359B" w:rsidRDefault="0065359B" w:rsidP="0065359B">
      <w:pPr>
        <w:spacing w:after="120"/>
        <w:ind w:left="1080"/>
        <w:rPr>
          <w:sz w:val="24"/>
        </w:rPr>
      </w:pPr>
      <w:r w:rsidRPr="0065359B">
        <w:rPr>
          <w:sz w:val="24"/>
        </w:rPr>
        <w:t xml:space="preserve">When a Municipal Discharger </w:t>
      </w:r>
      <w:r w:rsidR="001F7DAA">
        <w:rPr>
          <w:sz w:val="24"/>
        </w:rPr>
        <w:t xml:space="preserve">named on Table 1A of this Order </w:t>
      </w:r>
      <w:r w:rsidRPr="0065359B">
        <w:rPr>
          <w:sz w:val="24"/>
        </w:rPr>
        <w:t xml:space="preserve">accepts and treats </w:t>
      </w:r>
      <w:r w:rsidR="001F7DAA" w:rsidRPr="0065359B">
        <w:rPr>
          <w:sz w:val="24"/>
        </w:rPr>
        <w:t xml:space="preserve">urban runoff that is diverted from municipal separate storm sewer systems </w:t>
      </w:r>
      <w:r w:rsidR="00265624">
        <w:rPr>
          <w:sz w:val="24"/>
        </w:rPr>
        <w:t>to</w:t>
      </w:r>
      <w:r w:rsidRPr="0065359B">
        <w:rPr>
          <w:sz w:val="24"/>
        </w:rPr>
        <w:t xml:space="preserve"> all or parts of its wastewater treatment facility, the Municipal Discharger may, at its option, apply an adjustment (hereinafter Runoff Adjustment) to its PCBs discharge concentration when determining compliance with its concentration limits specified in Table </w:t>
      </w:r>
      <w:r w:rsidR="001A2CBD">
        <w:rPr>
          <w:sz w:val="24"/>
        </w:rPr>
        <w:t>4</w:t>
      </w:r>
      <w:r w:rsidRPr="0065359B">
        <w:rPr>
          <w:sz w:val="24"/>
        </w:rPr>
        <w:t>B</w:t>
      </w:r>
      <w:r w:rsidR="001F7DAA">
        <w:rPr>
          <w:sz w:val="24"/>
        </w:rPr>
        <w:t>,</w:t>
      </w:r>
      <w:r w:rsidRPr="0065359B">
        <w:rPr>
          <w:sz w:val="24"/>
        </w:rPr>
        <w:t xml:space="preserve"> provided </w:t>
      </w:r>
      <w:r w:rsidR="001F7DAA">
        <w:rPr>
          <w:sz w:val="24"/>
        </w:rPr>
        <w:t xml:space="preserve">that </w:t>
      </w:r>
      <w:r w:rsidRPr="0065359B">
        <w:rPr>
          <w:sz w:val="24"/>
        </w:rPr>
        <w:t xml:space="preserve">the total mass used in Runoff Adjustments from all Municipal Dischargers does not exceed </w:t>
      </w:r>
      <w:r w:rsidR="00B52043">
        <w:rPr>
          <w:sz w:val="24"/>
        </w:rPr>
        <w:t>1.0</w:t>
      </w:r>
      <w:r w:rsidR="00263634">
        <w:rPr>
          <w:sz w:val="24"/>
        </w:rPr>
        <w:t> </w:t>
      </w:r>
      <w:r w:rsidRPr="0065359B">
        <w:rPr>
          <w:sz w:val="24"/>
        </w:rPr>
        <w:t>kg/year</w:t>
      </w:r>
      <w:r w:rsidR="00F17970">
        <w:rPr>
          <w:sz w:val="24"/>
        </w:rPr>
        <w:t>.</w:t>
      </w:r>
      <w:r w:rsidR="00C91EBA">
        <w:rPr>
          <w:sz w:val="24"/>
        </w:rPr>
        <w:t xml:space="preserve"> </w:t>
      </w:r>
      <w:r w:rsidRPr="0065359B">
        <w:rPr>
          <w:sz w:val="24"/>
        </w:rPr>
        <w:t>The Runoff Adjustment shall be based on measured influent PCBs levels from urban runoff in accordance with the following:</w:t>
      </w:r>
    </w:p>
    <w:p w14:paraId="7155541D" w14:textId="396AC9CB" w:rsidR="00F878D4" w:rsidRPr="002A5B99" w:rsidRDefault="00326054" w:rsidP="00863CE7">
      <w:pPr>
        <w:pStyle w:val="Heading3"/>
        <w:tabs>
          <w:tab w:val="clear" w:pos="1080"/>
          <w:tab w:val="left" w:pos="1440"/>
        </w:tabs>
        <w:spacing w:after="120"/>
        <w:ind w:left="1440"/>
        <w:rPr>
          <w:sz w:val="24"/>
          <w:szCs w:val="24"/>
        </w:rPr>
      </w:pPr>
      <w:bookmarkStart w:id="99" w:name="_Toc488046266"/>
      <w:r w:rsidRPr="002A5B99">
        <w:rPr>
          <w:rFonts w:ascii="Times New Roman" w:hAnsi="Times New Roman"/>
          <w:color w:val="000000" w:themeColor="text1"/>
          <w:sz w:val="24"/>
          <w:szCs w:val="24"/>
        </w:rPr>
        <w:t xml:space="preserve">a. </w:t>
      </w:r>
      <w:r w:rsidRPr="002A5B99">
        <w:rPr>
          <w:rFonts w:ascii="Times New Roman" w:hAnsi="Times New Roman"/>
          <w:color w:val="000000" w:themeColor="text1"/>
          <w:sz w:val="24"/>
          <w:szCs w:val="24"/>
        </w:rPr>
        <w:tab/>
      </w:r>
      <w:r w:rsidR="00C448E8">
        <w:rPr>
          <w:rFonts w:ascii="Times New Roman" w:hAnsi="Times New Roman"/>
          <w:color w:val="000000" w:themeColor="text1"/>
          <w:sz w:val="24"/>
          <w:szCs w:val="24"/>
        </w:rPr>
        <w:t>Representative Samples</w:t>
      </w:r>
      <w:r w:rsidRPr="002A5B99">
        <w:rPr>
          <w:rFonts w:ascii="Times New Roman" w:hAnsi="Times New Roman"/>
          <w:color w:val="000000" w:themeColor="text1"/>
          <w:sz w:val="24"/>
          <w:szCs w:val="24"/>
        </w:rPr>
        <w:t>.</w:t>
      </w:r>
      <w:r w:rsidR="00F77DC4" w:rsidRPr="002A5B99">
        <w:rPr>
          <w:rFonts w:ascii="Times New Roman" w:hAnsi="Times New Roman"/>
          <w:color w:val="000000" w:themeColor="text1"/>
          <w:sz w:val="24"/>
          <w:szCs w:val="24"/>
        </w:rPr>
        <w:t xml:space="preserve"> </w:t>
      </w:r>
      <w:r w:rsidR="00BE3B8E" w:rsidRPr="002A5B99">
        <w:rPr>
          <w:rFonts w:ascii="Times New Roman" w:hAnsi="Times New Roman"/>
          <w:b w:val="0"/>
          <w:sz w:val="24"/>
          <w:szCs w:val="24"/>
        </w:rPr>
        <w:t xml:space="preserve">The </w:t>
      </w:r>
      <w:r w:rsidR="00C448E8" w:rsidRPr="00C448E8">
        <w:rPr>
          <w:rFonts w:ascii="Times New Roman" w:hAnsi="Times New Roman"/>
          <w:b w:val="0"/>
          <w:sz w:val="24"/>
          <w:szCs w:val="24"/>
        </w:rPr>
        <w:t xml:space="preserve">Municipal Discharger shall have data from </w:t>
      </w:r>
      <w:r w:rsidR="00542DFD">
        <w:rPr>
          <w:rFonts w:ascii="Times New Roman" w:hAnsi="Times New Roman"/>
          <w:b w:val="0"/>
          <w:sz w:val="24"/>
          <w:szCs w:val="24"/>
        </w:rPr>
        <w:t xml:space="preserve">a </w:t>
      </w:r>
      <w:r w:rsidR="00C448E8" w:rsidRPr="00C448E8">
        <w:rPr>
          <w:rFonts w:ascii="Times New Roman" w:hAnsi="Times New Roman"/>
          <w:b w:val="0"/>
          <w:sz w:val="24"/>
          <w:szCs w:val="24"/>
        </w:rPr>
        <w:t>representative sample or samples of the urban runoff targeted for diversion. Separate sampling will be necessary to characterize dry weather diversions and wet weather diversions. The Discharger shall measure daily flow volumes for the entire duration that the Runoff Adjustment is to be applied. The Discharger shall measure these flows at an appropriate influent sampling station as identified in the Discharger’s individual permit and shall categorize each diversion as a dry weather diversion or a wet weather diversion.</w:t>
      </w:r>
      <w:bookmarkEnd w:id="99"/>
      <w:r w:rsidR="0031256F">
        <w:rPr>
          <w:rFonts w:ascii="Times New Roman" w:hAnsi="Times New Roman"/>
          <w:b w:val="0"/>
          <w:sz w:val="24"/>
          <w:szCs w:val="24"/>
        </w:rPr>
        <w:t xml:space="preserve"> </w:t>
      </w:r>
    </w:p>
    <w:bookmarkEnd w:id="26"/>
    <w:p w14:paraId="3F23AD01" w14:textId="77777777" w:rsidR="00733BAA" w:rsidRDefault="00733BAA" w:rsidP="00AC4715">
      <w:pPr>
        <w:ind w:left="1080" w:hanging="360"/>
        <w:rPr>
          <w:color w:val="00B0F0"/>
        </w:rPr>
      </w:pPr>
    </w:p>
    <w:p w14:paraId="4A466129" w14:textId="69FAE079" w:rsidR="00405FE5" w:rsidRPr="000F2447" w:rsidRDefault="00263634" w:rsidP="000F2447">
      <w:pPr>
        <w:keepNext/>
        <w:tabs>
          <w:tab w:val="left" w:pos="1440"/>
        </w:tabs>
        <w:spacing w:after="120"/>
        <w:ind w:left="1440" w:hanging="360"/>
        <w:outlineLvl w:val="2"/>
        <w:rPr>
          <w:sz w:val="24"/>
        </w:rPr>
      </w:pPr>
      <w:bookmarkStart w:id="100" w:name="_Toc448918844"/>
      <w:bookmarkStart w:id="101" w:name="_Toc441852629"/>
      <w:r>
        <w:rPr>
          <w:b/>
          <w:sz w:val="24"/>
          <w:szCs w:val="24"/>
        </w:rPr>
        <w:t>b</w:t>
      </w:r>
      <w:r w:rsidR="00326054" w:rsidRPr="00354FA2">
        <w:rPr>
          <w:b/>
          <w:sz w:val="24"/>
          <w:szCs w:val="24"/>
        </w:rPr>
        <w:t xml:space="preserve">. </w:t>
      </w:r>
      <w:r w:rsidR="00326054" w:rsidRPr="00354FA2">
        <w:rPr>
          <w:b/>
          <w:sz w:val="24"/>
          <w:szCs w:val="24"/>
        </w:rPr>
        <w:tab/>
      </w:r>
      <w:r w:rsidR="00542DFD">
        <w:rPr>
          <w:b/>
          <w:sz w:val="24"/>
          <w:szCs w:val="24"/>
        </w:rPr>
        <w:t>Adjustment Calculation Procedure</w:t>
      </w:r>
      <w:r w:rsidR="00233D15" w:rsidRPr="00354FA2">
        <w:rPr>
          <w:b/>
          <w:sz w:val="24"/>
          <w:szCs w:val="24"/>
        </w:rPr>
        <w:t>.</w:t>
      </w:r>
      <w:bookmarkEnd w:id="100"/>
      <w:r w:rsidR="00233D15" w:rsidRPr="00354FA2">
        <w:rPr>
          <w:sz w:val="24"/>
          <w:szCs w:val="24"/>
        </w:rPr>
        <w:t xml:space="preserve"> </w:t>
      </w:r>
      <w:r w:rsidR="00542DFD" w:rsidRPr="000F2447">
        <w:rPr>
          <w:sz w:val="24"/>
        </w:rPr>
        <w:t xml:space="preserve">The PCBs </w:t>
      </w:r>
      <w:r w:rsidR="00F73955">
        <w:rPr>
          <w:sz w:val="24"/>
        </w:rPr>
        <w:t xml:space="preserve">Runoff </w:t>
      </w:r>
      <w:r w:rsidR="00542DFD" w:rsidRPr="000F2447">
        <w:rPr>
          <w:sz w:val="24"/>
        </w:rPr>
        <w:t>Adjustment shall be calculated as follows:</w:t>
      </w:r>
    </w:p>
    <w:p w14:paraId="7055D109" w14:textId="44BA3967" w:rsidR="000F2447" w:rsidRPr="00900C03" w:rsidRDefault="0013573F" w:rsidP="000F2447">
      <w:pPr>
        <w:tabs>
          <w:tab w:val="left" w:pos="-1440"/>
          <w:tab w:val="left" w:pos="1440"/>
        </w:tabs>
        <w:spacing w:after="240"/>
        <w:ind w:left="1440" w:hanging="360"/>
        <w:rPr>
          <w:i/>
          <w:color w:val="000000" w:themeColor="text1"/>
          <w:sz w:val="24"/>
          <w:szCs w:val="24"/>
        </w:rPr>
      </w:pPr>
      <m:oMathPara>
        <m:oMath>
          <m:sSub>
            <m:sSubPr>
              <m:ctrlPr>
                <w:rPr>
                  <w:rFonts w:ascii="Cambria Math" w:hAnsi="Cambria Math"/>
                  <w:i/>
                  <w:color w:val="000000" w:themeColor="text1"/>
                  <w:sz w:val="24"/>
                  <w:szCs w:val="24"/>
                </w:rPr>
              </m:ctrlPr>
            </m:sSubPr>
            <m:e>
              <m:r>
                <m:rPr>
                  <m:nor/>
                </m:rPr>
                <w:rPr>
                  <w:rFonts w:ascii="Cambria Math"/>
                  <w:i/>
                  <w:color w:val="000000" w:themeColor="text1"/>
                  <w:sz w:val="24"/>
                  <w:szCs w:val="24"/>
                </w:rPr>
                <m:t>[</m:t>
              </m:r>
              <m:r>
                <m:rPr>
                  <m:nor/>
                </m:rPr>
                <w:rPr>
                  <w:i/>
                  <w:color w:val="000000" w:themeColor="text1"/>
                  <w:sz w:val="24"/>
                  <w:szCs w:val="24"/>
                </w:rPr>
                <m:t>(C</m:t>
              </m:r>
            </m:e>
            <m:sub>
              <m:r>
                <m:rPr>
                  <m:nor/>
                </m:rPr>
                <w:rPr>
                  <w:i/>
                  <w:color w:val="000000" w:themeColor="text1"/>
                  <w:sz w:val="24"/>
                  <w:szCs w:val="24"/>
                </w:rPr>
                <m:t>di</m:t>
              </m:r>
            </m:sub>
          </m:sSub>
          <m:r>
            <m:rPr>
              <m:nor/>
            </m:rPr>
            <w:rPr>
              <w:i/>
              <w:color w:val="000000" w:themeColor="text1"/>
              <w:sz w:val="24"/>
              <w:szCs w:val="24"/>
            </w:rPr>
            <m:t xml:space="preserve"> × </m:t>
          </m:r>
          <m:sSub>
            <m:sSubPr>
              <m:ctrlPr>
                <w:rPr>
                  <w:rFonts w:ascii="Cambria Math" w:hAnsi="Cambria Math"/>
                  <w:i/>
                  <w:color w:val="000000" w:themeColor="text1"/>
                  <w:sz w:val="24"/>
                  <w:szCs w:val="24"/>
                </w:rPr>
              </m:ctrlPr>
            </m:sSubPr>
            <m:e>
              <m:r>
                <m:rPr>
                  <m:nor/>
                </m:rPr>
                <w:rPr>
                  <w:i/>
                  <w:color w:val="000000" w:themeColor="text1"/>
                  <w:sz w:val="24"/>
                  <w:szCs w:val="24"/>
                </w:rPr>
                <m:t>Q</m:t>
              </m:r>
            </m:e>
            <m:sub>
              <m:r>
                <m:rPr>
                  <m:nor/>
                </m:rPr>
                <w:rPr>
                  <w:i/>
                  <w:color w:val="000000" w:themeColor="text1"/>
                  <w:sz w:val="24"/>
                  <w:szCs w:val="24"/>
                </w:rPr>
                <m:t>dr</m:t>
              </m:r>
            </m:sub>
          </m:sSub>
          <m:r>
            <m:rPr>
              <m:nor/>
            </m:rPr>
            <w:rPr>
              <w:i/>
              <w:color w:val="000000" w:themeColor="text1"/>
              <w:sz w:val="24"/>
              <w:szCs w:val="24"/>
            </w:rPr>
            <m:t xml:space="preserve"> )+ </m:t>
          </m:r>
          <m:sSub>
            <m:sSubPr>
              <m:ctrlPr>
                <w:rPr>
                  <w:rFonts w:ascii="Cambria Math" w:hAnsi="Cambria Math"/>
                  <w:i/>
                  <w:color w:val="000000" w:themeColor="text1"/>
                  <w:sz w:val="24"/>
                  <w:szCs w:val="24"/>
                </w:rPr>
              </m:ctrlPr>
            </m:sSubPr>
            <m:e>
              <m:r>
                <m:rPr>
                  <m:nor/>
                </m:rPr>
                <w:rPr>
                  <w:i/>
                  <w:color w:val="000000" w:themeColor="text1"/>
                  <w:sz w:val="24"/>
                  <w:szCs w:val="24"/>
                </w:rPr>
                <m:t>(C</m:t>
              </m:r>
            </m:e>
            <m:sub>
              <m:r>
                <m:rPr>
                  <m:nor/>
                </m:rPr>
                <w:rPr>
                  <w:i/>
                  <w:color w:val="000000" w:themeColor="text1"/>
                  <w:sz w:val="24"/>
                  <w:szCs w:val="24"/>
                </w:rPr>
                <m:t>wi</m:t>
              </m:r>
            </m:sub>
          </m:sSub>
          <m:r>
            <m:rPr>
              <m:nor/>
            </m:rPr>
            <w:rPr>
              <w:i/>
              <w:color w:val="000000" w:themeColor="text1"/>
              <w:sz w:val="24"/>
              <w:szCs w:val="24"/>
            </w:rPr>
            <m:t xml:space="preserve"> × </m:t>
          </m:r>
          <m:sSub>
            <m:sSubPr>
              <m:ctrlPr>
                <w:rPr>
                  <w:rFonts w:ascii="Cambria Math" w:hAnsi="Cambria Math"/>
                  <w:i/>
                  <w:color w:val="000000" w:themeColor="text1"/>
                  <w:sz w:val="24"/>
                  <w:szCs w:val="24"/>
                </w:rPr>
              </m:ctrlPr>
            </m:sSubPr>
            <m:e>
              <m:r>
                <m:rPr>
                  <m:nor/>
                </m:rPr>
                <w:rPr>
                  <w:i/>
                  <w:color w:val="000000" w:themeColor="text1"/>
                  <w:sz w:val="24"/>
                  <w:szCs w:val="24"/>
                </w:rPr>
                <m:t>Q</m:t>
              </m:r>
            </m:e>
            <m:sub>
              <m:r>
                <m:rPr>
                  <m:nor/>
                </m:rPr>
                <w:rPr>
                  <w:i/>
                  <w:color w:val="000000" w:themeColor="text1"/>
                  <w:sz w:val="24"/>
                  <w:szCs w:val="24"/>
                </w:rPr>
                <m:t>wr</m:t>
              </m:r>
            </m:sub>
          </m:sSub>
          <m:r>
            <m:rPr>
              <m:nor/>
            </m:rPr>
            <w:rPr>
              <w:i/>
              <w:color w:val="000000" w:themeColor="text1"/>
              <w:sz w:val="24"/>
              <w:szCs w:val="24"/>
            </w:rPr>
            <m:t xml:space="preserve">)] ÷ </m:t>
          </m:r>
          <m:sSub>
            <m:sSubPr>
              <m:ctrlPr>
                <w:rPr>
                  <w:rFonts w:ascii="Cambria Math" w:hAnsi="Cambria Math"/>
                  <w:i/>
                  <w:color w:val="000000" w:themeColor="text1"/>
                  <w:sz w:val="24"/>
                  <w:szCs w:val="24"/>
                </w:rPr>
              </m:ctrlPr>
            </m:sSubPr>
            <m:e>
              <m:r>
                <m:rPr>
                  <m:nor/>
                </m:rPr>
                <w:rPr>
                  <w:i/>
                  <w:color w:val="000000" w:themeColor="text1"/>
                  <w:sz w:val="24"/>
                  <w:szCs w:val="24"/>
                </w:rPr>
                <m:t>Q</m:t>
              </m:r>
            </m:e>
            <m:sub>
              <m:r>
                <m:rPr>
                  <m:nor/>
                </m:rPr>
                <w:rPr>
                  <w:i/>
                  <w:color w:val="000000" w:themeColor="text1"/>
                  <w:sz w:val="24"/>
                  <w:szCs w:val="24"/>
                </w:rPr>
                <m:t>t</m:t>
              </m:r>
            </m:sub>
          </m:sSub>
          <m:r>
            <w:rPr>
              <w:rFonts w:ascii="Cambria Math" w:hAnsi="Cambria Math"/>
              <w:color w:val="000000" w:themeColor="text1"/>
              <w:sz w:val="24"/>
              <w:szCs w:val="24"/>
            </w:rPr>
            <m:t xml:space="preserve"> </m:t>
          </m:r>
        </m:oMath>
      </m:oMathPara>
    </w:p>
    <w:p w14:paraId="4D7712F4" w14:textId="77777777" w:rsidR="000F2447" w:rsidRPr="00900C03" w:rsidRDefault="000F2447" w:rsidP="000F2447">
      <w:pPr>
        <w:tabs>
          <w:tab w:val="left" w:pos="1440"/>
        </w:tabs>
        <w:ind w:firstLine="1440"/>
        <w:rPr>
          <w:color w:val="000000" w:themeColor="text1"/>
          <w:sz w:val="24"/>
          <w:szCs w:val="24"/>
        </w:rPr>
      </w:pPr>
      <w:r w:rsidRPr="00900C03">
        <w:rPr>
          <w:color w:val="000000" w:themeColor="text1"/>
          <w:sz w:val="24"/>
          <w:szCs w:val="24"/>
        </w:rPr>
        <w:t xml:space="preserve">where </w:t>
      </w:r>
    </w:p>
    <w:p w14:paraId="6C1EF168" w14:textId="77777777" w:rsidR="000F2447" w:rsidRPr="00900C03" w:rsidRDefault="000F2447" w:rsidP="000F2447">
      <w:pPr>
        <w:tabs>
          <w:tab w:val="left" w:pos="1440"/>
        </w:tabs>
        <w:ind w:firstLine="1440"/>
        <w:rPr>
          <w:color w:val="000000" w:themeColor="text1"/>
          <w:sz w:val="24"/>
          <w:szCs w:val="24"/>
        </w:rPr>
      </w:pPr>
    </w:p>
    <w:p w14:paraId="7A2009A8" w14:textId="13837565" w:rsidR="000F2447" w:rsidRPr="00900C03" w:rsidRDefault="000F2447" w:rsidP="000F2447">
      <w:pPr>
        <w:tabs>
          <w:tab w:val="left" w:pos="1440"/>
        </w:tabs>
        <w:ind w:left="1440"/>
        <w:rPr>
          <w:color w:val="000000" w:themeColor="text1"/>
          <w:sz w:val="24"/>
          <w:szCs w:val="24"/>
        </w:rPr>
      </w:pPr>
      <w:r w:rsidRPr="00900C03">
        <w:rPr>
          <w:i/>
          <w:color w:val="000000" w:themeColor="text1"/>
          <w:sz w:val="24"/>
          <w:szCs w:val="24"/>
        </w:rPr>
        <w:t>C</w:t>
      </w:r>
      <w:r w:rsidR="005D4424">
        <w:rPr>
          <w:i/>
          <w:color w:val="000000" w:themeColor="text1"/>
          <w:sz w:val="24"/>
          <w:szCs w:val="24"/>
          <w:vertAlign w:val="subscript"/>
        </w:rPr>
        <w:t>di</w:t>
      </w:r>
      <w:r w:rsidRPr="00900C03">
        <w:rPr>
          <w:color w:val="000000" w:themeColor="text1"/>
          <w:sz w:val="24"/>
          <w:szCs w:val="24"/>
        </w:rPr>
        <w:t xml:space="preserve">  </w:t>
      </w:r>
      <w:r w:rsidRPr="00900C03">
        <w:rPr>
          <w:color w:val="000000" w:themeColor="text1"/>
          <w:sz w:val="24"/>
          <w:szCs w:val="24"/>
        </w:rPr>
        <w:tab/>
        <w:t xml:space="preserve">= </w:t>
      </w:r>
      <w:r w:rsidR="0026073D">
        <w:rPr>
          <w:color w:val="000000" w:themeColor="text1"/>
          <w:sz w:val="24"/>
          <w:szCs w:val="24"/>
        </w:rPr>
        <w:t>Dry weather u</w:t>
      </w:r>
      <w:r w:rsidR="0052603C">
        <w:rPr>
          <w:color w:val="000000" w:themeColor="text1"/>
          <w:sz w:val="24"/>
          <w:szCs w:val="24"/>
        </w:rPr>
        <w:t>r</w:t>
      </w:r>
      <w:r w:rsidR="0026082D">
        <w:rPr>
          <w:color w:val="000000" w:themeColor="text1"/>
          <w:sz w:val="24"/>
          <w:szCs w:val="24"/>
        </w:rPr>
        <w:t>ban runoff</w:t>
      </w:r>
      <w:r w:rsidRPr="00900C03">
        <w:rPr>
          <w:color w:val="000000" w:themeColor="text1"/>
          <w:sz w:val="24"/>
          <w:szCs w:val="24"/>
        </w:rPr>
        <w:t xml:space="preserve"> influent PCBs concentration, μg/L</w:t>
      </w:r>
    </w:p>
    <w:p w14:paraId="3A1F5B02" w14:textId="09B93C2B" w:rsidR="000F2447" w:rsidRDefault="000F2447" w:rsidP="000F2447">
      <w:pPr>
        <w:tabs>
          <w:tab w:val="left" w:pos="2160"/>
          <w:tab w:val="left" w:pos="2430"/>
        </w:tabs>
        <w:ind w:left="2340" w:hanging="900"/>
        <w:rPr>
          <w:color w:val="000000" w:themeColor="text1"/>
          <w:sz w:val="24"/>
          <w:szCs w:val="24"/>
        </w:rPr>
      </w:pPr>
      <w:r w:rsidRPr="00900C03">
        <w:rPr>
          <w:i/>
          <w:color w:val="000000" w:themeColor="text1"/>
          <w:sz w:val="24"/>
          <w:szCs w:val="24"/>
        </w:rPr>
        <w:lastRenderedPageBreak/>
        <w:t>Q</w:t>
      </w:r>
      <w:r w:rsidR="005D4424">
        <w:rPr>
          <w:i/>
          <w:color w:val="000000" w:themeColor="text1"/>
          <w:sz w:val="24"/>
          <w:szCs w:val="24"/>
          <w:vertAlign w:val="subscript"/>
        </w:rPr>
        <w:t>dr</w:t>
      </w:r>
      <w:r w:rsidRPr="00900C03">
        <w:rPr>
          <w:color w:val="000000" w:themeColor="text1"/>
          <w:sz w:val="24"/>
          <w:szCs w:val="24"/>
        </w:rPr>
        <w:t xml:space="preserve">  </w:t>
      </w:r>
      <w:r w:rsidRPr="00900C03">
        <w:rPr>
          <w:color w:val="000000" w:themeColor="text1"/>
          <w:sz w:val="24"/>
          <w:szCs w:val="24"/>
        </w:rPr>
        <w:tab/>
        <w:t>= Total</w:t>
      </w:r>
      <w:r w:rsidR="0026073D">
        <w:rPr>
          <w:color w:val="000000" w:themeColor="text1"/>
          <w:sz w:val="24"/>
          <w:szCs w:val="24"/>
        </w:rPr>
        <w:t xml:space="preserve"> dry weather</w:t>
      </w:r>
      <w:r w:rsidRPr="00900C03">
        <w:rPr>
          <w:color w:val="000000" w:themeColor="text1"/>
          <w:sz w:val="24"/>
          <w:szCs w:val="24"/>
        </w:rPr>
        <w:t xml:space="preserve"> influent</w:t>
      </w:r>
      <w:r w:rsidR="00F73955">
        <w:rPr>
          <w:color w:val="000000" w:themeColor="text1"/>
          <w:sz w:val="24"/>
          <w:szCs w:val="24"/>
        </w:rPr>
        <w:t xml:space="preserve"> urban</w:t>
      </w:r>
      <w:r w:rsidRPr="00900C03">
        <w:rPr>
          <w:color w:val="000000" w:themeColor="text1"/>
          <w:sz w:val="24"/>
          <w:szCs w:val="24"/>
        </w:rPr>
        <w:t xml:space="preserve"> </w:t>
      </w:r>
      <w:r w:rsidR="00F73955">
        <w:rPr>
          <w:color w:val="000000" w:themeColor="text1"/>
          <w:sz w:val="24"/>
          <w:szCs w:val="24"/>
        </w:rPr>
        <w:t>runoff</w:t>
      </w:r>
      <w:r w:rsidR="0052603C">
        <w:rPr>
          <w:color w:val="000000" w:themeColor="text1"/>
          <w:sz w:val="24"/>
          <w:szCs w:val="24"/>
        </w:rPr>
        <w:t xml:space="preserve"> flow </w:t>
      </w:r>
      <w:r w:rsidRPr="00900C03">
        <w:rPr>
          <w:color w:val="000000" w:themeColor="text1"/>
          <w:sz w:val="24"/>
          <w:szCs w:val="24"/>
        </w:rPr>
        <w:t xml:space="preserve">volume </w:t>
      </w:r>
      <w:r>
        <w:rPr>
          <w:color w:val="000000" w:themeColor="text1"/>
          <w:sz w:val="24"/>
          <w:szCs w:val="24"/>
        </w:rPr>
        <w:t>corresponding to</w:t>
      </w:r>
      <w:r w:rsidRPr="00900C03">
        <w:rPr>
          <w:color w:val="000000" w:themeColor="text1"/>
          <w:sz w:val="24"/>
          <w:szCs w:val="24"/>
        </w:rPr>
        <w:t xml:space="preserve"> the appropriate monitoring period (e.g., </w:t>
      </w:r>
      <w:r w:rsidR="0052603C">
        <w:rPr>
          <w:color w:val="000000" w:themeColor="text1"/>
          <w:sz w:val="24"/>
          <w:szCs w:val="24"/>
        </w:rPr>
        <w:t xml:space="preserve">quarterly </w:t>
      </w:r>
      <w:r w:rsidR="001566F4">
        <w:rPr>
          <w:color w:val="000000" w:themeColor="text1"/>
          <w:sz w:val="24"/>
          <w:szCs w:val="24"/>
        </w:rPr>
        <w:t xml:space="preserve">[90 days] </w:t>
      </w:r>
      <w:r w:rsidR="0052603C">
        <w:rPr>
          <w:color w:val="000000" w:themeColor="text1"/>
          <w:sz w:val="24"/>
          <w:szCs w:val="24"/>
        </w:rPr>
        <w:t xml:space="preserve">or semi-annual </w:t>
      </w:r>
      <w:r w:rsidR="001566F4">
        <w:rPr>
          <w:color w:val="000000" w:themeColor="text1"/>
          <w:sz w:val="24"/>
          <w:szCs w:val="24"/>
        </w:rPr>
        <w:t xml:space="preserve">[180 days] </w:t>
      </w:r>
      <w:r w:rsidR="0052603C">
        <w:rPr>
          <w:color w:val="000000" w:themeColor="text1"/>
          <w:sz w:val="24"/>
          <w:szCs w:val="24"/>
        </w:rPr>
        <w:t>flow volume</w:t>
      </w:r>
      <w:r w:rsidRPr="00900C03">
        <w:rPr>
          <w:color w:val="000000" w:themeColor="text1"/>
          <w:sz w:val="24"/>
          <w:szCs w:val="24"/>
        </w:rPr>
        <w:t>), million gallons</w:t>
      </w:r>
    </w:p>
    <w:p w14:paraId="4044F7AD" w14:textId="11A3AE81" w:rsidR="005D4424" w:rsidRPr="00900C03" w:rsidRDefault="005D4424" w:rsidP="005D4424">
      <w:pPr>
        <w:tabs>
          <w:tab w:val="left" w:pos="1440"/>
        </w:tabs>
        <w:ind w:left="1440"/>
        <w:rPr>
          <w:color w:val="000000" w:themeColor="text1"/>
          <w:sz w:val="24"/>
          <w:szCs w:val="24"/>
        </w:rPr>
      </w:pPr>
      <w:r w:rsidRPr="00900C03">
        <w:rPr>
          <w:i/>
          <w:color w:val="000000" w:themeColor="text1"/>
          <w:sz w:val="24"/>
          <w:szCs w:val="24"/>
        </w:rPr>
        <w:t>C</w:t>
      </w:r>
      <w:r>
        <w:rPr>
          <w:i/>
          <w:color w:val="000000" w:themeColor="text1"/>
          <w:sz w:val="24"/>
          <w:szCs w:val="24"/>
          <w:vertAlign w:val="subscript"/>
        </w:rPr>
        <w:t>wi</w:t>
      </w:r>
      <w:r w:rsidRPr="00900C03">
        <w:rPr>
          <w:color w:val="000000" w:themeColor="text1"/>
          <w:sz w:val="24"/>
          <w:szCs w:val="24"/>
        </w:rPr>
        <w:t xml:space="preserve">  </w:t>
      </w:r>
      <w:r w:rsidRPr="00900C03">
        <w:rPr>
          <w:color w:val="000000" w:themeColor="text1"/>
          <w:sz w:val="24"/>
          <w:szCs w:val="24"/>
        </w:rPr>
        <w:tab/>
        <w:t xml:space="preserve">= </w:t>
      </w:r>
      <w:r w:rsidR="0026073D">
        <w:rPr>
          <w:color w:val="000000" w:themeColor="text1"/>
          <w:sz w:val="24"/>
          <w:szCs w:val="24"/>
        </w:rPr>
        <w:t>Wet weather u</w:t>
      </w:r>
      <w:r>
        <w:rPr>
          <w:color w:val="000000" w:themeColor="text1"/>
          <w:sz w:val="24"/>
          <w:szCs w:val="24"/>
        </w:rPr>
        <w:t>rban runoff</w:t>
      </w:r>
      <w:r w:rsidRPr="00900C03">
        <w:rPr>
          <w:color w:val="000000" w:themeColor="text1"/>
          <w:sz w:val="24"/>
          <w:szCs w:val="24"/>
        </w:rPr>
        <w:t xml:space="preserve"> influent PCBs concentration, μg/L</w:t>
      </w:r>
    </w:p>
    <w:p w14:paraId="241D0EFB" w14:textId="75ADF7D1" w:rsidR="005D4424" w:rsidRPr="00900C03" w:rsidRDefault="005D4424" w:rsidP="005D4424">
      <w:pPr>
        <w:tabs>
          <w:tab w:val="left" w:pos="2160"/>
          <w:tab w:val="left" w:pos="2430"/>
        </w:tabs>
        <w:ind w:left="2340" w:hanging="900"/>
        <w:rPr>
          <w:color w:val="000000" w:themeColor="text1"/>
          <w:sz w:val="24"/>
          <w:szCs w:val="24"/>
        </w:rPr>
      </w:pPr>
      <w:r w:rsidRPr="00900C03">
        <w:rPr>
          <w:i/>
          <w:color w:val="000000" w:themeColor="text1"/>
          <w:sz w:val="24"/>
          <w:szCs w:val="24"/>
        </w:rPr>
        <w:t>Q</w:t>
      </w:r>
      <w:r>
        <w:rPr>
          <w:i/>
          <w:color w:val="000000" w:themeColor="text1"/>
          <w:sz w:val="24"/>
          <w:szCs w:val="24"/>
          <w:vertAlign w:val="subscript"/>
        </w:rPr>
        <w:t>wr</w:t>
      </w:r>
      <w:r w:rsidRPr="00900C03">
        <w:rPr>
          <w:color w:val="000000" w:themeColor="text1"/>
          <w:sz w:val="24"/>
          <w:szCs w:val="24"/>
        </w:rPr>
        <w:t xml:space="preserve">  </w:t>
      </w:r>
      <w:r w:rsidRPr="00900C03">
        <w:rPr>
          <w:color w:val="000000" w:themeColor="text1"/>
          <w:sz w:val="24"/>
          <w:szCs w:val="24"/>
        </w:rPr>
        <w:tab/>
        <w:t xml:space="preserve">= Total </w:t>
      </w:r>
      <w:r w:rsidR="0026073D">
        <w:rPr>
          <w:color w:val="000000" w:themeColor="text1"/>
          <w:sz w:val="24"/>
          <w:szCs w:val="24"/>
        </w:rPr>
        <w:t xml:space="preserve">wet weather </w:t>
      </w:r>
      <w:r w:rsidRPr="00900C03">
        <w:rPr>
          <w:color w:val="000000" w:themeColor="text1"/>
          <w:sz w:val="24"/>
          <w:szCs w:val="24"/>
        </w:rPr>
        <w:t>influent</w:t>
      </w:r>
      <w:r>
        <w:rPr>
          <w:color w:val="000000" w:themeColor="text1"/>
          <w:sz w:val="24"/>
          <w:szCs w:val="24"/>
        </w:rPr>
        <w:t xml:space="preserve"> urban</w:t>
      </w:r>
      <w:r w:rsidRPr="00900C03">
        <w:rPr>
          <w:color w:val="000000" w:themeColor="text1"/>
          <w:sz w:val="24"/>
          <w:szCs w:val="24"/>
        </w:rPr>
        <w:t xml:space="preserve"> </w:t>
      </w:r>
      <w:r>
        <w:rPr>
          <w:color w:val="000000" w:themeColor="text1"/>
          <w:sz w:val="24"/>
          <w:szCs w:val="24"/>
        </w:rPr>
        <w:t xml:space="preserve">runoff flow </w:t>
      </w:r>
      <w:r w:rsidRPr="00900C03">
        <w:rPr>
          <w:color w:val="000000" w:themeColor="text1"/>
          <w:sz w:val="24"/>
          <w:szCs w:val="24"/>
        </w:rPr>
        <w:t xml:space="preserve">volume </w:t>
      </w:r>
      <w:r>
        <w:rPr>
          <w:color w:val="000000" w:themeColor="text1"/>
          <w:sz w:val="24"/>
          <w:szCs w:val="24"/>
        </w:rPr>
        <w:t>corresponding to</w:t>
      </w:r>
      <w:r w:rsidRPr="00900C03">
        <w:rPr>
          <w:color w:val="000000" w:themeColor="text1"/>
          <w:sz w:val="24"/>
          <w:szCs w:val="24"/>
        </w:rPr>
        <w:t xml:space="preserve"> the appropriate monitoring period (e.g., </w:t>
      </w:r>
      <w:r>
        <w:rPr>
          <w:color w:val="000000" w:themeColor="text1"/>
          <w:sz w:val="24"/>
          <w:szCs w:val="24"/>
        </w:rPr>
        <w:t>quarterly [90 days] or semi-annual [180 days] flow volume</w:t>
      </w:r>
      <w:r w:rsidRPr="00900C03">
        <w:rPr>
          <w:color w:val="000000" w:themeColor="text1"/>
          <w:sz w:val="24"/>
          <w:szCs w:val="24"/>
        </w:rPr>
        <w:t>), million gallons</w:t>
      </w:r>
    </w:p>
    <w:p w14:paraId="032E4EB3" w14:textId="6BE01F51" w:rsidR="000F2447" w:rsidRPr="00F974FE" w:rsidRDefault="0052603C" w:rsidP="00F974FE">
      <w:pPr>
        <w:tabs>
          <w:tab w:val="left" w:pos="2160"/>
          <w:tab w:val="left" w:pos="2430"/>
        </w:tabs>
        <w:spacing w:after="240"/>
        <w:ind w:left="2340" w:hanging="900"/>
        <w:rPr>
          <w:color w:val="000000" w:themeColor="text1"/>
          <w:sz w:val="24"/>
          <w:szCs w:val="24"/>
        </w:rPr>
      </w:pPr>
      <w:r w:rsidRPr="00900C03">
        <w:rPr>
          <w:i/>
          <w:color w:val="000000" w:themeColor="text1"/>
          <w:sz w:val="24"/>
          <w:szCs w:val="24"/>
        </w:rPr>
        <w:t>Q</w:t>
      </w:r>
      <w:r w:rsidR="00DC3D02">
        <w:rPr>
          <w:i/>
          <w:color w:val="000000" w:themeColor="text1"/>
          <w:sz w:val="24"/>
          <w:szCs w:val="24"/>
          <w:vertAlign w:val="subscript"/>
        </w:rPr>
        <w:t>t</w:t>
      </w:r>
      <w:r w:rsidRPr="00900C03">
        <w:rPr>
          <w:color w:val="000000" w:themeColor="text1"/>
          <w:sz w:val="24"/>
          <w:szCs w:val="24"/>
        </w:rPr>
        <w:t xml:space="preserve">  </w:t>
      </w:r>
      <w:r w:rsidRPr="00900C03">
        <w:rPr>
          <w:color w:val="000000" w:themeColor="text1"/>
          <w:sz w:val="24"/>
          <w:szCs w:val="24"/>
        </w:rPr>
        <w:tab/>
        <w:t xml:space="preserve">= Total effluent flow volume </w:t>
      </w:r>
      <w:r>
        <w:rPr>
          <w:color w:val="000000" w:themeColor="text1"/>
          <w:sz w:val="24"/>
          <w:szCs w:val="24"/>
        </w:rPr>
        <w:t>corresponding to</w:t>
      </w:r>
      <w:r w:rsidRPr="00900C03">
        <w:rPr>
          <w:color w:val="000000" w:themeColor="text1"/>
          <w:sz w:val="24"/>
          <w:szCs w:val="24"/>
        </w:rPr>
        <w:t xml:space="preserve"> the appropriate monitoring period, million gallons</w:t>
      </w:r>
    </w:p>
    <w:bookmarkEnd w:id="101"/>
    <w:p w14:paraId="65006CDD" w14:textId="7B1855E2" w:rsidR="00F73955" w:rsidRPr="00900C03" w:rsidRDefault="00F73955" w:rsidP="00F73955">
      <w:pPr>
        <w:tabs>
          <w:tab w:val="left" w:pos="1440"/>
          <w:tab w:val="left" w:pos="2430"/>
        </w:tabs>
        <w:ind w:left="2160" w:hanging="720"/>
        <w:rPr>
          <w:color w:val="000000" w:themeColor="text1"/>
          <w:sz w:val="24"/>
          <w:szCs w:val="24"/>
        </w:rPr>
      </w:pPr>
      <w:r w:rsidRPr="00900C03">
        <w:rPr>
          <w:color w:val="000000" w:themeColor="text1"/>
          <w:sz w:val="24"/>
          <w:szCs w:val="24"/>
        </w:rPr>
        <w:t xml:space="preserve">Example: </w:t>
      </w:r>
      <w:r w:rsidR="0026082D">
        <w:rPr>
          <w:color w:val="000000" w:themeColor="text1"/>
          <w:sz w:val="24"/>
          <w:szCs w:val="24"/>
        </w:rPr>
        <w:t xml:space="preserve">PCBs </w:t>
      </w:r>
      <w:r w:rsidRPr="00900C03">
        <w:rPr>
          <w:color w:val="000000" w:themeColor="text1"/>
          <w:sz w:val="24"/>
          <w:szCs w:val="24"/>
        </w:rPr>
        <w:t xml:space="preserve">is monitored </w:t>
      </w:r>
      <w:r w:rsidR="0026082D">
        <w:rPr>
          <w:color w:val="000000" w:themeColor="text1"/>
          <w:sz w:val="24"/>
          <w:szCs w:val="24"/>
        </w:rPr>
        <w:t>quarterly</w:t>
      </w:r>
      <w:r w:rsidRPr="00900C03">
        <w:rPr>
          <w:color w:val="000000" w:themeColor="text1"/>
          <w:sz w:val="24"/>
          <w:szCs w:val="24"/>
        </w:rPr>
        <w:t xml:space="preserve">. </w:t>
      </w:r>
    </w:p>
    <w:p w14:paraId="5C5D59E3" w14:textId="77777777" w:rsidR="00F73955" w:rsidRPr="00900C03" w:rsidRDefault="00F73955" w:rsidP="00F73955">
      <w:pPr>
        <w:tabs>
          <w:tab w:val="left" w:pos="1440"/>
          <w:tab w:val="left" w:pos="2430"/>
        </w:tabs>
        <w:ind w:left="2160" w:hanging="720"/>
        <w:rPr>
          <w:color w:val="000000" w:themeColor="text1"/>
          <w:sz w:val="24"/>
          <w:szCs w:val="24"/>
        </w:rPr>
      </w:pPr>
    </w:p>
    <w:p w14:paraId="044E401F" w14:textId="0A2888E4" w:rsidR="00F73955" w:rsidRPr="00900C03" w:rsidRDefault="00F73955" w:rsidP="00F73955">
      <w:pPr>
        <w:tabs>
          <w:tab w:val="left" w:pos="-1440"/>
          <w:tab w:val="left" w:pos="2250"/>
        </w:tabs>
        <w:ind w:left="2160" w:hanging="720"/>
        <w:rPr>
          <w:sz w:val="24"/>
          <w:szCs w:val="24"/>
        </w:rPr>
      </w:pPr>
      <w:r>
        <w:rPr>
          <w:sz w:val="24"/>
          <w:szCs w:val="24"/>
        </w:rPr>
        <w:t>Step 1 :</w:t>
      </w:r>
      <w:r w:rsidRPr="00900C03">
        <w:rPr>
          <w:sz w:val="24"/>
          <w:szCs w:val="24"/>
        </w:rPr>
        <w:t>{</w:t>
      </w:r>
      <w:r>
        <w:rPr>
          <w:sz w:val="24"/>
          <w:szCs w:val="24"/>
        </w:rPr>
        <w:t>(</w:t>
      </w:r>
      <w:r w:rsidRPr="00900C03">
        <w:rPr>
          <w:sz w:val="24"/>
          <w:szCs w:val="24"/>
        </w:rPr>
        <w:t xml:space="preserve">influent </w:t>
      </w:r>
      <w:r w:rsidR="0026082D">
        <w:rPr>
          <w:sz w:val="24"/>
          <w:szCs w:val="24"/>
        </w:rPr>
        <w:t xml:space="preserve">urban runoff </w:t>
      </w:r>
      <w:r w:rsidRPr="00900C03">
        <w:rPr>
          <w:sz w:val="24"/>
          <w:szCs w:val="24"/>
        </w:rPr>
        <w:t xml:space="preserve">concentration of </w:t>
      </w:r>
      <w:r>
        <w:rPr>
          <w:sz w:val="24"/>
          <w:szCs w:val="24"/>
        </w:rPr>
        <w:t>PCBs in dry weather</w:t>
      </w:r>
      <w:r w:rsidRPr="00900C03">
        <w:rPr>
          <w:sz w:val="24"/>
          <w:szCs w:val="24"/>
        </w:rPr>
        <w:t xml:space="preserve">, </w:t>
      </w:r>
      <w:r w:rsidRPr="00900C03">
        <w:rPr>
          <w:i/>
          <w:color w:val="000000" w:themeColor="text1"/>
          <w:sz w:val="24"/>
          <w:szCs w:val="24"/>
        </w:rPr>
        <w:t>C</w:t>
      </w:r>
      <w:r w:rsidR="0026082D">
        <w:rPr>
          <w:i/>
          <w:color w:val="000000" w:themeColor="text1"/>
          <w:sz w:val="24"/>
          <w:szCs w:val="24"/>
          <w:vertAlign w:val="subscript"/>
        </w:rPr>
        <w:t>d</w:t>
      </w:r>
      <w:r w:rsidRPr="00900C03">
        <w:rPr>
          <w:i/>
          <w:color w:val="000000" w:themeColor="text1"/>
          <w:sz w:val="24"/>
          <w:szCs w:val="24"/>
          <w:vertAlign w:val="subscript"/>
        </w:rPr>
        <w:t>i</w:t>
      </w:r>
      <w:r w:rsidRPr="00900C03">
        <w:rPr>
          <w:sz w:val="24"/>
          <w:szCs w:val="24"/>
        </w:rPr>
        <w:t xml:space="preserve">) x (total influent </w:t>
      </w:r>
      <w:r w:rsidR="0026082D">
        <w:rPr>
          <w:sz w:val="24"/>
          <w:szCs w:val="24"/>
        </w:rPr>
        <w:t xml:space="preserve">urban runoff </w:t>
      </w:r>
      <w:r w:rsidRPr="00900C03">
        <w:rPr>
          <w:sz w:val="24"/>
          <w:szCs w:val="24"/>
        </w:rPr>
        <w:t xml:space="preserve">volume of </w:t>
      </w:r>
      <w:r w:rsidR="0026082D">
        <w:rPr>
          <w:sz w:val="24"/>
          <w:szCs w:val="24"/>
        </w:rPr>
        <w:t>dry weather diversion for the quarter</w:t>
      </w:r>
      <w:r w:rsidRPr="00900C03">
        <w:rPr>
          <w:sz w:val="24"/>
          <w:szCs w:val="24"/>
        </w:rPr>
        <w:t xml:space="preserve">, </w:t>
      </w:r>
      <w:r w:rsidRPr="00900C03">
        <w:rPr>
          <w:i/>
          <w:color w:val="000000" w:themeColor="text1"/>
          <w:sz w:val="24"/>
          <w:szCs w:val="24"/>
        </w:rPr>
        <w:t>Q</w:t>
      </w:r>
      <w:r w:rsidR="0026082D" w:rsidRPr="0042041A">
        <w:rPr>
          <w:i/>
          <w:color w:val="000000" w:themeColor="text1"/>
          <w:sz w:val="24"/>
          <w:szCs w:val="24"/>
          <w:vertAlign w:val="subscript"/>
        </w:rPr>
        <w:t>d</w:t>
      </w:r>
      <w:r w:rsidR="0042041A">
        <w:rPr>
          <w:i/>
          <w:color w:val="000000" w:themeColor="text1"/>
          <w:sz w:val="24"/>
          <w:szCs w:val="24"/>
          <w:vertAlign w:val="subscript"/>
        </w:rPr>
        <w:t>r</w:t>
      </w:r>
      <w:r w:rsidRPr="00900C03">
        <w:rPr>
          <w:sz w:val="24"/>
          <w:szCs w:val="24"/>
        </w:rPr>
        <w:t>)</w:t>
      </w:r>
      <w:r w:rsidR="0026082D">
        <w:rPr>
          <w:sz w:val="24"/>
          <w:szCs w:val="24"/>
        </w:rPr>
        <w:t xml:space="preserve"> + (influent urban runoff concentration of PCBs in wet weather,</w:t>
      </w:r>
      <w:r w:rsidR="0026082D" w:rsidRPr="0026082D">
        <w:rPr>
          <w:i/>
          <w:color w:val="000000" w:themeColor="text1"/>
          <w:sz w:val="24"/>
          <w:szCs w:val="24"/>
        </w:rPr>
        <w:t xml:space="preserve"> </w:t>
      </w:r>
      <w:r w:rsidR="0026082D" w:rsidRPr="00900C03">
        <w:rPr>
          <w:i/>
          <w:color w:val="000000" w:themeColor="text1"/>
          <w:sz w:val="24"/>
          <w:szCs w:val="24"/>
        </w:rPr>
        <w:t>C</w:t>
      </w:r>
      <w:r w:rsidR="0026082D">
        <w:rPr>
          <w:i/>
          <w:color w:val="000000" w:themeColor="text1"/>
          <w:sz w:val="24"/>
          <w:szCs w:val="24"/>
          <w:vertAlign w:val="subscript"/>
        </w:rPr>
        <w:t>w</w:t>
      </w:r>
      <w:r w:rsidR="0026082D" w:rsidRPr="00900C03">
        <w:rPr>
          <w:i/>
          <w:color w:val="000000" w:themeColor="text1"/>
          <w:sz w:val="24"/>
          <w:szCs w:val="24"/>
          <w:vertAlign w:val="subscript"/>
        </w:rPr>
        <w:t>i</w:t>
      </w:r>
      <w:r w:rsidR="0026082D">
        <w:rPr>
          <w:color w:val="000000" w:themeColor="text1"/>
          <w:sz w:val="24"/>
          <w:szCs w:val="24"/>
        </w:rPr>
        <w:t>)</w:t>
      </w:r>
      <w:r w:rsidRPr="00900C03">
        <w:rPr>
          <w:sz w:val="24"/>
          <w:szCs w:val="24"/>
        </w:rPr>
        <w:t xml:space="preserve"> </w:t>
      </w:r>
      <w:r w:rsidR="0026082D" w:rsidRPr="00900C03">
        <w:rPr>
          <w:sz w:val="24"/>
          <w:szCs w:val="24"/>
        </w:rPr>
        <w:t xml:space="preserve">x (total influent </w:t>
      </w:r>
      <w:r w:rsidR="0026082D">
        <w:rPr>
          <w:sz w:val="24"/>
          <w:szCs w:val="24"/>
        </w:rPr>
        <w:t xml:space="preserve">urban runoff </w:t>
      </w:r>
      <w:r w:rsidR="0026082D" w:rsidRPr="00900C03">
        <w:rPr>
          <w:sz w:val="24"/>
          <w:szCs w:val="24"/>
        </w:rPr>
        <w:t xml:space="preserve">volume of </w:t>
      </w:r>
      <w:r w:rsidR="0026082D">
        <w:rPr>
          <w:sz w:val="24"/>
          <w:szCs w:val="24"/>
        </w:rPr>
        <w:t>wet weather diversion for the quarter</w:t>
      </w:r>
      <w:r w:rsidR="0026082D" w:rsidRPr="00900C03">
        <w:rPr>
          <w:sz w:val="24"/>
          <w:szCs w:val="24"/>
        </w:rPr>
        <w:t xml:space="preserve">, </w:t>
      </w:r>
      <w:r w:rsidR="0026082D" w:rsidRPr="00900C03">
        <w:rPr>
          <w:i/>
          <w:color w:val="000000" w:themeColor="text1"/>
          <w:sz w:val="24"/>
          <w:szCs w:val="24"/>
        </w:rPr>
        <w:t>Q</w:t>
      </w:r>
      <w:r w:rsidR="0042041A">
        <w:rPr>
          <w:i/>
          <w:color w:val="000000" w:themeColor="text1"/>
          <w:sz w:val="24"/>
          <w:szCs w:val="24"/>
          <w:vertAlign w:val="subscript"/>
        </w:rPr>
        <w:t>wr</w:t>
      </w:r>
      <w:r w:rsidR="0026082D" w:rsidRPr="00900C03">
        <w:rPr>
          <w:sz w:val="24"/>
          <w:szCs w:val="24"/>
        </w:rPr>
        <w:t>)</w:t>
      </w:r>
      <w:r w:rsidR="00737C14">
        <w:rPr>
          <w:sz w:val="24"/>
          <w:szCs w:val="24"/>
        </w:rPr>
        <w:t>}</w:t>
      </w:r>
      <w:r w:rsidR="0026082D">
        <w:rPr>
          <w:sz w:val="24"/>
          <w:szCs w:val="24"/>
        </w:rPr>
        <w:t xml:space="preserve"> </w:t>
      </w:r>
      <w:r w:rsidRPr="00900C03">
        <w:rPr>
          <w:sz w:val="24"/>
          <w:szCs w:val="24"/>
        </w:rPr>
        <w:t xml:space="preserve">= (influent mass of </w:t>
      </w:r>
      <w:r w:rsidR="0026082D">
        <w:rPr>
          <w:sz w:val="24"/>
          <w:szCs w:val="24"/>
        </w:rPr>
        <w:t>PCBs from urban runoff</w:t>
      </w:r>
      <w:r w:rsidRPr="00900C03">
        <w:rPr>
          <w:sz w:val="24"/>
          <w:szCs w:val="24"/>
        </w:rPr>
        <w:t>)</w:t>
      </w:r>
    </w:p>
    <w:p w14:paraId="48FE92E5" w14:textId="77777777" w:rsidR="00F73955" w:rsidRPr="00900C03" w:rsidRDefault="00F73955" w:rsidP="00F73955">
      <w:pPr>
        <w:tabs>
          <w:tab w:val="left" w:pos="-1440"/>
        </w:tabs>
        <w:ind w:left="1800" w:hanging="360"/>
        <w:rPr>
          <w:sz w:val="24"/>
          <w:szCs w:val="24"/>
        </w:rPr>
      </w:pPr>
      <w:r w:rsidRPr="00900C03">
        <w:rPr>
          <w:sz w:val="24"/>
          <w:szCs w:val="24"/>
        </w:rPr>
        <w:tab/>
      </w:r>
    </w:p>
    <w:p w14:paraId="6956266B" w14:textId="1334F01D" w:rsidR="00F73955" w:rsidRDefault="00F73955" w:rsidP="00F73955">
      <w:pPr>
        <w:tabs>
          <w:tab w:val="left" w:pos="-1440"/>
          <w:tab w:val="left" w:pos="2160"/>
        </w:tabs>
        <w:ind w:left="2160" w:hanging="720"/>
        <w:rPr>
          <w:sz w:val="24"/>
          <w:szCs w:val="24"/>
        </w:rPr>
      </w:pPr>
      <w:r w:rsidRPr="00900C03">
        <w:rPr>
          <w:sz w:val="24"/>
          <w:szCs w:val="24"/>
        </w:rPr>
        <w:t xml:space="preserve">Step </w:t>
      </w:r>
      <w:r>
        <w:rPr>
          <w:sz w:val="24"/>
          <w:szCs w:val="24"/>
        </w:rPr>
        <w:t xml:space="preserve">2: </w:t>
      </w:r>
      <w:r w:rsidRPr="00900C03">
        <w:rPr>
          <w:sz w:val="24"/>
          <w:szCs w:val="24"/>
        </w:rPr>
        <w:t>(influent mass) ÷ (</w:t>
      </w:r>
      <w:r w:rsidR="0042041A">
        <w:rPr>
          <w:sz w:val="24"/>
          <w:szCs w:val="24"/>
        </w:rPr>
        <w:t xml:space="preserve">total effluent discharge volume for the </w:t>
      </w:r>
      <w:r w:rsidR="001566F4">
        <w:rPr>
          <w:sz w:val="24"/>
          <w:szCs w:val="24"/>
        </w:rPr>
        <w:t>90-day period</w:t>
      </w:r>
      <w:r w:rsidRPr="00900C03">
        <w:rPr>
          <w:sz w:val="24"/>
          <w:szCs w:val="24"/>
        </w:rPr>
        <w:t xml:space="preserve">, </w:t>
      </w:r>
      <w:r w:rsidR="0042041A">
        <w:rPr>
          <w:i/>
          <w:color w:val="000000" w:themeColor="text1"/>
          <w:sz w:val="24"/>
          <w:szCs w:val="24"/>
        </w:rPr>
        <w:t>Q</w:t>
      </w:r>
      <w:r w:rsidRPr="00900C03">
        <w:rPr>
          <w:i/>
          <w:color w:val="000000" w:themeColor="text1"/>
          <w:sz w:val="24"/>
          <w:szCs w:val="24"/>
          <w:vertAlign w:val="subscript"/>
        </w:rPr>
        <w:t>t</w:t>
      </w:r>
      <w:r w:rsidRPr="00900C03">
        <w:rPr>
          <w:sz w:val="24"/>
          <w:szCs w:val="24"/>
        </w:rPr>
        <w:t>) = (</w:t>
      </w:r>
      <w:r w:rsidR="001566F4">
        <w:rPr>
          <w:sz w:val="24"/>
          <w:szCs w:val="24"/>
        </w:rPr>
        <w:t>Runoff</w:t>
      </w:r>
      <w:r w:rsidRPr="00900C03">
        <w:rPr>
          <w:sz w:val="24"/>
          <w:szCs w:val="24"/>
        </w:rPr>
        <w:t xml:space="preserve"> Adjustment to be subtracted from </w:t>
      </w:r>
      <w:r w:rsidR="001566F4">
        <w:rPr>
          <w:sz w:val="24"/>
          <w:szCs w:val="24"/>
        </w:rPr>
        <w:t>the concentration of PCBs</w:t>
      </w:r>
      <w:r w:rsidRPr="00900C03">
        <w:rPr>
          <w:sz w:val="24"/>
          <w:szCs w:val="24"/>
        </w:rPr>
        <w:t xml:space="preserve">, valid for that </w:t>
      </w:r>
      <w:r w:rsidR="001566F4">
        <w:rPr>
          <w:sz w:val="24"/>
          <w:szCs w:val="24"/>
        </w:rPr>
        <w:t>quarter</w:t>
      </w:r>
      <w:r w:rsidRPr="00900C03">
        <w:rPr>
          <w:sz w:val="24"/>
          <w:szCs w:val="24"/>
        </w:rPr>
        <w:t>)</w:t>
      </w:r>
    </w:p>
    <w:p w14:paraId="02A79349" w14:textId="77777777" w:rsidR="00C65584" w:rsidRPr="008632D9" w:rsidRDefault="00C65584" w:rsidP="00AC4715">
      <w:pPr>
        <w:ind w:left="1080" w:hanging="360"/>
        <w:rPr>
          <w:color w:val="00B0F0"/>
        </w:rPr>
        <w:sectPr w:rsidR="00C65584" w:rsidRPr="008632D9" w:rsidSect="004D01E9">
          <w:headerReference w:type="default" r:id="rId34"/>
          <w:footerReference w:type="default" r:id="rId35"/>
          <w:footnotePr>
            <w:numRestart w:val="eachSect"/>
          </w:footnotePr>
          <w:endnotePr>
            <w:numFmt w:val="decimal"/>
          </w:endnotePr>
          <w:pgSz w:w="12240" w:h="15840" w:code="1"/>
          <w:pgMar w:top="1080" w:right="1080" w:bottom="1080" w:left="1080" w:header="547" w:footer="720" w:gutter="0"/>
          <w:cols w:space="720"/>
          <w:noEndnote/>
          <w:docGrid w:linePitch="326"/>
        </w:sectPr>
      </w:pPr>
    </w:p>
    <w:p w14:paraId="71CA030D" w14:textId="77777777" w:rsidR="00654AD1" w:rsidRPr="00570B42" w:rsidRDefault="00654AD1" w:rsidP="00654AD1">
      <w:pPr>
        <w:pStyle w:val="AttachmentHeading"/>
        <w:spacing w:after="0"/>
        <w:rPr>
          <w:rFonts w:ascii="Times New Roman" w:hAnsi="Times New Roman"/>
          <w:szCs w:val="24"/>
        </w:rPr>
      </w:pPr>
      <w:r w:rsidRPr="00570B42">
        <w:rPr>
          <w:rFonts w:ascii="Times New Roman" w:hAnsi="Times New Roman"/>
          <w:szCs w:val="24"/>
        </w:rPr>
        <w:lastRenderedPageBreak/>
        <w:t>Attachment A – Definitions</w:t>
      </w:r>
    </w:p>
    <w:p w14:paraId="6DE3F804" w14:textId="77777777" w:rsidR="00F878D4" w:rsidRPr="00570B42" w:rsidRDefault="00F878D4">
      <w:pPr>
        <w:pStyle w:val="Heading9"/>
        <w:rPr>
          <w:color w:val="auto"/>
          <w:sz w:val="24"/>
          <w:szCs w:val="24"/>
        </w:rPr>
      </w:pPr>
    </w:p>
    <w:p w14:paraId="5DAEB0C1" w14:textId="77777777" w:rsidR="00C73704" w:rsidRPr="00570B42" w:rsidRDefault="00C73704" w:rsidP="00C73704">
      <w:pPr>
        <w:pStyle w:val="Definitions"/>
        <w:rPr>
          <w:rFonts w:ascii="Times New Roman" w:hAnsi="Times New Roman"/>
          <w:sz w:val="24"/>
          <w:szCs w:val="24"/>
        </w:rPr>
      </w:pPr>
      <w:r w:rsidRPr="00570B42">
        <w:rPr>
          <w:rFonts w:ascii="Times New Roman" w:hAnsi="Times New Roman"/>
          <w:sz w:val="24"/>
          <w:szCs w:val="24"/>
        </w:rPr>
        <w:t>Arithmetic Mean (</w:t>
      </w:r>
      <w:r w:rsidRPr="00570B42">
        <w:rPr>
          <w:rFonts w:ascii="Times New Roman" w:hAnsi="Times New Roman"/>
          <w:sz w:val="24"/>
          <w:szCs w:val="24"/>
        </w:rPr>
        <w:sym w:font="Symbol" w:char="F06D"/>
      </w:r>
      <w:r w:rsidRPr="00570B42">
        <w:rPr>
          <w:rFonts w:ascii="Times New Roman" w:hAnsi="Times New Roman"/>
          <w:sz w:val="24"/>
          <w:szCs w:val="24"/>
        </w:rPr>
        <w:t>)</w:t>
      </w:r>
    </w:p>
    <w:p w14:paraId="11BFCD55" w14:textId="77777777" w:rsidR="00C73704" w:rsidRPr="00570B42" w:rsidRDefault="00C73704" w:rsidP="009B298E">
      <w:pPr>
        <w:spacing w:after="120"/>
        <w:rPr>
          <w:sz w:val="24"/>
          <w:szCs w:val="24"/>
        </w:rPr>
      </w:pPr>
      <w:r w:rsidRPr="00570B42">
        <w:rPr>
          <w:sz w:val="24"/>
          <w:szCs w:val="24"/>
        </w:rPr>
        <w:t>Also called the average, the sum of measured values divided by the number of samples. For ambient water concentrations, the arithmetic mean is calculated as follows:</w:t>
      </w:r>
    </w:p>
    <w:p w14:paraId="0634FAF7" w14:textId="77777777" w:rsidR="00C73704" w:rsidRPr="00570B42" w:rsidRDefault="00C73704" w:rsidP="00B408D4">
      <w:pPr>
        <w:tabs>
          <w:tab w:val="left" w:pos="0"/>
          <w:tab w:val="left" w:pos="358"/>
          <w:tab w:val="left" w:pos="720"/>
          <w:tab w:val="left" w:pos="1440"/>
          <w:tab w:val="left" w:pos="2160"/>
          <w:tab w:val="left" w:pos="2880"/>
          <w:tab w:val="left" w:pos="3420"/>
          <w:tab w:val="left" w:pos="4320"/>
          <w:tab w:val="left" w:pos="4680"/>
          <w:tab w:val="left" w:pos="5220"/>
        </w:tabs>
        <w:suppressAutoHyphens/>
        <w:spacing w:after="240"/>
        <w:ind w:left="5227" w:hanging="4680"/>
        <w:rPr>
          <w:sz w:val="24"/>
          <w:szCs w:val="24"/>
        </w:rPr>
      </w:pPr>
      <w:r w:rsidRPr="00570B42">
        <w:rPr>
          <w:sz w:val="24"/>
          <w:szCs w:val="24"/>
        </w:rPr>
        <w:tab/>
        <w:t xml:space="preserve">Arithmetic mean = </w:t>
      </w:r>
      <w:r w:rsidRPr="00570B42">
        <w:rPr>
          <w:sz w:val="24"/>
          <w:szCs w:val="24"/>
        </w:rPr>
        <w:sym w:font="Symbol" w:char="F06D"/>
      </w:r>
      <w:r w:rsidRPr="00570B42">
        <w:rPr>
          <w:sz w:val="24"/>
          <w:szCs w:val="24"/>
        </w:rPr>
        <w:t xml:space="preserve"> = </w:t>
      </w:r>
      <w:r w:rsidRPr="00570B42">
        <w:rPr>
          <w:sz w:val="24"/>
          <w:szCs w:val="24"/>
        </w:rPr>
        <w:sym w:font="Symbol" w:char="F053"/>
      </w:r>
      <w:r w:rsidRPr="00570B42">
        <w:rPr>
          <w:sz w:val="24"/>
          <w:szCs w:val="24"/>
        </w:rPr>
        <w:t xml:space="preserve">x / n </w:t>
      </w:r>
      <w:r w:rsidRPr="00570B42">
        <w:rPr>
          <w:sz w:val="24"/>
          <w:szCs w:val="24"/>
        </w:rPr>
        <w:tab/>
        <w:t xml:space="preserve">where:  </w:t>
      </w:r>
      <w:r w:rsidRPr="00570B42">
        <w:rPr>
          <w:sz w:val="24"/>
          <w:szCs w:val="24"/>
        </w:rPr>
        <w:tab/>
      </w:r>
      <w:r w:rsidRPr="00570B42">
        <w:rPr>
          <w:sz w:val="24"/>
          <w:szCs w:val="24"/>
        </w:rPr>
        <w:sym w:font="Symbol" w:char="F053"/>
      </w:r>
      <w:r w:rsidRPr="00570B42">
        <w:rPr>
          <w:sz w:val="24"/>
          <w:szCs w:val="24"/>
        </w:rPr>
        <w:t>x is the sum of the measured ambient water concentrations, and n is the number of samples.</w:t>
      </w:r>
    </w:p>
    <w:p w14:paraId="398C9B57" w14:textId="77777777" w:rsidR="00C73704" w:rsidRPr="00570B42" w:rsidRDefault="00C73704" w:rsidP="00C73704">
      <w:pPr>
        <w:pStyle w:val="Definitions"/>
        <w:rPr>
          <w:rFonts w:ascii="Times New Roman" w:hAnsi="Times New Roman"/>
          <w:sz w:val="24"/>
          <w:szCs w:val="24"/>
        </w:rPr>
      </w:pPr>
      <w:r w:rsidRPr="00570B42">
        <w:rPr>
          <w:rFonts w:ascii="Times New Roman" w:hAnsi="Times New Roman"/>
          <w:sz w:val="24"/>
          <w:szCs w:val="24"/>
        </w:rPr>
        <w:t>Average Monthly Effluent Limitation (AMEL)</w:t>
      </w:r>
    </w:p>
    <w:p w14:paraId="623028A1" w14:textId="77777777" w:rsidR="00C73704" w:rsidRPr="00570B42" w:rsidRDefault="00C73704" w:rsidP="00C73704">
      <w:pPr>
        <w:pStyle w:val="BodyText"/>
        <w:rPr>
          <w:rFonts w:ascii="Times New Roman" w:hAnsi="Times New Roman" w:cs="Times New Roman"/>
          <w:sz w:val="24"/>
        </w:rPr>
      </w:pPr>
      <w:r w:rsidRPr="00570B42">
        <w:rPr>
          <w:rFonts w:ascii="Times New Roman" w:hAnsi="Times New Roman" w:cs="Times New Roman"/>
          <w:sz w:val="24"/>
        </w:rPr>
        <w:t>The highest allowable average of daily discharges over a calendar month, calculated as the sum of all daily discharges measured during a calendar month divided by the number of daily discharges measured during that month.</w:t>
      </w:r>
    </w:p>
    <w:p w14:paraId="6C938206" w14:textId="77777777" w:rsidR="00C73704" w:rsidRPr="00570B42" w:rsidRDefault="00C73704" w:rsidP="00C73704">
      <w:pPr>
        <w:pStyle w:val="Definitions"/>
        <w:rPr>
          <w:rFonts w:ascii="Times New Roman" w:hAnsi="Times New Roman"/>
          <w:sz w:val="24"/>
          <w:szCs w:val="24"/>
        </w:rPr>
      </w:pPr>
      <w:r w:rsidRPr="00570B42">
        <w:rPr>
          <w:rFonts w:ascii="Times New Roman" w:hAnsi="Times New Roman"/>
          <w:sz w:val="24"/>
          <w:szCs w:val="24"/>
        </w:rPr>
        <w:t>Average Weekly Effluent Limitation (AWEL)</w:t>
      </w:r>
    </w:p>
    <w:p w14:paraId="71F022B4" w14:textId="77777777" w:rsidR="00C73704" w:rsidRPr="00570B42" w:rsidRDefault="00C73704" w:rsidP="00C73704">
      <w:pPr>
        <w:pStyle w:val="BodyText"/>
        <w:rPr>
          <w:rFonts w:ascii="Times New Roman" w:hAnsi="Times New Roman" w:cs="Times New Roman"/>
          <w:sz w:val="24"/>
        </w:rPr>
      </w:pPr>
      <w:r w:rsidRPr="00570B42">
        <w:rPr>
          <w:rFonts w:ascii="Times New Roman" w:hAnsi="Times New Roman" w:cs="Times New Roman"/>
          <w:sz w:val="24"/>
        </w:rPr>
        <w:t>The highest allowable average of daily discharges over a calendar week (Sunday through Saturday), calculated as the sum of all daily discharges measured during a calendar week divided by the number of daily discharges measured during that week.</w:t>
      </w:r>
    </w:p>
    <w:p w14:paraId="24703D6B" w14:textId="77777777" w:rsidR="00C73704" w:rsidRPr="00570B42" w:rsidRDefault="00C73704" w:rsidP="00C73704">
      <w:pPr>
        <w:pStyle w:val="Definitions"/>
        <w:rPr>
          <w:rFonts w:ascii="Times New Roman" w:hAnsi="Times New Roman"/>
          <w:sz w:val="24"/>
          <w:szCs w:val="24"/>
        </w:rPr>
      </w:pPr>
      <w:r w:rsidRPr="00570B42">
        <w:rPr>
          <w:rFonts w:ascii="Times New Roman" w:hAnsi="Times New Roman"/>
          <w:sz w:val="24"/>
          <w:szCs w:val="24"/>
        </w:rPr>
        <w:t>Bioaccumulative</w:t>
      </w:r>
    </w:p>
    <w:p w14:paraId="00F0E640" w14:textId="77777777" w:rsidR="00C73704" w:rsidRPr="00570B42" w:rsidRDefault="00D918B9" w:rsidP="00C73704">
      <w:pPr>
        <w:pStyle w:val="BodyText"/>
        <w:rPr>
          <w:rFonts w:ascii="Times New Roman" w:hAnsi="Times New Roman" w:cs="Times New Roman"/>
          <w:sz w:val="24"/>
        </w:rPr>
      </w:pPr>
      <w:r w:rsidRPr="00570B42">
        <w:rPr>
          <w:rFonts w:ascii="Times New Roman" w:hAnsi="Times New Roman" w:cs="Times New Roman"/>
          <w:sz w:val="24"/>
        </w:rPr>
        <w:t>T</w:t>
      </w:r>
      <w:r w:rsidR="00C73704" w:rsidRPr="00570B42">
        <w:rPr>
          <w:rFonts w:ascii="Times New Roman" w:hAnsi="Times New Roman" w:cs="Times New Roman"/>
          <w:sz w:val="24"/>
        </w:rPr>
        <w:t>aken up by an organism from its surrounding medium through gill membranes, epithelial tissue, or from food and subsequently concentrated and retained in the body of the organism.</w:t>
      </w:r>
    </w:p>
    <w:p w14:paraId="34BDD774" w14:textId="77777777" w:rsidR="00C73704" w:rsidRPr="00570B42" w:rsidRDefault="00C73704" w:rsidP="00C73704">
      <w:pPr>
        <w:pStyle w:val="Definitions"/>
        <w:rPr>
          <w:rFonts w:ascii="Times New Roman" w:hAnsi="Times New Roman"/>
          <w:sz w:val="24"/>
          <w:szCs w:val="24"/>
        </w:rPr>
      </w:pPr>
      <w:r w:rsidRPr="00570B42">
        <w:rPr>
          <w:rFonts w:ascii="Times New Roman" w:hAnsi="Times New Roman"/>
          <w:sz w:val="24"/>
          <w:szCs w:val="24"/>
        </w:rPr>
        <w:t>Carcinogenic</w:t>
      </w:r>
    </w:p>
    <w:p w14:paraId="71FF4B70" w14:textId="77777777" w:rsidR="00C73704" w:rsidRPr="00570B42" w:rsidRDefault="00D918B9" w:rsidP="00C73704">
      <w:pPr>
        <w:pStyle w:val="BodyText"/>
        <w:rPr>
          <w:rFonts w:ascii="Times New Roman" w:hAnsi="Times New Roman" w:cs="Times New Roman"/>
          <w:sz w:val="24"/>
        </w:rPr>
      </w:pPr>
      <w:r w:rsidRPr="00570B42">
        <w:rPr>
          <w:rFonts w:ascii="Times New Roman" w:hAnsi="Times New Roman" w:cs="Times New Roman"/>
          <w:sz w:val="24"/>
        </w:rPr>
        <w:t>K</w:t>
      </w:r>
      <w:r w:rsidR="00C73704" w:rsidRPr="00570B42">
        <w:rPr>
          <w:rFonts w:ascii="Times New Roman" w:hAnsi="Times New Roman" w:cs="Times New Roman"/>
          <w:sz w:val="24"/>
        </w:rPr>
        <w:t>nown to cause cancer in living organisms.</w:t>
      </w:r>
    </w:p>
    <w:p w14:paraId="69FE0C45" w14:textId="77777777" w:rsidR="00C73704" w:rsidRPr="00570B42" w:rsidRDefault="00C73704" w:rsidP="00C73704">
      <w:pPr>
        <w:pStyle w:val="Definitions"/>
        <w:rPr>
          <w:rFonts w:ascii="Times New Roman" w:hAnsi="Times New Roman"/>
          <w:sz w:val="24"/>
          <w:szCs w:val="24"/>
        </w:rPr>
      </w:pPr>
      <w:r w:rsidRPr="00570B42">
        <w:rPr>
          <w:rFonts w:ascii="Times New Roman" w:hAnsi="Times New Roman"/>
          <w:sz w:val="24"/>
          <w:szCs w:val="24"/>
        </w:rPr>
        <w:t>Coefficient of Variation</w:t>
      </w:r>
    </w:p>
    <w:p w14:paraId="5229AFF9" w14:textId="77777777" w:rsidR="00C73704" w:rsidRPr="00570B42" w:rsidRDefault="00D918B9" w:rsidP="00C73704">
      <w:pPr>
        <w:pStyle w:val="BodyText"/>
        <w:rPr>
          <w:rFonts w:ascii="Times New Roman" w:hAnsi="Times New Roman" w:cs="Times New Roman"/>
          <w:sz w:val="24"/>
        </w:rPr>
      </w:pPr>
      <w:r w:rsidRPr="00570B42">
        <w:rPr>
          <w:rFonts w:ascii="Times New Roman" w:hAnsi="Times New Roman" w:cs="Times New Roman"/>
          <w:sz w:val="24"/>
        </w:rPr>
        <w:t>M</w:t>
      </w:r>
      <w:r w:rsidR="00C73704" w:rsidRPr="00570B42">
        <w:rPr>
          <w:rFonts w:ascii="Times New Roman" w:hAnsi="Times New Roman" w:cs="Times New Roman"/>
          <w:sz w:val="24"/>
        </w:rPr>
        <w:t>easure of data variability calculated as the estimated standard deviation divided by the arithmetic mean of the observed values.</w:t>
      </w:r>
    </w:p>
    <w:p w14:paraId="2450B56E" w14:textId="77777777" w:rsidR="00C73704" w:rsidRPr="00570B42" w:rsidRDefault="00C73704" w:rsidP="00C73704">
      <w:pPr>
        <w:pStyle w:val="Definitions"/>
        <w:rPr>
          <w:rFonts w:ascii="Times New Roman" w:hAnsi="Times New Roman"/>
          <w:sz w:val="24"/>
          <w:szCs w:val="24"/>
        </w:rPr>
      </w:pPr>
      <w:r w:rsidRPr="00570B42">
        <w:rPr>
          <w:rFonts w:ascii="Times New Roman" w:hAnsi="Times New Roman"/>
          <w:sz w:val="24"/>
          <w:szCs w:val="24"/>
        </w:rPr>
        <w:t>Daily Discharge</w:t>
      </w:r>
    </w:p>
    <w:p w14:paraId="474D0BDC" w14:textId="77777777" w:rsidR="00C73704" w:rsidRPr="00570B42" w:rsidRDefault="00D918B9" w:rsidP="00C73704">
      <w:pPr>
        <w:pStyle w:val="BodyText"/>
        <w:rPr>
          <w:rFonts w:ascii="Times New Roman" w:hAnsi="Times New Roman" w:cs="Times New Roman"/>
          <w:sz w:val="24"/>
        </w:rPr>
      </w:pPr>
      <w:r w:rsidRPr="00570B42">
        <w:rPr>
          <w:rFonts w:ascii="Times New Roman" w:hAnsi="Times New Roman" w:cs="Times New Roman"/>
          <w:sz w:val="24"/>
        </w:rPr>
        <w:t>E</w:t>
      </w:r>
      <w:r w:rsidR="00C73704" w:rsidRPr="00570B42">
        <w:rPr>
          <w:rFonts w:ascii="Times New Roman" w:hAnsi="Times New Roman" w:cs="Times New Roman"/>
          <w:sz w:val="24"/>
        </w:rPr>
        <w:t>ither: (1) the total mass of the constituent discharged over the calen</w:t>
      </w:r>
      <w:r w:rsidR="00DA3409" w:rsidRPr="00570B42">
        <w:rPr>
          <w:rFonts w:ascii="Times New Roman" w:hAnsi="Times New Roman" w:cs="Times New Roman"/>
          <w:sz w:val="24"/>
        </w:rPr>
        <w:t>dar day (12:00 am through 11:59 </w:t>
      </w:r>
      <w:r w:rsidR="00C73704" w:rsidRPr="00570B42">
        <w:rPr>
          <w:rFonts w:ascii="Times New Roman" w:hAnsi="Times New Roman" w:cs="Times New Roman"/>
          <w:sz w:val="24"/>
        </w:rPr>
        <w:t>pm) or any 24-hour period that reasonably represents a calendar day for purpos</w:t>
      </w:r>
      <w:r w:rsidR="00DA3409" w:rsidRPr="00570B42">
        <w:rPr>
          <w:rFonts w:ascii="Times New Roman" w:hAnsi="Times New Roman" w:cs="Times New Roman"/>
          <w:sz w:val="24"/>
        </w:rPr>
        <w:t>es of sampling (as </w:t>
      </w:r>
      <w:r w:rsidR="00C73704" w:rsidRPr="00570B42">
        <w:rPr>
          <w:rFonts w:ascii="Times New Roman" w:hAnsi="Times New Roman" w:cs="Times New Roman"/>
          <w:sz w:val="24"/>
        </w:rPr>
        <w:t>specified in the permit) for a constituent with limitations exp</w:t>
      </w:r>
      <w:r w:rsidR="00B408D4" w:rsidRPr="00570B42">
        <w:rPr>
          <w:rFonts w:ascii="Times New Roman" w:hAnsi="Times New Roman" w:cs="Times New Roman"/>
          <w:sz w:val="24"/>
        </w:rPr>
        <w:t>ressed in units of mass</w:t>
      </w:r>
      <w:r w:rsidRPr="00570B42">
        <w:rPr>
          <w:rFonts w:ascii="Times New Roman" w:hAnsi="Times New Roman" w:cs="Times New Roman"/>
          <w:sz w:val="24"/>
        </w:rPr>
        <w:t>;</w:t>
      </w:r>
      <w:r w:rsidR="00B408D4" w:rsidRPr="00570B42">
        <w:rPr>
          <w:rFonts w:ascii="Times New Roman" w:hAnsi="Times New Roman" w:cs="Times New Roman"/>
          <w:sz w:val="24"/>
        </w:rPr>
        <w:t xml:space="preserve"> or (2) </w:t>
      </w:r>
      <w:r w:rsidR="00C73704" w:rsidRPr="00570B42">
        <w:rPr>
          <w:rFonts w:ascii="Times New Roman" w:hAnsi="Times New Roman" w:cs="Times New Roman"/>
          <w:sz w:val="24"/>
        </w:rPr>
        <w:t xml:space="preserve">the unweighted arithmetic mean measurement of the constituent over the day for a constituent with limitations expressed in other units of measurement (e.g., concentration). </w:t>
      </w:r>
    </w:p>
    <w:p w14:paraId="71CCDB06" w14:textId="77777777" w:rsidR="00C73704" w:rsidRPr="00570B42" w:rsidRDefault="00C73704" w:rsidP="00C73704">
      <w:pPr>
        <w:pStyle w:val="BodyText"/>
        <w:rPr>
          <w:rFonts w:ascii="Times New Roman" w:hAnsi="Times New Roman" w:cs="Times New Roman"/>
          <w:sz w:val="24"/>
        </w:rPr>
      </w:pPr>
      <w:r w:rsidRPr="00570B42">
        <w:rPr>
          <w:rFonts w:ascii="Times New Roman" w:hAnsi="Times New Roman" w:cs="Times New Roman"/>
          <w:sz w:val="24"/>
        </w:rPr>
        <w:t>The daily discharge may be determined by the analytical results of a composite sample taken over the course of one day (a calendar day or other 24-hour period defined as a day) or by the arithmetic mean of analytical results from one or more grab samples taken over the course of the day.</w:t>
      </w:r>
    </w:p>
    <w:p w14:paraId="5AFB68CB" w14:textId="77777777" w:rsidR="00C73704" w:rsidRPr="00570B42" w:rsidRDefault="00C73704" w:rsidP="00C73704">
      <w:pPr>
        <w:pStyle w:val="BodyText"/>
        <w:rPr>
          <w:rFonts w:ascii="Times New Roman" w:hAnsi="Times New Roman" w:cs="Times New Roman"/>
          <w:sz w:val="24"/>
        </w:rPr>
      </w:pPr>
      <w:r w:rsidRPr="00570B42">
        <w:rPr>
          <w:rFonts w:ascii="Times New Roman" w:hAnsi="Times New Roman" w:cs="Times New Roman"/>
          <w:sz w:val="24"/>
        </w:rPr>
        <w:t xml:space="preserve">For composite sampling, if 1 day is defined as a 24-hour period other than a calendar day, the analytical result for the 24-hour period </w:t>
      </w:r>
      <w:r w:rsidR="00D918B9" w:rsidRPr="00570B42">
        <w:rPr>
          <w:rFonts w:ascii="Times New Roman" w:hAnsi="Times New Roman" w:cs="Times New Roman"/>
          <w:sz w:val="24"/>
        </w:rPr>
        <w:t>is</w:t>
      </w:r>
      <w:r w:rsidRPr="00570B42">
        <w:rPr>
          <w:rFonts w:ascii="Times New Roman" w:hAnsi="Times New Roman" w:cs="Times New Roman"/>
          <w:sz w:val="24"/>
        </w:rPr>
        <w:t xml:space="preserve"> considered the result for the calendar day in which the 24-hour period ends.</w:t>
      </w:r>
    </w:p>
    <w:p w14:paraId="79F01812" w14:textId="77777777" w:rsidR="00C73704" w:rsidRPr="00570B42" w:rsidRDefault="00C73704" w:rsidP="00C73704">
      <w:pPr>
        <w:pStyle w:val="Definitions"/>
        <w:rPr>
          <w:rFonts w:ascii="Times New Roman" w:hAnsi="Times New Roman"/>
          <w:sz w:val="24"/>
          <w:szCs w:val="24"/>
        </w:rPr>
      </w:pPr>
      <w:r w:rsidRPr="00570B42">
        <w:rPr>
          <w:rFonts w:ascii="Times New Roman" w:hAnsi="Times New Roman"/>
          <w:sz w:val="24"/>
          <w:szCs w:val="24"/>
        </w:rPr>
        <w:t>Detected, but Not Quantified (DNQ)</w:t>
      </w:r>
    </w:p>
    <w:p w14:paraId="0AD87310" w14:textId="77777777" w:rsidR="00C73704" w:rsidRPr="00570B42" w:rsidRDefault="00D918B9" w:rsidP="00C73704">
      <w:pPr>
        <w:pStyle w:val="BodyText"/>
        <w:rPr>
          <w:rFonts w:ascii="Times New Roman" w:hAnsi="Times New Roman" w:cs="Times New Roman"/>
          <w:sz w:val="24"/>
        </w:rPr>
      </w:pPr>
      <w:r w:rsidRPr="00570B42">
        <w:rPr>
          <w:rFonts w:ascii="Times New Roman" w:hAnsi="Times New Roman" w:cs="Times New Roman"/>
          <w:sz w:val="24"/>
        </w:rPr>
        <w:t>S</w:t>
      </w:r>
      <w:r w:rsidR="00C73704" w:rsidRPr="00570B42">
        <w:rPr>
          <w:rFonts w:ascii="Times New Roman" w:hAnsi="Times New Roman" w:cs="Times New Roman"/>
          <w:sz w:val="24"/>
        </w:rPr>
        <w:t>ample result less than the RL, but greater than or equal to the laboratory’s MDL. Sample results reported as DNQ are estimated concentrations.</w:t>
      </w:r>
    </w:p>
    <w:p w14:paraId="2CC2DE7E" w14:textId="77777777" w:rsidR="009F60E7" w:rsidRPr="00570B42" w:rsidRDefault="009F60E7">
      <w:pPr>
        <w:rPr>
          <w:b/>
          <w:sz w:val="24"/>
          <w:szCs w:val="24"/>
        </w:rPr>
      </w:pPr>
      <w:r w:rsidRPr="00570B42">
        <w:rPr>
          <w:sz w:val="24"/>
          <w:szCs w:val="24"/>
        </w:rPr>
        <w:br w:type="page"/>
      </w:r>
    </w:p>
    <w:p w14:paraId="4ADE4BA8" w14:textId="77777777" w:rsidR="00C73704" w:rsidRPr="00570B42" w:rsidRDefault="00C73704" w:rsidP="00C73704">
      <w:pPr>
        <w:pStyle w:val="Definitions"/>
        <w:rPr>
          <w:rFonts w:ascii="Times New Roman" w:hAnsi="Times New Roman"/>
          <w:sz w:val="24"/>
          <w:szCs w:val="24"/>
        </w:rPr>
      </w:pPr>
      <w:r w:rsidRPr="00570B42">
        <w:rPr>
          <w:rFonts w:ascii="Times New Roman" w:hAnsi="Times New Roman"/>
          <w:sz w:val="24"/>
          <w:szCs w:val="24"/>
        </w:rPr>
        <w:lastRenderedPageBreak/>
        <w:t>Dilution Credit</w:t>
      </w:r>
    </w:p>
    <w:p w14:paraId="4D095B99" w14:textId="77777777" w:rsidR="00C73704" w:rsidRPr="00570B42" w:rsidRDefault="00D918B9" w:rsidP="00C73704">
      <w:pPr>
        <w:pStyle w:val="BodyText"/>
        <w:rPr>
          <w:rFonts w:ascii="Times New Roman" w:hAnsi="Times New Roman" w:cs="Times New Roman"/>
          <w:sz w:val="24"/>
        </w:rPr>
      </w:pPr>
      <w:r w:rsidRPr="00570B42">
        <w:rPr>
          <w:rFonts w:ascii="Times New Roman" w:hAnsi="Times New Roman" w:cs="Times New Roman"/>
          <w:sz w:val="24"/>
        </w:rPr>
        <w:t>A</w:t>
      </w:r>
      <w:r w:rsidR="00C73704" w:rsidRPr="00570B42">
        <w:rPr>
          <w:rFonts w:ascii="Times New Roman" w:hAnsi="Times New Roman" w:cs="Times New Roman"/>
          <w:sz w:val="24"/>
        </w:rPr>
        <w:t xml:space="preserve">mount of dilution granted to a discharge in the calculation of a water quality-based effluent limitation, based on the allowance of a specified mixing zone. It is calculated from the dilution ratio or determined </w:t>
      </w:r>
      <w:r w:rsidRPr="00570B42">
        <w:rPr>
          <w:rFonts w:ascii="Times New Roman" w:hAnsi="Times New Roman" w:cs="Times New Roman"/>
          <w:sz w:val="24"/>
        </w:rPr>
        <w:t>by</w:t>
      </w:r>
      <w:r w:rsidR="00C73704" w:rsidRPr="00570B42">
        <w:rPr>
          <w:rFonts w:ascii="Times New Roman" w:hAnsi="Times New Roman" w:cs="Times New Roman"/>
          <w:sz w:val="24"/>
        </w:rPr>
        <w:t xml:space="preserve"> conducting a mixing zone study or modeling the discharge and receiving water.</w:t>
      </w:r>
    </w:p>
    <w:p w14:paraId="7B0BE82D" w14:textId="77777777" w:rsidR="00C73704" w:rsidRPr="00570B42" w:rsidRDefault="00C73704" w:rsidP="00C73704">
      <w:pPr>
        <w:pStyle w:val="Definitions"/>
        <w:rPr>
          <w:rFonts w:ascii="Times New Roman" w:hAnsi="Times New Roman"/>
          <w:sz w:val="24"/>
          <w:szCs w:val="24"/>
        </w:rPr>
      </w:pPr>
      <w:r w:rsidRPr="00570B42">
        <w:rPr>
          <w:rFonts w:ascii="Times New Roman" w:hAnsi="Times New Roman"/>
          <w:sz w:val="24"/>
          <w:szCs w:val="24"/>
        </w:rPr>
        <w:t>Effluent Concentration Allowance (ECA)</w:t>
      </w:r>
    </w:p>
    <w:p w14:paraId="12D70042" w14:textId="77777777" w:rsidR="00C73704" w:rsidRPr="00570B42" w:rsidRDefault="0033737C" w:rsidP="00C73704">
      <w:pPr>
        <w:pStyle w:val="BodyText"/>
        <w:rPr>
          <w:rFonts w:ascii="Times New Roman" w:hAnsi="Times New Roman" w:cs="Times New Roman"/>
          <w:sz w:val="24"/>
        </w:rPr>
      </w:pPr>
      <w:r w:rsidRPr="00570B42">
        <w:rPr>
          <w:rFonts w:ascii="Times New Roman" w:hAnsi="Times New Roman" w:cs="Times New Roman"/>
          <w:sz w:val="24"/>
        </w:rPr>
        <w:t>V</w:t>
      </w:r>
      <w:r w:rsidR="00C73704" w:rsidRPr="00570B42">
        <w:rPr>
          <w:rFonts w:ascii="Times New Roman" w:hAnsi="Times New Roman" w:cs="Times New Roman"/>
          <w:sz w:val="24"/>
        </w:rPr>
        <w:t xml:space="preserve">alue derived from the water quality criterion/objective, dilution credit, and ambient background concentration that is used, in conjunction with the </w:t>
      </w:r>
      <w:r w:rsidR="00972C24" w:rsidRPr="00570B42">
        <w:rPr>
          <w:rFonts w:ascii="Times New Roman" w:hAnsi="Times New Roman" w:cs="Times New Roman"/>
          <w:sz w:val="24"/>
        </w:rPr>
        <w:t>CV</w:t>
      </w:r>
      <w:r w:rsidR="00C73704" w:rsidRPr="00570B42">
        <w:rPr>
          <w:rFonts w:ascii="Times New Roman" w:hAnsi="Times New Roman" w:cs="Times New Roman"/>
          <w:sz w:val="24"/>
        </w:rPr>
        <w:t xml:space="preserve"> for the effluent monitoring data, to calculate a long-term average (LTA) discharge concentration. The ECA has the same meaning as wasteload allocation (WLA) as used in U.S. EPA guidance (</w:t>
      </w:r>
      <w:r w:rsidR="00C73704" w:rsidRPr="00570B42">
        <w:rPr>
          <w:rFonts w:ascii="Times New Roman" w:hAnsi="Times New Roman" w:cs="Times New Roman"/>
          <w:i/>
          <w:sz w:val="24"/>
        </w:rPr>
        <w:t>Technical Support Document For Water Quality-based Toxics Control</w:t>
      </w:r>
      <w:r w:rsidR="00C73704" w:rsidRPr="00570B42">
        <w:rPr>
          <w:rFonts w:ascii="Times New Roman" w:hAnsi="Times New Roman" w:cs="Times New Roman"/>
          <w:sz w:val="24"/>
        </w:rPr>
        <w:t>, March 1991, second printing, EPA/505/2-90-001).</w:t>
      </w:r>
    </w:p>
    <w:p w14:paraId="5D31ABD5" w14:textId="77777777" w:rsidR="00C73704" w:rsidRPr="00570B42" w:rsidRDefault="00C73704" w:rsidP="00C73704">
      <w:pPr>
        <w:pStyle w:val="Definitions"/>
        <w:rPr>
          <w:rFonts w:ascii="Times New Roman" w:hAnsi="Times New Roman"/>
          <w:sz w:val="24"/>
          <w:szCs w:val="24"/>
        </w:rPr>
      </w:pPr>
      <w:r w:rsidRPr="00570B42">
        <w:rPr>
          <w:rFonts w:ascii="Times New Roman" w:hAnsi="Times New Roman"/>
          <w:sz w:val="24"/>
          <w:szCs w:val="24"/>
        </w:rPr>
        <w:t>Enclosed Bay</w:t>
      </w:r>
    </w:p>
    <w:p w14:paraId="5599EBA3" w14:textId="77777777" w:rsidR="00C73704" w:rsidRPr="00570B42" w:rsidRDefault="00972C24" w:rsidP="00C73704">
      <w:pPr>
        <w:pStyle w:val="BodyText"/>
        <w:rPr>
          <w:rFonts w:ascii="Times New Roman" w:hAnsi="Times New Roman" w:cs="Times New Roman"/>
          <w:sz w:val="24"/>
        </w:rPr>
      </w:pPr>
      <w:r w:rsidRPr="00570B42">
        <w:rPr>
          <w:rFonts w:ascii="Times New Roman" w:hAnsi="Times New Roman" w:cs="Times New Roman"/>
          <w:sz w:val="24"/>
        </w:rPr>
        <w:t>I</w:t>
      </w:r>
      <w:r w:rsidR="00C73704" w:rsidRPr="00570B42">
        <w:rPr>
          <w:rFonts w:ascii="Times New Roman" w:hAnsi="Times New Roman" w:cs="Times New Roman"/>
          <w:sz w:val="24"/>
        </w:rPr>
        <w:t>ndentation along the coast that enclose</w:t>
      </w:r>
      <w:r w:rsidRPr="00570B42">
        <w:rPr>
          <w:rFonts w:ascii="Times New Roman" w:hAnsi="Times New Roman" w:cs="Times New Roman"/>
          <w:sz w:val="24"/>
        </w:rPr>
        <w:t>s</w:t>
      </w:r>
      <w:r w:rsidR="00C73704" w:rsidRPr="00570B42">
        <w:rPr>
          <w:rFonts w:ascii="Times New Roman" w:hAnsi="Times New Roman" w:cs="Times New Roman"/>
          <w:sz w:val="24"/>
        </w:rPr>
        <w:t xml:space="preserve"> an area of oceanic water within </w:t>
      </w:r>
      <w:r w:rsidRPr="00570B42">
        <w:rPr>
          <w:rFonts w:ascii="Times New Roman" w:hAnsi="Times New Roman" w:cs="Times New Roman"/>
          <w:sz w:val="24"/>
        </w:rPr>
        <w:t xml:space="preserve">a </w:t>
      </w:r>
      <w:r w:rsidR="00C73704" w:rsidRPr="00570B42">
        <w:rPr>
          <w:rFonts w:ascii="Times New Roman" w:hAnsi="Times New Roman" w:cs="Times New Roman"/>
          <w:sz w:val="24"/>
        </w:rPr>
        <w:t>distinct headlands or harbor works. Enclosed bays include all bays where the narrowest distance between the headlands or outermost harbor works is less than 75 percent of the greatest dimension of the enclosed portion of the bay. Enclosed bays include, but are not limited to, Humboldt Bay, Bodega Harbor, Tomales Bay, Drake’s Estero, San Francisco Bay, Morro Bay, Los Angeles-Long Beach Harbor, Upper and Lower Newport Bay, Mission Bay, and San Diego Bay. Enclosed bays do not include inland surface waters or ocean waters.</w:t>
      </w:r>
    </w:p>
    <w:p w14:paraId="0CF19D37" w14:textId="77777777" w:rsidR="00C73704" w:rsidRPr="00570B42" w:rsidRDefault="00C73704" w:rsidP="00C73704">
      <w:pPr>
        <w:pStyle w:val="Definitions"/>
        <w:rPr>
          <w:rFonts w:ascii="Times New Roman" w:hAnsi="Times New Roman"/>
          <w:sz w:val="24"/>
          <w:szCs w:val="24"/>
        </w:rPr>
      </w:pPr>
      <w:r w:rsidRPr="00570B42">
        <w:rPr>
          <w:rFonts w:ascii="Times New Roman" w:hAnsi="Times New Roman"/>
          <w:sz w:val="24"/>
          <w:szCs w:val="24"/>
        </w:rPr>
        <w:t>Estimated Chemical Concentration</w:t>
      </w:r>
    </w:p>
    <w:p w14:paraId="2C290805" w14:textId="77777777" w:rsidR="00C73704" w:rsidRPr="00570B42" w:rsidRDefault="00972C24" w:rsidP="00C73704">
      <w:pPr>
        <w:pStyle w:val="BodyText"/>
        <w:rPr>
          <w:rFonts w:ascii="Times New Roman" w:hAnsi="Times New Roman" w:cs="Times New Roman"/>
          <w:sz w:val="24"/>
        </w:rPr>
      </w:pPr>
      <w:r w:rsidRPr="00570B42">
        <w:rPr>
          <w:rFonts w:ascii="Times New Roman" w:hAnsi="Times New Roman" w:cs="Times New Roman"/>
          <w:sz w:val="24"/>
        </w:rPr>
        <w:t>C</w:t>
      </w:r>
      <w:r w:rsidR="00C73704" w:rsidRPr="00570B42">
        <w:rPr>
          <w:rFonts w:ascii="Times New Roman" w:hAnsi="Times New Roman" w:cs="Times New Roman"/>
          <w:sz w:val="24"/>
        </w:rPr>
        <w:t>oncentration that results from the confirmed detection of the substance</w:t>
      </w:r>
      <w:r w:rsidRPr="00570B42">
        <w:rPr>
          <w:rFonts w:ascii="Times New Roman" w:hAnsi="Times New Roman" w:cs="Times New Roman"/>
          <w:sz w:val="24"/>
        </w:rPr>
        <w:t xml:space="preserve"> below the ML value</w:t>
      </w:r>
      <w:r w:rsidR="00C73704" w:rsidRPr="00570B42">
        <w:rPr>
          <w:rFonts w:ascii="Times New Roman" w:hAnsi="Times New Roman" w:cs="Times New Roman"/>
          <w:sz w:val="24"/>
        </w:rPr>
        <w:t xml:space="preserve"> by the analytical method.</w:t>
      </w:r>
    </w:p>
    <w:p w14:paraId="3D2574C5" w14:textId="77777777" w:rsidR="00C73704" w:rsidRPr="00570B42" w:rsidRDefault="00C73704" w:rsidP="00C73704">
      <w:pPr>
        <w:pStyle w:val="Definitions"/>
        <w:rPr>
          <w:rFonts w:ascii="Times New Roman" w:hAnsi="Times New Roman"/>
          <w:sz w:val="24"/>
          <w:szCs w:val="24"/>
        </w:rPr>
      </w:pPr>
      <w:r w:rsidRPr="00570B42">
        <w:rPr>
          <w:rFonts w:ascii="Times New Roman" w:hAnsi="Times New Roman"/>
          <w:sz w:val="24"/>
          <w:szCs w:val="24"/>
        </w:rPr>
        <w:t>Estuaries</w:t>
      </w:r>
    </w:p>
    <w:p w14:paraId="60FD71F2" w14:textId="77777777" w:rsidR="00C73704" w:rsidRPr="00570B42" w:rsidRDefault="00972C24" w:rsidP="00C73704">
      <w:pPr>
        <w:pStyle w:val="BodyText"/>
        <w:rPr>
          <w:rFonts w:ascii="Times New Roman" w:hAnsi="Times New Roman" w:cs="Times New Roman"/>
          <w:sz w:val="24"/>
        </w:rPr>
      </w:pPr>
      <w:r w:rsidRPr="00570B42">
        <w:rPr>
          <w:rFonts w:ascii="Times New Roman" w:hAnsi="Times New Roman" w:cs="Times New Roman"/>
          <w:sz w:val="24"/>
        </w:rPr>
        <w:t>W</w:t>
      </w:r>
      <w:r w:rsidR="00C73704" w:rsidRPr="00570B42">
        <w:rPr>
          <w:rFonts w:ascii="Times New Roman" w:hAnsi="Times New Roman" w:cs="Times New Roman"/>
          <w:sz w:val="24"/>
        </w:rPr>
        <w:t xml:space="preserve">aters, including coastal lagoons, located at the mouths of streams that serve as areas of mixing for fresh and ocean waters. Coastal lagoons and mouths of streams that are temporarily separated from the ocean by sandbars </w:t>
      </w:r>
      <w:r w:rsidRPr="00570B42">
        <w:rPr>
          <w:rFonts w:ascii="Times New Roman" w:hAnsi="Times New Roman" w:cs="Times New Roman"/>
          <w:sz w:val="24"/>
        </w:rPr>
        <w:t>ar</w:t>
      </w:r>
      <w:r w:rsidR="00C73704" w:rsidRPr="00570B42">
        <w:rPr>
          <w:rFonts w:ascii="Times New Roman" w:hAnsi="Times New Roman" w:cs="Times New Roman"/>
          <w:sz w:val="24"/>
        </w:rPr>
        <w:t xml:space="preserve">e considered estuaries. Estuarine waters </w:t>
      </w:r>
      <w:r w:rsidRPr="00570B42">
        <w:rPr>
          <w:rFonts w:ascii="Times New Roman" w:hAnsi="Times New Roman" w:cs="Times New Roman"/>
          <w:sz w:val="24"/>
        </w:rPr>
        <w:t>ar</w:t>
      </w:r>
      <w:r w:rsidR="00C73704" w:rsidRPr="00570B42">
        <w:rPr>
          <w:rFonts w:ascii="Times New Roman" w:hAnsi="Times New Roman" w:cs="Times New Roman"/>
          <w:sz w:val="24"/>
        </w:rPr>
        <w:t>e considered to extend from a bay or the open ocean to a point upstream where there is no significant mixing of fresh water and seawater. Estuarine waters include, but are not limited to, the Sacramento-San Joaquin Delta, as defined in Water Code section 12220, Suisun Bay, Carquinez Strait downstream to the Carquinez Bridge, and appropriate areas of the Smith, Mad, Eel, Noyo, Russian, Klamath, San Diego, and Otay rivers. Estuaries do not include inland surface waters or ocean waters.</w:t>
      </w:r>
    </w:p>
    <w:p w14:paraId="76093C95" w14:textId="77777777" w:rsidR="00C73704" w:rsidRPr="00570B42" w:rsidRDefault="00C73704" w:rsidP="00C73704">
      <w:pPr>
        <w:pStyle w:val="Definitions"/>
        <w:rPr>
          <w:rFonts w:ascii="Times New Roman" w:hAnsi="Times New Roman"/>
          <w:sz w:val="24"/>
          <w:szCs w:val="24"/>
        </w:rPr>
      </w:pPr>
      <w:r w:rsidRPr="00570B42">
        <w:rPr>
          <w:rFonts w:ascii="Times New Roman" w:hAnsi="Times New Roman"/>
          <w:sz w:val="24"/>
          <w:szCs w:val="24"/>
        </w:rPr>
        <w:t>Inland Surface Waters</w:t>
      </w:r>
    </w:p>
    <w:p w14:paraId="5B662101" w14:textId="77777777" w:rsidR="00C73704" w:rsidRPr="00570B42" w:rsidRDefault="00C73704" w:rsidP="00C73704">
      <w:pPr>
        <w:pStyle w:val="BodyText"/>
        <w:rPr>
          <w:rFonts w:ascii="Times New Roman" w:hAnsi="Times New Roman" w:cs="Times New Roman"/>
          <w:sz w:val="24"/>
        </w:rPr>
      </w:pPr>
      <w:r w:rsidRPr="00570B42">
        <w:rPr>
          <w:rFonts w:ascii="Times New Roman" w:hAnsi="Times New Roman" w:cs="Times New Roman"/>
          <w:sz w:val="24"/>
        </w:rPr>
        <w:t>All surface waters of the state that do not include the ocean, enclosed bays, or estuaries.</w:t>
      </w:r>
    </w:p>
    <w:p w14:paraId="780D0D62" w14:textId="77777777" w:rsidR="00C73704" w:rsidRPr="00570B42" w:rsidRDefault="00C73704" w:rsidP="00C73704">
      <w:pPr>
        <w:pStyle w:val="Definitions"/>
        <w:rPr>
          <w:rFonts w:ascii="Times New Roman" w:hAnsi="Times New Roman"/>
          <w:sz w:val="24"/>
          <w:szCs w:val="24"/>
        </w:rPr>
      </w:pPr>
      <w:r w:rsidRPr="00570B42">
        <w:rPr>
          <w:rFonts w:ascii="Times New Roman" w:hAnsi="Times New Roman"/>
          <w:sz w:val="24"/>
          <w:szCs w:val="24"/>
        </w:rPr>
        <w:t>Instantaneous Maximum Effluent Limitation</w:t>
      </w:r>
    </w:p>
    <w:p w14:paraId="27C769A1" w14:textId="77777777" w:rsidR="00C73704" w:rsidRPr="00570B42" w:rsidRDefault="00280A13" w:rsidP="00C73704">
      <w:pPr>
        <w:pStyle w:val="BodyText"/>
        <w:rPr>
          <w:rFonts w:ascii="Times New Roman" w:hAnsi="Times New Roman" w:cs="Times New Roman"/>
          <w:sz w:val="24"/>
        </w:rPr>
      </w:pPr>
      <w:r w:rsidRPr="00570B42">
        <w:rPr>
          <w:rFonts w:ascii="Times New Roman" w:hAnsi="Times New Roman" w:cs="Times New Roman"/>
          <w:sz w:val="24"/>
        </w:rPr>
        <w:t>H</w:t>
      </w:r>
      <w:r w:rsidR="00C73704" w:rsidRPr="00570B42">
        <w:rPr>
          <w:rFonts w:ascii="Times New Roman" w:hAnsi="Times New Roman" w:cs="Times New Roman"/>
          <w:sz w:val="24"/>
        </w:rPr>
        <w:t>ighest allowable value for any single grab sample or aliquot (i.e., each grab sample or aliquot is independently compared to the instantaneous maximum limitation).</w:t>
      </w:r>
    </w:p>
    <w:p w14:paraId="282C173D" w14:textId="77777777" w:rsidR="00C73704" w:rsidRPr="00570B42" w:rsidRDefault="00C73704" w:rsidP="00C73704">
      <w:pPr>
        <w:pStyle w:val="Definitions"/>
        <w:rPr>
          <w:rFonts w:ascii="Times New Roman" w:hAnsi="Times New Roman"/>
          <w:sz w:val="24"/>
          <w:szCs w:val="24"/>
        </w:rPr>
      </w:pPr>
      <w:r w:rsidRPr="00570B42">
        <w:rPr>
          <w:rFonts w:ascii="Times New Roman" w:hAnsi="Times New Roman"/>
          <w:sz w:val="24"/>
          <w:szCs w:val="24"/>
        </w:rPr>
        <w:t>Instantaneous Minimum Effluent Limitation</w:t>
      </w:r>
    </w:p>
    <w:p w14:paraId="3E843928" w14:textId="77777777" w:rsidR="00C73704" w:rsidRPr="00570B42" w:rsidRDefault="00280A13" w:rsidP="00C73704">
      <w:pPr>
        <w:pStyle w:val="BodyText"/>
        <w:rPr>
          <w:rFonts w:ascii="Times New Roman" w:hAnsi="Times New Roman" w:cs="Times New Roman"/>
          <w:sz w:val="24"/>
        </w:rPr>
      </w:pPr>
      <w:r w:rsidRPr="00570B42">
        <w:rPr>
          <w:rFonts w:ascii="Times New Roman" w:hAnsi="Times New Roman" w:cs="Times New Roman"/>
          <w:sz w:val="24"/>
        </w:rPr>
        <w:t>L</w:t>
      </w:r>
      <w:r w:rsidR="00C73704" w:rsidRPr="00570B42">
        <w:rPr>
          <w:rFonts w:ascii="Times New Roman" w:hAnsi="Times New Roman" w:cs="Times New Roman"/>
          <w:sz w:val="24"/>
        </w:rPr>
        <w:t>owest allowable value for any single grab sample or aliquot (i.e., each grab sample or aliquot is independently compared to the instantaneous minimum limitation).</w:t>
      </w:r>
    </w:p>
    <w:p w14:paraId="71917DA2" w14:textId="77777777" w:rsidR="00CF3A87" w:rsidRPr="00570B42" w:rsidRDefault="00CF3A87">
      <w:pPr>
        <w:rPr>
          <w:b/>
          <w:sz w:val="24"/>
          <w:szCs w:val="24"/>
        </w:rPr>
      </w:pPr>
      <w:r w:rsidRPr="00570B42">
        <w:rPr>
          <w:sz w:val="24"/>
          <w:szCs w:val="24"/>
        </w:rPr>
        <w:br w:type="page"/>
      </w:r>
    </w:p>
    <w:p w14:paraId="758DA257" w14:textId="77777777" w:rsidR="00C73704" w:rsidRPr="00570B42" w:rsidRDefault="00C73704" w:rsidP="00C73704">
      <w:pPr>
        <w:pStyle w:val="Definitions"/>
        <w:rPr>
          <w:rFonts w:ascii="Times New Roman" w:hAnsi="Times New Roman"/>
          <w:sz w:val="24"/>
          <w:szCs w:val="24"/>
        </w:rPr>
      </w:pPr>
      <w:r w:rsidRPr="00570B42">
        <w:rPr>
          <w:rFonts w:ascii="Times New Roman" w:hAnsi="Times New Roman"/>
          <w:sz w:val="24"/>
          <w:szCs w:val="24"/>
        </w:rPr>
        <w:lastRenderedPageBreak/>
        <w:t>Maximum Daily Effluent Limitation (MDEL)</w:t>
      </w:r>
    </w:p>
    <w:p w14:paraId="5599D26C" w14:textId="77777777" w:rsidR="00C73704" w:rsidRPr="00570B42" w:rsidRDefault="00280A13" w:rsidP="00C73704">
      <w:pPr>
        <w:pStyle w:val="BodyText"/>
        <w:rPr>
          <w:rFonts w:ascii="Times New Roman" w:hAnsi="Times New Roman" w:cs="Times New Roman"/>
          <w:sz w:val="24"/>
        </w:rPr>
      </w:pPr>
      <w:r w:rsidRPr="00570B42">
        <w:rPr>
          <w:rFonts w:ascii="Times New Roman" w:hAnsi="Times New Roman" w:cs="Times New Roman"/>
          <w:sz w:val="24"/>
        </w:rPr>
        <w:t>H</w:t>
      </w:r>
      <w:r w:rsidR="00C73704" w:rsidRPr="00570B42">
        <w:rPr>
          <w:rFonts w:ascii="Times New Roman" w:hAnsi="Times New Roman" w:cs="Times New Roman"/>
          <w:sz w:val="24"/>
        </w:rPr>
        <w:t>ighest allowable daily discharge of a pollutant, over a calendar day (or 24-hour period). For pollutants with limitations expressed in units of mass, the daily discharge is calculated as the total mass of the pollutant discharged over the day. For pollutants with limitations expressed in other units of measurement, the daily discharge is calculated as the arithmetic mean measurement of the pollutant over the day.</w:t>
      </w:r>
      <w:r w:rsidR="00DC724A" w:rsidRPr="00570B42">
        <w:rPr>
          <w:rFonts w:ascii="Times New Roman" w:hAnsi="Times New Roman" w:cs="Times New Roman"/>
          <w:sz w:val="24"/>
        </w:rPr>
        <w:t xml:space="preserve"> </w:t>
      </w:r>
    </w:p>
    <w:p w14:paraId="092A6BF4" w14:textId="77777777" w:rsidR="00C73704" w:rsidRPr="00570B42" w:rsidRDefault="00C73704" w:rsidP="00C73704">
      <w:pPr>
        <w:pStyle w:val="Definitions"/>
        <w:rPr>
          <w:rFonts w:ascii="Times New Roman" w:hAnsi="Times New Roman"/>
          <w:sz w:val="24"/>
          <w:szCs w:val="24"/>
        </w:rPr>
      </w:pPr>
      <w:r w:rsidRPr="00570B42">
        <w:rPr>
          <w:rFonts w:ascii="Times New Roman" w:hAnsi="Times New Roman"/>
          <w:sz w:val="24"/>
          <w:szCs w:val="24"/>
        </w:rPr>
        <w:t>Median</w:t>
      </w:r>
    </w:p>
    <w:p w14:paraId="3B7C26A3" w14:textId="77777777" w:rsidR="00C73704" w:rsidRPr="00570B42" w:rsidRDefault="00280A13" w:rsidP="00C73704">
      <w:pPr>
        <w:pStyle w:val="BodyText"/>
        <w:rPr>
          <w:rFonts w:ascii="Times New Roman" w:hAnsi="Times New Roman" w:cs="Times New Roman"/>
          <w:sz w:val="24"/>
        </w:rPr>
      </w:pPr>
      <w:r w:rsidRPr="00570B42">
        <w:rPr>
          <w:rFonts w:ascii="Times New Roman" w:hAnsi="Times New Roman" w:cs="Times New Roman"/>
          <w:sz w:val="24"/>
        </w:rPr>
        <w:t>M</w:t>
      </w:r>
      <w:r w:rsidR="00C73704" w:rsidRPr="00570B42">
        <w:rPr>
          <w:rFonts w:ascii="Times New Roman" w:hAnsi="Times New Roman" w:cs="Times New Roman"/>
          <w:sz w:val="24"/>
        </w:rPr>
        <w:t>iddle measurement in a set of data. The median of a set of data is found by first arranging the measurements in order of magnitude (either increasing or decreasing order). If the number of measurements (n) is odd, then the median = X</w:t>
      </w:r>
      <w:r w:rsidR="00C73704" w:rsidRPr="00570B42">
        <w:rPr>
          <w:rFonts w:ascii="Times New Roman" w:hAnsi="Times New Roman" w:cs="Times New Roman"/>
          <w:sz w:val="24"/>
          <w:vertAlign w:val="subscript"/>
        </w:rPr>
        <w:t>(n+1)/2</w:t>
      </w:r>
      <w:r w:rsidR="00C73704" w:rsidRPr="00570B42">
        <w:rPr>
          <w:rFonts w:ascii="Times New Roman" w:hAnsi="Times New Roman" w:cs="Times New Roman"/>
          <w:sz w:val="24"/>
        </w:rPr>
        <w:t>. If n is even, then the median = (X</w:t>
      </w:r>
      <w:r w:rsidR="00C73704" w:rsidRPr="00570B42">
        <w:rPr>
          <w:rFonts w:ascii="Times New Roman" w:hAnsi="Times New Roman" w:cs="Times New Roman"/>
          <w:sz w:val="24"/>
          <w:vertAlign w:val="subscript"/>
        </w:rPr>
        <w:t>n/2</w:t>
      </w:r>
      <w:r w:rsidR="00C73704" w:rsidRPr="00570B42">
        <w:rPr>
          <w:rFonts w:ascii="Times New Roman" w:hAnsi="Times New Roman" w:cs="Times New Roman"/>
          <w:sz w:val="24"/>
        </w:rPr>
        <w:t xml:space="preserve"> + X</w:t>
      </w:r>
      <w:r w:rsidR="00C73704" w:rsidRPr="00570B42">
        <w:rPr>
          <w:rFonts w:ascii="Times New Roman" w:hAnsi="Times New Roman" w:cs="Times New Roman"/>
          <w:sz w:val="24"/>
          <w:vertAlign w:val="subscript"/>
        </w:rPr>
        <w:t>(n/2)+1</w:t>
      </w:r>
      <w:r w:rsidR="00B408D4" w:rsidRPr="00570B42">
        <w:rPr>
          <w:rFonts w:ascii="Times New Roman" w:hAnsi="Times New Roman" w:cs="Times New Roman"/>
          <w:sz w:val="24"/>
        </w:rPr>
        <w:t>)/2 (i.e., </w:t>
      </w:r>
      <w:r w:rsidR="003C3AC0" w:rsidRPr="00570B42">
        <w:rPr>
          <w:rFonts w:ascii="Times New Roman" w:hAnsi="Times New Roman" w:cs="Times New Roman"/>
          <w:sz w:val="24"/>
        </w:rPr>
        <w:t xml:space="preserve">the midpoint between </w:t>
      </w:r>
      <w:r w:rsidR="00C73704" w:rsidRPr="00570B42">
        <w:rPr>
          <w:rFonts w:ascii="Times New Roman" w:hAnsi="Times New Roman" w:cs="Times New Roman"/>
          <w:sz w:val="24"/>
        </w:rPr>
        <w:t>n/2 and n/2+1).</w:t>
      </w:r>
    </w:p>
    <w:p w14:paraId="24E3217E" w14:textId="77777777" w:rsidR="00C73704" w:rsidRPr="00570B42" w:rsidRDefault="00C73704" w:rsidP="00C73704">
      <w:pPr>
        <w:pStyle w:val="Definitions"/>
        <w:rPr>
          <w:rFonts w:ascii="Times New Roman" w:hAnsi="Times New Roman"/>
          <w:sz w:val="24"/>
          <w:szCs w:val="24"/>
        </w:rPr>
      </w:pPr>
      <w:r w:rsidRPr="00570B42">
        <w:rPr>
          <w:rFonts w:ascii="Times New Roman" w:hAnsi="Times New Roman"/>
          <w:sz w:val="24"/>
          <w:szCs w:val="24"/>
        </w:rPr>
        <w:t>Method Detection Limit (MDL)</w:t>
      </w:r>
    </w:p>
    <w:p w14:paraId="3888B64A" w14:textId="77777777" w:rsidR="00C73704" w:rsidRPr="00570B42" w:rsidRDefault="00280A13" w:rsidP="00C73704">
      <w:pPr>
        <w:pStyle w:val="BodyText"/>
        <w:rPr>
          <w:rFonts w:ascii="Times New Roman" w:hAnsi="Times New Roman" w:cs="Times New Roman"/>
          <w:sz w:val="24"/>
        </w:rPr>
      </w:pPr>
      <w:r w:rsidRPr="00570B42">
        <w:rPr>
          <w:rFonts w:ascii="Times New Roman" w:hAnsi="Times New Roman" w:cs="Times New Roman"/>
          <w:sz w:val="24"/>
        </w:rPr>
        <w:t>M</w:t>
      </w:r>
      <w:r w:rsidR="00C73704" w:rsidRPr="00570B42">
        <w:rPr>
          <w:rFonts w:ascii="Times New Roman" w:hAnsi="Times New Roman" w:cs="Times New Roman"/>
          <w:sz w:val="24"/>
        </w:rPr>
        <w:t>inimum concentration of a substance that can be measured and reported with 99 percent confidence that the analyte concentration is greater than zero, as defined in in 40 C.F.R. part 136, Attachment B, revised as of July 3, 1999.</w:t>
      </w:r>
    </w:p>
    <w:p w14:paraId="6FC614B7" w14:textId="77777777" w:rsidR="00C73704" w:rsidRPr="00570B42" w:rsidRDefault="00C73704" w:rsidP="00C73704">
      <w:pPr>
        <w:pStyle w:val="Definitions"/>
        <w:rPr>
          <w:rFonts w:ascii="Times New Roman" w:hAnsi="Times New Roman"/>
          <w:sz w:val="24"/>
          <w:szCs w:val="24"/>
        </w:rPr>
      </w:pPr>
      <w:r w:rsidRPr="00570B42">
        <w:rPr>
          <w:rFonts w:ascii="Times New Roman" w:hAnsi="Times New Roman"/>
          <w:sz w:val="24"/>
          <w:szCs w:val="24"/>
        </w:rPr>
        <w:t>Minimum Level (ML)</w:t>
      </w:r>
    </w:p>
    <w:p w14:paraId="1D159689" w14:textId="77777777" w:rsidR="00C73704" w:rsidRPr="00570B42" w:rsidRDefault="00280A13" w:rsidP="00C73704">
      <w:pPr>
        <w:pStyle w:val="BodyText"/>
        <w:rPr>
          <w:rFonts w:ascii="Times New Roman" w:hAnsi="Times New Roman" w:cs="Times New Roman"/>
          <w:sz w:val="24"/>
        </w:rPr>
      </w:pPr>
      <w:r w:rsidRPr="00570B42">
        <w:rPr>
          <w:rFonts w:ascii="Times New Roman" w:hAnsi="Times New Roman" w:cs="Times New Roman"/>
          <w:sz w:val="24"/>
        </w:rPr>
        <w:t>C</w:t>
      </w:r>
      <w:r w:rsidR="00C73704" w:rsidRPr="00570B42">
        <w:rPr>
          <w:rFonts w:ascii="Times New Roman" w:hAnsi="Times New Roman" w:cs="Times New Roman"/>
          <w:sz w:val="24"/>
        </w:rPr>
        <w:t>oncentration at which the entire analytical system give</w:t>
      </w:r>
      <w:r w:rsidRPr="00570B42">
        <w:rPr>
          <w:rFonts w:ascii="Times New Roman" w:hAnsi="Times New Roman" w:cs="Times New Roman"/>
          <w:sz w:val="24"/>
        </w:rPr>
        <w:t>s</w:t>
      </w:r>
      <w:r w:rsidR="00C73704" w:rsidRPr="00570B42">
        <w:rPr>
          <w:rFonts w:ascii="Times New Roman" w:hAnsi="Times New Roman" w:cs="Times New Roman"/>
          <w:sz w:val="24"/>
        </w:rPr>
        <w:t xml:space="preserve"> a recognizable signal and acceptable calibration point. The ML is the concentration in a sample that is equivalent to the concentration of the lowest calibration standard analyzed by a specific analytical procedure, assuming that all the method specified sample weights, volumes, and processing steps have been followed.</w:t>
      </w:r>
    </w:p>
    <w:p w14:paraId="603CC887" w14:textId="77777777" w:rsidR="00C73704" w:rsidRPr="00570B42" w:rsidRDefault="00C73704" w:rsidP="00C73704">
      <w:pPr>
        <w:pStyle w:val="Definitions"/>
        <w:rPr>
          <w:rFonts w:ascii="Times New Roman" w:hAnsi="Times New Roman"/>
          <w:sz w:val="24"/>
          <w:szCs w:val="24"/>
        </w:rPr>
      </w:pPr>
      <w:r w:rsidRPr="00570B42">
        <w:rPr>
          <w:rFonts w:ascii="Times New Roman" w:hAnsi="Times New Roman"/>
          <w:sz w:val="24"/>
          <w:szCs w:val="24"/>
        </w:rPr>
        <w:t>Mixing Zone</w:t>
      </w:r>
    </w:p>
    <w:p w14:paraId="16E5DD2E" w14:textId="77777777" w:rsidR="00C73704" w:rsidRPr="00570B42" w:rsidRDefault="00280A13" w:rsidP="00C73704">
      <w:pPr>
        <w:pStyle w:val="BodyText"/>
        <w:rPr>
          <w:rFonts w:ascii="Times New Roman" w:hAnsi="Times New Roman" w:cs="Times New Roman"/>
          <w:b/>
          <w:sz w:val="24"/>
        </w:rPr>
      </w:pPr>
      <w:r w:rsidRPr="00570B42">
        <w:rPr>
          <w:rFonts w:ascii="Times New Roman" w:hAnsi="Times New Roman" w:cs="Times New Roman"/>
          <w:sz w:val="24"/>
        </w:rPr>
        <w:t>L</w:t>
      </w:r>
      <w:r w:rsidR="00C73704" w:rsidRPr="00570B42">
        <w:rPr>
          <w:rFonts w:ascii="Times New Roman" w:hAnsi="Times New Roman" w:cs="Times New Roman"/>
          <w:sz w:val="24"/>
        </w:rPr>
        <w:t>imited volume of receiving water allocated for mixing with a wastewater discharge where water quality criteria can be exceeded without causing adverse effects to the overall water body.</w:t>
      </w:r>
    </w:p>
    <w:p w14:paraId="0B62E40A" w14:textId="77777777" w:rsidR="00C73704" w:rsidRPr="00570B42" w:rsidRDefault="00C73704" w:rsidP="00C73704">
      <w:pPr>
        <w:pStyle w:val="Definitions"/>
        <w:rPr>
          <w:rFonts w:ascii="Times New Roman" w:hAnsi="Times New Roman"/>
          <w:sz w:val="24"/>
          <w:szCs w:val="24"/>
        </w:rPr>
      </w:pPr>
      <w:r w:rsidRPr="00570B42">
        <w:rPr>
          <w:rFonts w:ascii="Times New Roman" w:hAnsi="Times New Roman"/>
          <w:sz w:val="24"/>
          <w:szCs w:val="24"/>
        </w:rPr>
        <w:t>Not Detected (ND)</w:t>
      </w:r>
    </w:p>
    <w:p w14:paraId="6BD2FB31" w14:textId="77777777" w:rsidR="00C73704" w:rsidRPr="00570B42" w:rsidRDefault="00C73704" w:rsidP="00C73704">
      <w:pPr>
        <w:pStyle w:val="BodyText"/>
        <w:rPr>
          <w:rFonts w:ascii="Times New Roman" w:hAnsi="Times New Roman" w:cs="Times New Roman"/>
          <w:sz w:val="24"/>
        </w:rPr>
      </w:pPr>
      <w:r w:rsidRPr="00570B42">
        <w:rPr>
          <w:rFonts w:ascii="Times New Roman" w:hAnsi="Times New Roman" w:cs="Times New Roman"/>
          <w:sz w:val="24"/>
        </w:rPr>
        <w:t>Sample results less than the laboratory’s MDL.</w:t>
      </w:r>
    </w:p>
    <w:p w14:paraId="17FB8369" w14:textId="77777777" w:rsidR="00C73704" w:rsidRPr="00570B42" w:rsidRDefault="00C73704" w:rsidP="00C73704">
      <w:pPr>
        <w:pStyle w:val="Definitions"/>
        <w:rPr>
          <w:rFonts w:ascii="Times New Roman" w:hAnsi="Times New Roman"/>
          <w:sz w:val="24"/>
          <w:szCs w:val="24"/>
        </w:rPr>
      </w:pPr>
      <w:r w:rsidRPr="00570B42">
        <w:rPr>
          <w:rFonts w:ascii="Times New Roman" w:hAnsi="Times New Roman"/>
          <w:sz w:val="24"/>
          <w:szCs w:val="24"/>
        </w:rPr>
        <w:t>Persistent Pollutants</w:t>
      </w:r>
    </w:p>
    <w:p w14:paraId="26ED0952" w14:textId="77777777" w:rsidR="00C73704" w:rsidRPr="00570B42" w:rsidRDefault="00280A13" w:rsidP="00C73704">
      <w:pPr>
        <w:pStyle w:val="BodyText"/>
        <w:rPr>
          <w:rFonts w:ascii="Times New Roman" w:hAnsi="Times New Roman" w:cs="Times New Roman"/>
          <w:sz w:val="24"/>
        </w:rPr>
      </w:pPr>
      <w:r w:rsidRPr="00570B42">
        <w:rPr>
          <w:rFonts w:ascii="Times New Roman" w:hAnsi="Times New Roman" w:cs="Times New Roman"/>
          <w:sz w:val="24"/>
        </w:rPr>
        <w:t>S</w:t>
      </w:r>
      <w:r w:rsidR="00C73704" w:rsidRPr="00570B42">
        <w:rPr>
          <w:rFonts w:ascii="Times New Roman" w:hAnsi="Times New Roman" w:cs="Times New Roman"/>
          <w:sz w:val="24"/>
        </w:rPr>
        <w:t>ubstances for which degradation or decomposition in the environment is nonexistent or very slow.</w:t>
      </w:r>
    </w:p>
    <w:p w14:paraId="6E8B4EC6" w14:textId="77777777" w:rsidR="00C73704" w:rsidRPr="00570B42" w:rsidRDefault="00C73704" w:rsidP="00C73704">
      <w:pPr>
        <w:pStyle w:val="Definitions"/>
        <w:rPr>
          <w:rFonts w:ascii="Times New Roman" w:hAnsi="Times New Roman"/>
          <w:sz w:val="24"/>
          <w:szCs w:val="24"/>
        </w:rPr>
      </w:pPr>
      <w:r w:rsidRPr="00570B42">
        <w:rPr>
          <w:rFonts w:ascii="Times New Roman" w:hAnsi="Times New Roman"/>
          <w:sz w:val="24"/>
          <w:szCs w:val="24"/>
        </w:rPr>
        <w:t>Pollutant Minimization Program</w:t>
      </w:r>
    </w:p>
    <w:p w14:paraId="715A06C6" w14:textId="77777777" w:rsidR="00C73704" w:rsidRPr="00570B42" w:rsidRDefault="009B298E" w:rsidP="00C73704">
      <w:pPr>
        <w:pStyle w:val="BodyText"/>
        <w:rPr>
          <w:rFonts w:ascii="Times New Roman" w:hAnsi="Times New Roman" w:cs="Times New Roman"/>
          <w:sz w:val="24"/>
        </w:rPr>
      </w:pPr>
      <w:r w:rsidRPr="00570B42">
        <w:rPr>
          <w:rFonts w:ascii="Times New Roman" w:hAnsi="Times New Roman" w:cs="Times New Roman"/>
          <w:sz w:val="24"/>
        </w:rPr>
        <w:t>Program of w</w:t>
      </w:r>
      <w:r w:rsidR="00C73704" w:rsidRPr="00570B42">
        <w:rPr>
          <w:rFonts w:ascii="Times New Roman" w:hAnsi="Times New Roman" w:cs="Times New Roman"/>
          <w:sz w:val="24"/>
        </w:rPr>
        <w:t xml:space="preserve">aste minimization and pollution prevention actions that include, but are not limited to, product substitution, waste stream recycling, alternative waste management methods, and education of the public and businesses. The goal of the </w:t>
      </w:r>
      <w:r w:rsidR="00B408D4" w:rsidRPr="00570B42">
        <w:rPr>
          <w:rFonts w:ascii="Times New Roman" w:hAnsi="Times New Roman" w:cs="Times New Roman"/>
          <w:sz w:val="24"/>
        </w:rPr>
        <w:t>Pollutant Minimization Program</w:t>
      </w:r>
      <w:r w:rsidR="00C73704" w:rsidRPr="00570B42">
        <w:rPr>
          <w:rFonts w:ascii="Times New Roman" w:hAnsi="Times New Roman" w:cs="Times New Roman"/>
          <w:sz w:val="24"/>
        </w:rPr>
        <w:t xml:space="preserve"> </w:t>
      </w:r>
      <w:r w:rsidR="00280A13" w:rsidRPr="00570B42">
        <w:rPr>
          <w:rFonts w:ascii="Times New Roman" w:hAnsi="Times New Roman" w:cs="Times New Roman"/>
          <w:sz w:val="24"/>
        </w:rPr>
        <w:t>is</w:t>
      </w:r>
      <w:r w:rsidR="00C73704" w:rsidRPr="00570B42">
        <w:rPr>
          <w:rFonts w:ascii="Times New Roman" w:hAnsi="Times New Roman" w:cs="Times New Roman"/>
          <w:sz w:val="24"/>
        </w:rPr>
        <w:t xml:space="preserve"> to reduce all potential sources of a </w:t>
      </w:r>
      <w:r w:rsidR="00280A13" w:rsidRPr="00570B42">
        <w:rPr>
          <w:rFonts w:ascii="Times New Roman" w:hAnsi="Times New Roman" w:cs="Times New Roman"/>
          <w:sz w:val="24"/>
        </w:rPr>
        <w:t>priority pollutant</w:t>
      </w:r>
      <w:r w:rsidR="00C73704" w:rsidRPr="00570B42">
        <w:rPr>
          <w:rFonts w:ascii="Times New Roman" w:hAnsi="Times New Roman" w:cs="Times New Roman"/>
          <w:sz w:val="24"/>
        </w:rPr>
        <w:t xml:space="preserve"> through pollutant minimization (control) strategies, including pollution prevention measures as appropriate, to maintain the effluent concentration at or below the water quality-based effluent limitation. Pollution prevention measures may be particularly appropriate for persistent bioaccumulative priority pollutants where there is evidence that beneficial uses are being impacted. </w:t>
      </w:r>
      <w:r w:rsidR="00280A13" w:rsidRPr="00570B42">
        <w:rPr>
          <w:rFonts w:ascii="Times New Roman" w:hAnsi="Times New Roman" w:cs="Times New Roman"/>
          <w:sz w:val="24"/>
        </w:rPr>
        <w:t>C</w:t>
      </w:r>
      <w:r w:rsidR="00C73704" w:rsidRPr="00570B42">
        <w:rPr>
          <w:rFonts w:ascii="Times New Roman" w:hAnsi="Times New Roman" w:cs="Times New Roman"/>
          <w:sz w:val="24"/>
        </w:rPr>
        <w:t xml:space="preserve">ost effectiveness </w:t>
      </w:r>
      <w:r w:rsidR="00280A13" w:rsidRPr="00570B42">
        <w:rPr>
          <w:rFonts w:ascii="Times New Roman" w:hAnsi="Times New Roman" w:cs="Times New Roman"/>
          <w:sz w:val="24"/>
        </w:rPr>
        <w:t xml:space="preserve">may be considered </w:t>
      </w:r>
      <w:r w:rsidR="00C73704" w:rsidRPr="00570B42">
        <w:rPr>
          <w:rFonts w:ascii="Times New Roman" w:hAnsi="Times New Roman" w:cs="Times New Roman"/>
          <w:sz w:val="24"/>
        </w:rPr>
        <w:t xml:space="preserve">when establishing the requirements of a </w:t>
      </w:r>
      <w:r w:rsidR="00280A13" w:rsidRPr="00570B42">
        <w:rPr>
          <w:rFonts w:ascii="Times New Roman" w:hAnsi="Times New Roman" w:cs="Times New Roman"/>
          <w:sz w:val="24"/>
        </w:rPr>
        <w:t>Pollutant Minimization Program</w:t>
      </w:r>
      <w:r w:rsidR="00C73704" w:rsidRPr="00570B42">
        <w:rPr>
          <w:rFonts w:ascii="Times New Roman" w:hAnsi="Times New Roman" w:cs="Times New Roman"/>
          <w:sz w:val="24"/>
        </w:rPr>
        <w:t xml:space="preserve">. The completion and implementation of a Pollution Prevention Plan, if required pursuant to Water Code section 13263.3(d), </w:t>
      </w:r>
      <w:r w:rsidR="00280A13" w:rsidRPr="00570B42">
        <w:rPr>
          <w:rFonts w:ascii="Times New Roman" w:hAnsi="Times New Roman" w:cs="Times New Roman"/>
          <w:sz w:val="24"/>
        </w:rPr>
        <w:t xml:space="preserve">is considered to fulfill </w:t>
      </w:r>
      <w:r w:rsidR="00B408D4" w:rsidRPr="00570B42">
        <w:rPr>
          <w:rFonts w:ascii="Times New Roman" w:hAnsi="Times New Roman" w:cs="Times New Roman"/>
          <w:sz w:val="24"/>
        </w:rPr>
        <w:t>Pollutant Minimization Program</w:t>
      </w:r>
      <w:r w:rsidR="00C73704" w:rsidRPr="00570B42">
        <w:rPr>
          <w:rFonts w:ascii="Times New Roman" w:hAnsi="Times New Roman" w:cs="Times New Roman"/>
          <w:sz w:val="24"/>
        </w:rPr>
        <w:t xml:space="preserve"> requirements. </w:t>
      </w:r>
    </w:p>
    <w:p w14:paraId="25C2DC15" w14:textId="77777777" w:rsidR="00CF3A87" w:rsidRPr="00570B42" w:rsidRDefault="00CF3A87">
      <w:pPr>
        <w:rPr>
          <w:b/>
          <w:sz w:val="24"/>
          <w:szCs w:val="24"/>
        </w:rPr>
      </w:pPr>
      <w:r w:rsidRPr="00570B42">
        <w:rPr>
          <w:sz w:val="24"/>
          <w:szCs w:val="24"/>
        </w:rPr>
        <w:br w:type="page"/>
      </w:r>
    </w:p>
    <w:p w14:paraId="3F81D8BC" w14:textId="77777777" w:rsidR="00C73704" w:rsidRPr="00570B42" w:rsidRDefault="00C73704" w:rsidP="00C73704">
      <w:pPr>
        <w:pStyle w:val="Definitions"/>
        <w:rPr>
          <w:rFonts w:ascii="Times New Roman" w:hAnsi="Times New Roman"/>
          <w:sz w:val="24"/>
          <w:szCs w:val="24"/>
        </w:rPr>
      </w:pPr>
      <w:r w:rsidRPr="00570B42">
        <w:rPr>
          <w:rFonts w:ascii="Times New Roman" w:hAnsi="Times New Roman"/>
          <w:sz w:val="24"/>
          <w:szCs w:val="24"/>
        </w:rPr>
        <w:lastRenderedPageBreak/>
        <w:t>Pollution Prevention</w:t>
      </w:r>
    </w:p>
    <w:p w14:paraId="73648C98" w14:textId="77777777" w:rsidR="00C73704" w:rsidRPr="00570B42" w:rsidRDefault="001F3832" w:rsidP="00C73704">
      <w:pPr>
        <w:pStyle w:val="BodyText"/>
        <w:rPr>
          <w:rFonts w:ascii="Times New Roman" w:hAnsi="Times New Roman" w:cs="Times New Roman"/>
          <w:sz w:val="24"/>
        </w:rPr>
      </w:pPr>
      <w:r w:rsidRPr="00570B42">
        <w:rPr>
          <w:rFonts w:ascii="Times New Roman" w:hAnsi="Times New Roman" w:cs="Times New Roman"/>
          <w:sz w:val="24"/>
        </w:rPr>
        <w:t>A</w:t>
      </w:r>
      <w:r w:rsidR="00C73704" w:rsidRPr="00570B42">
        <w:rPr>
          <w:rFonts w:ascii="Times New Roman" w:hAnsi="Times New Roman" w:cs="Times New Roman"/>
          <w:sz w:val="24"/>
        </w:rPr>
        <w:t xml:space="preserve">ny action that causes a net reduction in the use or generation of a hazardous substance or other pollutant that is discharged into water and includes, but is not limited to, input change, operational improvement, production process change, and product reformulation (as defined in Water Code section 13263.3). Pollution prevention does not include actions that merely shift a pollutant in wastewater from one environmental medium to another environmental medium, unless clear environmental benefits of such an approach are identified to the satisfaction of the State Water Board or </w:t>
      </w:r>
      <w:r w:rsidR="001D6E67" w:rsidRPr="00570B42">
        <w:rPr>
          <w:rFonts w:ascii="Times New Roman" w:hAnsi="Times New Roman" w:cs="Times New Roman"/>
          <w:sz w:val="24"/>
        </w:rPr>
        <w:t>Regional Water Board</w:t>
      </w:r>
      <w:r w:rsidR="00C73704" w:rsidRPr="00570B42">
        <w:rPr>
          <w:rFonts w:ascii="Times New Roman" w:hAnsi="Times New Roman" w:cs="Times New Roman"/>
          <w:sz w:val="24"/>
        </w:rPr>
        <w:t>.</w:t>
      </w:r>
    </w:p>
    <w:p w14:paraId="73729D6D" w14:textId="77777777" w:rsidR="00C73704" w:rsidRPr="00570B42" w:rsidRDefault="00C73704" w:rsidP="00C73704">
      <w:pPr>
        <w:pStyle w:val="Definitions"/>
        <w:rPr>
          <w:rFonts w:ascii="Times New Roman" w:hAnsi="Times New Roman"/>
          <w:sz w:val="24"/>
          <w:szCs w:val="24"/>
        </w:rPr>
      </w:pPr>
      <w:r w:rsidRPr="00570B42">
        <w:rPr>
          <w:rFonts w:ascii="Times New Roman" w:hAnsi="Times New Roman"/>
          <w:sz w:val="24"/>
          <w:szCs w:val="24"/>
        </w:rPr>
        <w:t>Reporting Level (RL)</w:t>
      </w:r>
    </w:p>
    <w:p w14:paraId="0F0E4255" w14:textId="77777777" w:rsidR="00C73704" w:rsidRPr="00570B42" w:rsidRDefault="00C73704" w:rsidP="00C73704">
      <w:pPr>
        <w:pStyle w:val="BodyText"/>
        <w:rPr>
          <w:rFonts w:ascii="Times New Roman" w:hAnsi="Times New Roman" w:cs="Times New Roman"/>
          <w:sz w:val="24"/>
        </w:rPr>
      </w:pPr>
      <w:r w:rsidRPr="00570B42">
        <w:rPr>
          <w:rFonts w:ascii="Times New Roman" w:hAnsi="Times New Roman" w:cs="Times New Roman"/>
          <w:sz w:val="24"/>
        </w:rPr>
        <w:t xml:space="preserve">ML (and its associated analytical method) chosen by the Discharger for reporting and compliance determination from the MLs included in this </w:t>
      </w:r>
      <w:r w:rsidR="0005714F" w:rsidRPr="00570B42">
        <w:rPr>
          <w:rFonts w:ascii="Times New Roman" w:hAnsi="Times New Roman" w:cs="Times New Roman"/>
          <w:sz w:val="24"/>
        </w:rPr>
        <w:t>Order</w:t>
      </w:r>
      <w:r w:rsidRPr="00570B42">
        <w:rPr>
          <w:rFonts w:ascii="Times New Roman" w:hAnsi="Times New Roman" w:cs="Times New Roman"/>
          <w:sz w:val="24"/>
        </w:rPr>
        <w:t xml:space="preserve">, including an additional factor if applicable as discussed herein. The MLs included in this </w:t>
      </w:r>
      <w:r w:rsidR="0005714F" w:rsidRPr="00570B42">
        <w:rPr>
          <w:rFonts w:ascii="Times New Roman" w:hAnsi="Times New Roman" w:cs="Times New Roman"/>
          <w:sz w:val="24"/>
        </w:rPr>
        <w:t>Order</w:t>
      </w:r>
      <w:r w:rsidRPr="00570B42">
        <w:rPr>
          <w:rFonts w:ascii="Times New Roman" w:hAnsi="Times New Roman" w:cs="Times New Roman"/>
          <w:sz w:val="24"/>
        </w:rPr>
        <w:t xml:space="preserve"> correspond to approved analytical methods for reporting a sample result that are selected by the </w:t>
      </w:r>
      <w:r w:rsidR="00CE5E3F" w:rsidRPr="00570B42">
        <w:rPr>
          <w:rFonts w:ascii="Times New Roman" w:hAnsi="Times New Roman" w:cs="Times New Roman"/>
          <w:sz w:val="24"/>
        </w:rPr>
        <w:t>Regional Water Board</w:t>
      </w:r>
      <w:r w:rsidRPr="00570B42">
        <w:rPr>
          <w:rFonts w:ascii="Times New Roman" w:hAnsi="Times New Roman" w:cs="Times New Roman"/>
          <w:sz w:val="24"/>
        </w:rPr>
        <w:t xml:space="preserve"> either from </w:t>
      </w:r>
      <w:r w:rsidR="009B298E" w:rsidRPr="00570B42">
        <w:rPr>
          <w:rFonts w:ascii="Times New Roman" w:hAnsi="Times New Roman" w:cs="Times New Roman"/>
          <w:sz w:val="24"/>
        </w:rPr>
        <w:t xml:space="preserve">SIP </w:t>
      </w:r>
      <w:r w:rsidRPr="00570B42">
        <w:rPr>
          <w:rFonts w:ascii="Times New Roman" w:hAnsi="Times New Roman" w:cs="Times New Roman"/>
          <w:sz w:val="24"/>
        </w:rPr>
        <w:t xml:space="preserve">Appendix 4 in accordance with </w:t>
      </w:r>
      <w:r w:rsidR="009B298E" w:rsidRPr="00570B42">
        <w:rPr>
          <w:rFonts w:ascii="Times New Roman" w:hAnsi="Times New Roman" w:cs="Times New Roman"/>
          <w:sz w:val="24"/>
        </w:rPr>
        <w:t xml:space="preserve">SIP </w:t>
      </w:r>
      <w:r w:rsidRPr="00570B42">
        <w:rPr>
          <w:rFonts w:ascii="Times New Roman" w:hAnsi="Times New Roman" w:cs="Times New Roman"/>
          <w:sz w:val="24"/>
        </w:rPr>
        <w:t xml:space="preserve">section 2.4.2 or established in accordance with </w:t>
      </w:r>
      <w:r w:rsidR="009B298E" w:rsidRPr="00570B42">
        <w:rPr>
          <w:rFonts w:ascii="Times New Roman" w:hAnsi="Times New Roman" w:cs="Times New Roman"/>
          <w:sz w:val="24"/>
        </w:rPr>
        <w:t xml:space="preserve">SIP </w:t>
      </w:r>
      <w:r w:rsidRPr="00570B42">
        <w:rPr>
          <w:rFonts w:ascii="Times New Roman" w:hAnsi="Times New Roman" w:cs="Times New Roman"/>
          <w:sz w:val="24"/>
        </w:rPr>
        <w:t xml:space="preserve">section 2.4.3. The ML is based on the proper application of method-based analytical procedures for sample preparation and the absence of any matrix interferences. Other factors may be applied to the ML depending on the specific sample preparation steps employed. For example, the treatment typically applied in cases where there are matrix-effects is to dilute the sample or sample aliquot by a factor of ten. In such cases, this additional factor must be applied to the ML in the computation of the RL. </w:t>
      </w:r>
    </w:p>
    <w:p w14:paraId="3113615D" w14:textId="77777777" w:rsidR="00C73704" w:rsidRPr="00570B42" w:rsidRDefault="00C73704" w:rsidP="00C73704">
      <w:pPr>
        <w:pStyle w:val="Definitions"/>
        <w:rPr>
          <w:rFonts w:ascii="Times New Roman" w:hAnsi="Times New Roman"/>
          <w:sz w:val="24"/>
          <w:szCs w:val="24"/>
        </w:rPr>
      </w:pPr>
      <w:r w:rsidRPr="00570B42">
        <w:rPr>
          <w:rFonts w:ascii="Times New Roman" w:hAnsi="Times New Roman"/>
          <w:sz w:val="24"/>
          <w:szCs w:val="24"/>
        </w:rPr>
        <w:t>Source of Drinking Water</w:t>
      </w:r>
    </w:p>
    <w:p w14:paraId="4F8B0640" w14:textId="77777777" w:rsidR="00C73704" w:rsidRPr="00570B42" w:rsidRDefault="00C73704" w:rsidP="00C73704">
      <w:pPr>
        <w:pStyle w:val="BodyText"/>
        <w:rPr>
          <w:rFonts w:ascii="Times New Roman" w:hAnsi="Times New Roman" w:cs="Times New Roman"/>
          <w:sz w:val="24"/>
        </w:rPr>
      </w:pPr>
      <w:r w:rsidRPr="00570B42">
        <w:rPr>
          <w:rFonts w:ascii="Times New Roman" w:hAnsi="Times New Roman" w:cs="Times New Roman"/>
          <w:sz w:val="24"/>
        </w:rPr>
        <w:t xml:space="preserve">Any water designated as </w:t>
      </w:r>
      <w:r w:rsidR="009B298E" w:rsidRPr="00570B42">
        <w:rPr>
          <w:rFonts w:ascii="Times New Roman" w:hAnsi="Times New Roman" w:cs="Times New Roman"/>
          <w:sz w:val="24"/>
        </w:rPr>
        <w:t xml:space="preserve">having a </w:t>
      </w:r>
      <w:r w:rsidRPr="00570B42">
        <w:rPr>
          <w:rFonts w:ascii="Times New Roman" w:hAnsi="Times New Roman" w:cs="Times New Roman"/>
          <w:sz w:val="24"/>
        </w:rPr>
        <w:t xml:space="preserve">municipal or domestic supply (MUN) </w:t>
      </w:r>
      <w:r w:rsidR="009B298E" w:rsidRPr="00570B42">
        <w:rPr>
          <w:rFonts w:ascii="Times New Roman" w:hAnsi="Times New Roman" w:cs="Times New Roman"/>
          <w:sz w:val="24"/>
        </w:rPr>
        <w:t>beneficial use</w:t>
      </w:r>
      <w:r w:rsidRPr="00570B42">
        <w:rPr>
          <w:rFonts w:ascii="Times New Roman" w:hAnsi="Times New Roman" w:cs="Times New Roman"/>
          <w:sz w:val="24"/>
        </w:rPr>
        <w:t>.</w:t>
      </w:r>
    </w:p>
    <w:p w14:paraId="237B9A72" w14:textId="77777777" w:rsidR="00C73704" w:rsidRPr="00570B42" w:rsidRDefault="00C73704" w:rsidP="00C73704">
      <w:pPr>
        <w:pStyle w:val="Definitions"/>
        <w:rPr>
          <w:rFonts w:ascii="Times New Roman" w:hAnsi="Times New Roman"/>
          <w:sz w:val="24"/>
          <w:szCs w:val="24"/>
        </w:rPr>
      </w:pPr>
      <w:r w:rsidRPr="00570B42">
        <w:rPr>
          <w:rFonts w:ascii="Times New Roman" w:hAnsi="Times New Roman"/>
          <w:sz w:val="24"/>
          <w:szCs w:val="24"/>
        </w:rPr>
        <w:t>Standard Deviation (</w:t>
      </w:r>
      <w:r w:rsidRPr="00570B42">
        <w:rPr>
          <w:rFonts w:ascii="Times New Roman" w:hAnsi="Times New Roman"/>
          <w:sz w:val="24"/>
          <w:szCs w:val="24"/>
        </w:rPr>
        <w:sym w:font="Symbol" w:char="F073"/>
      </w:r>
      <w:r w:rsidRPr="00570B42">
        <w:rPr>
          <w:rFonts w:ascii="Times New Roman" w:hAnsi="Times New Roman"/>
          <w:sz w:val="24"/>
          <w:szCs w:val="24"/>
        </w:rPr>
        <w:t>)</w:t>
      </w:r>
    </w:p>
    <w:p w14:paraId="57E0CF0B" w14:textId="77777777" w:rsidR="00C73704" w:rsidRPr="00570B42" w:rsidRDefault="005A3EB3" w:rsidP="00CF1A0B">
      <w:pPr>
        <w:pStyle w:val="BodyText"/>
        <w:spacing w:after="120"/>
        <w:rPr>
          <w:rFonts w:ascii="Times New Roman" w:hAnsi="Times New Roman" w:cs="Times New Roman"/>
          <w:sz w:val="24"/>
        </w:rPr>
      </w:pPr>
      <w:r w:rsidRPr="00570B42">
        <w:rPr>
          <w:rFonts w:ascii="Times New Roman" w:hAnsi="Times New Roman" w:cs="Times New Roman"/>
          <w:sz w:val="24"/>
        </w:rPr>
        <w:t>M</w:t>
      </w:r>
      <w:r w:rsidR="00C73704" w:rsidRPr="00570B42">
        <w:rPr>
          <w:rFonts w:ascii="Times New Roman" w:hAnsi="Times New Roman" w:cs="Times New Roman"/>
          <w:sz w:val="24"/>
        </w:rPr>
        <w:t>easure of variability calculated as follows:</w:t>
      </w:r>
    </w:p>
    <w:p w14:paraId="6673CBB6" w14:textId="77777777" w:rsidR="00C73704" w:rsidRPr="00570B42" w:rsidRDefault="00C73704" w:rsidP="00C73704">
      <w:pPr>
        <w:tabs>
          <w:tab w:val="left" w:pos="0"/>
          <w:tab w:val="left" w:pos="540"/>
          <w:tab w:val="left" w:pos="1080"/>
          <w:tab w:val="left" w:pos="2160"/>
        </w:tabs>
        <w:suppressAutoHyphens/>
        <w:rPr>
          <w:sz w:val="24"/>
          <w:szCs w:val="24"/>
        </w:rPr>
      </w:pPr>
      <w:r w:rsidRPr="00570B42">
        <w:rPr>
          <w:sz w:val="24"/>
          <w:szCs w:val="24"/>
        </w:rPr>
        <w:tab/>
      </w:r>
      <w:r w:rsidRPr="00570B42">
        <w:rPr>
          <w:sz w:val="24"/>
          <w:szCs w:val="24"/>
        </w:rPr>
        <w:tab/>
      </w:r>
      <w:r w:rsidRPr="00570B42">
        <w:rPr>
          <w:sz w:val="24"/>
          <w:szCs w:val="24"/>
        </w:rPr>
        <w:tab/>
      </w:r>
      <w:r w:rsidRPr="00570B42">
        <w:rPr>
          <w:sz w:val="24"/>
          <w:szCs w:val="24"/>
        </w:rPr>
        <w:tab/>
      </w:r>
      <w:r w:rsidRPr="00570B42">
        <w:rPr>
          <w:sz w:val="24"/>
          <w:szCs w:val="24"/>
        </w:rPr>
        <w:sym w:font="Symbol" w:char="F073"/>
      </w:r>
      <w:r w:rsidRPr="00570B42">
        <w:rPr>
          <w:sz w:val="24"/>
          <w:szCs w:val="24"/>
        </w:rPr>
        <w:tab/>
        <w:t>=</w:t>
      </w:r>
      <w:r w:rsidRPr="00570B42">
        <w:rPr>
          <w:sz w:val="24"/>
          <w:szCs w:val="24"/>
        </w:rPr>
        <w:tab/>
        <w:t>(</w:t>
      </w:r>
      <w:r w:rsidRPr="00570B42">
        <w:rPr>
          <w:sz w:val="24"/>
          <w:szCs w:val="24"/>
        </w:rPr>
        <w:sym w:font="Symbol" w:char="F0E5"/>
      </w:r>
      <w:r w:rsidRPr="00570B42">
        <w:rPr>
          <w:sz w:val="24"/>
          <w:szCs w:val="24"/>
        </w:rPr>
        <w:t xml:space="preserve">[(x - </w:t>
      </w:r>
      <w:r w:rsidRPr="00570B42">
        <w:rPr>
          <w:sz w:val="24"/>
          <w:szCs w:val="24"/>
        </w:rPr>
        <w:sym w:font="Symbol" w:char="F06D"/>
      </w:r>
      <w:r w:rsidRPr="00570B42">
        <w:rPr>
          <w:sz w:val="24"/>
          <w:szCs w:val="24"/>
        </w:rPr>
        <w:t>)</w:t>
      </w:r>
      <w:r w:rsidRPr="00570B42">
        <w:rPr>
          <w:sz w:val="24"/>
          <w:szCs w:val="24"/>
          <w:vertAlign w:val="superscript"/>
        </w:rPr>
        <w:t>2</w:t>
      </w:r>
      <w:r w:rsidRPr="00570B42">
        <w:rPr>
          <w:sz w:val="24"/>
          <w:szCs w:val="24"/>
        </w:rPr>
        <w:t>]/(n – 1))</w:t>
      </w:r>
      <w:r w:rsidRPr="00570B42">
        <w:rPr>
          <w:sz w:val="24"/>
          <w:szCs w:val="24"/>
          <w:vertAlign w:val="superscript"/>
        </w:rPr>
        <w:t>0.5</w:t>
      </w:r>
    </w:p>
    <w:p w14:paraId="035AE27B" w14:textId="77777777" w:rsidR="00C73704" w:rsidRPr="00570B42" w:rsidRDefault="00C73704" w:rsidP="00C73704">
      <w:pPr>
        <w:tabs>
          <w:tab w:val="left" w:pos="0"/>
          <w:tab w:val="left" w:pos="540"/>
          <w:tab w:val="left" w:pos="1080"/>
          <w:tab w:val="left" w:pos="2160"/>
        </w:tabs>
        <w:suppressAutoHyphens/>
        <w:ind w:left="2880"/>
        <w:rPr>
          <w:sz w:val="24"/>
          <w:szCs w:val="24"/>
        </w:rPr>
      </w:pPr>
      <w:r w:rsidRPr="00570B42">
        <w:rPr>
          <w:sz w:val="24"/>
          <w:szCs w:val="24"/>
        </w:rPr>
        <w:t>where:</w:t>
      </w:r>
    </w:p>
    <w:p w14:paraId="50AF4899" w14:textId="77777777" w:rsidR="00C73704" w:rsidRPr="00570B42" w:rsidRDefault="00C73704" w:rsidP="00C73704">
      <w:pPr>
        <w:tabs>
          <w:tab w:val="left" w:pos="0"/>
          <w:tab w:val="left" w:pos="540"/>
          <w:tab w:val="left" w:pos="1080"/>
          <w:tab w:val="left" w:pos="2160"/>
        </w:tabs>
        <w:suppressAutoHyphens/>
        <w:ind w:left="2880"/>
        <w:rPr>
          <w:sz w:val="24"/>
          <w:szCs w:val="24"/>
        </w:rPr>
      </w:pPr>
      <w:r w:rsidRPr="00570B42">
        <w:rPr>
          <w:sz w:val="24"/>
          <w:szCs w:val="24"/>
        </w:rPr>
        <w:t>x</w:t>
      </w:r>
      <w:r w:rsidRPr="00570B42">
        <w:rPr>
          <w:sz w:val="24"/>
          <w:szCs w:val="24"/>
        </w:rPr>
        <w:tab/>
        <w:t>is the observed value;</w:t>
      </w:r>
    </w:p>
    <w:p w14:paraId="6F80ED18" w14:textId="77777777" w:rsidR="00C73704" w:rsidRPr="00570B42" w:rsidRDefault="00C73704" w:rsidP="00C73704">
      <w:pPr>
        <w:tabs>
          <w:tab w:val="left" w:pos="0"/>
          <w:tab w:val="left" w:pos="2160"/>
        </w:tabs>
        <w:suppressAutoHyphens/>
        <w:ind w:left="2880"/>
        <w:rPr>
          <w:sz w:val="24"/>
          <w:szCs w:val="24"/>
        </w:rPr>
      </w:pPr>
      <w:r w:rsidRPr="00570B42">
        <w:rPr>
          <w:sz w:val="24"/>
          <w:szCs w:val="24"/>
        </w:rPr>
        <w:sym w:font="Symbol" w:char="F06D"/>
      </w:r>
      <w:r w:rsidRPr="00570B42">
        <w:rPr>
          <w:sz w:val="24"/>
          <w:szCs w:val="24"/>
        </w:rPr>
        <w:tab/>
        <w:t>is the arithmetic mean of the observed values; and</w:t>
      </w:r>
    </w:p>
    <w:p w14:paraId="4014B7EA" w14:textId="77777777" w:rsidR="00C73704" w:rsidRPr="00570B42" w:rsidRDefault="00C73704" w:rsidP="00C73704">
      <w:pPr>
        <w:tabs>
          <w:tab w:val="left" w:pos="0"/>
          <w:tab w:val="left" w:pos="540"/>
          <w:tab w:val="left" w:pos="1080"/>
          <w:tab w:val="left" w:pos="2160"/>
        </w:tabs>
        <w:suppressAutoHyphens/>
        <w:ind w:left="2880"/>
        <w:rPr>
          <w:sz w:val="24"/>
          <w:szCs w:val="24"/>
        </w:rPr>
      </w:pPr>
      <w:r w:rsidRPr="00570B42">
        <w:rPr>
          <w:sz w:val="24"/>
          <w:szCs w:val="24"/>
        </w:rPr>
        <w:t>n</w:t>
      </w:r>
      <w:r w:rsidRPr="00570B42">
        <w:rPr>
          <w:sz w:val="24"/>
          <w:szCs w:val="24"/>
        </w:rPr>
        <w:tab/>
        <w:t>is the number of samples.</w:t>
      </w:r>
    </w:p>
    <w:p w14:paraId="75E07222" w14:textId="77777777" w:rsidR="00C73704" w:rsidRPr="00570B42" w:rsidRDefault="00C73704" w:rsidP="00C73704">
      <w:pPr>
        <w:rPr>
          <w:sz w:val="24"/>
          <w:szCs w:val="24"/>
        </w:rPr>
      </w:pPr>
    </w:p>
    <w:p w14:paraId="3E87724B" w14:textId="77777777" w:rsidR="00C73704" w:rsidRPr="00570B42" w:rsidRDefault="00C73704" w:rsidP="00C73704">
      <w:pPr>
        <w:pStyle w:val="Definitions"/>
        <w:rPr>
          <w:rFonts w:ascii="Times New Roman" w:hAnsi="Times New Roman"/>
          <w:sz w:val="24"/>
          <w:szCs w:val="24"/>
        </w:rPr>
      </w:pPr>
      <w:r w:rsidRPr="00570B42">
        <w:rPr>
          <w:rFonts w:ascii="Times New Roman" w:hAnsi="Times New Roman"/>
          <w:sz w:val="24"/>
          <w:szCs w:val="24"/>
        </w:rPr>
        <w:t>Toxicity Reduction Evaluation (TRE)</w:t>
      </w:r>
    </w:p>
    <w:p w14:paraId="6D388F78" w14:textId="77777777" w:rsidR="00C73704" w:rsidRPr="00570B42" w:rsidRDefault="000028DA" w:rsidP="00C73704">
      <w:pPr>
        <w:pStyle w:val="Paratext"/>
        <w:spacing w:after="0"/>
        <w:rPr>
          <w:b/>
        </w:rPr>
      </w:pPr>
      <w:r w:rsidRPr="00570B42">
        <w:t>S</w:t>
      </w:r>
      <w:r w:rsidR="00C73704" w:rsidRPr="00570B42">
        <w:t>tudy conducted in a step-wise process designed to identify the causative agents of effluent or ambient toxicity, isolate the sources of toxicity, evaluate the effectiveness of toxicity control options, and then confirm the reduction in toxicity. The first steps of the TRE consist of the collection of data relevant to the toxicity, including additional toxicity testing, and an evaluation of facility operations and maintenance practices, and best management practices. A Toxicity Identification Evaluation (TIE) may be required as part of the TRE, if appropriate. A TIE is a set of procedures to identify the specific chemicals responsible for toxicity. These procedures are performed in three phases (characterization, identification, and confirmation) using aquatic organism toxicity tests.</w:t>
      </w:r>
    </w:p>
    <w:p w14:paraId="2DE4E1D6" w14:textId="77777777" w:rsidR="00B408D4" w:rsidRPr="00570B42" w:rsidRDefault="00B408D4">
      <w:pPr>
        <w:pStyle w:val="Paratext"/>
        <w:spacing w:after="0"/>
        <w:rPr>
          <w:b/>
        </w:rPr>
      </w:pPr>
    </w:p>
    <w:p w14:paraId="40B8904E" w14:textId="77777777" w:rsidR="00BC0241" w:rsidRPr="002B614E" w:rsidRDefault="00BC0241" w:rsidP="00F009DF">
      <w:pPr>
        <w:pStyle w:val="Paratext"/>
        <w:numPr>
          <w:ilvl w:val="0"/>
          <w:numId w:val="10"/>
        </w:numPr>
        <w:sectPr w:rsidR="00BC0241" w:rsidRPr="002B614E" w:rsidSect="004D01E9">
          <w:footerReference w:type="default" r:id="rId36"/>
          <w:footerReference w:type="first" r:id="rId37"/>
          <w:footnotePr>
            <w:numRestart w:val="eachSect"/>
          </w:footnotePr>
          <w:endnotePr>
            <w:numFmt w:val="decimal"/>
          </w:endnotePr>
          <w:pgSz w:w="12240" w:h="15840" w:code="1"/>
          <w:pgMar w:top="1080" w:right="1080" w:bottom="1080" w:left="1080" w:header="547" w:footer="720" w:gutter="0"/>
          <w:pgNumType w:start="1" w:chapStyle="9"/>
          <w:cols w:space="720"/>
          <w:noEndnote/>
          <w:titlePg/>
          <w:docGrid w:linePitch="326"/>
        </w:sectPr>
      </w:pPr>
    </w:p>
    <w:p w14:paraId="0384D7B5" w14:textId="77777777" w:rsidR="009D1DB0" w:rsidRPr="003255F4" w:rsidRDefault="009D1DB0" w:rsidP="009D1DB0">
      <w:pPr>
        <w:pStyle w:val="Heading9"/>
        <w:rPr>
          <w:color w:val="FFFFFF" w:themeColor="background1"/>
        </w:rPr>
      </w:pPr>
      <w:bookmarkStart w:id="102" w:name="_Attachment_B_–"/>
      <w:bookmarkStart w:id="103" w:name="_Toc87088813"/>
      <w:bookmarkStart w:id="104" w:name="_Toc125266058"/>
      <w:bookmarkEnd w:id="102"/>
      <w:r w:rsidRPr="003255F4">
        <w:rPr>
          <w:color w:val="FFFFFF" w:themeColor="background1"/>
        </w:rPr>
        <w:lastRenderedPageBreak/>
        <w:t>B</w:t>
      </w:r>
    </w:p>
    <w:p w14:paraId="1A53E64A" w14:textId="63ACAB8B" w:rsidR="00B55A80" w:rsidRPr="00B55A80" w:rsidRDefault="00F878D4" w:rsidP="00D36870">
      <w:pPr>
        <w:pStyle w:val="AttachmentHeading"/>
        <w:keepNext/>
        <w:rPr>
          <w:rFonts w:ascii="Times New Roman" w:hAnsi="Times New Roman"/>
        </w:rPr>
      </w:pPr>
      <w:r w:rsidRPr="00CF070C">
        <w:rPr>
          <w:rFonts w:ascii="Times New Roman" w:hAnsi="Times New Roman"/>
        </w:rPr>
        <w:t xml:space="preserve">ATTACHMENT B – </w:t>
      </w:r>
      <w:bookmarkEnd w:id="103"/>
      <w:bookmarkEnd w:id="104"/>
      <w:r w:rsidR="00B55A80">
        <w:rPr>
          <w:rFonts w:ascii="Times New Roman" w:hAnsi="Times New Roman"/>
        </w:rPr>
        <w:t>INDIVIDUAL NPDES PERMIT</w:t>
      </w:r>
      <w:r w:rsidR="00562FBA">
        <w:rPr>
          <w:rFonts w:ascii="Times New Roman" w:hAnsi="Times New Roman"/>
        </w:rPr>
        <w:t xml:space="preserve"> AND ORDER</w:t>
      </w:r>
      <w:r w:rsidR="00B55A80">
        <w:rPr>
          <w:rFonts w:ascii="Times New Roman" w:hAnsi="Times New Roman"/>
        </w:rPr>
        <w:t xml:space="preserve"> NUMBERS</w:t>
      </w:r>
    </w:p>
    <w:tbl>
      <w:tblPr>
        <w:tblW w:w="10512"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6"/>
        <w:gridCol w:w="1659"/>
        <w:gridCol w:w="1659"/>
        <w:gridCol w:w="1659"/>
        <w:gridCol w:w="1759"/>
      </w:tblGrid>
      <w:tr w:rsidR="00B55A80" w:rsidRPr="00B55A80" w14:paraId="41A4ABA3" w14:textId="77777777" w:rsidTr="00214C59">
        <w:trPr>
          <w:cantSplit/>
          <w:tblHeader/>
        </w:trPr>
        <w:tc>
          <w:tcPr>
            <w:tcW w:w="3776" w:type="dxa"/>
            <w:tcBorders>
              <w:top w:val="single" w:sz="12" w:space="0" w:color="auto"/>
              <w:left w:val="single" w:sz="12" w:space="0" w:color="auto"/>
              <w:bottom w:val="single" w:sz="12" w:space="0" w:color="auto"/>
            </w:tcBorders>
            <w:shd w:val="clear" w:color="auto" w:fill="auto"/>
            <w:vAlign w:val="center"/>
          </w:tcPr>
          <w:p w14:paraId="1FB66CD1" w14:textId="77777777" w:rsidR="00B55A80" w:rsidRPr="00B55A80" w:rsidRDefault="00B55A80" w:rsidP="00B55A80">
            <w:pPr>
              <w:jc w:val="center"/>
              <w:rPr>
                <w:b/>
                <w:color w:val="000000"/>
              </w:rPr>
            </w:pPr>
            <w:r w:rsidRPr="00B55A80">
              <w:rPr>
                <w:b/>
                <w:color w:val="000000"/>
              </w:rPr>
              <w:t>Discharger</w:t>
            </w:r>
          </w:p>
        </w:tc>
        <w:tc>
          <w:tcPr>
            <w:tcW w:w="1659" w:type="dxa"/>
            <w:tcBorders>
              <w:top w:val="single" w:sz="12" w:space="0" w:color="auto"/>
              <w:bottom w:val="single" w:sz="12" w:space="0" w:color="auto"/>
            </w:tcBorders>
            <w:shd w:val="clear" w:color="auto" w:fill="auto"/>
            <w:vAlign w:val="center"/>
          </w:tcPr>
          <w:p w14:paraId="34794FCA" w14:textId="77777777" w:rsidR="00B55A80" w:rsidRPr="00B55A80" w:rsidRDefault="00B55A80" w:rsidP="00B55A80">
            <w:pPr>
              <w:jc w:val="center"/>
              <w:rPr>
                <w:b/>
                <w:color w:val="000000"/>
              </w:rPr>
            </w:pPr>
            <w:r w:rsidRPr="00B55A80">
              <w:rPr>
                <w:b/>
                <w:color w:val="000000"/>
              </w:rPr>
              <w:t>NPDES Permit No.</w:t>
            </w:r>
          </w:p>
        </w:tc>
        <w:tc>
          <w:tcPr>
            <w:tcW w:w="1659" w:type="dxa"/>
            <w:tcBorders>
              <w:top w:val="single" w:sz="12" w:space="0" w:color="auto"/>
              <w:bottom w:val="single" w:sz="12" w:space="0" w:color="auto"/>
              <w:right w:val="single" w:sz="4" w:space="0" w:color="auto"/>
            </w:tcBorders>
            <w:shd w:val="clear" w:color="auto" w:fill="auto"/>
            <w:vAlign w:val="center"/>
          </w:tcPr>
          <w:p w14:paraId="2CF6C543" w14:textId="15FE7503" w:rsidR="00B55A80" w:rsidRPr="00B55A80" w:rsidRDefault="009227E2" w:rsidP="00B55A80">
            <w:pPr>
              <w:jc w:val="center"/>
              <w:rPr>
                <w:b/>
                <w:color w:val="000000"/>
              </w:rPr>
            </w:pPr>
            <w:r>
              <w:rPr>
                <w:b/>
                <w:color w:val="000000"/>
              </w:rPr>
              <w:t xml:space="preserve">Existing </w:t>
            </w:r>
            <w:r w:rsidR="00B55A80" w:rsidRPr="00B55A80">
              <w:rPr>
                <w:b/>
                <w:color w:val="000000"/>
              </w:rPr>
              <w:t>Order No.</w:t>
            </w:r>
            <w:r w:rsidR="0040170A" w:rsidRPr="0040170A">
              <w:rPr>
                <w:b/>
                <w:color w:val="000000"/>
                <w:vertAlign w:val="superscript"/>
              </w:rPr>
              <w:t>[</w:t>
            </w:r>
            <w:r w:rsidR="00B55A80" w:rsidRPr="0040170A">
              <w:rPr>
                <w:b/>
                <w:color w:val="000000"/>
                <w:vertAlign w:val="superscript"/>
              </w:rPr>
              <w:t>1</w:t>
            </w:r>
            <w:r w:rsidR="0040170A">
              <w:rPr>
                <w:b/>
                <w:color w:val="000000"/>
                <w:vertAlign w:val="superscript"/>
              </w:rPr>
              <w:t>]</w:t>
            </w:r>
          </w:p>
        </w:tc>
        <w:tc>
          <w:tcPr>
            <w:tcW w:w="1659" w:type="dxa"/>
            <w:tcBorders>
              <w:top w:val="single" w:sz="12" w:space="0" w:color="auto"/>
              <w:bottom w:val="single" w:sz="12" w:space="0" w:color="auto"/>
              <w:right w:val="single" w:sz="4" w:space="0" w:color="auto"/>
            </w:tcBorders>
            <w:shd w:val="clear" w:color="auto" w:fill="auto"/>
          </w:tcPr>
          <w:p w14:paraId="11FA5CC1" w14:textId="77777777" w:rsidR="00B55A80" w:rsidRPr="00B55A80" w:rsidRDefault="00B55A80" w:rsidP="00B55A80">
            <w:pPr>
              <w:jc w:val="center"/>
              <w:rPr>
                <w:b/>
                <w:color w:val="000000"/>
              </w:rPr>
            </w:pPr>
            <w:r w:rsidRPr="00B55A80">
              <w:rPr>
                <w:b/>
                <w:color w:val="000000"/>
              </w:rPr>
              <w:t>Existing Order Adoption Date</w:t>
            </w:r>
          </w:p>
        </w:tc>
        <w:tc>
          <w:tcPr>
            <w:tcW w:w="1759" w:type="dxa"/>
            <w:tcBorders>
              <w:top w:val="single" w:sz="12" w:space="0" w:color="auto"/>
              <w:bottom w:val="single" w:sz="12" w:space="0" w:color="auto"/>
              <w:right w:val="single" w:sz="12" w:space="0" w:color="auto"/>
            </w:tcBorders>
            <w:shd w:val="clear" w:color="auto" w:fill="auto"/>
          </w:tcPr>
          <w:p w14:paraId="4CC5218B" w14:textId="77777777" w:rsidR="00B55A80" w:rsidRPr="00B55A80" w:rsidRDefault="00B55A80" w:rsidP="00B55A80">
            <w:pPr>
              <w:jc w:val="center"/>
              <w:rPr>
                <w:b/>
                <w:color w:val="000000"/>
              </w:rPr>
            </w:pPr>
            <w:r w:rsidRPr="00B55A80">
              <w:rPr>
                <w:b/>
                <w:color w:val="000000"/>
              </w:rPr>
              <w:t>Existing Order Expiration Date</w:t>
            </w:r>
          </w:p>
        </w:tc>
      </w:tr>
      <w:tr w:rsidR="00D36870" w:rsidRPr="00B55A80" w14:paraId="2EE138F6" w14:textId="77777777" w:rsidTr="00D36870">
        <w:trPr>
          <w:cantSplit/>
          <w:tblHeader/>
        </w:trPr>
        <w:tc>
          <w:tcPr>
            <w:tcW w:w="10512"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5595365" w14:textId="77777777" w:rsidR="00D36870" w:rsidRPr="00B55A80" w:rsidRDefault="00D36870" w:rsidP="00B55A80">
            <w:pPr>
              <w:jc w:val="center"/>
              <w:rPr>
                <w:b/>
                <w:color w:val="000000"/>
              </w:rPr>
            </w:pPr>
            <w:r>
              <w:rPr>
                <w:b/>
                <w:color w:val="000000"/>
              </w:rPr>
              <w:t>Municipal Dischargers</w:t>
            </w:r>
          </w:p>
        </w:tc>
      </w:tr>
      <w:tr w:rsidR="00B55A80" w:rsidRPr="00B55A80" w14:paraId="03878C94" w14:textId="77777777" w:rsidTr="005570C7">
        <w:trPr>
          <w:cantSplit/>
        </w:trPr>
        <w:tc>
          <w:tcPr>
            <w:tcW w:w="3776" w:type="dxa"/>
            <w:tcBorders>
              <w:top w:val="single" w:sz="12" w:space="0" w:color="auto"/>
              <w:left w:val="single" w:sz="12" w:space="0" w:color="auto"/>
            </w:tcBorders>
            <w:shd w:val="clear" w:color="auto" w:fill="auto"/>
          </w:tcPr>
          <w:p w14:paraId="11530518" w14:textId="77777777" w:rsidR="00B55A80" w:rsidRPr="00B55A80" w:rsidRDefault="00B55A80" w:rsidP="00B55A80">
            <w:r w:rsidRPr="00B55A80">
              <w:t>American Canyon, City of</w:t>
            </w:r>
          </w:p>
        </w:tc>
        <w:tc>
          <w:tcPr>
            <w:tcW w:w="1659" w:type="dxa"/>
            <w:tcBorders>
              <w:top w:val="single" w:sz="12" w:space="0" w:color="auto"/>
            </w:tcBorders>
            <w:shd w:val="clear" w:color="auto" w:fill="auto"/>
            <w:vAlign w:val="center"/>
          </w:tcPr>
          <w:p w14:paraId="38F72763" w14:textId="77777777" w:rsidR="00B55A80" w:rsidRPr="00B55A80" w:rsidRDefault="00B55A80" w:rsidP="00B55A80">
            <w:pPr>
              <w:jc w:val="center"/>
              <w:rPr>
                <w:color w:val="000000"/>
              </w:rPr>
            </w:pPr>
            <w:r w:rsidRPr="00B55A80">
              <w:rPr>
                <w:color w:val="000000"/>
              </w:rPr>
              <w:t>CA0038768</w:t>
            </w:r>
          </w:p>
        </w:tc>
        <w:tc>
          <w:tcPr>
            <w:tcW w:w="1659" w:type="dxa"/>
            <w:tcBorders>
              <w:top w:val="single" w:sz="12" w:space="0" w:color="auto"/>
              <w:right w:val="single" w:sz="4" w:space="0" w:color="auto"/>
            </w:tcBorders>
            <w:shd w:val="clear" w:color="auto" w:fill="auto"/>
            <w:vAlign w:val="center"/>
          </w:tcPr>
          <w:p w14:paraId="7CAEC73F" w14:textId="77777777" w:rsidR="00B55A80" w:rsidRPr="00B55A80" w:rsidRDefault="00B55A80" w:rsidP="005570C7">
            <w:pPr>
              <w:jc w:val="center"/>
              <w:rPr>
                <w:color w:val="000000"/>
              </w:rPr>
            </w:pPr>
            <w:r w:rsidRPr="00B55A80">
              <w:rPr>
                <w:color w:val="000000"/>
              </w:rPr>
              <w:t>R2-201</w:t>
            </w:r>
            <w:r w:rsidR="008863F4">
              <w:rPr>
                <w:color w:val="000000"/>
              </w:rPr>
              <w:t>7</w:t>
            </w:r>
            <w:r w:rsidRPr="00B55A80">
              <w:rPr>
                <w:color w:val="000000"/>
              </w:rPr>
              <w:t>-00</w:t>
            </w:r>
            <w:r w:rsidR="008863F4">
              <w:rPr>
                <w:color w:val="000000"/>
              </w:rPr>
              <w:t>08</w:t>
            </w:r>
          </w:p>
        </w:tc>
        <w:tc>
          <w:tcPr>
            <w:tcW w:w="1659" w:type="dxa"/>
            <w:tcBorders>
              <w:top w:val="single" w:sz="12" w:space="0" w:color="auto"/>
              <w:right w:val="single" w:sz="4" w:space="0" w:color="auto"/>
            </w:tcBorders>
            <w:shd w:val="clear" w:color="auto" w:fill="auto"/>
            <w:vAlign w:val="center"/>
          </w:tcPr>
          <w:p w14:paraId="581EA443" w14:textId="77777777" w:rsidR="00B55A80" w:rsidRPr="00B55A80" w:rsidRDefault="008863F4" w:rsidP="005570C7">
            <w:pPr>
              <w:jc w:val="center"/>
              <w:rPr>
                <w:color w:val="000000"/>
              </w:rPr>
            </w:pPr>
            <w:r>
              <w:rPr>
                <w:color w:val="000000"/>
              </w:rPr>
              <w:t>4</w:t>
            </w:r>
            <w:r w:rsidR="00B55A80" w:rsidRPr="00B55A80">
              <w:rPr>
                <w:color w:val="000000"/>
              </w:rPr>
              <w:t>/1</w:t>
            </w:r>
            <w:r>
              <w:rPr>
                <w:color w:val="000000"/>
              </w:rPr>
              <w:t>2</w:t>
            </w:r>
            <w:r w:rsidR="00B55A80" w:rsidRPr="00B55A80">
              <w:rPr>
                <w:color w:val="000000"/>
              </w:rPr>
              <w:t>/</w:t>
            </w:r>
            <w:r>
              <w:rPr>
                <w:color w:val="000000"/>
              </w:rPr>
              <w:t>2017</w:t>
            </w:r>
          </w:p>
        </w:tc>
        <w:tc>
          <w:tcPr>
            <w:tcW w:w="1759" w:type="dxa"/>
            <w:tcBorders>
              <w:top w:val="single" w:sz="12" w:space="0" w:color="auto"/>
              <w:right w:val="single" w:sz="12" w:space="0" w:color="auto"/>
            </w:tcBorders>
            <w:shd w:val="clear" w:color="auto" w:fill="auto"/>
            <w:vAlign w:val="center"/>
          </w:tcPr>
          <w:p w14:paraId="2A90793B" w14:textId="77777777" w:rsidR="00B55A80" w:rsidRPr="00B55A80" w:rsidRDefault="008863F4" w:rsidP="005570C7">
            <w:pPr>
              <w:jc w:val="center"/>
              <w:rPr>
                <w:color w:val="000000"/>
              </w:rPr>
            </w:pPr>
            <w:r>
              <w:rPr>
                <w:color w:val="000000"/>
              </w:rPr>
              <w:t>5</w:t>
            </w:r>
            <w:r w:rsidR="00B55A80" w:rsidRPr="00B55A80">
              <w:rPr>
                <w:color w:val="000000"/>
              </w:rPr>
              <w:t>/31</w:t>
            </w:r>
            <w:r>
              <w:rPr>
                <w:color w:val="000000"/>
              </w:rPr>
              <w:t>/2022</w:t>
            </w:r>
          </w:p>
        </w:tc>
      </w:tr>
      <w:tr w:rsidR="001A1C63" w:rsidRPr="00B55A80" w14:paraId="3B2CAC89" w14:textId="77777777" w:rsidTr="005570C7">
        <w:trPr>
          <w:cantSplit/>
        </w:trPr>
        <w:tc>
          <w:tcPr>
            <w:tcW w:w="3776" w:type="dxa"/>
            <w:tcBorders>
              <w:left w:val="single" w:sz="12" w:space="0" w:color="auto"/>
            </w:tcBorders>
            <w:shd w:val="clear" w:color="auto" w:fill="auto"/>
          </w:tcPr>
          <w:p w14:paraId="0228A977" w14:textId="77777777" w:rsidR="001A1C63" w:rsidRPr="00B55A80" w:rsidRDefault="001A1C63" w:rsidP="001A1C63">
            <w:pPr>
              <w:rPr>
                <w:rFonts w:eastAsia="Arial Unicode MS"/>
              </w:rPr>
            </w:pPr>
            <w:r w:rsidRPr="00B55A80">
              <w:t>Benicia, City of</w:t>
            </w:r>
          </w:p>
        </w:tc>
        <w:tc>
          <w:tcPr>
            <w:tcW w:w="1659" w:type="dxa"/>
            <w:shd w:val="clear" w:color="auto" w:fill="auto"/>
            <w:vAlign w:val="center"/>
          </w:tcPr>
          <w:p w14:paraId="6CF9E756" w14:textId="77777777" w:rsidR="001A1C63" w:rsidRPr="00B55A80" w:rsidRDefault="001A1C63" w:rsidP="001A1C63">
            <w:pPr>
              <w:jc w:val="center"/>
              <w:rPr>
                <w:color w:val="000000"/>
              </w:rPr>
            </w:pPr>
            <w:r w:rsidRPr="00B55A80">
              <w:rPr>
                <w:bCs/>
                <w:color w:val="000000"/>
              </w:rPr>
              <w:t>CA0038091</w:t>
            </w:r>
          </w:p>
        </w:tc>
        <w:tc>
          <w:tcPr>
            <w:tcW w:w="1659" w:type="dxa"/>
            <w:tcBorders>
              <w:right w:val="single" w:sz="4" w:space="0" w:color="auto"/>
            </w:tcBorders>
            <w:shd w:val="clear" w:color="auto" w:fill="auto"/>
            <w:vAlign w:val="center"/>
          </w:tcPr>
          <w:p w14:paraId="4A2CB56C" w14:textId="4A583B28" w:rsidR="001A1C63" w:rsidRPr="00B55A80" w:rsidRDefault="001A1C63" w:rsidP="005570C7">
            <w:pPr>
              <w:jc w:val="center"/>
              <w:rPr>
                <w:color w:val="000000"/>
                <w:vertAlign w:val="superscript"/>
              </w:rPr>
            </w:pPr>
            <w:r w:rsidRPr="00397521">
              <w:t>R2-2014-0023</w:t>
            </w:r>
          </w:p>
        </w:tc>
        <w:tc>
          <w:tcPr>
            <w:tcW w:w="1659" w:type="dxa"/>
            <w:tcBorders>
              <w:right w:val="single" w:sz="4" w:space="0" w:color="auto"/>
            </w:tcBorders>
            <w:shd w:val="clear" w:color="auto" w:fill="auto"/>
            <w:vAlign w:val="center"/>
          </w:tcPr>
          <w:p w14:paraId="3038BF49" w14:textId="46686735" w:rsidR="001A1C63" w:rsidRPr="00B55A80" w:rsidRDefault="001A1C63" w:rsidP="005570C7">
            <w:pPr>
              <w:jc w:val="center"/>
              <w:rPr>
                <w:color w:val="000000"/>
              </w:rPr>
            </w:pPr>
            <w:r w:rsidRPr="00397521">
              <w:t>6/11/2014</w:t>
            </w:r>
          </w:p>
        </w:tc>
        <w:tc>
          <w:tcPr>
            <w:tcW w:w="1759" w:type="dxa"/>
            <w:tcBorders>
              <w:right w:val="single" w:sz="12" w:space="0" w:color="auto"/>
            </w:tcBorders>
            <w:shd w:val="clear" w:color="auto" w:fill="auto"/>
            <w:vAlign w:val="center"/>
          </w:tcPr>
          <w:p w14:paraId="0C0F1F33" w14:textId="3D1764A4" w:rsidR="001A1C63" w:rsidRPr="00B55A80" w:rsidRDefault="001A1C63" w:rsidP="005570C7">
            <w:pPr>
              <w:jc w:val="center"/>
              <w:rPr>
                <w:color w:val="000000"/>
              </w:rPr>
            </w:pPr>
            <w:r w:rsidRPr="00397521">
              <w:t>7/31/2019</w:t>
            </w:r>
          </w:p>
        </w:tc>
      </w:tr>
      <w:tr w:rsidR="001A1C63" w:rsidRPr="00B55A80" w14:paraId="059B9F7D" w14:textId="77777777" w:rsidTr="005570C7">
        <w:trPr>
          <w:cantSplit/>
        </w:trPr>
        <w:tc>
          <w:tcPr>
            <w:tcW w:w="3776" w:type="dxa"/>
            <w:tcBorders>
              <w:left w:val="single" w:sz="12" w:space="0" w:color="auto"/>
            </w:tcBorders>
            <w:shd w:val="clear" w:color="auto" w:fill="auto"/>
          </w:tcPr>
          <w:p w14:paraId="3BE3E8C6" w14:textId="77777777" w:rsidR="001A1C63" w:rsidRPr="00B55A80" w:rsidRDefault="001A1C63" w:rsidP="001A1C63">
            <w:pPr>
              <w:rPr>
                <w:rFonts w:eastAsia="Arial Unicode MS"/>
              </w:rPr>
            </w:pPr>
            <w:r w:rsidRPr="00B55A80">
              <w:t>Burlingame, City of</w:t>
            </w:r>
          </w:p>
        </w:tc>
        <w:tc>
          <w:tcPr>
            <w:tcW w:w="1659" w:type="dxa"/>
            <w:shd w:val="clear" w:color="auto" w:fill="auto"/>
            <w:vAlign w:val="center"/>
          </w:tcPr>
          <w:p w14:paraId="3165C813" w14:textId="77777777" w:rsidR="001A1C63" w:rsidRPr="00B55A80" w:rsidRDefault="001A1C63" w:rsidP="001A1C63">
            <w:pPr>
              <w:jc w:val="center"/>
              <w:rPr>
                <w:color w:val="000000"/>
              </w:rPr>
            </w:pPr>
            <w:r w:rsidRPr="00B55A80">
              <w:rPr>
                <w:color w:val="000000"/>
              </w:rPr>
              <w:t>CA0037788</w:t>
            </w:r>
          </w:p>
        </w:tc>
        <w:tc>
          <w:tcPr>
            <w:tcW w:w="1659" w:type="dxa"/>
            <w:tcBorders>
              <w:right w:val="single" w:sz="4" w:space="0" w:color="auto"/>
            </w:tcBorders>
            <w:shd w:val="clear" w:color="auto" w:fill="auto"/>
            <w:vAlign w:val="center"/>
          </w:tcPr>
          <w:p w14:paraId="28B95A12" w14:textId="5D5A1FF3" w:rsidR="001A1C63" w:rsidRPr="00B55A80" w:rsidRDefault="001A1C63" w:rsidP="005570C7">
            <w:pPr>
              <w:jc w:val="center"/>
              <w:rPr>
                <w:color w:val="000000"/>
              </w:rPr>
            </w:pPr>
            <w:r w:rsidRPr="00397521">
              <w:t>R2-2013-0015</w:t>
            </w:r>
          </w:p>
        </w:tc>
        <w:tc>
          <w:tcPr>
            <w:tcW w:w="1659" w:type="dxa"/>
            <w:tcBorders>
              <w:right w:val="single" w:sz="4" w:space="0" w:color="auto"/>
            </w:tcBorders>
            <w:shd w:val="clear" w:color="auto" w:fill="auto"/>
            <w:vAlign w:val="center"/>
          </w:tcPr>
          <w:p w14:paraId="69C11DDB" w14:textId="41893D83" w:rsidR="001A1C63" w:rsidRPr="00B55A80" w:rsidRDefault="001A1C63" w:rsidP="005570C7">
            <w:pPr>
              <w:jc w:val="center"/>
              <w:rPr>
                <w:color w:val="000000"/>
              </w:rPr>
            </w:pPr>
            <w:r w:rsidRPr="00397521">
              <w:t>5/8/2013</w:t>
            </w:r>
          </w:p>
        </w:tc>
        <w:tc>
          <w:tcPr>
            <w:tcW w:w="1759" w:type="dxa"/>
            <w:tcBorders>
              <w:right w:val="single" w:sz="12" w:space="0" w:color="auto"/>
            </w:tcBorders>
            <w:shd w:val="clear" w:color="auto" w:fill="auto"/>
            <w:vAlign w:val="center"/>
          </w:tcPr>
          <w:p w14:paraId="30A3590A" w14:textId="0FA89C26" w:rsidR="001A1C63" w:rsidRPr="00B55A80" w:rsidRDefault="001A1C63" w:rsidP="005570C7">
            <w:pPr>
              <w:jc w:val="center"/>
              <w:rPr>
                <w:color w:val="000000"/>
              </w:rPr>
            </w:pPr>
            <w:r w:rsidRPr="00397521">
              <w:t>6/30/2018</w:t>
            </w:r>
          </w:p>
        </w:tc>
      </w:tr>
      <w:tr w:rsidR="001A1C63" w:rsidRPr="00B55A80" w14:paraId="1E73230B" w14:textId="77777777" w:rsidTr="005570C7">
        <w:trPr>
          <w:cantSplit/>
        </w:trPr>
        <w:tc>
          <w:tcPr>
            <w:tcW w:w="3776" w:type="dxa"/>
            <w:tcBorders>
              <w:left w:val="single" w:sz="12" w:space="0" w:color="auto"/>
            </w:tcBorders>
            <w:shd w:val="clear" w:color="auto" w:fill="auto"/>
          </w:tcPr>
          <w:p w14:paraId="3E42437F" w14:textId="77777777" w:rsidR="001A1C63" w:rsidRPr="00B55A80" w:rsidRDefault="001A1C63" w:rsidP="001A1C63">
            <w:pPr>
              <w:rPr>
                <w:rFonts w:eastAsia="Arial Unicode MS"/>
              </w:rPr>
            </w:pPr>
            <w:r w:rsidRPr="00B55A80">
              <w:t>Calistoga, City of</w:t>
            </w:r>
          </w:p>
        </w:tc>
        <w:tc>
          <w:tcPr>
            <w:tcW w:w="1659" w:type="dxa"/>
            <w:shd w:val="clear" w:color="auto" w:fill="auto"/>
            <w:vAlign w:val="center"/>
          </w:tcPr>
          <w:p w14:paraId="0F2424C0" w14:textId="77777777" w:rsidR="001A1C63" w:rsidRPr="00B55A80" w:rsidRDefault="001A1C63" w:rsidP="001A1C63">
            <w:pPr>
              <w:jc w:val="center"/>
              <w:rPr>
                <w:color w:val="000000"/>
              </w:rPr>
            </w:pPr>
            <w:r w:rsidRPr="00B55A80">
              <w:rPr>
                <w:color w:val="000000"/>
              </w:rPr>
              <w:t>CA0037966</w:t>
            </w:r>
          </w:p>
        </w:tc>
        <w:tc>
          <w:tcPr>
            <w:tcW w:w="1659" w:type="dxa"/>
            <w:tcBorders>
              <w:right w:val="single" w:sz="4" w:space="0" w:color="auto"/>
            </w:tcBorders>
            <w:shd w:val="clear" w:color="auto" w:fill="auto"/>
            <w:vAlign w:val="center"/>
          </w:tcPr>
          <w:p w14:paraId="78A28368" w14:textId="5661282E" w:rsidR="001A1C63" w:rsidRPr="00B55A80" w:rsidRDefault="001A1C63" w:rsidP="005570C7">
            <w:pPr>
              <w:jc w:val="center"/>
              <w:rPr>
                <w:color w:val="000000"/>
              </w:rPr>
            </w:pPr>
            <w:r w:rsidRPr="00397521">
              <w:t>R2-2016-0018</w:t>
            </w:r>
          </w:p>
        </w:tc>
        <w:tc>
          <w:tcPr>
            <w:tcW w:w="1659" w:type="dxa"/>
            <w:tcBorders>
              <w:right w:val="single" w:sz="4" w:space="0" w:color="auto"/>
            </w:tcBorders>
            <w:shd w:val="clear" w:color="auto" w:fill="auto"/>
            <w:vAlign w:val="center"/>
          </w:tcPr>
          <w:p w14:paraId="0D982CB0" w14:textId="46EA6305" w:rsidR="001A1C63" w:rsidRPr="00B55A80" w:rsidRDefault="001A1C63" w:rsidP="005570C7">
            <w:pPr>
              <w:jc w:val="center"/>
              <w:rPr>
                <w:color w:val="000000"/>
              </w:rPr>
            </w:pPr>
            <w:r w:rsidRPr="00397521">
              <w:t>4/13/2016</w:t>
            </w:r>
          </w:p>
        </w:tc>
        <w:tc>
          <w:tcPr>
            <w:tcW w:w="1759" w:type="dxa"/>
            <w:tcBorders>
              <w:right w:val="single" w:sz="12" w:space="0" w:color="auto"/>
            </w:tcBorders>
            <w:shd w:val="clear" w:color="auto" w:fill="auto"/>
            <w:vAlign w:val="center"/>
          </w:tcPr>
          <w:p w14:paraId="21F711D0" w14:textId="0AEB2332" w:rsidR="001A1C63" w:rsidRPr="00B55A80" w:rsidRDefault="001A1C63" w:rsidP="005570C7">
            <w:pPr>
              <w:jc w:val="center"/>
              <w:rPr>
                <w:color w:val="000000"/>
              </w:rPr>
            </w:pPr>
            <w:r w:rsidRPr="00397521">
              <w:t>4/30/2021</w:t>
            </w:r>
          </w:p>
        </w:tc>
      </w:tr>
      <w:tr w:rsidR="001A1C63" w:rsidRPr="00B55A80" w14:paraId="71EBC4A3" w14:textId="77777777" w:rsidTr="005570C7">
        <w:trPr>
          <w:cantSplit/>
        </w:trPr>
        <w:tc>
          <w:tcPr>
            <w:tcW w:w="3776" w:type="dxa"/>
            <w:tcBorders>
              <w:left w:val="single" w:sz="12" w:space="0" w:color="auto"/>
            </w:tcBorders>
            <w:shd w:val="clear" w:color="auto" w:fill="auto"/>
          </w:tcPr>
          <w:p w14:paraId="4214259A" w14:textId="77777777" w:rsidR="001A1C63" w:rsidRPr="00B55A80" w:rsidRDefault="001A1C63" w:rsidP="001A1C63">
            <w:pPr>
              <w:rPr>
                <w:rFonts w:eastAsia="Arial Unicode MS"/>
              </w:rPr>
            </w:pPr>
            <w:r w:rsidRPr="00B55A80">
              <w:t>Central Contra Costa Sanitary District</w:t>
            </w:r>
          </w:p>
        </w:tc>
        <w:tc>
          <w:tcPr>
            <w:tcW w:w="1659" w:type="dxa"/>
            <w:shd w:val="clear" w:color="auto" w:fill="auto"/>
            <w:vAlign w:val="center"/>
          </w:tcPr>
          <w:p w14:paraId="19F35F29" w14:textId="77777777" w:rsidR="001A1C63" w:rsidRPr="00B55A80" w:rsidRDefault="001A1C63" w:rsidP="001A1C63">
            <w:pPr>
              <w:jc w:val="center"/>
              <w:rPr>
                <w:color w:val="000000"/>
              </w:rPr>
            </w:pPr>
            <w:r w:rsidRPr="00B55A80">
              <w:rPr>
                <w:color w:val="000000"/>
              </w:rPr>
              <w:t>CA0037648</w:t>
            </w:r>
          </w:p>
        </w:tc>
        <w:tc>
          <w:tcPr>
            <w:tcW w:w="1659" w:type="dxa"/>
            <w:tcBorders>
              <w:right w:val="single" w:sz="4" w:space="0" w:color="auto"/>
            </w:tcBorders>
            <w:shd w:val="clear" w:color="auto" w:fill="auto"/>
            <w:vAlign w:val="center"/>
          </w:tcPr>
          <w:p w14:paraId="2896760C" w14:textId="34BCC86D" w:rsidR="001A1C63" w:rsidRPr="00B55A80" w:rsidRDefault="001A1C63" w:rsidP="005570C7">
            <w:pPr>
              <w:jc w:val="center"/>
              <w:rPr>
                <w:color w:val="000000"/>
              </w:rPr>
            </w:pPr>
            <w:r w:rsidRPr="00397521">
              <w:t>R2-201</w:t>
            </w:r>
            <w:r w:rsidR="00AA03EC">
              <w:t>7</w:t>
            </w:r>
            <w:r w:rsidRPr="00397521">
              <w:t>-00</w:t>
            </w:r>
            <w:r w:rsidR="00AA03EC">
              <w:t>09</w:t>
            </w:r>
          </w:p>
        </w:tc>
        <w:tc>
          <w:tcPr>
            <w:tcW w:w="1659" w:type="dxa"/>
            <w:tcBorders>
              <w:right w:val="single" w:sz="4" w:space="0" w:color="auto"/>
            </w:tcBorders>
            <w:shd w:val="clear" w:color="auto" w:fill="auto"/>
            <w:vAlign w:val="center"/>
          </w:tcPr>
          <w:p w14:paraId="2F3B6F25" w14:textId="1B273414" w:rsidR="001A1C63" w:rsidRPr="00B55A80" w:rsidRDefault="00AA03EC" w:rsidP="00AA03EC">
            <w:pPr>
              <w:jc w:val="center"/>
              <w:rPr>
                <w:color w:val="000000"/>
              </w:rPr>
            </w:pPr>
            <w:r>
              <w:t>4</w:t>
            </w:r>
            <w:r w:rsidR="001A1C63" w:rsidRPr="00397521">
              <w:t>/</w:t>
            </w:r>
            <w:r>
              <w:t>12</w:t>
            </w:r>
            <w:r w:rsidR="001A1C63" w:rsidRPr="00397521">
              <w:t>/201</w:t>
            </w:r>
            <w:r>
              <w:t>7</w:t>
            </w:r>
          </w:p>
        </w:tc>
        <w:tc>
          <w:tcPr>
            <w:tcW w:w="1759" w:type="dxa"/>
            <w:tcBorders>
              <w:right w:val="single" w:sz="12" w:space="0" w:color="auto"/>
            </w:tcBorders>
            <w:shd w:val="clear" w:color="auto" w:fill="auto"/>
            <w:vAlign w:val="center"/>
          </w:tcPr>
          <w:p w14:paraId="1623AE8B" w14:textId="67911734" w:rsidR="001A1C63" w:rsidRPr="00B55A80" w:rsidRDefault="00AA03EC" w:rsidP="00AA03EC">
            <w:pPr>
              <w:jc w:val="center"/>
              <w:rPr>
                <w:color w:val="000000"/>
              </w:rPr>
            </w:pPr>
            <w:r>
              <w:t>5</w:t>
            </w:r>
            <w:r w:rsidR="001A1C63" w:rsidRPr="00397521">
              <w:t>/31/20</w:t>
            </w:r>
            <w:r>
              <w:t>22</w:t>
            </w:r>
          </w:p>
        </w:tc>
      </w:tr>
      <w:tr w:rsidR="001A1C63" w:rsidRPr="00B55A80" w14:paraId="48B3DAE1" w14:textId="77777777" w:rsidTr="005570C7">
        <w:trPr>
          <w:cantSplit/>
        </w:trPr>
        <w:tc>
          <w:tcPr>
            <w:tcW w:w="3776" w:type="dxa"/>
            <w:tcBorders>
              <w:left w:val="single" w:sz="12" w:space="0" w:color="auto"/>
            </w:tcBorders>
            <w:shd w:val="clear" w:color="auto" w:fill="auto"/>
          </w:tcPr>
          <w:p w14:paraId="7CE39F9E" w14:textId="77777777" w:rsidR="001A1C63" w:rsidRPr="00B55A80" w:rsidRDefault="001A1C63" w:rsidP="001A1C63">
            <w:pPr>
              <w:rPr>
                <w:rFonts w:eastAsia="Arial Unicode MS"/>
              </w:rPr>
            </w:pPr>
            <w:r w:rsidRPr="00B55A80">
              <w:t>Central Marin Sanitation Agency</w:t>
            </w:r>
          </w:p>
        </w:tc>
        <w:tc>
          <w:tcPr>
            <w:tcW w:w="1659" w:type="dxa"/>
            <w:shd w:val="clear" w:color="auto" w:fill="auto"/>
            <w:vAlign w:val="center"/>
          </w:tcPr>
          <w:p w14:paraId="436F5AB9" w14:textId="77777777" w:rsidR="001A1C63" w:rsidRPr="00B55A80" w:rsidRDefault="001A1C63" w:rsidP="001A1C63">
            <w:pPr>
              <w:jc w:val="center"/>
              <w:rPr>
                <w:color w:val="000000"/>
              </w:rPr>
            </w:pPr>
            <w:r w:rsidRPr="00B55A80">
              <w:rPr>
                <w:color w:val="000000"/>
              </w:rPr>
              <w:t>CA0038628</w:t>
            </w:r>
          </w:p>
        </w:tc>
        <w:tc>
          <w:tcPr>
            <w:tcW w:w="1659" w:type="dxa"/>
            <w:tcBorders>
              <w:right w:val="single" w:sz="4" w:space="0" w:color="auto"/>
            </w:tcBorders>
            <w:shd w:val="clear" w:color="auto" w:fill="auto"/>
            <w:vAlign w:val="center"/>
          </w:tcPr>
          <w:p w14:paraId="21F83B75" w14:textId="3F6B59B0" w:rsidR="001A1C63" w:rsidRPr="00B55A80" w:rsidRDefault="001A1C63" w:rsidP="005570C7">
            <w:pPr>
              <w:jc w:val="center"/>
              <w:rPr>
                <w:color w:val="000000"/>
              </w:rPr>
            </w:pPr>
            <w:r w:rsidRPr="00397521">
              <w:t>R2-2012-0051</w:t>
            </w:r>
          </w:p>
        </w:tc>
        <w:tc>
          <w:tcPr>
            <w:tcW w:w="1659" w:type="dxa"/>
            <w:tcBorders>
              <w:right w:val="single" w:sz="4" w:space="0" w:color="auto"/>
            </w:tcBorders>
            <w:shd w:val="clear" w:color="auto" w:fill="auto"/>
            <w:vAlign w:val="center"/>
          </w:tcPr>
          <w:p w14:paraId="4B0DBF96" w14:textId="3C34CD1B" w:rsidR="001A1C63" w:rsidRPr="00B55A80" w:rsidRDefault="001A1C63" w:rsidP="005570C7">
            <w:pPr>
              <w:jc w:val="center"/>
              <w:rPr>
                <w:color w:val="000000"/>
              </w:rPr>
            </w:pPr>
            <w:r w:rsidRPr="00397521">
              <w:t>6/13/2012</w:t>
            </w:r>
          </w:p>
        </w:tc>
        <w:tc>
          <w:tcPr>
            <w:tcW w:w="1759" w:type="dxa"/>
            <w:tcBorders>
              <w:right w:val="single" w:sz="12" w:space="0" w:color="auto"/>
            </w:tcBorders>
            <w:shd w:val="clear" w:color="auto" w:fill="auto"/>
            <w:vAlign w:val="center"/>
          </w:tcPr>
          <w:p w14:paraId="697BAD4A" w14:textId="256E1F7B" w:rsidR="001A1C63" w:rsidRPr="00B55A80" w:rsidRDefault="001A1C63" w:rsidP="005570C7">
            <w:pPr>
              <w:jc w:val="center"/>
              <w:rPr>
                <w:color w:val="000000"/>
              </w:rPr>
            </w:pPr>
            <w:r w:rsidRPr="00397521">
              <w:t>7/31/2017</w:t>
            </w:r>
          </w:p>
        </w:tc>
      </w:tr>
      <w:tr w:rsidR="001A1C63" w:rsidRPr="00B55A80" w14:paraId="2BF4EEAF" w14:textId="77777777" w:rsidTr="005570C7">
        <w:trPr>
          <w:cantSplit/>
        </w:trPr>
        <w:tc>
          <w:tcPr>
            <w:tcW w:w="3776" w:type="dxa"/>
            <w:tcBorders>
              <w:left w:val="single" w:sz="12" w:space="0" w:color="auto"/>
            </w:tcBorders>
            <w:shd w:val="clear" w:color="auto" w:fill="auto"/>
            <w:vAlign w:val="center"/>
          </w:tcPr>
          <w:p w14:paraId="36E0D244" w14:textId="77777777" w:rsidR="001A1C63" w:rsidRPr="00B55A80" w:rsidRDefault="001A1C63" w:rsidP="001A1C63">
            <w:r w:rsidRPr="00B55A80">
              <w:t>Crockett Community Services District, Port Costa Sanitary Dept.</w:t>
            </w:r>
          </w:p>
        </w:tc>
        <w:tc>
          <w:tcPr>
            <w:tcW w:w="1659" w:type="dxa"/>
            <w:shd w:val="clear" w:color="auto" w:fill="auto"/>
            <w:vAlign w:val="center"/>
          </w:tcPr>
          <w:p w14:paraId="69EF3D16" w14:textId="77777777" w:rsidR="001A1C63" w:rsidRPr="00B55A80" w:rsidRDefault="001A1C63" w:rsidP="001A1C63">
            <w:pPr>
              <w:jc w:val="center"/>
              <w:rPr>
                <w:color w:val="000000"/>
              </w:rPr>
            </w:pPr>
            <w:r w:rsidRPr="00B55A80">
              <w:rPr>
                <w:color w:val="000000"/>
              </w:rPr>
              <w:t>CA0037885</w:t>
            </w:r>
          </w:p>
        </w:tc>
        <w:tc>
          <w:tcPr>
            <w:tcW w:w="1659" w:type="dxa"/>
            <w:tcBorders>
              <w:right w:val="single" w:sz="4" w:space="0" w:color="auto"/>
            </w:tcBorders>
            <w:shd w:val="clear" w:color="auto" w:fill="auto"/>
            <w:vAlign w:val="center"/>
          </w:tcPr>
          <w:p w14:paraId="1A0772A6" w14:textId="67099914" w:rsidR="001A1C63" w:rsidRPr="00B55A80" w:rsidRDefault="001A1C63" w:rsidP="005570C7">
            <w:pPr>
              <w:jc w:val="center"/>
              <w:rPr>
                <w:color w:val="000000"/>
              </w:rPr>
            </w:pPr>
            <w:r w:rsidRPr="00397521">
              <w:t>R2-2013-0035</w:t>
            </w:r>
          </w:p>
        </w:tc>
        <w:tc>
          <w:tcPr>
            <w:tcW w:w="1659" w:type="dxa"/>
            <w:tcBorders>
              <w:right w:val="single" w:sz="4" w:space="0" w:color="auto"/>
            </w:tcBorders>
            <w:shd w:val="clear" w:color="auto" w:fill="auto"/>
            <w:vAlign w:val="center"/>
          </w:tcPr>
          <w:p w14:paraId="2AC6153C" w14:textId="7307541C" w:rsidR="001A1C63" w:rsidRPr="00B55A80" w:rsidRDefault="001A1C63" w:rsidP="005570C7">
            <w:pPr>
              <w:jc w:val="center"/>
              <w:rPr>
                <w:color w:val="000000"/>
              </w:rPr>
            </w:pPr>
            <w:r w:rsidRPr="00397521">
              <w:t>10/9/2013</w:t>
            </w:r>
          </w:p>
        </w:tc>
        <w:tc>
          <w:tcPr>
            <w:tcW w:w="1759" w:type="dxa"/>
            <w:tcBorders>
              <w:right w:val="single" w:sz="12" w:space="0" w:color="auto"/>
            </w:tcBorders>
            <w:shd w:val="clear" w:color="auto" w:fill="auto"/>
            <w:vAlign w:val="center"/>
          </w:tcPr>
          <w:p w14:paraId="0C296ADA" w14:textId="5FD0FD8E" w:rsidR="001A1C63" w:rsidRPr="00B55A80" w:rsidRDefault="001A1C63" w:rsidP="005570C7">
            <w:pPr>
              <w:jc w:val="center"/>
              <w:rPr>
                <w:color w:val="000000"/>
              </w:rPr>
            </w:pPr>
            <w:r w:rsidRPr="00397521">
              <w:t>11/30/2018</w:t>
            </w:r>
          </w:p>
        </w:tc>
      </w:tr>
      <w:tr w:rsidR="001A1C63" w:rsidRPr="00B55A80" w14:paraId="1ECD1601" w14:textId="77777777" w:rsidTr="005570C7">
        <w:trPr>
          <w:cantSplit/>
        </w:trPr>
        <w:tc>
          <w:tcPr>
            <w:tcW w:w="3776" w:type="dxa"/>
            <w:tcBorders>
              <w:left w:val="single" w:sz="12" w:space="0" w:color="auto"/>
            </w:tcBorders>
            <w:shd w:val="clear" w:color="auto" w:fill="auto"/>
          </w:tcPr>
          <w:p w14:paraId="6E757FF8" w14:textId="77777777" w:rsidR="001A1C63" w:rsidRPr="00B55A80" w:rsidRDefault="001A1C63" w:rsidP="001A1C63">
            <w:pPr>
              <w:rPr>
                <w:rFonts w:eastAsia="Arial Unicode MS"/>
              </w:rPr>
            </w:pPr>
            <w:r w:rsidRPr="00B55A80">
              <w:t>Delta Diablo Sanitation District</w:t>
            </w:r>
          </w:p>
        </w:tc>
        <w:tc>
          <w:tcPr>
            <w:tcW w:w="1659" w:type="dxa"/>
            <w:shd w:val="clear" w:color="auto" w:fill="auto"/>
            <w:vAlign w:val="center"/>
          </w:tcPr>
          <w:p w14:paraId="2CBB497A" w14:textId="77777777" w:rsidR="001A1C63" w:rsidRPr="00B55A80" w:rsidRDefault="001A1C63" w:rsidP="001A1C63">
            <w:pPr>
              <w:jc w:val="center"/>
              <w:rPr>
                <w:color w:val="000000"/>
              </w:rPr>
            </w:pPr>
            <w:r w:rsidRPr="00B55A80">
              <w:rPr>
                <w:color w:val="000000"/>
              </w:rPr>
              <w:t>CA0038547</w:t>
            </w:r>
          </w:p>
        </w:tc>
        <w:tc>
          <w:tcPr>
            <w:tcW w:w="1659" w:type="dxa"/>
            <w:tcBorders>
              <w:right w:val="single" w:sz="4" w:space="0" w:color="auto"/>
            </w:tcBorders>
            <w:shd w:val="clear" w:color="auto" w:fill="auto"/>
            <w:vAlign w:val="center"/>
          </w:tcPr>
          <w:p w14:paraId="27FE94E1" w14:textId="551711EB" w:rsidR="001A1C63" w:rsidRPr="00B55A80" w:rsidRDefault="001A1C63" w:rsidP="005570C7">
            <w:pPr>
              <w:jc w:val="center"/>
              <w:rPr>
                <w:color w:val="000000"/>
              </w:rPr>
            </w:pPr>
            <w:r w:rsidRPr="00397521">
              <w:t>R2-2014-0030</w:t>
            </w:r>
          </w:p>
        </w:tc>
        <w:tc>
          <w:tcPr>
            <w:tcW w:w="1659" w:type="dxa"/>
            <w:tcBorders>
              <w:right w:val="single" w:sz="4" w:space="0" w:color="auto"/>
            </w:tcBorders>
            <w:shd w:val="clear" w:color="auto" w:fill="auto"/>
            <w:vAlign w:val="center"/>
          </w:tcPr>
          <w:p w14:paraId="6CA2411F" w14:textId="23D16E42" w:rsidR="001A1C63" w:rsidRPr="00B55A80" w:rsidRDefault="001A1C63" w:rsidP="005570C7">
            <w:pPr>
              <w:jc w:val="center"/>
              <w:rPr>
                <w:color w:val="000000"/>
              </w:rPr>
            </w:pPr>
            <w:r w:rsidRPr="00397521">
              <w:t>8/13/2014</w:t>
            </w:r>
          </w:p>
        </w:tc>
        <w:tc>
          <w:tcPr>
            <w:tcW w:w="1759" w:type="dxa"/>
            <w:tcBorders>
              <w:right w:val="single" w:sz="12" w:space="0" w:color="auto"/>
            </w:tcBorders>
            <w:shd w:val="clear" w:color="auto" w:fill="auto"/>
            <w:vAlign w:val="center"/>
          </w:tcPr>
          <w:p w14:paraId="27A923BF" w14:textId="1D25E405" w:rsidR="001A1C63" w:rsidRPr="00B55A80" w:rsidRDefault="001A1C63" w:rsidP="005570C7">
            <w:pPr>
              <w:jc w:val="center"/>
              <w:rPr>
                <w:color w:val="000000"/>
              </w:rPr>
            </w:pPr>
            <w:r w:rsidRPr="00397521">
              <w:t>9/30/2019</w:t>
            </w:r>
          </w:p>
        </w:tc>
      </w:tr>
      <w:tr w:rsidR="001A1C63" w:rsidRPr="00B55A80" w14:paraId="64CF27D9" w14:textId="77777777" w:rsidTr="005570C7">
        <w:trPr>
          <w:cantSplit/>
        </w:trPr>
        <w:tc>
          <w:tcPr>
            <w:tcW w:w="3776" w:type="dxa"/>
            <w:tcBorders>
              <w:left w:val="single" w:sz="12" w:space="0" w:color="auto"/>
            </w:tcBorders>
            <w:shd w:val="clear" w:color="auto" w:fill="auto"/>
          </w:tcPr>
          <w:p w14:paraId="3CD1E002" w14:textId="77777777" w:rsidR="001A1C63" w:rsidRPr="00B55A80" w:rsidRDefault="001A1C63" w:rsidP="001A1C63">
            <w:r w:rsidRPr="00B55A80">
              <w:t>East Bay Dischargers Authority</w:t>
            </w:r>
          </w:p>
        </w:tc>
        <w:tc>
          <w:tcPr>
            <w:tcW w:w="1659" w:type="dxa"/>
            <w:shd w:val="clear" w:color="auto" w:fill="auto"/>
            <w:vAlign w:val="center"/>
          </w:tcPr>
          <w:p w14:paraId="5A8B76AE" w14:textId="77777777" w:rsidR="001A1C63" w:rsidRPr="00B55A80" w:rsidRDefault="001A1C63" w:rsidP="001A1C63">
            <w:pPr>
              <w:jc w:val="center"/>
              <w:rPr>
                <w:color w:val="000000"/>
              </w:rPr>
            </w:pPr>
            <w:r w:rsidRPr="00B55A80">
              <w:rPr>
                <w:color w:val="000000"/>
              </w:rPr>
              <w:t>CA0037869</w:t>
            </w:r>
          </w:p>
        </w:tc>
        <w:tc>
          <w:tcPr>
            <w:tcW w:w="1659" w:type="dxa"/>
            <w:tcBorders>
              <w:right w:val="single" w:sz="4" w:space="0" w:color="auto"/>
            </w:tcBorders>
            <w:shd w:val="clear" w:color="auto" w:fill="auto"/>
            <w:vAlign w:val="center"/>
          </w:tcPr>
          <w:p w14:paraId="3354D5C4" w14:textId="6A0EECA7" w:rsidR="001A1C63" w:rsidRPr="00B55A80" w:rsidRDefault="001A1C63" w:rsidP="005570C7">
            <w:pPr>
              <w:jc w:val="center"/>
              <w:rPr>
                <w:color w:val="000000"/>
              </w:rPr>
            </w:pPr>
            <w:r w:rsidRPr="00397521">
              <w:t>R2-2017-0016</w:t>
            </w:r>
          </w:p>
        </w:tc>
        <w:tc>
          <w:tcPr>
            <w:tcW w:w="1659" w:type="dxa"/>
            <w:tcBorders>
              <w:right w:val="single" w:sz="4" w:space="0" w:color="auto"/>
            </w:tcBorders>
            <w:shd w:val="clear" w:color="auto" w:fill="auto"/>
            <w:vAlign w:val="center"/>
          </w:tcPr>
          <w:p w14:paraId="589990E6" w14:textId="7754DF08" w:rsidR="001A1C63" w:rsidRPr="00B55A80" w:rsidRDefault="001A1C63" w:rsidP="005570C7">
            <w:pPr>
              <w:jc w:val="center"/>
              <w:rPr>
                <w:color w:val="000000"/>
              </w:rPr>
            </w:pPr>
            <w:r w:rsidRPr="00397521">
              <w:t>5/10/2017</w:t>
            </w:r>
          </w:p>
        </w:tc>
        <w:tc>
          <w:tcPr>
            <w:tcW w:w="1759" w:type="dxa"/>
            <w:tcBorders>
              <w:right w:val="single" w:sz="12" w:space="0" w:color="auto"/>
            </w:tcBorders>
            <w:shd w:val="clear" w:color="auto" w:fill="auto"/>
            <w:vAlign w:val="center"/>
          </w:tcPr>
          <w:p w14:paraId="1658B973" w14:textId="433782C4" w:rsidR="001A1C63" w:rsidRPr="00B55A80" w:rsidRDefault="001A1C63" w:rsidP="005570C7">
            <w:pPr>
              <w:jc w:val="center"/>
              <w:rPr>
                <w:color w:val="000000"/>
              </w:rPr>
            </w:pPr>
            <w:r w:rsidRPr="00397521">
              <w:t>6/30/2022</w:t>
            </w:r>
          </w:p>
        </w:tc>
      </w:tr>
      <w:tr w:rsidR="001A1C63" w:rsidRPr="00B55A80" w14:paraId="0A77BA37" w14:textId="77777777" w:rsidTr="005570C7">
        <w:trPr>
          <w:cantSplit/>
          <w:trHeight w:val="224"/>
        </w:trPr>
        <w:tc>
          <w:tcPr>
            <w:tcW w:w="3776" w:type="dxa"/>
            <w:tcBorders>
              <w:left w:val="single" w:sz="12" w:space="0" w:color="auto"/>
            </w:tcBorders>
            <w:shd w:val="clear" w:color="auto" w:fill="auto"/>
          </w:tcPr>
          <w:p w14:paraId="7A389D13" w14:textId="77777777" w:rsidR="001A1C63" w:rsidRPr="00B55A80" w:rsidRDefault="001A1C63" w:rsidP="001A1C63">
            <w:r w:rsidRPr="00B55A80">
              <w:t xml:space="preserve">   Union S.D. Wet Weather Outfall</w:t>
            </w:r>
          </w:p>
        </w:tc>
        <w:tc>
          <w:tcPr>
            <w:tcW w:w="1659" w:type="dxa"/>
            <w:shd w:val="clear" w:color="auto" w:fill="auto"/>
            <w:vAlign w:val="center"/>
          </w:tcPr>
          <w:p w14:paraId="68EEDBA9" w14:textId="77777777" w:rsidR="001A1C63" w:rsidRPr="00B55A80" w:rsidRDefault="001A1C63" w:rsidP="001A1C63">
            <w:pPr>
              <w:jc w:val="center"/>
              <w:rPr>
                <w:color w:val="000000"/>
              </w:rPr>
            </w:pPr>
            <w:r w:rsidRPr="00B55A80">
              <w:rPr>
                <w:bCs/>
                <w:color w:val="000000"/>
              </w:rPr>
              <w:t>CA0038733</w:t>
            </w:r>
          </w:p>
        </w:tc>
        <w:tc>
          <w:tcPr>
            <w:tcW w:w="1659" w:type="dxa"/>
            <w:tcBorders>
              <w:right w:val="single" w:sz="4" w:space="0" w:color="auto"/>
            </w:tcBorders>
            <w:shd w:val="clear" w:color="auto" w:fill="auto"/>
            <w:vAlign w:val="center"/>
          </w:tcPr>
          <w:p w14:paraId="2E6DC2AE" w14:textId="0008008A" w:rsidR="001A1C63" w:rsidRPr="00B55A80" w:rsidRDefault="001A1C63" w:rsidP="005570C7">
            <w:pPr>
              <w:jc w:val="center"/>
              <w:rPr>
                <w:color w:val="000000"/>
              </w:rPr>
            </w:pPr>
            <w:r w:rsidRPr="00397521">
              <w:t>R2-2015-0045</w:t>
            </w:r>
          </w:p>
        </w:tc>
        <w:tc>
          <w:tcPr>
            <w:tcW w:w="1659" w:type="dxa"/>
            <w:tcBorders>
              <w:right w:val="single" w:sz="4" w:space="0" w:color="auto"/>
            </w:tcBorders>
            <w:shd w:val="clear" w:color="auto" w:fill="auto"/>
            <w:vAlign w:val="center"/>
          </w:tcPr>
          <w:p w14:paraId="43D25059" w14:textId="58B6120F" w:rsidR="001A1C63" w:rsidRPr="00B55A80" w:rsidRDefault="001A1C63" w:rsidP="005570C7">
            <w:pPr>
              <w:jc w:val="center"/>
              <w:rPr>
                <w:color w:val="000000"/>
              </w:rPr>
            </w:pPr>
            <w:r w:rsidRPr="00397521">
              <w:t>11/18/2015</w:t>
            </w:r>
          </w:p>
        </w:tc>
        <w:tc>
          <w:tcPr>
            <w:tcW w:w="1759" w:type="dxa"/>
            <w:tcBorders>
              <w:right w:val="single" w:sz="12" w:space="0" w:color="auto"/>
            </w:tcBorders>
            <w:shd w:val="clear" w:color="auto" w:fill="auto"/>
            <w:vAlign w:val="center"/>
          </w:tcPr>
          <w:p w14:paraId="76613694" w14:textId="30FA97DA" w:rsidR="001A1C63" w:rsidRPr="00B55A80" w:rsidRDefault="001A1C63" w:rsidP="005570C7">
            <w:pPr>
              <w:jc w:val="center"/>
              <w:rPr>
                <w:color w:val="000000"/>
              </w:rPr>
            </w:pPr>
            <w:r w:rsidRPr="00397521">
              <w:t>12/31/2020</w:t>
            </w:r>
          </w:p>
        </w:tc>
      </w:tr>
      <w:tr w:rsidR="001A1C63" w:rsidRPr="00B55A80" w14:paraId="2BF47E90" w14:textId="77777777" w:rsidTr="005570C7">
        <w:trPr>
          <w:cantSplit/>
        </w:trPr>
        <w:tc>
          <w:tcPr>
            <w:tcW w:w="3776" w:type="dxa"/>
            <w:tcBorders>
              <w:left w:val="single" w:sz="12" w:space="0" w:color="auto"/>
            </w:tcBorders>
            <w:shd w:val="clear" w:color="auto" w:fill="auto"/>
          </w:tcPr>
          <w:p w14:paraId="2E2F7991" w14:textId="77777777" w:rsidR="001A1C63" w:rsidRPr="00B55A80" w:rsidRDefault="001A1C63" w:rsidP="001A1C63">
            <w:r w:rsidRPr="00B55A80">
              <w:t xml:space="preserve">   Union S.D. Hayward Marsh</w:t>
            </w:r>
          </w:p>
        </w:tc>
        <w:tc>
          <w:tcPr>
            <w:tcW w:w="1659" w:type="dxa"/>
            <w:shd w:val="clear" w:color="auto" w:fill="auto"/>
            <w:vAlign w:val="center"/>
          </w:tcPr>
          <w:p w14:paraId="6E57823F" w14:textId="77777777" w:rsidR="001A1C63" w:rsidRPr="00B55A80" w:rsidRDefault="001A1C63" w:rsidP="001A1C63">
            <w:pPr>
              <w:jc w:val="center"/>
              <w:rPr>
                <w:color w:val="000000"/>
              </w:rPr>
            </w:pPr>
            <w:r w:rsidRPr="00B55A80">
              <w:rPr>
                <w:color w:val="000000"/>
              </w:rPr>
              <w:t>CA0038636</w:t>
            </w:r>
          </w:p>
        </w:tc>
        <w:tc>
          <w:tcPr>
            <w:tcW w:w="1659" w:type="dxa"/>
            <w:tcBorders>
              <w:right w:val="single" w:sz="4" w:space="0" w:color="auto"/>
            </w:tcBorders>
            <w:shd w:val="clear" w:color="auto" w:fill="auto"/>
            <w:vAlign w:val="center"/>
          </w:tcPr>
          <w:p w14:paraId="2E2C8B2C" w14:textId="5B9F6A4B" w:rsidR="001A1C63" w:rsidRPr="00B55A80" w:rsidRDefault="001A1C63" w:rsidP="005570C7">
            <w:pPr>
              <w:jc w:val="center"/>
              <w:rPr>
                <w:color w:val="000000"/>
              </w:rPr>
            </w:pPr>
            <w:r w:rsidRPr="00397521">
              <w:t>R2-2011-0058</w:t>
            </w:r>
          </w:p>
        </w:tc>
        <w:tc>
          <w:tcPr>
            <w:tcW w:w="1659" w:type="dxa"/>
            <w:tcBorders>
              <w:right w:val="single" w:sz="4" w:space="0" w:color="auto"/>
            </w:tcBorders>
            <w:shd w:val="clear" w:color="auto" w:fill="auto"/>
            <w:vAlign w:val="center"/>
          </w:tcPr>
          <w:p w14:paraId="7DE3DA31" w14:textId="403EB4CA" w:rsidR="001A1C63" w:rsidRPr="00B55A80" w:rsidRDefault="001A1C63" w:rsidP="005570C7">
            <w:pPr>
              <w:jc w:val="center"/>
              <w:rPr>
                <w:color w:val="000000"/>
              </w:rPr>
            </w:pPr>
            <w:r w:rsidRPr="00397521">
              <w:t>9/14/2011</w:t>
            </w:r>
          </w:p>
        </w:tc>
        <w:tc>
          <w:tcPr>
            <w:tcW w:w="1759" w:type="dxa"/>
            <w:tcBorders>
              <w:right w:val="single" w:sz="12" w:space="0" w:color="auto"/>
            </w:tcBorders>
            <w:shd w:val="clear" w:color="auto" w:fill="auto"/>
            <w:vAlign w:val="center"/>
          </w:tcPr>
          <w:p w14:paraId="29368762" w14:textId="6978C7DE" w:rsidR="001A1C63" w:rsidRPr="00B55A80" w:rsidRDefault="001A1C63" w:rsidP="005570C7">
            <w:pPr>
              <w:jc w:val="center"/>
              <w:rPr>
                <w:color w:val="000000"/>
              </w:rPr>
            </w:pPr>
            <w:r w:rsidRPr="00397521">
              <w:t>10/31/2016</w:t>
            </w:r>
          </w:p>
        </w:tc>
      </w:tr>
      <w:tr w:rsidR="001A1C63" w:rsidRPr="00B55A80" w14:paraId="765B2A2D" w14:textId="77777777" w:rsidTr="005570C7">
        <w:trPr>
          <w:cantSplit/>
        </w:trPr>
        <w:tc>
          <w:tcPr>
            <w:tcW w:w="3776" w:type="dxa"/>
            <w:tcBorders>
              <w:left w:val="single" w:sz="12" w:space="0" w:color="auto"/>
            </w:tcBorders>
            <w:shd w:val="clear" w:color="auto" w:fill="auto"/>
          </w:tcPr>
          <w:p w14:paraId="5DA82A7C" w14:textId="77777777" w:rsidR="001A1C63" w:rsidRPr="00B55A80" w:rsidRDefault="001A1C63" w:rsidP="001A1C63">
            <w:r w:rsidRPr="00B55A80">
              <w:t xml:space="preserve">   Dublin San Ramon Services District</w:t>
            </w:r>
          </w:p>
        </w:tc>
        <w:tc>
          <w:tcPr>
            <w:tcW w:w="1659" w:type="dxa"/>
            <w:shd w:val="clear" w:color="auto" w:fill="auto"/>
            <w:vAlign w:val="center"/>
          </w:tcPr>
          <w:p w14:paraId="1772BE87" w14:textId="77777777" w:rsidR="001A1C63" w:rsidRPr="00B55A80" w:rsidRDefault="001A1C63" w:rsidP="001A1C63">
            <w:pPr>
              <w:jc w:val="center"/>
              <w:rPr>
                <w:color w:val="000000"/>
              </w:rPr>
            </w:pPr>
            <w:r w:rsidRPr="00B55A80">
              <w:rPr>
                <w:color w:val="000000"/>
              </w:rPr>
              <w:t>CA0037613</w:t>
            </w:r>
          </w:p>
        </w:tc>
        <w:tc>
          <w:tcPr>
            <w:tcW w:w="1659" w:type="dxa"/>
            <w:tcBorders>
              <w:right w:val="single" w:sz="4" w:space="0" w:color="auto"/>
            </w:tcBorders>
            <w:shd w:val="clear" w:color="auto" w:fill="auto"/>
            <w:vAlign w:val="center"/>
          </w:tcPr>
          <w:p w14:paraId="2803EE9A" w14:textId="177AFE58" w:rsidR="001A1C63" w:rsidRPr="00B55A80" w:rsidRDefault="001A1C63" w:rsidP="005570C7">
            <w:pPr>
              <w:jc w:val="center"/>
              <w:rPr>
                <w:color w:val="000000"/>
              </w:rPr>
            </w:pPr>
            <w:r>
              <w:t>R2-2017</w:t>
            </w:r>
            <w:r w:rsidRPr="00397521">
              <w:t>-00</w:t>
            </w:r>
            <w:r>
              <w:t>17</w:t>
            </w:r>
          </w:p>
        </w:tc>
        <w:tc>
          <w:tcPr>
            <w:tcW w:w="1659" w:type="dxa"/>
            <w:tcBorders>
              <w:right w:val="single" w:sz="4" w:space="0" w:color="auto"/>
            </w:tcBorders>
            <w:shd w:val="clear" w:color="auto" w:fill="auto"/>
            <w:vAlign w:val="center"/>
          </w:tcPr>
          <w:p w14:paraId="39E54E35" w14:textId="689530A6" w:rsidR="001A1C63" w:rsidRPr="00B55A80" w:rsidRDefault="001A1C63" w:rsidP="005570C7">
            <w:pPr>
              <w:jc w:val="center"/>
              <w:rPr>
                <w:color w:val="000000"/>
              </w:rPr>
            </w:pPr>
            <w:r>
              <w:t>5/10</w:t>
            </w:r>
            <w:r w:rsidRPr="00397521">
              <w:t>/201</w:t>
            </w:r>
            <w:r>
              <w:t>7</w:t>
            </w:r>
          </w:p>
        </w:tc>
        <w:tc>
          <w:tcPr>
            <w:tcW w:w="1759" w:type="dxa"/>
            <w:tcBorders>
              <w:right w:val="single" w:sz="12" w:space="0" w:color="auto"/>
            </w:tcBorders>
            <w:shd w:val="clear" w:color="auto" w:fill="auto"/>
            <w:vAlign w:val="center"/>
          </w:tcPr>
          <w:p w14:paraId="2CF60CF0" w14:textId="1A33663A" w:rsidR="001A1C63" w:rsidRPr="00B55A80" w:rsidRDefault="001A1C63" w:rsidP="005570C7">
            <w:pPr>
              <w:jc w:val="center"/>
              <w:rPr>
                <w:color w:val="000000"/>
              </w:rPr>
            </w:pPr>
            <w:r w:rsidRPr="00397521">
              <w:t>6/30/2022</w:t>
            </w:r>
          </w:p>
        </w:tc>
      </w:tr>
      <w:tr w:rsidR="001A1C63" w:rsidRPr="00B55A80" w14:paraId="5F6B6BD7" w14:textId="77777777" w:rsidTr="005570C7">
        <w:trPr>
          <w:cantSplit/>
        </w:trPr>
        <w:tc>
          <w:tcPr>
            <w:tcW w:w="3776" w:type="dxa"/>
            <w:tcBorders>
              <w:left w:val="single" w:sz="12" w:space="0" w:color="auto"/>
            </w:tcBorders>
            <w:shd w:val="clear" w:color="auto" w:fill="auto"/>
          </w:tcPr>
          <w:p w14:paraId="226DFC22" w14:textId="77777777" w:rsidR="001A1C63" w:rsidRPr="00B55A80" w:rsidRDefault="001A1C63" w:rsidP="001A1C63">
            <w:r w:rsidRPr="00B55A80">
              <w:t xml:space="preserve">   City of Livermore</w:t>
            </w:r>
          </w:p>
        </w:tc>
        <w:tc>
          <w:tcPr>
            <w:tcW w:w="1659" w:type="dxa"/>
            <w:shd w:val="clear" w:color="auto" w:fill="auto"/>
            <w:vAlign w:val="center"/>
          </w:tcPr>
          <w:p w14:paraId="706E5A86" w14:textId="77777777" w:rsidR="001A1C63" w:rsidRPr="00B55A80" w:rsidRDefault="001A1C63" w:rsidP="001A1C63">
            <w:pPr>
              <w:jc w:val="center"/>
              <w:rPr>
                <w:color w:val="000000"/>
              </w:rPr>
            </w:pPr>
            <w:r w:rsidRPr="00B55A80">
              <w:rPr>
                <w:color w:val="000000"/>
              </w:rPr>
              <w:t>CA0038008</w:t>
            </w:r>
          </w:p>
        </w:tc>
        <w:tc>
          <w:tcPr>
            <w:tcW w:w="1659" w:type="dxa"/>
            <w:tcBorders>
              <w:right w:val="single" w:sz="4" w:space="0" w:color="auto"/>
            </w:tcBorders>
            <w:shd w:val="clear" w:color="auto" w:fill="auto"/>
            <w:vAlign w:val="center"/>
          </w:tcPr>
          <w:p w14:paraId="5493AD08" w14:textId="17BD9863" w:rsidR="001A1C63" w:rsidRPr="00B55A80" w:rsidRDefault="001A1C63" w:rsidP="005570C7">
            <w:pPr>
              <w:jc w:val="center"/>
              <w:rPr>
                <w:color w:val="000000"/>
              </w:rPr>
            </w:pPr>
            <w:r>
              <w:t>R2-2017-0018</w:t>
            </w:r>
          </w:p>
        </w:tc>
        <w:tc>
          <w:tcPr>
            <w:tcW w:w="1659" w:type="dxa"/>
            <w:tcBorders>
              <w:right w:val="single" w:sz="4" w:space="0" w:color="auto"/>
            </w:tcBorders>
            <w:shd w:val="clear" w:color="auto" w:fill="auto"/>
            <w:vAlign w:val="center"/>
          </w:tcPr>
          <w:p w14:paraId="4061EA8A" w14:textId="333136BC" w:rsidR="001A1C63" w:rsidRPr="00B55A80" w:rsidRDefault="001A1C63" w:rsidP="005570C7">
            <w:pPr>
              <w:jc w:val="center"/>
              <w:rPr>
                <w:color w:val="000000"/>
              </w:rPr>
            </w:pPr>
            <w:r>
              <w:t>5/10</w:t>
            </w:r>
            <w:r w:rsidRPr="00397521">
              <w:t>/201</w:t>
            </w:r>
            <w:r>
              <w:t>7</w:t>
            </w:r>
          </w:p>
        </w:tc>
        <w:tc>
          <w:tcPr>
            <w:tcW w:w="1759" w:type="dxa"/>
            <w:tcBorders>
              <w:right w:val="single" w:sz="12" w:space="0" w:color="auto"/>
            </w:tcBorders>
            <w:shd w:val="clear" w:color="auto" w:fill="auto"/>
            <w:vAlign w:val="center"/>
          </w:tcPr>
          <w:p w14:paraId="076F99C9" w14:textId="6E1AD36B" w:rsidR="001A1C63" w:rsidRPr="00B55A80" w:rsidRDefault="001A1C63" w:rsidP="005570C7">
            <w:pPr>
              <w:jc w:val="center"/>
              <w:rPr>
                <w:color w:val="000000"/>
              </w:rPr>
            </w:pPr>
            <w:r w:rsidRPr="00397521">
              <w:t>6/30/2022</w:t>
            </w:r>
          </w:p>
        </w:tc>
      </w:tr>
      <w:tr w:rsidR="001A1C63" w:rsidRPr="00B55A80" w14:paraId="1D15DC9C" w14:textId="77777777" w:rsidTr="005570C7">
        <w:trPr>
          <w:cantSplit/>
        </w:trPr>
        <w:tc>
          <w:tcPr>
            <w:tcW w:w="3776" w:type="dxa"/>
            <w:tcBorders>
              <w:left w:val="single" w:sz="12" w:space="0" w:color="auto"/>
            </w:tcBorders>
            <w:shd w:val="clear" w:color="auto" w:fill="auto"/>
          </w:tcPr>
          <w:p w14:paraId="3714FD4F" w14:textId="77777777" w:rsidR="001A1C63" w:rsidRPr="00B55A80" w:rsidRDefault="001A1C63" w:rsidP="001A1C63">
            <w:r w:rsidRPr="00B55A80">
              <w:t xml:space="preserve">   LAVWMA Wet Weather Outfall</w:t>
            </w:r>
          </w:p>
        </w:tc>
        <w:tc>
          <w:tcPr>
            <w:tcW w:w="1659" w:type="dxa"/>
            <w:shd w:val="clear" w:color="auto" w:fill="auto"/>
            <w:vAlign w:val="center"/>
          </w:tcPr>
          <w:p w14:paraId="3B46903F" w14:textId="77777777" w:rsidR="001A1C63" w:rsidRPr="00B55A80" w:rsidRDefault="001A1C63" w:rsidP="001A1C63">
            <w:pPr>
              <w:jc w:val="center"/>
              <w:rPr>
                <w:color w:val="000000"/>
              </w:rPr>
            </w:pPr>
            <w:r w:rsidRPr="00B55A80">
              <w:rPr>
                <w:color w:val="000000"/>
              </w:rPr>
              <w:t>CA0038679</w:t>
            </w:r>
          </w:p>
        </w:tc>
        <w:tc>
          <w:tcPr>
            <w:tcW w:w="1659" w:type="dxa"/>
            <w:tcBorders>
              <w:right w:val="single" w:sz="4" w:space="0" w:color="auto"/>
            </w:tcBorders>
            <w:shd w:val="clear" w:color="auto" w:fill="auto"/>
            <w:vAlign w:val="center"/>
          </w:tcPr>
          <w:p w14:paraId="1D18A4D8" w14:textId="15411E29" w:rsidR="001A1C63" w:rsidRPr="00B55A80" w:rsidRDefault="001A1C63" w:rsidP="005570C7">
            <w:pPr>
              <w:jc w:val="center"/>
              <w:rPr>
                <w:color w:val="000000"/>
              </w:rPr>
            </w:pPr>
            <w:r w:rsidRPr="00397521">
              <w:t>R2-2016-0015</w:t>
            </w:r>
          </w:p>
        </w:tc>
        <w:tc>
          <w:tcPr>
            <w:tcW w:w="1659" w:type="dxa"/>
            <w:tcBorders>
              <w:right w:val="single" w:sz="4" w:space="0" w:color="auto"/>
            </w:tcBorders>
            <w:shd w:val="clear" w:color="auto" w:fill="auto"/>
            <w:vAlign w:val="center"/>
          </w:tcPr>
          <w:p w14:paraId="5578B1C8" w14:textId="630D8B63" w:rsidR="001A1C63" w:rsidRPr="00B55A80" w:rsidRDefault="001A1C63" w:rsidP="005570C7">
            <w:pPr>
              <w:jc w:val="center"/>
              <w:rPr>
                <w:color w:val="000000"/>
              </w:rPr>
            </w:pPr>
            <w:r w:rsidRPr="00397521">
              <w:t>4/13/2016</w:t>
            </w:r>
          </w:p>
        </w:tc>
        <w:tc>
          <w:tcPr>
            <w:tcW w:w="1759" w:type="dxa"/>
            <w:tcBorders>
              <w:right w:val="single" w:sz="12" w:space="0" w:color="auto"/>
            </w:tcBorders>
            <w:shd w:val="clear" w:color="auto" w:fill="auto"/>
            <w:vAlign w:val="center"/>
          </w:tcPr>
          <w:p w14:paraId="12493228" w14:textId="0E6938FD" w:rsidR="001A1C63" w:rsidRPr="00B55A80" w:rsidRDefault="001A1C63" w:rsidP="005570C7">
            <w:pPr>
              <w:jc w:val="center"/>
              <w:rPr>
                <w:color w:val="000000"/>
              </w:rPr>
            </w:pPr>
            <w:r w:rsidRPr="00397521">
              <w:t>5/31/2021</w:t>
            </w:r>
          </w:p>
        </w:tc>
      </w:tr>
      <w:tr w:rsidR="001A1C63" w:rsidRPr="00B55A80" w14:paraId="036725AE" w14:textId="77777777" w:rsidTr="005570C7">
        <w:trPr>
          <w:cantSplit/>
        </w:trPr>
        <w:tc>
          <w:tcPr>
            <w:tcW w:w="3776" w:type="dxa"/>
            <w:tcBorders>
              <w:left w:val="single" w:sz="12" w:space="0" w:color="auto"/>
            </w:tcBorders>
            <w:shd w:val="clear" w:color="auto" w:fill="auto"/>
          </w:tcPr>
          <w:p w14:paraId="6ABD095D" w14:textId="44135FAF" w:rsidR="001A1C63" w:rsidRPr="00B55A80" w:rsidRDefault="001A1C63" w:rsidP="001A1C63">
            <w:pPr>
              <w:rPr>
                <w:rFonts w:eastAsia="Arial Unicode MS"/>
                <w:vertAlign w:val="superscript"/>
              </w:rPr>
            </w:pPr>
            <w:r w:rsidRPr="00B55A80">
              <w:t>East Bay Municipal Utility Dis</w:t>
            </w:r>
            <w:r>
              <w:t>trict</w:t>
            </w:r>
          </w:p>
        </w:tc>
        <w:tc>
          <w:tcPr>
            <w:tcW w:w="1659" w:type="dxa"/>
            <w:shd w:val="clear" w:color="auto" w:fill="auto"/>
            <w:vAlign w:val="center"/>
          </w:tcPr>
          <w:p w14:paraId="711D1391" w14:textId="77777777" w:rsidR="001A1C63" w:rsidRPr="00B55A80" w:rsidRDefault="001A1C63" w:rsidP="001A1C63">
            <w:pPr>
              <w:jc w:val="center"/>
              <w:rPr>
                <w:color w:val="000000"/>
              </w:rPr>
            </w:pPr>
            <w:r w:rsidRPr="00B55A80">
              <w:rPr>
                <w:color w:val="000000"/>
              </w:rPr>
              <w:t>CA0037702</w:t>
            </w:r>
          </w:p>
        </w:tc>
        <w:tc>
          <w:tcPr>
            <w:tcW w:w="1659" w:type="dxa"/>
            <w:tcBorders>
              <w:right w:val="single" w:sz="4" w:space="0" w:color="auto"/>
            </w:tcBorders>
            <w:shd w:val="clear" w:color="auto" w:fill="auto"/>
            <w:vAlign w:val="center"/>
          </w:tcPr>
          <w:p w14:paraId="03849944" w14:textId="47C45CFF" w:rsidR="001A1C63" w:rsidRPr="00B55A80" w:rsidRDefault="001A1C63" w:rsidP="005570C7">
            <w:pPr>
              <w:jc w:val="center"/>
              <w:rPr>
                <w:color w:val="000000"/>
              </w:rPr>
            </w:pPr>
            <w:r w:rsidRPr="00397521">
              <w:t>R2-2015-0018</w:t>
            </w:r>
          </w:p>
        </w:tc>
        <w:tc>
          <w:tcPr>
            <w:tcW w:w="1659" w:type="dxa"/>
            <w:tcBorders>
              <w:right w:val="single" w:sz="4" w:space="0" w:color="auto"/>
            </w:tcBorders>
            <w:shd w:val="clear" w:color="auto" w:fill="auto"/>
            <w:vAlign w:val="center"/>
          </w:tcPr>
          <w:p w14:paraId="10F87549" w14:textId="07FB90C9" w:rsidR="001A1C63" w:rsidRPr="00B55A80" w:rsidRDefault="001A1C63" w:rsidP="005570C7">
            <w:pPr>
              <w:jc w:val="center"/>
              <w:rPr>
                <w:color w:val="000000"/>
                <w:highlight w:val="red"/>
              </w:rPr>
            </w:pPr>
            <w:r w:rsidRPr="00397521">
              <w:t>5/13/2015</w:t>
            </w:r>
          </w:p>
        </w:tc>
        <w:tc>
          <w:tcPr>
            <w:tcW w:w="1759" w:type="dxa"/>
            <w:tcBorders>
              <w:right w:val="single" w:sz="12" w:space="0" w:color="auto"/>
            </w:tcBorders>
            <w:shd w:val="clear" w:color="auto" w:fill="auto"/>
            <w:vAlign w:val="center"/>
          </w:tcPr>
          <w:p w14:paraId="26B8321C" w14:textId="44D05B3D" w:rsidR="001A1C63" w:rsidRPr="00B55A80" w:rsidRDefault="001A1C63" w:rsidP="005570C7">
            <w:pPr>
              <w:jc w:val="center"/>
              <w:rPr>
                <w:color w:val="000000"/>
              </w:rPr>
            </w:pPr>
            <w:r w:rsidRPr="00397521">
              <w:t>6/30/2020</w:t>
            </w:r>
          </w:p>
        </w:tc>
      </w:tr>
      <w:tr w:rsidR="001A1C63" w:rsidRPr="00B55A80" w14:paraId="00AD1CDF" w14:textId="77777777" w:rsidTr="005570C7">
        <w:trPr>
          <w:cantSplit/>
        </w:trPr>
        <w:tc>
          <w:tcPr>
            <w:tcW w:w="3776" w:type="dxa"/>
            <w:tcBorders>
              <w:left w:val="single" w:sz="12" w:space="0" w:color="auto"/>
            </w:tcBorders>
            <w:shd w:val="clear" w:color="auto" w:fill="auto"/>
          </w:tcPr>
          <w:p w14:paraId="271D3EF5" w14:textId="77777777" w:rsidR="001A1C63" w:rsidRPr="00B55A80" w:rsidRDefault="001A1C63" w:rsidP="001A1C63">
            <w:pPr>
              <w:rPr>
                <w:rFonts w:eastAsia="Arial Unicode MS"/>
              </w:rPr>
            </w:pPr>
            <w:r w:rsidRPr="00B55A80">
              <w:t>Fairfield-Suisun Sewer District</w:t>
            </w:r>
          </w:p>
        </w:tc>
        <w:tc>
          <w:tcPr>
            <w:tcW w:w="1659" w:type="dxa"/>
            <w:shd w:val="clear" w:color="auto" w:fill="auto"/>
            <w:vAlign w:val="center"/>
          </w:tcPr>
          <w:p w14:paraId="28050011" w14:textId="77777777" w:rsidR="001A1C63" w:rsidRPr="00B55A80" w:rsidRDefault="001A1C63" w:rsidP="001A1C63">
            <w:pPr>
              <w:jc w:val="center"/>
              <w:rPr>
                <w:color w:val="000000"/>
              </w:rPr>
            </w:pPr>
            <w:r w:rsidRPr="00B55A80">
              <w:rPr>
                <w:color w:val="000000"/>
              </w:rPr>
              <w:t>CA0038024</w:t>
            </w:r>
          </w:p>
        </w:tc>
        <w:tc>
          <w:tcPr>
            <w:tcW w:w="1659" w:type="dxa"/>
            <w:tcBorders>
              <w:right w:val="single" w:sz="4" w:space="0" w:color="auto"/>
            </w:tcBorders>
            <w:shd w:val="clear" w:color="auto" w:fill="auto"/>
            <w:vAlign w:val="center"/>
          </w:tcPr>
          <w:p w14:paraId="62E05574" w14:textId="7317A69A" w:rsidR="001A1C63" w:rsidRPr="00B55A80" w:rsidRDefault="001A1C63" w:rsidP="005570C7">
            <w:pPr>
              <w:jc w:val="center"/>
              <w:rPr>
                <w:color w:val="000000"/>
              </w:rPr>
            </w:pPr>
            <w:r w:rsidRPr="00397521">
              <w:t>R2-2015-0013</w:t>
            </w:r>
          </w:p>
        </w:tc>
        <w:tc>
          <w:tcPr>
            <w:tcW w:w="1659" w:type="dxa"/>
            <w:tcBorders>
              <w:right w:val="single" w:sz="4" w:space="0" w:color="auto"/>
            </w:tcBorders>
            <w:shd w:val="clear" w:color="auto" w:fill="auto"/>
            <w:vAlign w:val="center"/>
          </w:tcPr>
          <w:p w14:paraId="533B35B5" w14:textId="005ED0E2" w:rsidR="001A1C63" w:rsidRPr="00B55A80" w:rsidRDefault="001A1C63" w:rsidP="005570C7">
            <w:pPr>
              <w:jc w:val="center"/>
              <w:rPr>
                <w:color w:val="000000"/>
              </w:rPr>
            </w:pPr>
            <w:r w:rsidRPr="00397521">
              <w:t>3/11/2015</w:t>
            </w:r>
          </w:p>
        </w:tc>
        <w:tc>
          <w:tcPr>
            <w:tcW w:w="1759" w:type="dxa"/>
            <w:tcBorders>
              <w:right w:val="single" w:sz="12" w:space="0" w:color="auto"/>
            </w:tcBorders>
            <w:shd w:val="clear" w:color="auto" w:fill="auto"/>
            <w:vAlign w:val="center"/>
          </w:tcPr>
          <w:p w14:paraId="2188302E" w14:textId="5C89D3FA" w:rsidR="001A1C63" w:rsidRPr="00B55A80" w:rsidRDefault="001A1C63" w:rsidP="005570C7">
            <w:pPr>
              <w:jc w:val="center"/>
              <w:rPr>
                <w:color w:val="000000"/>
              </w:rPr>
            </w:pPr>
            <w:r w:rsidRPr="00397521">
              <w:t>4/30/2020</w:t>
            </w:r>
          </w:p>
        </w:tc>
      </w:tr>
      <w:tr w:rsidR="001A1C63" w:rsidRPr="00B55A80" w14:paraId="40F116B0" w14:textId="77777777" w:rsidTr="005570C7">
        <w:trPr>
          <w:cantSplit/>
        </w:trPr>
        <w:tc>
          <w:tcPr>
            <w:tcW w:w="3776" w:type="dxa"/>
            <w:tcBorders>
              <w:left w:val="single" w:sz="12" w:space="0" w:color="auto"/>
            </w:tcBorders>
            <w:shd w:val="clear" w:color="auto" w:fill="auto"/>
          </w:tcPr>
          <w:p w14:paraId="0C39476B" w14:textId="77777777" w:rsidR="001A1C63" w:rsidRPr="00B55A80" w:rsidRDefault="001A1C63" w:rsidP="001A1C63">
            <w:pPr>
              <w:tabs>
                <w:tab w:val="left" w:pos="459"/>
              </w:tabs>
              <w:rPr>
                <w:rFonts w:eastAsia="Arial Unicode MS"/>
              </w:rPr>
            </w:pPr>
            <w:r w:rsidRPr="00B55A80">
              <w:t>Las Gallinas Valley Sanitary District</w:t>
            </w:r>
          </w:p>
        </w:tc>
        <w:tc>
          <w:tcPr>
            <w:tcW w:w="1659" w:type="dxa"/>
            <w:shd w:val="clear" w:color="auto" w:fill="auto"/>
            <w:vAlign w:val="center"/>
          </w:tcPr>
          <w:p w14:paraId="0C759464" w14:textId="77777777" w:rsidR="001A1C63" w:rsidRPr="00B55A80" w:rsidRDefault="001A1C63" w:rsidP="001A1C63">
            <w:pPr>
              <w:jc w:val="center"/>
              <w:rPr>
                <w:color w:val="000000"/>
              </w:rPr>
            </w:pPr>
            <w:r w:rsidRPr="00B55A80">
              <w:rPr>
                <w:color w:val="000000"/>
              </w:rPr>
              <w:t>CA0037851</w:t>
            </w:r>
          </w:p>
        </w:tc>
        <w:tc>
          <w:tcPr>
            <w:tcW w:w="1659" w:type="dxa"/>
            <w:tcBorders>
              <w:right w:val="single" w:sz="4" w:space="0" w:color="auto"/>
            </w:tcBorders>
            <w:shd w:val="clear" w:color="auto" w:fill="auto"/>
            <w:vAlign w:val="center"/>
          </w:tcPr>
          <w:p w14:paraId="15CA6801" w14:textId="49CC65C2" w:rsidR="001A1C63" w:rsidRPr="00B55A80" w:rsidRDefault="001A1C63" w:rsidP="005570C7">
            <w:pPr>
              <w:jc w:val="center"/>
              <w:rPr>
                <w:color w:val="000000"/>
              </w:rPr>
            </w:pPr>
            <w:r w:rsidRPr="00397521">
              <w:t>R2-2015-0021</w:t>
            </w:r>
          </w:p>
        </w:tc>
        <w:tc>
          <w:tcPr>
            <w:tcW w:w="1659" w:type="dxa"/>
            <w:tcBorders>
              <w:right w:val="single" w:sz="4" w:space="0" w:color="auto"/>
            </w:tcBorders>
            <w:shd w:val="clear" w:color="auto" w:fill="auto"/>
            <w:vAlign w:val="center"/>
          </w:tcPr>
          <w:p w14:paraId="1104BBE1" w14:textId="63C450FA" w:rsidR="001A1C63" w:rsidRPr="00B55A80" w:rsidRDefault="001A1C63" w:rsidP="005570C7">
            <w:pPr>
              <w:jc w:val="center"/>
              <w:rPr>
                <w:color w:val="000000"/>
              </w:rPr>
            </w:pPr>
            <w:r w:rsidRPr="00397521">
              <w:t>5/13/2015</w:t>
            </w:r>
          </w:p>
        </w:tc>
        <w:tc>
          <w:tcPr>
            <w:tcW w:w="1759" w:type="dxa"/>
            <w:tcBorders>
              <w:right w:val="single" w:sz="12" w:space="0" w:color="auto"/>
            </w:tcBorders>
            <w:shd w:val="clear" w:color="auto" w:fill="auto"/>
            <w:vAlign w:val="center"/>
          </w:tcPr>
          <w:p w14:paraId="7DA869D5" w14:textId="6C5CD893" w:rsidR="001A1C63" w:rsidRPr="00B55A80" w:rsidRDefault="001A1C63" w:rsidP="005570C7">
            <w:pPr>
              <w:jc w:val="center"/>
              <w:rPr>
                <w:color w:val="000000"/>
              </w:rPr>
            </w:pPr>
            <w:r w:rsidRPr="00397521">
              <w:t>6/30/2020</w:t>
            </w:r>
          </w:p>
        </w:tc>
      </w:tr>
      <w:tr w:rsidR="001A1C63" w:rsidRPr="00B55A80" w14:paraId="5C8CE826" w14:textId="77777777" w:rsidTr="005570C7">
        <w:trPr>
          <w:cantSplit/>
        </w:trPr>
        <w:tc>
          <w:tcPr>
            <w:tcW w:w="3776" w:type="dxa"/>
            <w:tcBorders>
              <w:left w:val="single" w:sz="12" w:space="0" w:color="auto"/>
            </w:tcBorders>
            <w:shd w:val="clear" w:color="auto" w:fill="auto"/>
          </w:tcPr>
          <w:p w14:paraId="7C003B5F" w14:textId="77777777" w:rsidR="001A1C63" w:rsidRPr="00B55A80" w:rsidRDefault="001A1C63" w:rsidP="001A1C63">
            <w:r w:rsidRPr="00B55A80">
              <w:t>Marin County (Paradise Cove), Sanitary District No. 5 of</w:t>
            </w:r>
          </w:p>
        </w:tc>
        <w:tc>
          <w:tcPr>
            <w:tcW w:w="1659" w:type="dxa"/>
            <w:shd w:val="clear" w:color="auto" w:fill="auto"/>
            <w:vAlign w:val="center"/>
          </w:tcPr>
          <w:p w14:paraId="2FF298C2" w14:textId="77777777" w:rsidR="001A1C63" w:rsidRPr="00B55A80" w:rsidRDefault="001A1C63" w:rsidP="001A1C63">
            <w:pPr>
              <w:jc w:val="center"/>
              <w:rPr>
                <w:color w:val="000000"/>
              </w:rPr>
            </w:pPr>
            <w:r w:rsidRPr="00B55A80">
              <w:rPr>
                <w:color w:val="000000"/>
              </w:rPr>
              <w:t>CA0037427</w:t>
            </w:r>
          </w:p>
        </w:tc>
        <w:tc>
          <w:tcPr>
            <w:tcW w:w="1659" w:type="dxa"/>
            <w:tcBorders>
              <w:right w:val="single" w:sz="4" w:space="0" w:color="auto"/>
            </w:tcBorders>
            <w:shd w:val="clear" w:color="auto" w:fill="auto"/>
            <w:vAlign w:val="center"/>
          </w:tcPr>
          <w:p w14:paraId="08DB1E06" w14:textId="727EAC77" w:rsidR="001A1C63" w:rsidRPr="00B55A80" w:rsidRDefault="001A1C63" w:rsidP="005570C7">
            <w:pPr>
              <w:jc w:val="center"/>
              <w:rPr>
                <w:color w:val="000000"/>
              </w:rPr>
            </w:pPr>
            <w:r w:rsidRPr="00397521">
              <w:t>R2-2016-0042</w:t>
            </w:r>
          </w:p>
        </w:tc>
        <w:tc>
          <w:tcPr>
            <w:tcW w:w="1659" w:type="dxa"/>
            <w:tcBorders>
              <w:right w:val="single" w:sz="4" w:space="0" w:color="auto"/>
            </w:tcBorders>
            <w:shd w:val="clear" w:color="auto" w:fill="auto"/>
            <w:vAlign w:val="center"/>
          </w:tcPr>
          <w:p w14:paraId="591B93F6" w14:textId="477F7FB9" w:rsidR="001A1C63" w:rsidRPr="00B55A80" w:rsidRDefault="001A1C63" w:rsidP="005570C7">
            <w:pPr>
              <w:jc w:val="center"/>
              <w:rPr>
                <w:color w:val="000000"/>
              </w:rPr>
            </w:pPr>
            <w:r w:rsidRPr="00397521">
              <w:t>10/12/2016</w:t>
            </w:r>
          </w:p>
        </w:tc>
        <w:tc>
          <w:tcPr>
            <w:tcW w:w="1759" w:type="dxa"/>
            <w:tcBorders>
              <w:right w:val="single" w:sz="12" w:space="0" w:color="auto"/>
            </w:tcBorders>
            <w:shd w:val="clear" w:color="auto" w:fill="auto"/>
            <w:vAlign w:val="center"/>
          </w:tcPr>
          <w:p w14:paraId="12081EA9" w14:textId="0475DC3F" w:rsidR="001A1C63" w:rsidRPr="00B55A80" w:rsidRDefault="001A1C63" w:rsidP="005570C7">
            <w:pPr>
              <w:jc w:val="center"/>
              <w:rPr>
                <w:color w:val="000000"/>
              </w:rPr>
            </w:pPr>
            <w:r w:rsidRPr="00397521">
              <w:t>11/30/2021</w:t>
            </w:r>
          </w:p>
        </w:tc>
      </w:tr>
      <w:tr w:rsidR="001A1C63" w:rsidRPr="00B55A80" w14:paraId="1E117A2F" w14:textId="77777777" w:rsidTr="005570C7">
        <w:trPr>
          <w:cantSplit/>
        </w:trPr>
        <w:tc>
          <w:tcPr>
            <w:tcW w:w="3776" w:type="dxa"/>
            <w:tcBorders>
              <w:left w:val="single" w:sz="12" w:space="0" w:color="auto"/>
            </w:tcBorders>
            <w:shd w:val="clear" w:color="auto" w:fill="auto"/>
          </w:tcPr>
          <w:p w14:paraId="24B2E0D5" w14:textId="77777777" w:rsidR="001A1C63" w:rsidRPr="00B55A80" w:rsidRDefault="001A1C63" w:rsidP="001A1C63">
            <w:pPr>
              <w:rPr>
                <w:rFonts w:eastAsia="Arial Unicode MS"/>
              </w:rPr>
            </w:pPr>
            <w:r w:rsidRPr="00B55A80">
              <w:t>Marin County (Tiburon), Sanitary District No. 5 of</w:t>
            </w:r>
          </w:p>
        </w:tc>
        <w:tc>
          <w:tcPr>
            <w:tcW w:w="1659" w:type="dxa"/>
            <w:shd w:val="clear" w:color="auto" w:fill="auto"/>
            <w:vAlign w:val="center"/>
          </w:tcPr>
          <w:p w14:paraId="7D681BD9" w14:textId="77777777" w:rsidR="001A1C63" w:rsidRPr="00B55A80" w:rsidRDefault="001A1C63" w:rsidP="001A1C63">
            <w:pPr>
              <w:jc w:val="center"/>
              <w:rPr>
                <w:color w:val="000000"/>
              </w:rPr>
            </w:pPr>
            <w:r w:rsidRPr="00B55A80">
              <w:rPr>
                <w:color w:val="000000"/>
              </w:rPr>
              <w:t>CA0037753</w:t>
            </w:r>
          </w:p>
        </w:tc>
        <w:tc>
          <w:tcPr>
            <w:tcW w:w="1659" w:type="dxa"/>
            <w:tcBorders>
              <w:right w:val="single" w:sz="4" w:space="0" w:color="auto"/>
            </w:tcBorders>
            <w:shd w:val="clear" w:color="auto" w:fill="auto"/>
            <w:vAlign w:val="center"/>
          </w:tcPr>
          <w:p w14:paraId="1E01572F" w14:textId="65F1C03E" w:rsidR="001A1C63" w:rsidRPr="00B55A80" w:rsidRDefault="001A1C63" w:rsidP="005570C7">
            <w:pPr>
              <w:jc w:val="center"/>
              <w:rPr>
                <w:color w:val="000000"/>
              </w:rPr>
            </w:pPr>
            <w:r w:rsidRPr="00397521">
              <w:t>R2-2013-0027</w:t>
            </w:r>
          </w:p>
        </w:tc>
        <w:tc>
          <w:tcPr>
            <w:tcW w:w="1659" w:type="dxa"/>
            <w:tcBorders>
              <w:right w:val="single" w:sz="4" w:space="0" w:color="auto"/>
            </w:tcBorders>
            <w:shd w:val="clear" w:color="auto" w:fill="auto"/>
            <w:vAlign w:val="center"/>
          </w:tcPr>
          <w:p w14:paraId="347A6996" w14:textId="02EABFFE" w:rsidR="001A1C63" w:rsidRPr="00B55A80" w:rsidRDefault="001A1C63" w:rsidP="005570C7">
            <w:pPr>
              <w:jc w:val="center"/>
              <w:rPr>
                <w:color w:val="000000"/>
              </w:rPr>
            </w:pPr>
            <w:r w:rsidRPr="00397521">
              <w:t>8/14/2013</w:t>
            </w:r>
          </w:p>
        </w:tc>
        <w:tc>
          <w:tcPr>
            <w:tcW w:w="1759" w:type="dxa"/>
            <w:tcBorders>
              <w:right w:val="single" w:sz="12" w:space="0" w:color="auto"/>
            </w:tcBorders>
            <w:shd w:val="clear" w:color="auto" w:fill="auto"/>
            <w:vAlign w:val="center"/>
          </w:tcPr>
          <w:p w14:paraId="57316C38" w14:textId="20C55B15" w:rsidR="001A1C63" w:rsidRPr="00B55A80" w:rsidRDefault="001A1C63" w:rsidP="005570C7">
            <w:pPr>
              <w:jc w:val="center"/>
              <w:rPr>
                <w:color w:val="000000"/>
              </w:rPr>
            </w:pPr>
            <w:r w:rsidRPr="00397521">
              <w:t>9/30/2018</w:t>
            </w:r>
          </w:p>
        </w:tc>
      </w:tr>
      <w:tr w:rsidR="001A1C63" w:rsidRPr="00B55A80" w14:paraId="3D3C06C8" w14:textId="77777777" w:rsidTr="005570C7">
        <w:trPr>
          <w:cantSplit/>
        </w:trPr>
        <w:tc>
          <w:tcPr>
            <w:tcW w:w="3776" w:type="dxa"/>
            <w:tcBorders>
              <w:left w:val="single" w:sz="12" w:space="0" w:color="auto"/>
            </w:tcBorders>
            <w:shd w:val="clear" w:color="auto" w:fill="auto"/>
          </w:tcPr>
          <w:p w14:paraId="1F892EC0" w14:textId="77777777" w:rsidR="001A1C63" w:rsidRPr="00B55A80" w:rsidRDefault="001A1C63" w:rsidP="001A1C63">
            <w:pPr>
              <w:rPr>
                <w:rFonts w:eastAsia="Arial Unicode MS"/>
              </w:rPr>
            </w:pPr>
            <w:r w:rsidRPr="00B55A80">
              <w:t>Millbrae, City of</w:t>
            </w:r>
          </w:p>
        </w:tc>
        <w:tc>
          <w:tcPr>
            <w:tcW w:w="1659" w:type="dxa"/>
            <w:shd w:val="clear" w:color="auto" w:fill="auto"/>
            <w:vAlign w:val="center"/>
          </w:tcPr>
          <w:p w14:paraId="6CD32EC6" w14:textId="77777777" w:rsidR="001A1C63" w:rsidRPr="00B55A80" w:rsidRDefault="001A1C63" w:rsidP="001A1C63">
            <w:pPr>
              <w:jc w:val="center"/>
              <w:rPr>
                <w:color w:val="000000"/>
              </w:rPr>
            </w:pPr>
            <w:r w:rsidRPr="00B55A80">
              <w:rPr>
                <w:color w:val="000000"/>
              </w:rPr>
              <w:t>CA0037532</w:t>
            </w:r>
          </w:p>
        </w:tc>
        <w:tc>
          <w:tcPr>
            <w:tcW w:w="1659" w:type="dxa"/>
            <w:tcBorders>
              <w:right w:val="single" w:sz="4" w:space="0" w:color="auto"/>
            </w:tcBorders>
            <w:shd w:val="clear" w:color="auto" w:fill="auto"/>
            <w:vAlign w:val="center"/>
          </w:tcPr>
          <w:p w14:paraId="7CB65684" w14:textId="1E2357DD" w:rsidR="001A1C63" w:rsidRPr="00B55A80" w:rsidRDefault="001A1C63" w:rsidP="005570C7">
            <w:pPr>
              <w:jc w:val="center"/>
              <w:rPr>
                <w:color w:val="000000"/>
              </w:rPr>
            </w:pPr>
            <w:r w:rsidRPr="00397521">
              <w:t>R2-2013-0037</w:t>
            </w:r>
          </w:p>
        </w:tc>
        <w:tc>
          <w:tcPr>
            <w:tcW w:w="1659" w:type="dxa"/>
            <w:tcBorders>
              <w:right w:val="single" w:sz="4" w:space="0" w:color="auto"/>
            </w:tcBorders>
            <w:shd w:val="clear" w:color="auto" w:fill="auto"/>
            <w:vAlign w:val="center"/>
          </w:tcPr>
          <w:p w14:paraId="7A21F811" w14:textId="764FF2A6" w:rsidR="001A1C63" w:rsidRPr="00B55A80" w:rsidRDefault="001A1C63" w:rsidP="005570C7">
            <w:pPr>
              <w:jc w:val="center"/>
              <w:rPr>
                <w:color w:val="000000"/>
              </w:rPr>
            </w:pPr>
            <w:r w:rsidRPr="00397521">
              <w:t>12/11/2013</w:t>
            </w:r>
          </w:p>
        </w:tc>
        <w:tc>
          <w:tcPr>
            <w:tcW w:w="1759" w:type="dxa"/>
            <w:tcBorders>
              <w:right w:val="single" w:sz="12" w:space="0" w:color="auto"/>
            </w:tcBorders>
            <w:shd w:val="clear" w:color="auto" w:fill="auto"/>
            <w:vAlign w:val="center"/>
          </w:tcPr>
          <w:p w14:paraId="04369698" w14:textId="0F1054DF" w:rsidR="001A1C63" w:rsidRPr="00B55A80" w:rsidRDefault="001A1C63" w:rsidP="005570C7">
            <w:pPr>
              <w:jc w:val="center"/>
              <w:rPr>
                <w:color w:val="000000"/>
              </w:rPr>
            </w:pPr>
            <w:r w:rsidRPr="00397521">
              <w:t>1/31/2019</w:t>
            </w:r>
          </w:p>
        </w:tc>
      </w:tr>
      <w:tr w:rsidR="001A1C63" w:rsidRPr="00B55A80" w14:paraId="50760EAA" w14:textId="77777777" w:rsidTr="005570C7">
        <w:trPr>
          <w:cantSplit/>
        </w:trPr>
        <w:tc>
          <w:tcPr>
            <w:tcW w:w="3776" w:type="dxa"/>
            <w:tcBorders>
              <w:left w:val="single" w:sz="12" w:space="0" w:color="auto"/>
            </w:tcBorders>
            <w:shd w:val="clear" w:color="auto" w:fill="auto"/>
          </w:tcPr>
          <w:p w14:paraId="42DCFE06" w14:textId="77777777" w:rsidR="001A1C63" w:rsidRPr="00B55A80" w:rsidRDefault="001A1C63" w:rsidP="001A1C63">
            <w:pPr>
              <w:rPr>
                <w:rFonts w:eastAsia="Arial Unicode MS"/>
              </w:rPr>
            </w:pPr>
            <w:r w:rsidRPr="00B55A80">
              <w:t>Mt. View Sanitary District</w:t>
            </w:r>
          </w:p>
        </w:tc>
        <w:tc>
          <w:tcPr>
            <w:tcW w:w="1659" w:type="dxa"/>
            <w:shd w:val="clear" w:color="auto" w:fill="auto"/>
            <w:vAlign w:val="center"/>
          </w:tcPr>
          <w:p w14:paraId="3309FE14" w14:textId="77777777" w:rsidR="001A1C63" w:rsidRPr="00B55A80" w:rsidRDefault="001A1C63" w:rsidP="001A1C63">
            <w:pPr>
              <w:jc w:val="center"/>
              <w:rPr>
                <w:color w:val="000000"/>
              </w:rPr>
            </w:pPr>
            <w:r w:rsidRPr="00B55A80">
              <w:rPr>
                <w:color w:val="000000"/>
              </w:rPr>
              <w:t>CA0037770</w:t>
            </w:r>
          </w:p>
        </w:tc>
        <w:tc>
          <w:tcPr>
            <w:tcW w:w="1659" w:type="dxa"/>
            <w:tcBorders>
              <w:right w:val="single" w:sz="4" w:space="0" w:color="auto"/>
            </w:tcBorders>
            <w:shd w:val="clear" w:color="auto" w:fill="auto"/>
            <w:vAlign w:val="center"/>
          </w:tcPr>
          <w:p w14:paraId="21650D33" w14:textId="623E5AAA" w:rsidR="001A1C63" w:rsidRPr="00B55A80" w:rsidRDefault="001A1C63" w:rsidP="005570C7">
            <w:pPr>
              <w:jc w:val="center"/>
              <w:rPr>
                <w:color w:val="000000"/>
              </w:rPr>
            </w:pPr>
            <w:r w:rsidRPr="00397521">
              <w:t>R2-2016-0023</w:t>
            </w:r>
          </w:p>
        </w:tc>
        <w:tc>
          <w:tcPr>
            <w:tcW w:w="1659" w:type="dxa"/>
            <w:tcBorders>
              <w:right w:val="single" w:sz="4" w:space="0" w:color="auto"/>
            </w:tcBorders>
            <w:shd w:val="clear" w:color="auto" w:fill="auto"/>
            <w:vAlign w:val="center"/>
          </w:tcPr>
          <w:p w14:paraId="3CB81F64" w14:textId="7DAB2EF8" w:rsidR="001A1C63" w:rsidRPr="00B55A80" w:rsidRDefault="001A1C63" w:rsidP="005570C7">
            <w:pPr>
              <w:jc w:val="center"/>
              <w:rPr>
                <w:color w:val="000000"/>
              </w:rPr>
            </w:pPr>
            <w:r w:rsidRPr="00397521">
              <w:t>5/11/2016</w:t>
            </w:r>
          </w:p>
        </w:tc>
        <w:tc>
          <w:tcPr>
            <w:tcW w:w="1759" w:type="dxa"/>
            <w:tcBorders>
              <w:right w:val="single" w:sz="12" w:space="0" w:color="auto"/>
            </w:tcBorders>
            <w:shd w:val="clear" w:color="auto" w:fill="auto"/>
            <w:vAlign w:val="center"/>
          </w:tcPr>
          <w:p w14:paraId="7E990C33" w14:textId="4AAE8F04" w:rsidR="001A1C63" w:rsidRPr="00B55A80" w:rsidRDefault="001A1C63" w:rsidP="005570C7">
            <w:pPr>
              <w:jc w:val="center"/>
              <w:rPr>
                <w:color w:val="000000"/>
              </w:rPr>
            </w:pPr>
            <w:r w:rsidRPr="00397521">
              <w:t>6/30/2021</w:t>
            </w:r>
          </w:p>
        </w:tc>
      </w:tr>
      <w:tr w:rsidR="001A1C63" w:rsidRPr="00B55A80" w14:paraId="70D85408" w14:textId="77777777" w:rsidTr="005570C7">
        <w:trPr>
          <w:cantSplit/>
        </w:trPr>
        <w:tc>
          <w:tcPr>
            <w:tcW w:w="3776" w:type="dxa"/>
            <w:tcBorders>
              <w:left w:val="single" w:sz="12" w:space="0" w:color="auto"/>
            </w:tcBorders>
            <w:shd w:val="clear" w:color="auto" w:fill="auto"/>
          </w:tcPr>
          <w:p w14:paraId="5C1D7FA0" w14:textId="77777777" w:rsidR="001A1C63" w:rsidRPr="00B55A80" w:rsidRDefault="001A1C63" w:rsidP="001A1C63">
            <w:pPr>
              <w:rPr>
                <w:rFonts w:eastAsia="Arial Unicode MS"/>
              </w:rPr>
            </w:pPr>
            <w:r w:rsidRPr="00B55A80">
              <w:t>Napa Sanitation District</w:t>
            </w:r>
          </w:p>
        </w:tc>
        <w:tc>
          <w:tcPr>
            <w:tcW w:w="1659" w:type="dxa"/>
            <w:shd w:val="clear" w:color="auto" w:fill="auto"/>
            <w:vAlign w:val="center"/>
          </w:tcPr>
          <w:p w14:paraId="72B5FE3B" w14:textId="77777777" w:rsidR="001A1C63" w:rsidRPr="00B55A80" w:rsidRDefault="001A1C63" w:rsidP="001A1C63">
            <w:pPr>
              <w:jc w:val="center"/>
              <w:rPr>
                <w:color w:val="000000"/>
              </w:rPr>
            </w:pPr>
            <w:r w:rsidRPr="00B55A80">
              <w:rPr>
                <w:color w:val="000000"/>
              </w:rPr>
              <w:t>CA0037575</w:t>
            </w:r>
          </w:p>
        </w:tc>
        <w:tc>
          <w:tcPr>
            <w:tcW w:w="1659" w:type="dxa"/>
            <w:tcBorders>
              <w:right w:val="single" w:sz="4" w:space="0" w:color="auto"/>
            </w:tcBorders>
            <w:shd w:val="clear" w:color="auto" w:fill="auto"/>
            <w:vAlign w:val="center"/>
          </w:tcPr>
          <w:p w14:paraId="4AE706DB" w14:textId="23C7A4BC" w:rsidR="001A1C63" w:rsidRPr="00B55A80" w:rsidRDefault="001A1C63" w:rsidP="005570C7">
            <w:pPr>
              <w:jc w:val="center"/>
              <w:rPr>
                <w:color w:val="000000"/>
              </w:rPr>
            </w:pPr>
            <w:r w:rsidRPr="00397521">
              <w:t>R2-2016-0035</w:t>
            </w:r>
          </w:p>
        </w:tc>
        <w:tc>
          <w:tcPr>
            <w:tcW w:w="1659" w:type="dxa"/>
            <w:tcBorders>
              <w:right w:val="single" w:sz="4" w:space="0" w:color="auto"/>
            </w:tcBorders>
            <w:shd w:val="clear" w:color="auto" w:fill="auto"/>
            <w:vAlign w:val="center"/>
          </w:tcPr>
          <w:p w14:paraId="1BFEEF47" w14:textId="671E68FB" w:rsidR="001A1C63" w:rsidRPr="00B55A80" w:rsidRDefault="001A1C63" w:rsidP="005570C7">
            <w:pPr>
              <w:jc w:val="center"/>
              <w:rPr>
                <w:color w:val="000000"/>
              </w:rPr>
            </w:pPr>
            <w:r w:rsidRPr="00397521">
              <w:t>7/13/2016</w:t>
            </w:r>
          </w:p>
        </w:tc>
        <w:tc>
          <w:tcPr>
            <w:tcW w:w="1759" w:type="dxa"/>
            <w:tcBorders>
              <w:right w:val="single" w:sz="12" w:space="0" w:color="auto"/>
            </w:tcBorders>
            <w:shd w:val="clear" w:color="auto" w:fill="auto"/>
            <w:vAlign w:val="center"/>
          </w:tcPr>
          <w:p w14:paraId="1E2E49F7" w14:textId="7E639BF0" w:rsidR="001A1C63" w:rsidRPr="00B55A80" w:rsidRDefault="001A1C63" w:rsidP="005570C7">
            <w:pPr>
              <w:jc w:val="center"/>
              <w:rPr>
                <w:color w:val="000000"/>
              </w:rPr>
            </w:pPr>
            <w:r w:rsidRPr="00397521">
              <w:t>8/31/2021</w:t>
            </w:r>
          </w:p>
        </w:tc>
      </w:tr>
      <w:tr w:rsidR="001A1C63" w:rsidRPr="00B55A80" w14:paraId="492BAA8A" w14:textId="77777777" w:rsidTr="005570C7">
        <w:trPr>
          <w:cantSplit/>
        </w:trPr>
        <w:tc>
          <w:tcPr>
            <w:tcW w:w="3776" w:type="dxa"/>
            <w:tcBorders>
              <w:left w:val="single" w:sz="12" w:space="0" w:color="auto"/>
            </w:tcBorders>
            <w:shd w:val="clear" w:color="auto" w:fill="auto"/>
          </w:tcPr>
          <w:p w14:paraId="361CA5CD" w14:textId="77777777" w:rsidR="001A1C63" w:rsidRPr="00B55A80" w:rsidRDefault="001A1C63" w:rsidP="001A1C63">
            <w:pPr>
              <w:rPr>
                <w:rFonts w:eastAsia="Arial Unicode MS"/>
              </w:rPr>
            </w:pPr>
            <w:r w:rsidRPr="00B55A80">
              <w:t>Novato Sanitary District</w:t>
            </w:r>
          </w:p>
        </w:tc>
        <w:tc>
          <w:tcPr>
            <w:tcW w:w="1659" w:type="dxa"/>
            <w:shd w:val="clear" w:color="auto" w:fill="auto"/>
            <w:vAlign w:val="center"/>
          </w:tcPr>
          <w:p w14:paraId="04117CB9" w14:textId="77777777" w:rsidR="001A1C63" w:rsidRPr="00B55A80" w:rsidRDefault="001A1C63" w:rsidP="001A1C63">
            <w:pPr>
              <w:jc w:val="center"/>
              <w:rPr>
                <w:color w:val="000000"/>
              </w:rPr>
            </w:pPr>
            <w:r w:rsidRPr="00B55A80">
              <w:rPr>
                <w:color w:val="000000"/>
              </w:rPr>
              <w:t>CA0037958</w:t>
            </w:r>
          </w:p>
        </w:tc>
        <w:tc>
          <w:tcPr>
            <w:tcW w:w="1659" w:type="dxa"/>
            <w:tcBorders>
              <w:right w:val="single" w:sz="4" w:space="0" w:color="auto"/>
            </w:tcBorders>
            <w:shd w:val="clear" w:color="auto" w:fill="auto"/>
            <w:vAlign w:val="center"/>
          </w:tcPr>
          <w:p w14:paraId="2DEA711E" w14:textId="2D02072E" w:rsidR="001A1C63" w:rsidRPr="00B55A80" w:rsidRDefault="001A1C63" w:rsidP="005570C7">
            <w:pPr>
              <w:jc w:val="center"/>
              <w:rPr>
                <w:color w:val="000000"/>
              </w:rPr>
            </w:pPr>
            <w:r w:rsidRPr="00397521">
              <w:t>R2-2015-0034</w:t>
            </w:r>
          </w:p>
        </w:tc>
        <w:tc>
          <w:tcPr>
            <w:tcW w:w="1659" w:type="dxa"/>
            <w:tcBorders>
              <w:right w:val="single" w:sz="4" w:space="0" w:color="auto"/>
            </w:tcBorders>
            <w:shd w:val="clear" w:color="auto" w:fill="auto"/>
            <w:vAlign w:val="center"/>
          </w:tcPr>
          <w:p w14:paraId="16025050" w14:textId="6C812C32" w:rsidR="001A1C63" w:rsidRPr="00B55A80" w:rsidRDefault="001A1C63" w:rsidP="005570C7">
            <w:pPr>
              <w:jc w:val="center"/>
              <w:rPr>
                <w:color w:val="000000"/>
              </w:rPr>
            </w:pPr>
            <w:r w:rsidRPr="00397521">
              <w:t>7/8/2015</w:t>
            </w:r>
          </w:p>
        </w:tc>
        <w:tc>
          <w:tcPr>
            <w:tcW w:w="1759" w:type="dxa"/>
            <w:tcBorders>
              <w:right w:val="single" w:sz="12" w:space="0" w:color="auto"/>
            </w:tcBorders>
            <w:shd w:val="clear" w:color="auto" w:fill="auto"/>
            <w:vAlign w:val="center"/>
          </w:tcPr>
          <w:p w14:paraId="71CFBA51" w14:textId="5E50A385" w:rsidR="001A1C63" w:rsidRPr="00B55A80" w:rsidRDefault="001A1C63" w:rsidP="005570C7">
            <w:pPr>
              <w:jc w:val="center"/>
              <w:rPr>
                <w:color w:val="000000"/>
              </w:rPr>
            </w:pPr>
            <w:r w:rsidRPr="00397521">
              <w:t>8/31/2020</w:t>
            </w:r>
          </w:p>
        </w:tc>
      </w:tr>
      <w:tr w:rsidR="001A1C63" w:rsidRPr="00B55A80" w14:paraId="0BFD2AE9" w14:textId="77777777" w:rsidTr="005570C7">
        <w:trPr>
          <w:cantSplit/>
        </w:trPr>
        <w:tc>
          <w:tcPr>
            <w:tcW w:w="3776" w:type="dxa"/>
            <w:tcBorders>
              <w:left w:val="single" w:sz="12" w:space="0" w:color="auto"/>
            </w:tcBorders>
            <w:shd w:val="clear" w:color="auto" w:fill="auto"/>
          </w:tcPr>
          <w:p w14:paraId="2B3A4660" w14:textId="77777777" w:rsidR="001A1C63" w:rsidRPr="00B55A80" w:rsidRDefault="001A1C63" w:rsidP="001A1C63">
            <w:pPr>
              <w:rPr>
                <w:rFonts w:eastAsia="Arial Unicode MS"/>
              </w:rPr>
            </w:pPr>
            <w:r w:rsidRPr="00B55A80">
              <w:t>Palo Alto, City of</w:t>
            </w:r>
          </w:p>
        </w:tc>
        <w:tc>
          <w:tcPr>
            <w:tcW w:w="1659" w:type="dxa"/>
            <w:shd w:val="clear" w:color="auto" w:fill="auto"/>
            <w:vAlign w:val="center"/>
          </w:tcPr>
          <w:p w14:paraId="75AAAD55" w14:textId="77777777" w:rsidR="001A1C63" w:rsidRPr="00B55A80" w:rsidRDefault="001A1C63" w:rsidP="001A1C63">
            <w:pPr>
              <w:jc w:val="center"/>
              <w:rPr>
                <w:color w:val="000000"/>
              </w:rPr>
            </w:pPr>
            <w:r w:rsidRPr="00B55A80">
              <w:rPr>
                <w:color w:val="000000"/>
              </w:rPr>
              <w:t>CA0037834</w:t>
            </w:r>
          </w:p>
        </w:tc>
        <w:tc>
          <w:tcPr>
            <w:tcW w:w="1659" w:type="dxa"/>
            <w:tcBorders>
              <w:right w:val="single" w:sz="4" w:space="0" w:color="auto"/>
            </w:tcBorders>
            <w:shd w:val="clear" w:color="auto" w:fill="auto"/>
            <w:vAlign w:val="center"/>
          </w:tcPr>
          <w:p w14:paraId="2FC89BA1" w14:textId="0694903C" w:rsidR="001A1C63" w:rsidRPr="00B55A80" w:rsidRDefault="001A1C63" w:rsidP="005570C7">
            <w:pPr>
              <w:jc w:val="center"/>
              <w:rPr>
                <w:color w:val="000000"/>
              </w:rPr>
            </w:pPr>
            <w:r w:rsidRPr="00397521">
              <w:t>R2-2014-0024</w:t>
            </w:r>
          </w:p>
        </w:tc>
        <w:tc>
          <w:tcPr>
            <w:tcW w:w="1659" w:type="dxa"/>
            <w:tcBorders>
              <w:right w:val="single" w:sz="4" w:space="0" w:color="auto"/>
            </w:tcBorders>
            <w:shd w:val="clear" w:color="auto" w:fill="auto"/>
            <w:vAlign w:val="center"/>
          </w:tcPr>
          <w:p w14:paraId="3E072BCE" w14:textId="706DAC0B" w:rsidR="001A1C63" w:rsidRPr="00B55A80" w:rsidRDefault="001A1C63" w:rsidP="005570C7">
            <w:pPr>
              <w:jc w:val="center"/>
              <w:rPr>
                <w:color w:val="000000"/>
              </w:rPr>
            </w:pPr>
            <w:r w:rsidRPr="00397521">
              <w:t>6/11/2014</w:t>
            </w:r>
          </w:p>
        </w:tc>
        <w:tc>
          <w:tcPr>
            <w:tcW w:w="1759" w:type="dxa"/>
            <w:tcBorders>
              <w:right w:val="single" w:sz="12" w:space="0" w:color="auto"/>
            </w:tcBorders>
            <w:shd w:val="clear" w:color="auto" w:fill="auto"/>
            <w:vAlign w:val="center"/>
          </w:tcPr>
          <w:p w14:paraId="34286025" w14:textId="2B629009" w:rsidR="001A1C63" w:rsidRPr="00B55A80" w:rsidRDefault="001A1C63" w:rsidP="005570C7">
            <w:pPr>
              <w:jc w:val="center"/>
              <w:rPr>
                <w:color w:val="000000"/>
              </w:rPr>
            </w:pPr>
            <w:r w:rsidRPr="00397521">
              <w:t>7/31/2019</w:t>
            </w:r>
          </w:p>
        </w:tc>
      </w:tr>
      <w:tr w:rsidR="001A1C63" w:rsidRPr="00B55A80" w14:paraId="41B915E8" w14:textId="77777777" w:rsidTr="005570C7">
        <w:trPr>
          <w:cantSplit/>
        </w:trPr>
        <w:tc>
          <w:tcPr>
            <w:tcW w:w="3776" w:type="dxa"/>
            <w:tcBorders>
              <w:left w:val="single" w:sz="12" w:space="0" w:color="auto"/>
            </w:tcBorders>
            <w:shd w:val="clear" w:color="auto" w:fill="auto"/>
          </w:tcPr>
          <w:p w14:paraId="0A63DA5B" w14:textId="77777777" w:rsidR="001A1C63" w:rsidRPr="00B55A80" w:rsidRDefault="001A1C63" w:rsidP="001A1C63">
            <w:pPr>
              <w:rPr>
                <w:rFonts w:eastAsia="Arial Unicode MS"/>
              </w:rPr>
            </w:pPr>
            <w:r w:rsidRPr="00B55A80">
              <w:t>Petaluma, City of</w:t>
            </w:r>
          </w:p>
        </w:tc>
        <w:tc>
          <w:tcPr>
            <w:tcW w:w="1659" w:type="dxa"/>
            <w:shd w:val="clear" w:color="auto" w:fill="auto"/>
            <w:vAlign w:val="center"/>
          </w:tcPr>
          <w:p w14:paraId="33BC80E5" w14:textId="77777777" w:rsidR="001A1C63" w:rsidRPr="00B55A80" w:rsidRDefault="001A1C63" w:rsidP="001A1C63">
            <w:pPr>
              <w:jc w:val="center"/>
              <w:rPr>
                <w:color w:val="000000"/>
              </w:rPr>
            </w:pPr>
            <w:r w:rsidRPr="00B55A80">
              <w:rPr>
                <w:color w:val="000000"/>
              </w:rPr>
              <w:t>CA0037810</w:t>
            </w:r>
          </w:p>
        </w:tc>
        <w:tc>
          <w:tcPr>
            <w:tcW w:w="1659" w:type="dxa"/>
            <w:tcBorders>
              <w:right w:val="single" w:sz="4" w:space="0" w:color="auto"/>
            </w:tcBorders>
            <w:shd w:val="clear" w:color="auto" w:fill="auto"/>
            <w:vAlign w:val="center"/>
          </w:tcPr>
          <w:p w14:paraId="61A98EA2" w14:textId="4D98D0B3" w:rsidR="001A1C63" w:rsidRPr="00B55A80" w:rsidRDefault="001A1C63" w:rsidP="005570C7">
            <w:pPr>
              <w:jc w:val="center"/>
              <w:rPr>
                <w:color w:val="000000"/>
              </w:rPr>
            </w:pPr>
            <w:r w:rsidRPr="00397521">
              <w:t>R2-2016-0014</w:t>
            </w:r>
          </w:p>
        </w:tc>
        <w:tc>
          <w:tcPr>
            <w:tcW w:w="1659" w:type="dxa"/>
            <w:tcBorders>
              <w:right w:val="single" w:sz="4" w:space="0" w:color="auto"/>
            </w:tcBorders>
            <w:shd w:val="clear" w:color="auto" w:fill="auto"/>
            <w:vAlign w:val="center"/>
          </w:tcPr>
          <w:p w14:paraId="40D1B498" w14:textId="4B7F98C0" w:rsidR="001A1C63" w:rsidRPr="00B55A80" w:rsidRDefault="001A1C63" w:rsidP="005570C7">
            <w:pPr>
              <w:jc w:val="center"/>
              <w:rPr>
                <w:color w:val="000000"/>
              </w:rPr>
            </w:pPr>
            <w:r w:rsidRPr="00397521">
              <w:t>4/13/2016</w:t>
            </w:r>
          </w:p>
        </w:tc>
        <w:tc>
          <w:tcPr>
            <w:tcW w:w="1759" w:type="dxa"/>
            <w:tcBorders>
              <w:right w:val="single" w:sz="12" w:space="0" w:color="auto"/>
            </w:tcBorders>
            <w:shd w:val="clear" w:color="auto" w:fill="auto"/>
            <w:vAlign w:val="center"/>
          </w:tcPr>
          <w:p w14:paraId="4809F998" w14:textId="097C0AF2" w:rsidR="001A1C63" w:rsidRPr="00B55A80" w:rsidRDefault="001A1C63" w:rsidP="005570C7">
            <w:pPr>
              <w:jc w:val="center"/>
              <w:rPr>
                <w:color w:val="000000"/>
              </w:rPr>
            </w:pPr>
            <w:r w:rsidRPr="00397521">
              <w:t>5/31/2021</w:t>
            </w:r>
          </w:p>
        </w:tc>
      </w:tr>
      <w:tr w:rsidR="001A1C63" w:rsidRPr="00B55A80" w14:paraId="5E06997E" w14:textId="77777777" w:rsidTr="005570C7">
        <w:trPr>
          <w:cantSplit/>
        </w:trPr>
        <w:tc>
          <w:tcPr>
            <w:tcW w:w="3776" w:type="dxa"/>
            <w:tcBorders>
              <w:left w:val="single" w:sz="12" w:space="0" w:color="auto"/>
            </w:tcBorders>
            <w:shd w:val="clear" w:color="auto" w:fill="auto"/>
          </w:tcPr>
          <w:p w14:paraId="748A4F60" w14:textId="77777777" w:rsidR="001A1C63" w:rsidRPr="00B55A80" w:rsidRDefault="001A1C63" w:rsidP="001A1C63">
            <w:pPr>
              <w:rPr>
                <w:rFonts w:eastAsia="Arial Unicode MS"/>
              </w:rPr>
            </w:pPr>
            <w:r w:rsidRPr="00B55A80">
              <w:t>Pinole, City of</w:t>
            </w:r>
          </w:p>
        </w:tc>
        <w:tc>
          <w:tcPr>
            <w:tcW w:w="1659" w:type="dxa"/>
            <w:shd w:val="clear" w:color="auto" w:fill="auto"/>
            <w:vAlign w:val="center"/>
          </w:tcPr>
          <w:p w14:paraId="79141DDE" w14:textId="77777777" w:rsidR="001A1C63" w:rsidRPr="00B55A80" w:rsidRDefault="001A1C63" w:rsidP="001A1C63">
            <w:pPr>
              <w:jc w:val="center"/>
              <w:rPr>
                <w:color w:val="000000"/>
              </w:rPr>
            </w:pPr>
            <w:r w:rsidRPr="00B55A80">
              <w:rPr>
                <w:color w:val="000000"/>
              </w:rPr>
              <w:t>CA0037796</w:t>
            </w:r>
          </w:p>
        </w:tc>
        <w:tc>
          <w:tcPr>
            <w:tcW w:w="1659" w:type="dxa"/>
            <w:tcBorders>
              <w:right w:val="single" w:sz="4" w:space="0" w:color="auto"/>
            </w:tcBorders>
            <w:shd w:val="clear" w:color="auto" w:fill="auto"/>
            <w:vAlign w:val="center"/>
          </w:tcPr>
          <w:p w14:paraId="13CAC191" w14:textId="3B6F6D59" w:rsidR="001A1C63" w:rsidRPr="00B55A80" w:rsidRDefault="001A1C63" w:rsidP="005570C7">
            <w:pPr>
              <w:jc w:val="center"/>
              <w:rPr>
                <w:color w:val="000000"/>
              </w:rPr>
            </w:pPr>
            <w:r w:rsidRPr="00397521">
              <w:t>R2-2012-0059</w:t>
            </w:r>
          </w:p>
        </w:tc>
        <w:tc>
          <w:tcPr>
            <w:tcW w:w="1659" w:type="dxa"/>
            <w:tcBorders>
              <w:right w:val="single" w:sz="4" w:space="0" w:color="auto"/>
            </w:tcBorders>
            <w:shd w:val="clear" w:color="auto" w:fill="auto"/>
            <w:vAlign w:val="center"/>
          </w:tcPr>
          <w:p w14:paraId="64708B26" w14:textId="154B0A14" w:rsidR="001A1C63" w:rsidRPr="00B55A80" w:rsidRDefault="001A1C63" w:rsidP="005570C7">
            <w:pPr>
              <w:jc w:val="center"/>
              <w:rPr>
                <w:color w:val="000000"/>
              </w:rPr>
            </w:pPr>
            <w:r w:rsidRPr="00397521">
              <w:t>8/8/2012</w:t>
            </w:r>
          </w:p>
        </w:tc>
        <w:tc>
          <w:tcPr>
            <w:tcW w:w="1759" w:type="dxa"/>
            <w:tcBorders>
              <w:right w:val="single" w:sz="12" w:space="0" w:color="auto"/>
            </w:tcBorders>
            <w:shd w:val="clear" w:color="auto" w:fill="auto"/>
            <w:vAlign w:val="center"/>
          </w:tcPr>
          <w:p w14:paraId="4C9728D7" w14:textId="57371E79" w:rsidR="001A1C63" w:rsidRPr="00B55A80" w:rsidRDefault="001A1C63" w:rsidP="005570C7">
            <w:pPr>
              <w:jc w:val="center"/>
              <w:rPr>
                <w:color w:val="000000"/>
              </w:rPr>
            </w:pPr>
            <w:r w:rsidRPr="00397521">
              <w:t>9/30/2017</w:t>
            </w:r>
          </w:p>
        </w:tc>
      </w:tr>
      <w:tr w:rsidR="001A1C63" w:rsidRPr="00B55A80" w14:paraId="27CD0FD3" w14:textId="77777777" w:rsidTr="005570C7">
        <w:trPr>
          <w:cantSplit/>
        </w:trPr>
        <w:tc>
          <w:tcPr>
            <w:tcW w:w="3776" w:type="dxa"/>
            <w:tcBorders>
              <w:left w:val="single" w:sz="12" w:space="0" w:color="auto"/>
            </w:tcBorders>
            <w:shd w:val="clear" w:color="auto" w:fill="auto"/>
          </w:tcPr>
          <w:p w14:paraId="3E3B6B5D" w14:textId="77777777" w:rsidR="001A1C63" w:rsidRPr="00B55A80" w:rsidRDefault="001A1C63" w:rsidP="001A1C63">
            <w:pPr>
              <w:tabs>
                <w:tab w:val="left" w:pos="459"/>
              </w:tabs>
              <w:rPr>
                <w:rFonts w:eastAsia="Arial Unicode MS"/>
              </w:rPr>
            </w:pPr>
            <w:r w:rsidRPr="00B55A80">
              <w:t>Rodeo Sanitary District</w:t>
            </w:r>
          </w:p>
        </w:tc>
        <w:tc>
          <w:tcPr>
            <w:tcW w:w="1659" w:type="dxa"/>
            <w:shd w:val="clear" w:color="auto" w:fill="auto"/>
            <w:vAlign w:val="center"/>
          </w:tcPr>
          <w:p w14:paraId="08929A8B" w14:textId="77777777" w:rsidR="001A1C63" w:rsidRPr="00B55A80" w:rsidRDefault="001A1C63" w:rsidP="001A1C63">
            <w:pPr>
              <w:jc w:val="center"/>
              <w:rPr>
                <w:color w:val="000000"/>
              </w:rPr>
            </w:pPr>
            <w:r w:rsidRPr="00B55A80">
              <w:rPr>
                <w:color w:val="000000"/>
              </w:rPr>
              <w:t>CA0037826</w:t>
            </w:r>
          </w:p>
        </w:tc>
        <w:tc>
          <w:tcPr>
            <w:tcW w:w="1659" w:type="dxa"/>
            <w:tcBorders>
              <w:right w:val="single" w:sz="4" w:space="0" w:color="auto"/>
            </w:tcBorders>
            <w:shd w:val="clear" w:color="auto" w:fill="auto"/>
            <w:vAlign w:val="center"/>
          </w:tcPr>
          <w:p w14:paraId="7B3F6C1B" w14:textId="1CA51A93" w:rsidR="001A1C63" w:rsidRPr="00B55A80" w:rsidRDefault="001A1C63" w:rsidP="005570C7">
            <w:pPr>
              <w:jc w:val="center"/>
              <w:rPr>
                <w:color w:val="000000"/>
              </w:rPr>
            </w:pPr>
            <w:r w:rsidRPr="00397521">
              <w:t>R2-2012-0027</w:t>
            </w:r>
          </w:p>
        </w:tc>
        <w:tc>
          <w:tcPr>
            <w:tcW w:w="1659" w:type="dxa"/>
            <w:tcBorders>
              <w:right w:val="single" w:sz="4" w:space="0" w:color="auto"/>
            </w:tcBorders>
            <w:shd w:val="clear" w:color="auto" w:fill="auto"/>
            <w:vAlign w:val="center"/>
          </w:tcPr>
          <w:p w14:paraId="4B234F0E" w14:textId="6B09CE0E" w:rsidR="001A1C63" w:rsidRPr="00B55A80" w:rsidRDefault="001A1C63" w:rsidP="005570C7">
            <w:pPr>
              <w:jc w:val="center"/>
              <w:rPr>
                <w:color w:val="000000"/>
              </w:rPr>
            </w:pPr>
            <w:r w:rsidRPr="00397521">
              <w:t>4/11/2012</w:t>
            </w:r>
          </w:p>
        </w:tc>
        <w:tc>
          <w:tcPr>
            <w:tcW w:w="1759" w:type="dxa"/>
            <w:tcBorders>
              <w:right w:val="single" w:sz="12" w:space="0" w:color="auto"/>
            </w:tcBorders>
            <w:shd w:val="clear" w:color="auto" w:fill="auto"/>
            <w:vAlign w:val="center"/>
          </w:tcPr>
          <w:p w14:paraId="249CA0AF" w14:textId="2723FADB" w:rsidR="001A1C63" w:rsidRPr="00B55A80" w:rsidRDefault="001A1C63" w:rsidP="005570C7">
            <w:pPr>
              <w:jc w:val="center"/>
              <w:rPr>
                <w:color w:val="000000"/>
              </w:rPr>
            </w:pPr>
            <w:r w:rsidRPr="00397521">
              <w:t>5/31/2017</w:t>
            </w:r>
          </w:p>
        </w:tc>
      </w:tr>
      <w:tr w:rsidR="001A1C63" w:rsidRPr="00B55A80" w14:paraId="7F49ED7F" w14:textId="77777777" w:rsidTr="005570C7">
        <w:trPr>
          <w:cantSplit/>
        </w:trPr>
        <w:tc>
          <w:tcPr>
            <w:tcW w:w="3776" w:type="dxa"/>
            <w:tcBorders>
              <w:left w:val="single" w:sz="12" w:space="0" w:color="auto"/>
            </w:tcBorders>
            <w:shd w:val="clear" w:color="auto" w:fill="auto"/>
          </w:tcPr>
          <w:p w14:paraId="00E4D89D" w14:textId="77777777" w:rsidR="001A1C63" w:rsidRPr="00B55A80" w:rsidRDefault="001A1C63" w:rsidP="001A1C63">
            <w:pPr>
              <w:rPr>
                <w:rFonts w:eastAsia="Arial Unicode MS"/>
              </w:rPr>
            </w:pPr>
            <w:r w:rsidRPr="00B55A80">
              <w:t>Saint Helena, City of</w:t>
            </w:r>
          </w:p>
        </w:tc>
        <w:tc>
          <w:tcPr>
            <w:tcW w:w="1659" w:type="dxa"/>
            <w:shd w:val="clear" w:color="auto" w:fill="auto"/>
            <w:vAlign w:val="center"/>
          </w:tcPr>
          <w:p w14:paraId="6656B309" w14:textId="77777777" w:rsidR="001A1C63" w:rsidRPr="00B55A80" w:rsidRDefault="001A1C63" w:rsidP="001A1C63">
            <w:pPr>
              <w:jc w:val="center"/>
              <w:rPr>
                <w:color w:val="000000"/>
              </w:rPr>
            </w:pPr>
            <w:r w:rsidRPr="00B55A80">
              <w:rPr>
                <w:color w:val="000000"/>
              </w:rPr>
              <w:t>CA0038016</w:t>
            </w:r>
          </w:p>
        </w:tc>
        <w:tc>
          <w:tcPr>
            <w:tcW w:w="1659" w:type="dxa"/>
            <w:tcBorders>
              <w:right w:val="single" w:sz="4" w:space="0" w:color="auto"/>
            </w:tcBorders>
            <w:shd w:val="clear" w:color="auto" w:fill="auto"/>
            <w:vAlign w:val="center"/>
          </w:tcPr>
          <w:p w14:paraId="271F3C5C" w14:textId="102EE307" w:rsidR="001A1C63" w:rsidRPr="00B55A80" w:rsidRDefault="001A1C63" w:rsidP="005570C7">
            <w:pPr>
              <w:jc w:val="center"/>
              <w:rPr>
                <w:color w:val="000000"/>
              </w:rPr>
            </w:pPr>
            <w:r w:rsidRPr="00397521">
              <w:t>R2-2016-0003</w:t>
            </w:r>
          </w:p>
        </w:tc>
        <w:tc>
          <w:tcPr>
            <w:tcW w:w="1659" w:type="dxa"/>
            <w:tcBorders>
              <w:right w:val="single" w:sz="4" w:space="0" w:color="auto"/>
            </w:tcBorders>
            <w:shd w:val="clear" w:color="auto" w:fill="auto"/>
            <w:vAlign w:val="center"/>
          </w:tcPr>
          <w:p w14:paraId="745B5D6D" w14:textId="28DC8D86" w:rsidR="001A1C63" w:rsidRPr="00B55A80" w:rsidRDefault="001A1C63" w:rsidP="005570C7">
            <w:pPr>
              <w:jc w:val="center"/>
              <w:rPr>
                <w:color w:val="000000"/>
              </w:rPr>
            </w:pPr>
            <w:r w:rsidRPr="00397521">
              <w:t>1/13/2016</w:t>
            </w:r>
          </w:p>
        </w:tc>
        <w:tc>
          <w:tcPr>
            <w:tcW w:w="1759" w:type="dxa"/>
            <w:tcBorders>
              <w:right w:val="single" w:sz="12" w:space="0" w:color="auto"/>
            </w:tcBorders>
            <w:shd w:val="clear" w:color="auto" w:fill="auto"/>
            <w:vAlign w:val="center"/>
          </w:tcPr>
          <w:p w14:paraId="701C0DCA" w14:textId="74D474D0" w:rsidR="001A1C63" w:rsidRPr="00B55A80" w:rsidRDefault="001A1C63" w:rsidP="005570C7">
            <w:pPr>
              <w:jc w:val="center"/>
              <w:rPr>
                <w:color w:val="000000"/>
              </w:rPr>
            </w:pPr>
            <w:r w:rsidRPr="00397521">
              <w:t>2/28/2021</w:t>
            </w:r>
          </w:p>
        </w:tc>
      </w:tr>
      <w:tr w:rsidR="001A1C63" w:rsidRPr="00B55A80" w14:paraId="35639BD3" w14:textId="77777777" w:rsidTr="005570C7">
        <w:trPr>
          <w:cantSplit/>
        </w:trPr>
        <w:tc>
          <w:tcPr>
            <w:tcW w:w="3776" w:type="dxa"/>
            <w:tcBorders>
              <w:left w:val="single" w:sz="12" w:space="0" w:color="auto"/>
            </w:tcBorders>
            <w:shd w:val="clear" w:color="auto" w:fill="auto"/>
          </w:tcPr>
          <w:p w14:paraId="52292FB9" w14:textId="554AD1BC" w:rsidR="001A1C63" w:rsidRPr="00B55A80" w:rsidRDefault="001A1C63" w:rsidP="001A1C63">
            <w:pPr>
              <w:rPr>
                <w:rFonts w:eastAsia="Arial Unicode MS"/>
              </w:rPr>
            </w:pPr>
            <w:r w:rsidRPr="005465D4">
              <w:t>San Francisco</w:t>
            </w:r>
            <w:r>
              <w:t xml:space="preserve"> (San Francisco International Airport)</w:t>
            </w:r>
            <w:r w:rsidRPr="005465D4">
              <w:t>, City and County of</w:t>
            </w:r>
          </w:p>
        </w:tc>
        <w:tc>
          <w:tcPr>
            <w:tcW w:w="1659" w:type="dxa"/>
            <w:shd w:val="clear" w:color="auto" w:fill="auto"/>
            <w:vAlign w:val="center"/>
          </w:tcPr>
          <w:p w14:paraId="1118BF86" w14:textId="77777777" w:rsidR="001A1C63" w:rsidRPr="00B55A80" w:rsidRDefault="001A1C63" w:rsidP="001A1C63">
            <w:pPr>
              <w:jc w:val="center"/>
              <w:rPr>
                <w:color w:val="000000"/>
              </w:rPr>
            </w:pPr>
            <w:r w:rsidRPr="00B55A80">
              <w:rPr>
                <w:bCs/>
                <w:color w:val="000000"/>
              </w:rPr>
              <w:t>CA0038318</w:t>
            </w:r>
          </w:p>
        </w:tc>
        <w:tc>
          <w:tcPr>
            <w:tcW w:w="1659" w:type="dxa"/>
            <w:tcBorders>
              <w:right w:val="single" w:sz="4" w:space="0" w:color="auto"/>
            </w:tcBorders>
            <w:shd w:val="clear" w:color="auto" w:fill="auto"/>
            <w:vAlign w:val="center"/>
          </w:tcPr>
          <w:p w14:paraId="7D78400F" w14:textId="29EB19DD" w:rsidR="001A1C63" w:rsidRPr="00B55A80" w:rsidRDefault="001A1C63" w:rsidP="005570C7">
            <w:pPr>
              <w:jc w:val="center"/>
              <w:rPr>
                <w:color w:val="000000"/>
              </w:rPr>
            </w:pPr>
            <w:r w:rsidRPr="00397521">
              <w:t>R2-2013-0011</w:t>
            </w:r>
          </w:p>
        </w:tc>
        <w:tc>
          <w:tcPr>
            <w:tcW w:w="1659" w:type="dxa"/>
            <w:tcBorders>
              <w:right w:val="single" w:sz="4" w:space="0" w:color="auto"/>
            </w:tcBorders>
            <w:shd w:val="clear" w:color="auto" w:fill="auto"/>
            <w:vAlign w:val="center"/>
          </w:tcPr>
          <w:p w14:paraId="093E6B20" w14:textId="6E6CC422" w:rsidR="001A1C63" w:rsidRPr="00B55A80" w:rsidRDefault="001A1C63" w:rsidP="005570C7">
            <w:pPr>
              <w:jc w:val="center"/>
              <w:rPr>
                <w:color w:val="000000"/>
              </w:rPr>
            </w:pPr>
            <w:r w:rsidRPr="00397521">
              <w:t>5/8/2013</w:t>
            </w:r>
          </w:p>
        </w:tc>
        <w:tc>
          <w:tcPr>
            <w:tcW w:w="1759" w:type="dxa"/>
            <w:tcBorders>
              <w:right w:val="single" w:sz="12" w:space="0" w:color="auto"/>
            </w:tcBorders>
            <w:shd w:val="clear" w:color="auto" w:fill="auto"/>
            <w:vAlign w:val="center"/>
          </w:tcPr>
          <w:p w14:paraId="3AA05EDA" w14:textId="5964F7AE" w:rsidR="001A1C63" w:rsidRPr="00B55A80" w:rsidRDefault="001A1C63" w:rsidP="005570C7">
            <w:pPr>
              <w:jc w:val="center"/>
              <w:rPr>
                <w:color w:val="000000"/>
              </w:rPr>
            </w:pPr>
            <w:r w:rsidRPr="00397521">
              <w:t>6/30/2018</w:t>
            </w:r>
          </w:p>
        </w:tc>
      </w:tr>
      <w:tr w:rsidR="001A1C63" w:rsidRPr="00B55A80" w14:paraId="4BBEACC5" w14:textId="77777777" w:rsidTr="005570C7">
        <w:trPr>
          <w:cantSplit/>
        </w:trPr>
        <w:tc>
          <w:tcPr>
            <w:tcW w:w="3776" w:type="dxa"/>
            <w:tcBorders>
              <w:left w:val="single" w:sz="12" w:space="0" w:color="auto"/>
            </w:tcBorders>
            <w:shd w:val="clear" w:color="auto" w:fill="auto"/>
          </w:tcPr>
          <w:p w14:paraId="495DC432" w14:textId="77777777" w:rsidR="001A1C63" w:rsidRPr="00B55A80" w:rsidRDefault="001A1C63" w:rsidP="001A1C63">
            <w:pPr>
              <w:rPr>
                <w:rFonts w:eastAsia="Arial Unicode MS"/>
              </w:rPr>
            </w:pPr>
            <w:r w:rsidRPr="00B55A80">
              <w:t>San Francisco (Southeast Plant), City and County of</w:t>
            </w:r>
          </w:p>
        </w:tc>
        <w:tc>
          <w:tcPr>
            <w:tcW w:w="1659" w:type="dxa"/>
            <w:shd w:val="clear" w:color="auto" w:fill="auto"/>
            <w:vAlign w:val="center"/>
          </w:tcPr>
          <w:p w14:paraId="2D3C8423" w14:textId="77777777" w:rsidR="001A1C63" w:rsidRPr="00B55A80" w:rsidRDefault="001A1C63" w:rsidP="001A1C63">
            <w:pPr>
              <w:jc w:val="center"/>
              <w:rPr>
                <w:color w:val="000000"/>
              </w:rPr>
            </w:pPr>
            <w:r w:rsidRPr="00B55A80">
              <w:rPr>
                <w:bCs/>
                <w:color w:val="000000"/>
              </w:rPr>
              <w:t>CA0037664</w:t>
            </w:r>
          </w:p>
        </w:tc>
        <w:tc>
          <w:tcPr>
            <w:tcW w:w="1659" w:type="dxa"/>
            <w:tcBorders>
              <w:right w:val="single" w:sz="4" w:space="0" w:color="auto"/>
            </w:tcBorders>
            <w:shd w:val="clear" w:color="auto" w:fill="auto"/>
            <w:vAlign w:val="center"/>
          </w:tcPr>
          <w:p w14:paraId="05A6019E" w14:textId="41F6786C" w:rsidR="001A1C63" w:rsidRPr="00B55A80" w:rsidRDefault="001A1C63" w:rsidP="005570C7">
            <w:pPr>
              <w:jc w:val="center"/>
              <w:rPr>
                <w:color w:val="000000"/>
              </w:rPr>
            </w:pPr>
            <w:r w:rsidRPr="00397521">
              <w:t>R2-2013-0029</w:t>
            </w:r>
          </w:p>
        </w:tc>
        <w:tc>
          <w:tcPr>
            <w:tcW w:w="1659" w:type="dxa"/>
            <w:tcBorders>
              <w:right w:val="single" w:sz="4" w:space="0" w:color="auto"/>
            </w:tcBorders>
            <w:shd w:val="clear" w:color="auto" w:fill="auto"/>
            <w:vAlign w:val="center"/>
          </w:tcPr>
          <w:p w14:paraId="4C98C824" w14:textId="0CEE8900" w:rsidR="001A1C63" w:rsidRPr="00B55A80" w:rsidRDefault="001A1C63" w:rsidP="005570C7">
            <w:pPr>
              <w:jc w:val="center"/>
              <w:rPr>
                <w:color w:val="000000"/>
              </w:rPr>
            </w:pPr>
            <w:r w:rsidRPr="00397521">
              <w:t>8/14/2013</w:t>
            </w:r>
          </w:p>
        </w:tc>
        <w:tc>
          <w:tcPr>
            <w:tcW w:w="1759" w:type="dxa"/>
            <w:tcBorders>
              <w:right w:val="single" w:sz="12" w:space="0" w:color="auto"/>
            </w:tcBorders>
            <w:shd w:val="clear" w:color="auto" w:fill="auto"/>
            <w:vAlign w:val="center"/>
          </w:tcPr>
          <w:p w14:paraId="1C42DA55" w14:textId="4BB6C6BE" w:rsidR="001A1C63" w:rsidRPr="00B55A80" w:rsidRDefault="001A1C63" w:rsidP="005570C7">
            <w:pPr>
              <w:jc w:val="center"/>
              <w:rPr>
                <w:color w:val="000000"/>
              </w:rPr>
            </w:pPr>
            <w:r w:rsidRPr="00397521">
              <w:t>9/30/2018</w:t>
            </w:r>
          </w:p>
        </w:tc>
      </w:tr>
      <w:tr w:rsidR="001A1C63" w:rsidRPr="00B55A80" w14:paraId="26E6289B" w14:textId="77777777" w:rsidTr="005570C7">
        <w:trPr>
          <w:cantSplit/>
        </w:trPr>
        <w:tc>
          <w:tcPr>
            <w:tcW w:w="3776" w:type="dxa"/>
            <w:tcBorders>
              <w:left w:val="single" w:sz="12" w:space="0" w:color="auto"/>
            </w:tcBorders>
            <w:shd w:val="clear" w:color="auto" w:fill="auto"/>
          </w:tcPr>
          <w:p w14:paraId="6CF6DCC0" w14:textId="2AE01E51" w:rsidR="001A1C63" w:rsidRPr="00B55A80" w:rsidRDefault="001A1C63" w:rsidP="001A1C63">
            <w:pPr>
              <w:tabs>
                <w:tab w:val="left" w:pos="459"/>
              </w:tabs>
              <w:rPr>
                <w:rFonts w:eastAsia="Arial Unicode MS"/>
              </w:rPr>
            </w:pPr>
            <w:r>
              <w:t xml:space="preserve">San Jose and </w:t>
            </w:r>
            <w:r w:rsidRPr="007F4001">
              <w:t>Santa Clara, Cities of</w:t>
            </w:r>
          </w:p>
        </w:tc>
        <w:tc>
          <w:tcPr>
            <w:tcW w:w="1659" w:type="dxa"/>
            <w:shd w:val="clear" w:color="auto" w:fill="auto"/>
            <w:vAlign w:val="center"/>
          </w:tcPr>
          <w:p w14:paraId="557FB420" w14:textId="77777777" w:rsidR="001A1C63" w:rsidRPr="00B55A80" w:rsidRDefault="001A1C63" w:rsidP="001A1C63">
            <w:pPr>
              <w:jc w:val="center"/>
              <w:rPr>
                <w:color w:val="000000"/>
              </w:rPr>
            </w:pPr>
            <w:r w:rsidRPr="00B55A80">
              <w:rPr>
                <w:color w:val="000000"/>
              </w:rPr>
              <w:t>CA0037842</w:t>
            </w:r>
          </w:p>
        </w:tc>
        <w:tc>
          <w:tcPr>
            <w:tcW w:w="1659" w:type="dxa"/>
            <w:tcBorders>
              <w:right w:val="single" w:sz="4" w:space="0" w:color="auto"/>
            </w:tcBorders>
            <w:shd w:val="clear" w:color="auto" w:fill="auto"/>
            <w:vAlign w:val="center"/>
          </w:tcPr>
          <w:p w14:paraId="1F2E0B90" w14:textId="35FE27A0" w:rsidR="001A1C63" w:rsidRPr="00B55A80" w:rsidRDefault="001A1C63" w:rsidP="005570C7">
            <w:pPr>
              <w:jc w:val="center"/>
              <w:rPr>
                <w:color w:val="000000"/>
              </w:rPr>
            </w:pPr>
            <w:r w:rsidRPr="00397521">
              <w:t>R2-2014-0034</w:t>
            </w:r>
          </w:p>
        </w:tc>
        <w:tc>
          <w:tcPr>
            <w:tcW w:w="1659" w:type="dxa"/>
            <w:tcBorders>
              <w:right w:val="single" w:sz="4" w:space="0" w:color="auto"/>
            </w:tcBorders>
            <w:shd w:val="clear" w:color="auto" w:fill="auto"/>
            <w:vAlign w:val="center"/>
          </w:tcPr>
          <w:p w14:paraId="447E6848" w14:textId="0D33D2D0" w:rsidR="001A1C63" w:rsidRPr="00B55A80" w:rsidRDefault="001A1C63" w:rsidP="005570C7">
            <w:pPr>
              <w:jc w:val="center"/>
              <w:rPr>
                <w:color w:val="000000"/>
              </w:rPr>
            </w:pPr>
            <w:r w:rsidRPr="00397521">
              <w:t>9/10/2014</w:t>
            </w:r>
          </w:p>
        </w:tc>
        <w:tc>
          <w:tcPr>
            <w:tcW w:w="1759" w:type="dxa"/>
            <w:tcBorders>
              <w:right w:val="single" w:sz="12" w:space="0" w:color="auto"/>
            </w:tcBorders>
            <w:shd w:val="clear" w:color="auto" w:fill="auto"/>
            <w:vAlign w:val="center"/>
          </w:tcPr>
          <w:p w14:paraId="40736B3F" w14:textId="4D505998" w:rsidR="001A1C63" w:rsidRPr="00B55A80" w:rsidRDefault="001A1C63" w:rsidP="005570C7">
            <w:pPr>
              <w:jc w:val="center"/>
              <w:rPr>
                <w:color w:val="000000"/>
              </w:rPr>
            </w:pPr>
            <w:r w:rsidRPr="00397521">
              <w:t>10/31/2019</w:t>
            </w:r>
          </w:p>
        </w:tc>
      </w:tr>
      <w:tr w:rsidR="001A1C63" w:rsidRPr="00B55A80" w14:paraId="299EF918" w14:textId="77777777" w:rsidTr="005570C7">
        <w:trPr>
          <w:cantSplit/>
        </w:trPr>
        <w:tc>
          <w:tcPr>
            <w:tcW w:w="3776" w:type="dxa"/>
            <w:tcBorders>
              <w:left w:val="single" w:sz="12" w:space="0" w:color="auto"/>
            </w:tcBorders>
            <w:shd w:val="clear" w:color="auto" w:fill="auto"/>
          </w:tcPr>
          <w:p w14:paraId="66B0782E" w14:textId="77777777" w:rsidR="001A1C63" w:rsidRPr="00B55A80" w:rsidRDefault="001A1C63" w:rsidP="001A1C63">
            <w:pPr>
              <w:rPr>
                <w:rFonts w:eastAsia="Arial Unicode MS"/>
              </w:rPr>
            </w:pPr>
            <w:r w:rsidRPr="00B55A80">
              <w:t>San Mateo, City of</w:t>
            </w:r>
          </w:p>
        </w:tc>
        <w:tc>
          <w:tcPr>
            <w:tcW w:w="1659" w:type="dxa"/>
            <w:shd w:val="clear" w:color="auto" w:fill="auto"/>
            <w:vAlign w:val="center"/>
          </w:tcPr>
          <w:p w14:paraId="1AFF6D8E" w14:textId="77777777" w:rsidR="001A1C63" w:rsidRPr="00B55A80" w:rsidRDefault="001A1C63" w:rsidP="001A1C63">
            <w:pPr>
              <w:jc w:val="center"/>
              <w:rPr>
                <w:color w:val="000000"/>
              </w:rPr>
            </w:pPr>
            <w:r w:rsidRPr="00B55A80">
              <w:rPr>
                <w:color w:val="000000"/>
              </w:rPr>
              <w:t>CA0037541</w:t>
            </w:r>
          </w:p>
        </w:tc>
        <w:tc>
          <w:tcPr>
            <w:tcW w:w="1659" w:type="dxa"/>
            <w:tcBorders>
              <w:right w:val="single" w:sz="4" w:space="0" w:color="auto"/>
            </w:tcBorders>
            <w:shd w:val="clear" w:color="auto" w:fill="auto"/>
            <w:vAlign w:val="center"/>
          </w:tcPr>
          <w:p w14:paraId="541AA931" w14:textId="2E8065D0" w:rsidR="001A1C63" w:rsidRPr="00B55A80" w:rsidRDefault="001A1C63" w:rsidP="005570C7">
            <w:pPr>
              <w:jc w:val="center"/>
              <w:rPr>
                <w:color w:val="000000"/>
              </w:rPr>
            </w:pPr>
            <w:r w:rsidRPr="00397521">
              <w:t>R2-2013-0006</w:t>
            </w:r>
          </w:p>
        </w:tc>
        <w:tc>
          <w:tcPr>
            <w:tcW w:w="1659" w:type="dxa"/>
            <w:tcBorders>
              <w:right w:val="single" w:sz="4" w:space="0" w:color="auto"/>
            </w:tcBorders>
            <w:shd w:val="clear" w:color="auto" w:fill="auto"/>
            <w:vAlign w:val="center"/>
          </w:tcPr>
          <w:p w14:paraId="1DD99704" w14:textId="26EE507F" w:rsidR="001A1C63" w:rsidRPr="00B55A80" w:rsidRDefault="001A1C63" w:rsidP="005570C7">
            <w:pPr>
              <w:jc w:val="center"/>
              <w:rPr>
                <w:color w:val="000000"/>
              </w:rPr>
            </w:pPr>
            <w:r w:rsidRPr="00397521">
              <w:t>3/13/2013</w:t>
            </w:r>
          </w:p>
        </w:tc>
        <w:tc>
          <w:tcPr>
            <w:tcW w:w="1759" w:type="dxa"/>
            <w:tcBorders>
              <w:right w:val="single" w:sz="12" w:space="0" w:color="auto"/>
            </w:tcBorders>
            <w:shd w:val="clear" w:color="auto" w:fill="auto"/>
            <w:vAlign w:val="center"/>
          </w:tcPr>
          <w:p w14:paraId="3F83429B" w14:textId="5DBC9627" w:rsidR="001A1C63" w:rsidRPr="00B55A80" w:rsidRDefault="001A1C63" w:rsidP="005570C7">
            <w:pPr>
              <w:jc w:val="center"/>
              <w:rPr>
                <w:color w:val="000000"/>
              </w:rPr>
            </w:pPr>
            <w:r w:rsidRPr="00397521">
              <w:t>4/30/2018</w:t>
            </w:r>
          </w:p>
        </w:tc>
      </w:tr>
      <w:tr w:rsidR="001A1C63" w:rsidRPr="00B55A80" w14:paraId="7FD15E8D" w14:textId="77777777" w:rsidTr="005570C7">
        <w:trPr>
          <w:cantSplit/>
        </w:trPr>
        <w:tc>
          <w:tcPr>
            <w:tcW w:w="3776" w:type="dxa"/>
            <w:tcBorders>
              <w:left w:val="single" w:sz="12" w:space="0" w:color="auto"/>
            </w:tcBorders>
            <w:shd w:val="clear" w:color="auto" w:fill="auto"/>
          </w:tcPr>
          <w:p w14:paraId="52C6DDD1" w14:textId="77777777" w:rsidR="001A1C63" w:rsidRPr="00B55A80" w:rsidRDefault="001A1C63" w:rsidP="001A1C63">
            <w:pPr>
              <w:rPr>
                <w:rFonts w:eastAsia="Arial Unicode MS"/>
              </w:rPr>
            </w:pPr>
            <w:r w:rsidRPr="00B55A80">
              <w:t>Sausalito-Marin City Sanitary District</w:t>
            </w:r>
          </w:p>
        </w:tc>
        <w:tc>
          <w:tcPr>
            <w:tcW w:w="1659" w:type="dxa"/>
            <w:shd w:val="clear" w:color="auto" w:fill="auto"/>
            <w:vAlign w:val="center"/>
          </w:tcPr>
          <w:p w14:paraId="32387B6F" w14:textId="77777777" w:rsidR="001A1C63" w:rsidRPr="00B55A80" w:rsidRDefault="001A1C63" w:rsidP="001A1C63">
            <w:pPr>
              <w:jc w:val="center"/>
              <w:rPr>
                <w:color w:val="000000"/>
              </w:rPr>
            </w:pPr>
            <w:r w:rsidRPr="00B55A80">
              <w:rPr>
                <w:color w:val="000000"/>
              </w:rPr>
              <w:t>CA0038067</w:t>
            </w:r>
          </w:p>
        </w:tc>
        <w:tc>
          <w:tcPr>
            <w:tcW w:w="1659" w:type="dxa"/>
            <w:tcBorders>
              <w:right w:val="single" w:sz="4" w:space="0" w:color="auto"/>
            </w:tcBorders>
            <w:shd w:val="clear" w:color="auto" w:fill="auto"/>
            <w:vAlign w:val="center"/>
          </w:tcPr>
          <w:p w14:paraId="3BE4295E" w14:textId="7918A019" w:rsidR="001A1C63" w:rsidRPr="00B55A80" w:rsidRDefault="001A1C63" w:rsidP="005570C7">
            <w:pPr>
              <w:jc w:val="center"/>
              <w:rPr>
                <w:color w:val="000000"/>
              </w:rPr>
            </w:pPr>
            <w:r w:rsidRPr="00397521">
              <w:t>R2-2012-0083</w:t>
            </w:r>
          </w:p>
        </w:tc>
        <w:tc>
          <w:tcPr>
            <w:tcW w:w="1659" w:type="dxa"/>
            <w:tcBorders>
              <w:right w:val="single" w:sz="4" w:space="0" w:color="auto"/>
            </w:tcBorders>
            <w:shd w:val="clear" w:color="auto" w:fill="auto"/>
            <w:vAlign w:val="center"/>
          </w:tcPr>
          <w:p w14:paraId="3B13BF09" w14:textId="0C4AE44F" w:rsidR="001A1C63" w:rsidRPr="00B55A80" w:rsidRDefault="001A1C63" w:rsidP="005570C7">
            <w:pPr>
              <w:jc w:val="center"/>
              <w:rPr>
                <w:color w:val="000000"/>
              </w:rPr>
            </w:pPr>
            <w:r w:rsidRPr="00397521">
              <w:t>11/14/2012</w:t>
            </w:r>
          </w:p>
        </w:tc>
        <w:tc>
          <w:tcPr>
            <w:tcW w:w="1759" w:type="dxa"/>
            <w:tcBorders>
              <w:right w:val="single" w:sz="12" w:space="0" w:color="auto"/>
            </w:tcBorders>
            <w:shd w:val="clear" w:color="auto" w:fill="auto"/>
            <w:vAlign w:val="center"/>
          </w:tcPr>
          <w:p w14:paraId="7F948579" w14:textId="2452D941" w:rsidR="001A1C63" w:rsidRPr="00B55A80" w:rsidRDefault="001A1C63" w:rsidP="005570C7">
            <w:pPr>
              <w:jc w:val="center"/>
              <w:rPr>
                <w:color w:val="000000"/>
              </w:rPr>
            </w:pPr>
            <w:r w:rsidRPr="00397521">
              <w:t>12/31/2017</w:t>
            </w:r>
          </w:p>
        </w:tc>
      </w:tr>
      <w:tr w:rsidR="001A1C63" w:rsidRPr="00B55A80" w14:paraId="247C0425" w14:textId="77777777" w:rsidTr="005570C7">
        <w:trPr>
          <w:cantSplit/>
        </w:trPr>
        <w:tc>
          <w:tcPr>
            <w:tcW w:w="3776" w:type="dxa"/>
            <w:tcBorders>
              <w:left w:val="single" w:sz="12" w:space="0" w:color="auto"/>
            </w:tcBorders>
            <w:shd w:val="clear" w:color="auto" w:fill="auto"/>
          </w:tcPr>
          <w:p w14:paraId="1E254122" w14:textId="77777777" w:rsidR="001A1C63" w:rsidRPr="00B55A80" w:rsidRDefault="001A1C63" w:rsidP="001A1C63">
            <w:pPr>
              <w:tabs>
                <w:tab w:val="left" w:pos="459"/>
              </w:tabs>
              <w:rPr>
                <w:rFonts w:eastAsia="Arial Unicode MS"/>
              </w:rPr>
            </w:pPr>
            <w:r w:rsidRPr="00B55A80">
              <w:t>Sewerage Agency of Southern Marin</w:t>
            </w:r>
          </w:p>
        </w:tc>
        <w:tc>
          <w:tcPr>
            <w:tcW w:w="1659" w:type="dxa"/>
            <w:shd w:val="clear" w:color="auto" w:fill="auto"/>
            <w:vAlign w:val="center"/>
          </w:tcPr>
          <w:p w14:paraId="16407D36" w14:textId="77777777" w:rsidR="001A1C63" w:rsidRPr="00B55A80" w:rsidRDefault="001A1C63" w:rsidP="001A1C63">
            <w:pPr>
              <w:jc w:val="center"/>
              <w:rPr>
                <w:color w:val="000000"/>
              </w:rPr>
            </w:pPr>
            <w:r w:rsidRPr="00B55A80">
              <w:rPr>
                <w:color w:val="000000"/>
              </w:rPr>
              <w:t>CA0037711</w:t>
            </w:r>
          </w:p>
        </w:tc>
        <w:tc>
          <w:tcPr>
            <w:tcW w:w="1659" w:type="dxa"/>
            <w:tcBorders>
              <w:right w:val="single" w:sz="4" w:space="0" w:color="auto"/>
            </w:tcBorders>
            <w:shd w:val="clear" w:color="auto" w:fill="auto"/>
            <w:vAlign w:val="center"/>
          </w:tcPr>
          <w:p w14:paraId="43103B83" w14:textId="611E6568" w:rsidR="001A1C63" w:rsidRPr="00B55A80" w:rsidRDefault="001A1C63" w:rsidP="005570C7">
            <w:pPr>
              <w:jc w:val="center"/>
              <w:rPr>
                <w:color w:val="000000"/>
              </w:rPr>
            </w:pPr>
            <w:r w:rsidRPr="00397521">
              <w:t>R2-2012-0094</w:t>
            </w:r>
          </w:p>
        </w:tc>
        <w:tc>
          <w:tcPr>
            <w:tcW w:w="1659" w:type="dxa"/>
            <w:tcBorders>
              <w:right w:val="single" w:sz="4" w:space="0" w:color="auto"/>
            </w:tcBorders>
            <w:shd w:val="clear" w:color="auto" w:fill="auto"/>
            <w:vAlign w:val="center"/>
          </w:tcPr>
          <w:p w14:paraId="60C7E196" w14:textId="3EB6A801" w:rsidR="001A1C63" w:rsidRPr="00B55A80" w:rsidRDefault="001A1C63" w:rsidP="005570C7">
            <w:pPr>
              <w:jc w:val="center"/>
              <w:rPr>
                <w:color w:val="000000"/>
              </w:rPr>
            </w:pPr>
            <w:r w:rsidRPr="00397521">
              <w:t>12/12/2012</w:t>
            </w:r>
          </w:p>
        </w:tc>
        <w:tc>
          <w:tcPr>
            <w:tcW w:w="1759" w:type="dxa"/>
            <w:tcBorders>
              <w:right w:val="single" w:sz="12" w:space="0" w:color="auto"/>
            </w:tcBorders>
            <w:shd w:val="clear" w:color="auto" w:fill="auto"/>
            <w:vAlign w:val="center"/>
          </w:tcPr>
          <w:p w14:paraId="6F261EE4" w14:textId="4C08E705" w:rsidR="001A1C63" w:rsidRPr="00B55A80" w:rsidRDefault="001A1C63" w:rsidP="005570C7">
            <w:pPr>
              <w:jc w:val="center"/>
              <w:rPr>
                <w:color w:val="000000"/>
              </w:rPr>
            </w:pPr>
            <w:r w:rsidRPr="00397521">
              <w:t>1/31/2018</w:t>
            </w:r>
          </w:p>
        </w:tc>
      </w:tr>
      <w:tr w:rsidR="001A1C63" w:rsidRPr="00B55A80" w14:paraId="40870203" w14:textId="77777777" w:rsidTr="005570C7">
        <w:trPr>
          <w:cantSplit/>
        </w:trPr>
        <w:tc>
          <w:tcPr>
            <w:tcW w:w="3776" w:type="dxa"/>
            <w:tcBorders>
              <w:left w:val="single" w:sz="12" w:space="0" w:color="auto"/>
            </w:tcBorders>
            <w:shd w:val="clear" w:color="auto" w:fill="auto"/>
          </w:tcPr>
          <w:p w14:paraId="7B814E01" w14:textId="019B58D3" w:rsidR="001A1C63" w:rsidRPr="00B55A80" w:rsidRDefault="001A1C63" w:rsidP="001A1C63">
            <w:r>
              <w:t>Silicon Valley Clean Water</w:t>
            </w:r>
          </w:p>
        </w:tc>
        <w:tc>
          <w:tcPr>
            <w:tcW w:w="1659" w:type="dxa"/>
            <w:shd w:val="clear" w:color="auto" w:fill="auto"/>
            <w:vAlign w:val="center"/>
          </w:tcPr>
          <w:p w14:paraId="2A9A8303" w14:textId="3FAB3ED0" w:rsidR="001A1C63" w:rsidRPr="00B55A80" w:rsidRDefault="001A1C63" w:rsidP="001A1C63">
            <w:pPr>
              <w:jc w:val="center"/>
              <w:rPr>
                <w:color w:val="000000"/>
              </w:rPr>
            </w:pPr>
            <w:r w:rsidRPr="00B55A80">
              <w:rPr>
                <w:color w:val="000000"/>
              </w:rPr>
              <w:t>CA0038369</w:t>
            </w:r>
          </w:p>
        </w:tc>
        <w:tc>
          <w:tcPr>
            <w:tcW w:w="1659" w:type="dxa"/>
            <w:tcBorders>
              <w:right w:val="single" w:sz="4" w:space="0" w:color="auto"/>
            </w:tcBorders>
            <w:shd w:val="clear" w:color="auto" w:fill="auto"/>
            <w:vAlign w:val="center"/>
          </w:tcPr>
          <w:p w14:paraId="04A0CD4E" w14:textId="12801F27" w:rsidR="001A1C63" w:rsidRPr="00AD6CC8" w:rsidRDefault="001A1C63" w:rsidP="005570C7">
            <w:pPr>
              <w:jc w:val="center"/>
            </w:pPr>
            <w:r w:rsidRPr="00397521">
              <w:t>R2-2012-0062</w:t>
            </w:r>
          </w:p>
        </w:tc>
        <w:tc>
          <w:tcPr>
            <w:tcW w:w="1659" w:type="dxa"/>
            <w:tcBorders>
              <w:right w:val="single" w:sz="4" w:space="0" w:color="auto"/>
            </w:tcBorders>
            <w:shd w:val="clear" w:color="auto" w:fill="auto"/>
            <w:vAlign w:val="center"/>
          </w:tcPr>
          <w:p w14:paraId="27F0DA31" w14:textId="717230ED" w:rsidR="001A1C63" w:rsidRPr="00AD092B" w:rsidRDefault="001A1C63" w:rsidP="005570C7">
            <w:pPr>
              <w:jc w:val="center"/>
            </w:pPr>
            <w:r w:rsidRPr="00397521">
              <w:t>8/8/2012</w:t>
            </w:r>
          </w:p>
        </w:tc>
        <w:tc>
          <w:tcPr>
            <w:tcW w:w="1759" w:type="dxa"/>
            <w:tcBorders>
              <w:right w:val="single" w:sz="12" w:space="0" w:color="auto"/>
            </w:tcBorders>
            <w:shd w:val="clear" w:color="auto" w:fill="auto"/>
            <w:vAlign w:val="center"/>
          </w:tcPr>
          <w:p w14:paraId="5DEF4DC2" w14:textId="60289721" w:rsidR="001A1C63" w:rsidRPr="00E82A2A" w:rsidRDefault="001A1C63" w:rsidP="005570C7">
            <w:pPr>
              <w:jc w:val="center"/>
            </w:pPr>
            <w:r w:rsidRPr="00397521">
              <w:t>9/30/2017</w:t>
            </w:r>
          </w:p>
        </w:tc>
      </w:tr>
      <w:tr w:rsidR="001A1C63" w:rsidRPr="00B55A80" w14:paraId="59645A5E" w14:textId="77777777" w:rsidTr="005570C7">
        <w:trPr>
          <w:cantSplit/>
        </w:trPr>
        <w:tc>
          <w:tcPr>
            <w:tcW w:w="3776" w:type="dxa"/>
            <w:tcBorders>
              <w:left w:val="single" w:sz="12" w:space="0" w:color="auto"/>
            </w:tcBorders>
            <w:shd w:val="clear" w:color="auto" w:fill="auto"/>
          </w:tcPr>
          <w:p w14:paraId="44B7C7E6" w14:textId="77777777" w:rsidR="001A1C63" w:rsidRPr="00B55A80" w:rsidRDefault="001A1C63" w:rsidP="001A1C63">
            <w:pPr>
              <w:rPr>
                <w:rFonts w:eastAsia="Arial Unicode MS"/>
              </w:rPr>
            </w:pPr>
            <w:r w:rsidRPr="00B55A80">
              <w:t>Sonoma Valley County Sanitary District</w:t>
            </w:r>
          </w:p>
        </w:tc>
        <w:tc>
          <w:tcPr>
            <w:tcW w:w="1659" w:type="dxa"/>
            <w:shd w:val="clear" w:color="auto" w:fill="auto"/>
            <w:vAlign w:val="center"/>
          </w:tcPr>
          <w:p w14:paraId="597C8ED5" w14:textId="77777777" w:rsidR="001A1C63" w:rsidRPr="00B55A80" w:rsidRDefault="001A1C63" w:rsidP="001A1C63">
            <w:pPr>
              <w:jc w:val="center"/>
              <w:rPr>
                <w:color w:val="000000"/>
              </w:rPr>
            </w:pPr>
            <w:r w:rsidRPr="00B55A80">
              <w:rPr>
                <w:color w:val="000000"/>
              </w:rPr>
              <w:t>CA0037800</w:t>
            </w:r>
          </w:p>
        </w:tc>
        <w:tc>
          <w:tcPr>
            <w:tcW w:w="1659" w:type="dxa"/>
            <w:tcBorders>
              <w:right w:val="single" w:sz="4" w:space="0" w:color="auto"/>
            </w:tcBorders>
            <w:shd w:val="clear" w:color="auto" w:fill="auto"/>
            <w:vAlign w:val="center"/>
          </w:tcPr>
          <w:p w14:paraId="1A8057C6" w14:textId="3601FA79" w:rsidR="001A1C63" w:rsidRPr="00B55A80" w:rsidRDefault="001A1C63" w:rsidP="005570C7">
            <w:pPr>
              <w:jc w:val="center"/>
              <w:rPr>
                <w:color w:val="000000"/>
              </w:rPr>
            </w:pPr>
            <w:r w:rsidRPr="00397521">
              <w:t>R2-2014-0020</w:t>
            </w:r>
          </w:p>
        </w:tc>
        <w:tc>
          <w:tcPr>
            <w:tcW w:w="1659" w:type="dxa"/>
            <w:tcBorders>
              <w:right w:val="single" w:sz="4" w:space="0" w:color="auto"/>
            </w:tcBorders>
            <w:shd w:val="clear" w:color="auto" w:fill="auto"/>
            <w:vAlign w:val="center"/>
          </w:tcPr>
          <w:p w14:paraId="48B40AF7" w14:textId="6EF0DDC2" w:rsidR="001A1C63" w:rsidRPr="00B55A80" w:rsidRDefault="001A1C63" w:rsidP="005570C7">
            <w:pPr>
              <w:jc w:val="center"/>
              <w:rPr>
                <w:color w:val="000000"/>
              </w:rPr>
            </w:pPr>
            <w:r w:rsidRPr="00397521">
              <w:t>5/14/2014</w:t>
            </w:r>
          </w:p>
        </w:tc>
        <w:tc>
          <w:tcPr>
            <w:tcW w:w="1759" w:type="dxa"/>
            <w:tcBorders>
              <w:right w:val="single" w:sz="12" w:space="0" w:color="auto"/>
            </w:tcBorders>
            <w:shd w:val="clear" w:color="auto" w:fill="auto"/>
            <w:vAlign w:val="center"/>
          </w:tcPr>
          <w:p w14:paraId="3E157CDF" w14:textId="05D2BD08" w:rsidR="001A1C63" w:rsidRPr="00B55A80" w:rsidRDefault="001A1C63" w:rsidP="005570C7">
            <w:pPr>
              <w:jc w:val="center"/>
              <w:rPr>
                <w:color w:val="000000"/>
              </w:rPr>
            </w:pPr>
            <w:r w:rsidRPr="00397521">
              <w:t>6/30/2019</w:t>
            </w:r>
          </w:p>
        </w:tc>
      </w:tr>
      <w:tr w:rsidR="001A1C63" w:rsidRPr="00B55A80" w14:paraId="0F6C8C4A" w14:textId="77777777" w:rsidTr="005570C7">
        <w:trPr>
          <w:cantSplit/>
        </w:trPr>
        <w:tc>
          <w:tcPr>
            <w:tcW w:w="3776" w:type="dxa"/>
            <w:tcBorders>
              <w:left w:val="single" w:sz="12" w:space="0" w:color="auto"/>
            </w:tcBorders>
            <w:shd w:val="clear" w:color="auto" w:fill="auto"/>
          </w:tcPr>
          <w:p w14:paraId="1471B24F" w14:textId="77777777" w:rsidR="001A1C63" w:rsidRPr="00B55A80" w:rsidRDefault="001A1C63" w:rsidP="001A1C63">
            <w:pPr>
              <w:rPr>
                <w:rFonts w:eastAsia="Arial Unicode MS"/>
              </w:rPr>
            </w:pPr>
            <w:r w:rsidRPr="00B55A80">
              <w:t>South San Francisco and San Bruno, Cities of</w:t>
            </w:r>
          </w:p>
        </w:tc>
        <w:tc>
          <w:tcPr>
            <w:tcW w:w="1659" w:type="dxa"/>
            <w:shd w:val="clear" w:color="auto" w:fill="auto"/>
            <w:vAlign w:val="center"/>
          </w:tcPr>
          <w:p w14:paraId="68D22E41" w14:textId="77777777" w:rsidR="001A1C63" w:rsidRPr="00B55A80" w:rsidRDefault="001A1C63" w:rsidP="001A1C63">
            <w:pPr>
              <w:jc w:val="center"/>
              <w:rPr>
                <w:color w:val="000000"/>
              </w:rPr>
            </w:pPr>
            <w:r w:rsidRPr="00B55A80">
              <w:rPr>
                <w:color w:val="000000"/>
              </w:rPr>
              <w:t>CA0038130</w:t>
            </w:r>
          </w:p>
        </w:tc>
        <w:tc>
          <w:tcPr>
            <w:tcW w:w="1659" w:type="dxa"/>
            <w:tcBorders>
              <w:right w:val="single" w:sz="4" w:space="0" w:color="auto"/>
            </w:tcBorders>
            <w:shd w:val="clear" w:color="auto" w:fill="auto"/>
            <w:vAlign w:val="center"/>
          </w:tcPr>
          <w:p w14:paraId="62455E3C" w14:textId="2C9E7981" w:rsidR="001A1C63" w:rsidRPr="00B55A80" w:rsidRDefault="001A1C63" w:rsidP="005570C7">
            <w:pPr>
              <w:jc w:val="center"/>
              <w:rPr>
                <w:color w:val="000000"/>
              </w:rPr>
            </w:pPr>
            <w:r w:rsidRPr="00397521">
              <w:t>R2-2014-0012</w:t>
            </w:r>
          </w:p>
        </w:tc>
        <w:tc>
          <w:tcPr>
            <w:tcW w:w="1659" w:type="dxa"/>
            <w:tcBorders>
              <w:right w:val="single" w:sz="4" w:space="0" w:color="auto"/>
            </w:tcBorders>
            <w:shd w:val="clear" w:color="auto" w:fill="auto"/>
            <w:vAlign w:val="center"/>
          </w:tcPr>
          <w:p w14:paraId="1A3D0FD9" w14:textId="0A017DFE" w:rsidR="001A1C63" w:rsidRPr="00B55A80" w:rsidRDefault="001A1C63" w:rsidP="005570C7">
            <w:pPr>
              <w:jc w:val="center"/>
              <w:rPr>
                <w:color w:val="000000"/>
              </w:rPr>
            </w:pPr>
            <w:r w:rsidRPr="00397521">
              <w:t>4/9/2014</w:t>
            </w:r>
          </w:p>
        </w:tc>
        <w:tc>
          <w:tcPr>
            <w:tcW w:w="1759" w:type="dxa"/>
            <w:tcBorders>
              <w:right w:val="single" w:sz="12" w:space="0" w:color="auto"/>
            </w:tcBorders>
            <w:shd w:val="clear" w:color="auto" w:fill="auto"/>
            <w:vAlign w:val="center"/>
          </w:tcPr>
          <w:p w14:paraId="3395A876" w14:textId="3D14B284" w:rsidR="001A1C63" w:rsidRPr="00B55A80" w:rsidRDefault="001A1C63" w:rsidP="005570C7">
            <w:pPr>
              <w:jc w:val="center"/>
              <w:rPr>
                <w:color w:val="000000"/>
              </w:rPr>
            </w:pPr>
            <w:r w:rsidRPr="00397521">
              <w:t>5/31/2019</w:t>
            </w:r>
          </w:p>
        </w:tc>
      </w:tr>
      <w:tr w:rsidR="001A1C63" w:rsidRPr="00B55A80" w14:paraId="6F40F0CE" w14:textId="77777777" w:rsidTr="005570C7">
        <w:trPr>
          <w:cantSplit/>
        </w:trPr>
        <w:tc>
          <w:tcPr>
            <w:tcW w:w="3776" w:type="dxa"/>
            <w:tcBorders>
              <w:left w:val="single" w:sz="12" w:space="0" w:color="auto"/>
            </w:tcBorders>
            <w:shd w:val="clear" w:color="auto" w:fill="auto"/>
          </w:tcPr>
          <w:p w14:paraId="524EA90E" w14:textId="77777777" w:rsidR="001A1C63" w:rsidRPr="00B55A80" w:rsidRDefault="001A1C63" w:rsidP="001A1C63">
            <w:pPr>
              <w:tabs>
                <w:tab w:val="left" w:pos="459"/>
              </w:tabs>
              <w:rPr>
                <w:rFonts w:eastAsia="Arial Unicode MS"/>
              </w:rPr>
            </w:pPr>
            <w:r w:rsidRPr="00B55A80">
              <w:t>Sunnyvale, City of</w:t>
            </w:r>
          </w:p>
        </w:tc>
        <w:tc>
          <w:tcPr>
            <w:tcW w:w="1659" w:type="dxa"/>
            <w:shd w:val="clear" w:color="auto" w:fill="auto"/>
            <w:vAlign w:val="center"/>
          </w:tcPr>
          <w:p w14:paraId="2EB86470" w14:textId="77777777" w:rsidR="001A1C63" w:rsidRPr="00B55A80" w:rsidRDefault="001A1C63" w:rsidP="001A1C63">
            <w:pPr>
              <w:jc w:val="center"/>
              <w:rPr>
                <w:color w:val="000000"/>
              </w:rPr>
            </w:pPr>
            <w:r w:rsidRPr="00B55A80">
              <w:rPr>
                <w:color w:val="000000"/>
              </w:rPr>
              <w:t>CA0037621</w:t>
            </w:r>
          </w:p>
        </w:tc>
        <w:tc>
          <w:tcPr>
            <w:tcW w:w="1659" w:type="dxa"/>
            <w:tcBorders>
              <w:right w:val="single" w:sz="4" w:space="0" w:color="auto"/>
            </w:tcBorders>
            <w:shd w:val="clear" w:color="auto" w:fill="auto"/>
            <w:vAlign w:val="center"/>
          </w:tcPr>
          <w:p w14:paraId="72F1FB2B" w14:textId="59F42CA4" w:rsidR="001A1C63" w:rsidRPr="00B55A80" w:rsidRDefault="001A1C63" w:rsidP="005570C7">
            <w:pPr>
              <w:jc w:val="center"/>
              <w:rPr>
                <w:color w:val="000000"/>
              </w:rPr>
            </w:pPr>
            <w:r w:rsidRPr="00397521">
              <w:t>R2-2014-0035</w:t>
            </w:r>
          </w:p>
        </w:tc>
        <w:tc>
          <w:tcPr>
            <w:tcW w:w="1659" w:type="dxa"/>
            <w:tcBorders>
              <w:right w:val="single" w:sz="4" w:space="0" w:color="auto"/>
            </w:tcBorders>
            <w:shd w:val="clear" w:color="auto" w:fill="auto"/>
            <w:vAlign w:val="center"/>
          </w:tcPr>
          <w:p w14:paraId="483DA2B2" w14:textId="3E69874E" w:rsidR="001A1C63" w:rsidRPr="00B55A80" w:rsidRDefault="001A1C63" w:rsidP="005570C7">
            <w:pPr>
              <w:jc w:val="center"/>
              <w:rPr>
                <w:color w:val="000000"/>
              </w:rPr>
            </w:pPr>
            <w:r w:rsidRPr="00397521">
              <w:t>9/10/2014</w:t>
            </w:r>
          </w:p>
        </w:tc>
        <w:tc>
          <w:tcPr>
            <w:tcW w:w="1759" w:type="dxa"/>
            <w:tcBorders>
              <w:right w:val="single" w:sz="12" w:space="0" w:color="auto"/>
            </w:tcBorders>
            <w:shd w:val="clear" w:color="auto" w:fill="auto"/>
            <w:vAlign w:val="center"/>
          </w:tcPr>
          <w:p w14:paraId="7F976D16" w14:textId="36BE1686" w:rsidR="001A1C63" w:rsidRPr="00B55A80" w:rsidRDefault="001A1C63" w:rsidP="005570C7">
            <w:pPr>
              <w:jc w:val="center"/>
              <w:rPr>
                <w:color w:val="000000"/>
              </w:rPr>
            </w:pPr>
            <w:r w:rsidRPr="00397521">
              <w:t>10/31/2019</w:t>
            </w:r>
          </w:p>
        </w:tc>
      </w:tr>
      <w:tr w:rsidR="001A1C63" w:rsidRPr="00B55A80" w14:paraId="4B59BF40" w14:textId="77777777" w:rsidTr="005570C7">
        <w:trPr>
          <w:cantSplit/>
        </w:trPr>
        <w:tc>
          <w:tcPr>
            <w:tcW w:w="3776" w:type="dxa"/>
            <w:tcBorders>
              <w:left w:val="single" w:sz="12" w:space="0" w:color="auto"/>
            </w:tcBorders>
            <w:shd w:val="clear" w:color="auto" w:fill="auto"/>
          </w:tcPr>
          <w:p w14:paraId="29630CF1" w14:textId="438B8C1E" w:rsidR="001A1C63" w:rsidRPr="00B55A80" w:rsidRDefault="001A1C63" w:rsidP="001A1C63">
            <w:r w:rsidRPr="00B55A80">
              <w:t>U</w:t>
            </w:r>
            <w:r w:rsidR="00790411">
              <w:t>.</w:t>
            </w:r>
            <w:r w:rsidRPr="00B55A80">
              <w:t>S</w:t>
            </w:r>
            <w:r w:rsidR="00790411">
              <w:t>.</w:t>
            </w:r>
            <w:r w:rsidRPr="00B55A80">
              <w:t xml:space="preserve"> Department of Navy, Treasure Island</w:t>
            </w:r>
          </w:p>
        </w:tc>
        <w:tc>
          <w:tcPr>
            <w:tcW w:w="1659" w:type="dxa"/>
            <w:shd w:val="clear" w:color="auto" w:fill="auto"/>
            <w:vAlign w:val="center"/>
          </w:tcPr>
          <w:p w14:paraId="57F44800" w14:textId="77777777" w:rsidR="001A1C63" w:rsidRPr="00B55A80" w:rsidRDefault="001A1C63" w:rsidP="001A1C63">
            <w:pPr>
              <w:jc w:val="center"/>
              <w:rPr>
                <w:bCs/>
                <w:color w:val="000000"/>
              </w:rPr>
            </w:pPr>
            <w:r w:rsidRPr="00B55A80">
              <w:rPr>
                <w:color w:val="000000"/>
              </w:rPr>
              <w:t>CA0110116</w:t>
            </w:r>
          </w:p>
        </w:tc>
        <w:tc>
          <w:tcPr>
            <w:tcW w:w="1659" w:type="dxa"/>
            <w:tcBorders>
              <w:right w:val="single" w:sz="4" w:space="0" w:color="auto"/>
            </w:tcBorders>
            <w:shd w:val="clear" w:color="auto" w:fill="auto"/>
            <w:vAlign w:val="center"/>
          </w:tcPr>
          <w:p w14:paraId="517B08A8" w14:textId="15B772AE" w:rsidR="001A1C63" w:rsidRPr="00B55A80" w:rsidRDefault="001A1C63" w:rsidP="005570C7">
            <w:pPr>
              <w:jc w:val="center"/>
              <w:rPr>
                <w:color w:val="000000"/>
              </w:rPr>
            </w:pPr>
            <w:r w:rsidRPr="00397521">
              <w:t>R2-2015-0004</w:t>
            </w:r>
          </w:p>
        </w:tc>
        <w:tc>
          <w:tcPr>
            <w:tcW w:w="1659" w:type="dxa"/>
            <w:tcBorders>
              <w:right w:val="single" w:sz="4" w:space="0" w:color="auto"/>
            </w:tcBorders>
            <w:shd w:val="clear" w:color="auto" w:fill="auto"/>
            <w:vAlign w:val="center"/>
          </w:tcPr>
          <w:p w14:paraId="7807FB01" w14:textId="454950CC" w:rsidR="001A1C63" w:rsidRPr="00B55A80" w:rsidRDefault="001A1C63" w:rsidP="005570C7">
            <w:pPr>
              <w:jc w:val="center"/>
              <w:rPr>
                <w:color w:val="000000"/>
              </w:rPr>
            </w:pPr>
            <w:r w:rsidRPr="00397521">
              <w:t>1/21/2015</w:t>
            </w:r>
          </w:p>
        </w:tc>
        <w:tc>
          <w:tcPr>
            <w:tcW w:w="1759" w:type="dxa"/>
            <w:tcBorders>
              <w:right w:val="single" w:sz="12" w:space="0" w:color="auto"/>
            </w:tcBorders>
            <w:shd w:val="clear" w:color="auto" w:fill="auto"/>
            <w:vAlign w:val="center"/>
          </w:tcPr>
          <w:p w14:paraId="65355DBB" w14:textId="229B6966" w:rsidR="001A1C63" w:rsidRPr="00B55A80" w:rsidRDefault="001A1C63" w:rsidP="005570C7">
            <w:pPr>
              <w:jc w:val="center"/>
              <w:rPr>
                <w:color w:val="000000"/>
              </w:rPr>
            </w:pPr>
            <w:r w:rsidRPr="00397521">
              <w:t>3/31/2020</w:t>
            </w:r>
          </w:p>
        </w:tc>
      </w:tr>
      <w:tr w:rsidR="001A1C63" w:rsidRPr="00B55A80" w14:paraId="13E491EC" w14:textId="77777777" w:rsidTr="005570C7">
        <w:trPr>
          <w:cantSplit/>
        </w:trPr>
        <w:tc>
          <w:tcPr>
            <w:tcW w:w="3776" w:type="dxa"/>
            <w:tcBorders>
              <w:left w:val="single" w:sz="12" w:space="0" w:color="auto"/>
            </w:tcBorders>
            <w:shd w:val="clear" w:color="auto" w:fill="auto"/>
          </w:tcPr>
          <w:p w14:paraId="4D0ADECE" w14:textId="77777777" w:rsidR="001A1C63" w:rsidRPr="00B55A80" w:rsidRDefault="001A1C63" w:rsidP="001A1C63">
            <w:pPr>
              <w:rPr>
                <w:rFonts w:eastAsia="Arial Unicode MS"/>
              </w:rPr>
            </w:pPr>
            <w:r w:rsidRPr="00B55A80">
              <w:t>Vallejo Sanitation and Flood Control District</w:t>
            </w:r>
          </w:p>
        </w:tc>
        <w:tc>
          <w:tcPr>
            <w:tcW w:w="1659" w:type="dxa"/>
            <w:shd w:val="clear" w:color="auto" w:fill="auto"/>
            <w:vAlign w:val="center"/>
          </w:tcPr>
          <w:p w14:paraId="35125589" w14:textId="77777777" w:rsidR="001A1C63" w:rsidRPr="00B55A80" w:rsidRDefault="001A1C63" w:rsidP="001A1C63">
            <w:pPr>
              <w:jc w:val="center"/>
              <w:rPr>
                <w:color w:val="000000"/>
              </w:rPr>
            </w:pPr>
            <w:r w:rsidRPr="00B55A80">
              <w:rPr>
                <w:color w:val="000000"/>
              </w:rPr>
              <w:t>CA0037699</w:t>
            </w:r>
          </w:p>
        </w:tc>
        <w:tc>
          <w:tcPr>
            <w:tcW w:w="1659" w:type="dxa"/>
            <w:tcBorders>
              <w:right w:val="single" w:sz="4" w:space="0" w:color="auto"/>
            </w:tcBorders>
            <w:shd w:val="clear" w:color="auto" w:fill="auto"/>
            <w:vAlign w:val="center"/>
          </w:tcPr>
          <w:p w14:paraId="1B68344D" w14:textId="5F4341C7" w:rsidR="001A1C63" w:rsidRPr="00B55A80" w:rsidRDefault="001A1C63" w:rsidP="005570C7">
            <w:pPr>
              <w:jc w:val="center"/>
              <w:rPr>
                <w:color w:val="000000"/>
              </w:rPr>
            </w:pPr>
            <w:r w:rsidRPr="00397521">
              <w:t>R2-2012-0017</w:t>
            </w:r>
          </w:p>
        </w:tc>
        <w:tc>
          <w:tcPr>
            <w:tcW w:w="1659" w:type="dxa"/>
            <w:tcBorders>
              <w:right w:val="single" w:sz="4" w:space="0" w:color="auto"/>
            </w:tcBorders>
            <w:shd w:val="clear" w:color="auto" w:fill="auto"/>
            <w:vAlign w:val="center"/>
          </w:tcPr>
          <w:p w14:paraId="07AB250C" w14:textId="43F34BD9" w:rsidR="001A1C63" w:rsidRPr="00B55A80" w:rsidRDefault="001A1C63" w:rsidP="005570C7">
            <w:pPr>
              <w:jc w:val="center"/>
              <w:rPr>
                <w:color w:val="000000"/>
              </w:rPr>
            </w:pPr>
            <w:r w:rsidRPr="00397521">
              <w:t>2/8/2012</w:t>
            </w:r>
          </w:p>
        </w:tc>
        <w:tc>
          <w:tcPr>
            <w:tcW w:w="1759" w:type="dxa"/>
            <w:tcBorders>
              <w:right w:val="single" w:sz="12" w:space="0" w:color="auto"/>
            </w:tcBorders>
            <w:shd w:val="clear" w:color="auto" w:fill="auto"/>
            <w:vAlign w:val="center"/>
          </w:tcPr>
          <w:p w14:paraId="4BB9043E" w14:textId="22A7706B" w:rsidR="001A1C63" w:rsidRPr="00B55A80" w:rsidRDefault="001A1C63" w:rsidP="005570C7">
            <w:pPr>
              <w:jc w:val="center"/>
              <w:rPr>
                <w:color w:val="000000"/>
              </w:rPr>
            </w:pPr>
            <w:r w:rsidRPr="00397521">
              <w:t>3/31/2017</w:t>
            </w:r>
          </w:p>
        </w:tc>
      </w:tr>
      <w:tr w:rsidR="00A02CE9" w:rsidRPr="00B55A80" w14:paraId="62F148A6" w14:textId="77777777" w:rsidTr="00FD129C">
        <w:trPr>
          <w:cantSplit/>
        </w:trPr>
        <w:tc>
          <w:tcPr>
            <w:tcW w:w="3776" w:type="dxa"/>
            <w:tcBorders>
              <w:left w:val="single" w:sz="12" w:space="0" w:color="auto"/>
            </w:tcBorders>
            <w:shd w:val="clear" w:color="auto" w:fill="auto"/>
          </w:tcPr>
          <w:p w14:paraId="42BEC494" w14:textId="77777777" w:rsidR="00A02CE9" w:rsidRPr="005465D4" w:rsidRDefault="00A02CE9" w:rsidP="00A02CE9">
            <w:pPr>
              <w:pStyle w:val="xl24"/>
              <w:pBdr>
                <w:bottom w:val="none" w:sz="0" w:space="0" w:color="auto"/>
              </w:pBdr>
              <w:spacing w:before="0" w:beforeAutospacing="0" w:after="0" w:afterAutospacing="0"/>
              <w:jc w:val="left"/>
              <w:rPr>
                <w:rFonts w:ascii="Times New Roman" w:hAnsi="Times New Roman" w:cs="Times New Roman"/>
                <w:b w:val="0"/>
                <w:sz w:val="20"/>
                <w:szCs w:val="20"/>
              </w:rPr>
            </w:pPr>
            <w:r w:rsidRPr="005465D4">
              <w:rPr>
                <w:rFonts w:ascii="Times New Roman" w:hAnsi="Times New Roman" w:cs="Times New Roman"/>
                <w:b w:val="0"/>
                <w:sz w:val="20"/>
              </w:rPr>
              <w:lastRenderedPageBreak/>
              <w:t>West County Agency</w:t>
            </w:r>
            <w:r>
              <w:rPr>
                <w:rFonts w:ascii="Times New Roman" w:hAnsi="Times New Roman" w:cs="Times New Roman"/>
                <w:b w:val="0"/>
                <w:sz w:val="20"/>
              </w:rPr>
              <w:t xml:space="preserve">; </w:t>
            </w:r>
            <w:r w:rsidRPr="005465D4">
              <w:rPr>
                <w:rFonts w:ascii="Times New Roman" w:hAnsi="Times New Roman" w:cs="Times New Roman"/>
                <w:b w:val="0"/>
                <w:sz w:val="20"/>
                <w:szCs w:val="20"/>
              </w:rPr>
              <w:t>West County Wastewater District</w:t>
            </w:r>
            <w:r>
              <w:rPr>
                <w:rFonts w:ascii="Times New Roman" w:hAnsi="Times New Roman" w:cs="Times New Roman"/>
                <w:b w:val="0"/>
                <w:sz w:val="20"/>
                <w:szCs w:val="20"/>
              </w:rPr>
              <w:t xml:space="preserve">; </w:t>
            </w:r>
            <w:r w:rsidRPr="005465D4">
              <w:rPr>
                <w:rFonts w:ascii="Times New Roman" w:hAnsi="Times New Roman" w:cs="Times New Roman"/>
                <w:b w:val="0"/>
                <w:sz w:val="20"/>
                <w:szCs w:val="20"/>
              </w:rPr>
              <w:t xml:space="preserve"> </w:t>
            </w:r>
          </w:p>
          <w:p w14:paraId="2B88444C" w14:textId="77777777" w:rsidR="00A02CE9" w:rsidRPr="00B55A80" w:rsidRDefault="00A02CE9" w:rsidP="00A02CE9">
            <w:pPr>
              <w:rPr>
                <w:rFonts w:eastAsia="Arial Unicode MS"/>
              </w:rPr>
            </w:pPr>
            <w:r w:rsidRPr="005465D4">
              <w:rPr>
                <w:bCs/>
              </w:rPr>
              <w:t xml:space="preserve">City of Richmond </w:t>
            </w:r>
            <w:r>
              <w:rPr>
                <w:bCs/>
              </w:rPr>
              <w:t xml:space="preserve">; and Richmond </w:t>
            </w:r>
            <w:r w:rsidRPr="005465D4">
              <w:rPr>
                <w:bCs/>
              </w:rPr>
              <w:t>Municipal Sewer District</w:t>
            </w:r>
            <w:r>
              <w:rPr>
                <w:bCs/>
              </w:rPr>
              <w:t xml:space="preserve"> No. 1</w:t>
            </w:r>
          </w:p>
        </w:tc>
        <w:tc>
          <w:tcPr>
            <w:tcW w:w="1659" w:type="dxa"/>
            <w:shd w:val="clear" w:color="auto" w:fill="auto"/>
            <w:vAlign w:val="center"/>
          </w:tcPr>
          <w:p w14:paraId="25B0EBFB" w14:textId="77777777" w:rsidR="00A02CE9" w:rsidRPr="00B55A80" w:rsidRDefault="00A02CE9" w:rsidP="00A02CE9">
            <w:pPr>
              <w:jc w:val="center"/>
              <w:rPr>
                <w:color w:val="000000"/>
              </w:rPr>
            </w:pPr>
            <w:r w:rsidRPr="00B55A80">
              <w:rPr>
                <w:color w:val="000000"/>
              </w:rPr>
              <w:t>CA0038539</w:t>
            </w:r>
          </w:p>
        </w:tc>
        <w:tc>
          <w:tcPr>
            <w:tcW w:w="1659" w:type="dxa"/>
            <w:tcBorders>
              <w:right w:val="single" w:sz="4" w:space="0" w:color="auto"/>
            </w:tcBorders>
            <w:shd w:val="clear" w:color="auto" w:fill="auto"/>
            <w:vAlign w:val="center"/>
          </w:tcPr>
          <w:p w14:paraId="0F59C3E5" w14:textId="7CE4D860" w:rsidR="00A02CE9" w:rsidRPr="00B55A80" w:rsidRDefault="00A02CE9" w:rsidP="00A02CE9">
            <w:pPr>
              <w:jc w:val="center"/>
              <w:rPr>
                <w:color w:val="000000"/>
              </w:rPr>
            </w:pPr>
            <w:r w:rsidRPr="00AD6CC8">
              <w:t>R2-2013-0016</w:t>
            </w:r>
          </w:p>
        </w:tc>
        <w:tc>
          <w:tcPr>
            <w:tcW w:w="1659" w:type="dxa"/>
            <w:tcBorders>
              <w:right w:val="single" w:sz="4" w:space="0" w:color="auto"/>
            </w:tcBorders>
            <w:shd w:val="clear" w:color="auto" w:fill="auto"/>
            <w:vAlign w:val="center"/>
          </w:tcPr>
          <w:p w14:paraId="01BCD527" w14:textId="1BF37770" w:rsidR="00A02CE9" w:rsidRPr="00B55A80" w:rsidRDefault="00A02CE9" w:rsidP="00A02CE9">
            <w:pPr>
              <w:jc w:val="center"/>
              <w:rPr>
                <w:color w:val="000000"/>
              </w:rPr>
            </w:pPr>
            <w:r w:rsidRPr="00AD092B">
              <w:t>5/8/2013</w:t>
            </w:r>
          </w:p>
        </w:tc>
        <w:tc>
          <w:tcPr>
            <w:tcW w:w="1759" w:type="dxa"/>
            <w:tcBorders>
              <w:right w:val="single" w:sz="12" w:space="0" w:color="auto"/>
            </w:tcBorders>
            <w:shd w:val="clear" w:color="auto" w:fill="auto"/>
            <w:vAlign w:val="center"/>
          </w:tcPr>
          <w:p w14:paraId="4449EC0B" w14:textId="38D2F76A" w:rsidR="00A02CE9" w:rsidRPr="00B55A80" w:rsidRDefault="00A02CE9" w:rsidP="00A02CE9">
            <w:pPr>
              <w:jc w:val="center"/>
              <w:rPr>
                <w:color w:val="000000"/>
              </w:rPr>
            </w:pPr>
            <w:r w:rsidRPr="00E82A2A">
              <w:t>6/30/2018</w:t>
            </w:r>
          </w:p>
        </w:tc>
      </w:tr>
      <w:tr w:rsidR="00A02CE9" w:rsidRPr="00B55A80" w14:paraId="7DAC56D4" w14:textId="77777777" w:rsidTr="00FD129C">
        <w:trPr>
          <w:cantSplit/>
        </w:trPr>
        <w:tc>
          <w:tcPr>
            <w:tcW w:w="3776" w:type="dxa"/>
            <w:tcBorders>
              <w:left w:val="single" w:sz="12" w:space="0" w:color="auto"/>
              <w:bottom w:val="single" w:sz="12" w:space="0" w:color="auto"/>
            </w:tcBorders>
            <w:shd w:val="clear" w:color="auto" w:fill="auto"/>
          </w:tcPr>
          <w:p w14:paraId="5D7CF34D" w14:textId="77777777" w:rsidR="00A02CE9" w:rsidRPr="00B55A80" w:rsidRDefault="00A02CE9" w:rsidP="00A02CE9">
            <w:pPr>
              <w:rPr>
                <w:rFonts w:eastAsia="Arial Unicode MS"/>
              </w:rPr>
            </w:pPr>
            <w:r w:rsidRPr="00B55A80">
              <w:t>Yountville, Town of</w:t>
            </w:r>
          </w:p>
        </w:tc>
        <w:tc>
          <w:tcPr>
            <w:tcW w:w="1659" w:type="dxa"/>
            <w:tcBorders>
              <w:bottom w:val="single" w:sz="12" w:space="0" w:color="auto"/>
            </w:tcBorders>
            <w:shd w:val="clear" w:color="auto" w:fill="auto"/>
            <w:vAlign w:val="center"/>
          </w:tcPr>
          <w:p w14:paraId="1D8EB980" w14:textId="77777777" w:rsidR="00A02CE9" w:rsidRPr="00B55A80" w:rsidRDefault="00A02CE9" w:rsidP="00A02CE9">
            <w:pPr>
              <w:jc w:val="center"/>
              <w:rPr>
                <w:color w:val="000000"/>
              </w:rPr>
            </w:pPr>
            <w:r w:rsidRPr="00B55A80">
              <w:rPr>
                <w:color w:val="000000"/>
              </w:rPr>
              <w:t>CA0038121</w:t>
            </w:r>
          </w:p>
        </w:tc>
        <w:tc>
          <w:tcPr>
            <w:tcW w:w="1659" w:type="dxa"/>
            <w:tcBorders>
              <w:bottom w:val="single" w:sz="12" w:space="0" w:color="auto"/>
              <w:right w:val="single" w:sz="4" w:space="0" w:color="auto"/>
            </w:tcBorders>
            <w:shd w:val="clear" w:color="auto" w:fill="auto"/>
            <w:vAlign w:val="center"/>
          </w:tcPr>
          <w:p w14:paraId="076F25E4" w14:textId="2DBB1888" w:rsidR="00A02CE9" w:rsidRPr="00B55A80" w:rsidRDefault="00A02CE9" w:rsidP="00A02CE9">
            <w:pPr>
              <w:jc w:val="center"/>
              <w:rPr>
                <w:color w:val="000000"/>
              </w:rPr>
            </w:pPr>
            <w:r w:rsidRPr="00AD6CC8">
              <w:t>R2-2015-0029</w:t>
            </w:r>
          </w:p>
        </w:tc>
        <w:tc>
          <w:tcPr>
            <w:tcW w:w="1659" w:type="dxa"/>
            <w:tcBorders>
              <w:bottom w:val="single" w:sz="12" w:space="0" w:color="auto"/>
              <w:right w:val="single" w:sz="4" w:space="0" w:color="auto"/>
            </w:tcBorders>
            <w:shd w:val="clear" w:color="auto" w:fill="auto"/>
            <w:vAlign w:val="center"/>
          </w:tcPr>
          <w:p w14:paraId="4E0D4CC1" w14:textId="50FDA35E" w:rsidR="00A02CE9" w:rsidRPr="00B55A80" w:rsidRDefault="00A02CE9" w:rsidP="00A02CE9">
            <w:pPr>
              <w:jc w:val="center"/>
              <w:rPr>
                <w:color w:val="000000"/>
              </w:rPr>
            </w:pPr>
            <w:r w:rsidRPr="00AD092B">
              <w:t>6/10/2015</w:t>
            </w:r>
          </w:p>
        </w:tc>
        <w:tc>
          <w:tcPr>
            <w:tcW w:w="1759" w:type="dxa"/>
            <w:tcBorders>
              <w:bottom w:val="single" w:sz="12" w:space="0" w:color="auto"/>
              <w:right w:val="single" w:sz="12" w:space="0" w:color="auto"/>
            </w:tcBorders>
            <w:shd w:val="clear" w:color="auto" w:fill="auto"/>
            <w:vAlign w:val="center"/>
          </w:tcPr>
          <w:p w14:paraId="6F467967" w14:textId="5E5D6F6B" w:rsidR="00A02CE9" w:rsidRPr="00B55A80" w:rsidRDefault="00A02CE9" w:rsidP="00A02CE9">
            <w:pPr>
              <w:jc w:val="center"/>
              <w:rPr>
                <w:color w:val="000000"/>
              </w:rPr>
            </w:pPr>
            <w:r w:rsidRPr="00E82A2A">
              <w:t>7/31/2020</w:t>
            </w:r>
          </w:p>
        </w:tc>
      </w:tr>
      <w:tr w:rsidR="00A02CE9" w:rsidRPr="00B55A80" w14:paraId="3380B4C7" w14:textId="77777777" w:rsidTr="00FD129C">
        <w:trPr>
          <w:cantSplit/>
        </w:trPr>
        <w:tc>
          <w:tcPr>
            <w:tcW w:w="10512"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78C114E" w14:textId="77777777" w:rsidR="00A02CE9" w:rsidRPr="00D36870" w:rsidRDefault="00A02CE9" w:rsidP="00A02CE9">
            <w:pPr>
              <w:jc w:val="center"/>
              <w:rPr>
                <w:b/>
                <w:color w:val="000000"/>
              </w:rPr>
            </w:pPr>
            <w:r>
              <w:rPr>
                <w:b/>
                <w:color w:val="000000"/>
              </w:rPr>
              <w:t>Industrial Dischargers (Non-Petroleum Refinery)</w:t>
            </w:r>
          </w:p>
        </w:tc>
      </w:tr>
      <w:tr w:rsidR="00A02CE9" w:rsidRPr="00B55A80" w14:paraId="6F4EC6E6" w14:textId="77777777" w:rsidTr="00FD129C">
        <w:trPr>
          <w:cantSplit/>
        </w:trPr>
        <w:tc>
          <w:tcPr>
            <w:tcW w:w="3776" w:type="dxa"/>
            <w:tcBorders>
              <w:top w:val="single" w:sz="12" w:space="0" w:color="auto"/>
              <w:left w:val="single" w:sz="12" w:space="0" w:color="auto"/>
            </w:tcBorders>
            <w:shd w:val="clear" w:color="auto" w:fill="auto"/>
          </w:tcPr>
          <w:p w14:paraId="6BA40F28" w14:textId="77777777" w:rsidR="00A02CE9" w:rsidRPr="00B55A80" w:rsidRDefault="00A02CE9" w:rsidP="00A02CE9">
            <w:pPr>
              <w:spacing w:before="20" w:after="20"/>
              <w:rPr>
                <w:rFonts w:eastAsia="Arial Unicode MS"/>
              </w:rPr>
            </w:pPr>
            <w:r w:rsidRPr="00B55A80">
              <w:rPr>
                <w:rFonts w:eastAsia="Arial Unicode MS"/>
              </w:rPr>
              <w:t>C&amp;H Sugar and Crockett Community Services District, Crockett Sanitary Dept.</w:t>
            </w:r>
          </w:p>
        </w:tc>
        <w:tc>
          <w:tcPr>
            <w:tcW w:w="1659" w:type="dxa"/>
            <w:tcBorders>
              <w:top w:val="single" w:sz="12" w:space="0" w:color="auto"/>
            </w:tcBorders>
            <w:shd w:val="clear" w:color="auto" w:fill="auto"/>
            <w:vAlign w:val="center"/>
          </w:tcPr>
          <w:p w14:paraId="0FE65BB5" w14:textId="77777777" w:rsidR="00A02CE9" w:rsidRPr="00B55A80" w:rsidRDefault="00A02CE9" w:rsidP="00A02CE9">
            <w:pPr>
              <w:jc w:val="center"/>
              <w:rPr>
                <w:color w:val="000000"/>
              </w:rPr>
            </w:pPr>
            <w:r w:rsidRPr="00B55A80">
              <w:rPr>
                <w:color w:val="000000"/>
              </w:rPr>
              <w:t>CA0005240</w:t>
            </w:r>
          </w:p>
        </w:tc>
        <w:tc>
          <w:tcPr>
            <w:tcW w:w="1659" w:type="dxa"/>
            <w:tcBorders>
              <w:top w:val="single" w:sz="12" w:space="0" w:color="auto"/>
              <w:right w:val="single" w:sz="4" w:space="0" w:color="auto"/>
            </w:tcBorders>
            <w:shd w:val="clear" w:color="auto" w:fill="auto"/>
            <w:vAlign w:val="center"/>
          </w:tcPr>
          <w:p w14:paraId="1358F112" w14:textId="77777777" w:rsidR="00A02CE9" w:rsidRPr="00B55A80" w:rsidRDefault="00A02CE9" w:rsidP="00A02CE9">
            <w:pPr>
              <w:jc w:val="center"/>
              <w:rPr>
                <w:color w:val="000000"/>
              </w:rPr>
            </w:pPr>
            <w:r w:rsidRPr="00B55A80">
              <w:rPr>
                <w:color w:val="000000"/>
              </w:rPr>
              <w:t>R2-2012-0084</w:t>
            </w:r>
          </w:p>
        </w:tc>
        <w:tc>
          <w:tcPr>
            <w:tcW w:w="1659" w:type="dxa"/>
            <w:tcBorders>
              <w:top w:val="single" w:sz="12" w:space="0" w:color="auto"/>
              <w:right w:val="single" w:sz="4" w:space="0" w:color="auto"/>
            </w:tcBorders>
            <w:shd w:val="clear" w:color="auto" w:fill="auto"/>
            <w:vAlign w:val="center"/>
          </w:tcPr>
          <w:p w14:paraId="5624E97F" w14:textId="77777777" w:rsidR="00A02CE9" w:rsidRPr="00B55A80" w:rsidRDefault="00A02CE9" w:rsidP="00A02CE9">
            <w:pPr>
              <w:jc w:val="center"/>
              <w:rPr>
                <w:color w:val="000000"/>
              </w:rPr>
            </w:pPr>
            <w:r w:rsidRPr="00B55A80">
              <w:rPr>
                <w:color w:val="000000"/>
              </w:rPr>
              <w:t>11/14/12</w:t>
            </w:r>
          </w:p>
        </w:tc>
        <w:tc>
          <w:tcPr>
            <w:tcW w:w="1759" w:type="dxa"/>
            <w:tcBorders>
              <w:top w:val="single" w:sz="12" w:space="0" w:color="auto"/>
              <w:right w:val="single" w:sz="12" w:space="0" w:color="auto"/>
            </w:tcBorders>
            <w:shd w:val="clear" w:color="auto" w:fill="auto"/>
            <w:vAlign w:val="center"/>
          </w:tcPr>
          <w:p w14:paraId="611EA28C" w14:textId="77777777" w:rsidR="00A02CE9" w:rsidRPr="00B55A80" w:rsidRDefault="00A02CE9" w:rsidP="00A02CE9">
            <w:pPr>
              <w:jc w:val="center"/>
              <w:rPr>
                <w:color w:val="000000"/>
              </w:rPr>
            </w:pPr>
            <w:r w:rsidRPr="00B55A80">
              <w:rPr>
                <w:color w:val="000000"/>
              </w:rPr>
              <w:t>12/31/17</w:t>
            </w:r>
          </w:p>
        </w:tc>
      </w:tr>
      <w:tr w:rsidR="00A02CE9" w:rsidRPr="00B55A80" w14:paraId="3141D123" w14:textId="77777777" w:rsidTr="001A4DB3">
        <w:trPr>
          <w:cantSplit/>
        </w:trPr>
        <w:tc>
          <w:tcPr>
            <w:tcW w:w="3776" w:type="dxa"/>
            <w:tcBorders>
              <w:left w:val="single" w:sz="12" w:space="0" w:color="auto"/>
            </w:tcBorders>
            <w:shd w:val="clear" w:color="auto" w:fill="auto"/>
          </w:tcPr>
          <w:p w14:paraId="3C3150ED" w14:textId="77777777" w:rsidR="00A02CE9" w:rsidRPr="00B55A80" w:rsidRDefault="00A02CE9" w:rsidP="00A02CE9">
            <w:pPr>
              <w:spacing w:before="20" w:after="20"/>
              <w:rPr>
                <w:rFonts w:eastAsia="Arial Unicode MS"/>
              </w:rPr>
            </w:pPr>
            <w:r w:rsidRPr="00B55A80">
              <w:rPr>
                <w:rFonts w:eastAsia="Arial Unicode MS"/>
              </w:rPr>
              <w:t>Crockett Cogeneration, LP, and Pacific Crockett Energy, Inc.</w:t>
            </w:r>
          </w:p>
        </w:tc>
        <w:tc>
          <w:tcPr>
            <w:tcW w:w="1659" w:type="dxa"/>
            <w:shd w:val="clear" w:color="auto" w:fill="auto"/>
            <w:vAlign w:val="center"/>
          </w:tcPr>
          <w:p w14:paraId="4AFA792D" w14:textId="77777777" w:rsidR="00A02CE9" w:rsidRPr="00B55A80" w:rsidRDefault="00A02CE9" w:rsidP="00A02CE9">
            <w:pPr>
              <w:jc w:val="center"/>
              <w:rPr>
                <w:color w:val="000000"/>
              </w:rPr>
            </w:pPr>
            <w:r w:rsidRPr="00B55A80">
              <w:rPr>
                <w:color w:val="000000"/>
              </w:rPr>
              <w:t>CA0029904</w:t>
            </w:r>
          </w:p>
        </w:tc>
        <w:tc>
          <w:tcPr>
            <w:tcW w:w="1659" w:type="dxa"/>
            <w:tcBorders>
              <w:right w:val="single" w:sz="4" w:space="0" w:color="auto"/>
            </w:tcBorders>
            <w:shd w:val="clear" w:color="auto" w:fill="auto"/>
            <w:vAlign w:val="center"/>
          </w:tcPr>
          <w:p w14:paraId="06078E77" w14:textId="367A3D11" w:rsidR="00A02CE9" w:rsidRPr="00B55A80" w:rsidRDefault="00A02CE9" w:rsidP="00A02CE9">
            <w:pPr>
              <w:jc w:val="center"/>
              <w:rPr>
                <w:color w:val="000000"/>
              </w:rPr>
            </w:pPr>
            <w:r w:rsidRPr="009331B1">
              <w:t>R2-2016-0022</w:t>
            </w:r>
          </w:p>
        </w:tc>
        <w:tc>
          <w:tcPr>
            <w:tcW w:w="1659" w:type="dxa"/>
            <w:tcBorders>
              <w:right w:val="single" w:sz="4" w:space="0" w:color="auto"/>
            </w:tcBorders>
            <w:shd w:val="clear" w:color="auto" w:fill="auto"/>
            <w:vAlign w:val="center"/>
          </w:tcPr>
          <w:p w14:paraId="6AF119E9" w14:textId="4081A17D" w:rsidR="00A02CE9" w:rsidRPr="00B55A80" w:rsidRDefault="00A02CE9" w:rsidP="00A02CE9">
            <w:pPr>
              <w:jc w:val="center"/>
              <w:rPr>
                <w:color w:val="000000"/>
              </w:rPr>
            </w:pPr>
            <w:r w:rsidRPr="009331B1">
              <w:t>5/11/2016</w:t>
            </w:r>
          </w:p>
        </w:tc>
        <w:tc>
          <w:tcPr>
            <w:tcW w:w="1759" w:type="dxa"/>
            <w:tcBorders>
              <w:right w:val="single" w:sz="12" w:space="0" w:color="auto"/>
            </w:tcBorders>
            <w:shd w:val="clear" w:color="auto" w:fill="auto"/>
            <w:vAlign w:val="center"/>
          </w:tcPr>
          <w:p w14:paraId="3E7BDFB4" w14:textId="1D100169" w:rsidR="00A02CE9" w:rsidRPr="00B55A80" w:rsidRDefault="00A02CE9" w:rsidP="00A02CE9">
            <w:pPr>
              <w:jc w:val="center"/>
              <w:rPr>
                <w:color w:val="000000"/>
              </w:rPr>
            </w:pPr>
            <w:r w:rsidRPr="009331B1">
              <w:t>6/30/2021</w:t>
            </w:r>
          </w:p>
        </w:tc>
      </w:tr>
      <w:tr w:rsidR="00A02CE9" w:rsidRPr="00B55A80" w14:paraId="1874D9A8" w14:textId="77777777" w:rsidTr="00FD129C">
        <w:trPr>
          <w:cantSplit/>
        </w:trPr>
        <w:tc>
          <w:tcPr>
            <w:tcW w:w="3776" w:type="dxa"/>
            <w:tcBorders>
              <w:left w:val="single" w:sz="12" w:space="0" w:color="auto"/>
            </w:tcBorders>
            <w:shd w:val="clear" w:color="auto" w:fill="auto"/>
          </w:tcPr>
          <w:p w14:paraId="4500EFE6" w14:textId="77777777" w:rsidR="00A02CE9" w:rsidRPr="00B55A80" w:rsidRDefault="00A02CE9" w:rsidP="00A02CE9">
            <w:pPr>
              <w:spacing w:before="20" w:after="20"/>
              <w:rPr>
                <w:rFonts w:eastAsia="Arial Unicode MS"/>
              </w:rPr>
            </w:pPr>
            <w:r>
              <w:rPr>
                <w:rFonts w:eastAsia="Arial Unicode MS"/>
              </w:rPr>
              <w:t>Eco Services Operations LLC</w:t>
            </w:r>
          </w:p>
        </w:tc>
        <w:tc>
          <w:tcPr>
            <w:tcW w:w="1659" w:type="dxa"/>
            <w:shd w:val="clear" w:color="auto" w:fill="auto"/>
            <w:vAlign w:val="center"/>
          </w:tcPr>
          <w:p w14:paraId="50002FA2" w14:textId="77777777" w:rsidR="00A02CE9" w:rsidRPr="00B55A80" w:rsidRDefault="00A02CE9" w:rsidP="00A02CE9">
            <w:pPr>
              <w:jc w:val="center"/>
              <w:rPr>
                <w:color w:val="000000"/>
              </w:rPr>
            </w:pPr>
            <w:r w:rsidRPr="00B55A80">
              <w:rPr>
                <w:bCs/>
                <w:color w:val="000000"/>
              </w:rPr>
              <w:t>CA0006165</w:t>
            </w:r>
          </w:p>
        </w:tc>
        <w:tc>
          <w:tcPr>
            <w:tcW w:w="1659" w:type="dxa"/>
            <w:tcBorders>
              <w:right w:val="single" w:sz="4" w:space="0" w:color="auto"/>
            </w:tcBorders>
            <w:shd w:val="clear" w:color="auto" w:fill="auto"/>
            <w:vAlign w:val="center"/>
          </w:tcPr>
          <w:p w14:paraId="323034F7" w14:textId="77777777" w:rsidR="00A02CE9" w:rsidRPr="00B55A80" w:rsidRDefault="00A02CE9" w:rsidP="00A02CE9">
            <w:pPr>
              <w:jc w:val="center"/>
              <w:rPr>
                <w:color w:val="000000"/>
              </w:rPr>
            </w:pPr>
            <w:r w:rsidRPr="00B55A80">
              <w:rPr>
                <w:bCs/>
                <w:color w:val="000000"/>
              </w:rPr>
              <w:t>R2-201</w:t>
            </w:r>
            <w:r>
              <w:rPr>
                <w:bCs/>
                <w:color w:val="000000"/>
              </w:rPr>
              <w:t>5</w:t>
            </w:r>
            <w:r w:rsidRPr="00B55A80">
              <w:rPr>
                <w:bCs/>
                <w:color w:val="000000"/>
              </w:rPr>
              <w:t>-005</w:t>
            </w:r>
            <w:r>
              <w:rPr>
                <w:bCs/>
                <w:color w:val="000000"/>
              </w:rPr>
              <w:t>2</w:t>
            </w:r>
          </w:p>
        </w:tc>
        <w:tc>
          <w:tcPr>
            <w:tcW w:w="1659" w:type="dxa"/>
            <w:tcBorders>
              <w:right w:val="single" w:sz="4" w:space="0" w:color="auto"/>
            </w:tcBorders>
            <w:shd w:val="clear" w:color="auto" w:fill="auto"/>
            <w:vAlign w:val="center"/>
          </w:tcPr>
          <w:p w14:paraId="7E6CBCC5" w14:textId="77777777" w:rsidR="00A02CE9" w:rsidRPr="00B55A80" w:rsidRDefault="00A02CE9" w:rsidP="00A02CE9">
            <w:pPr>
              <w:jc w:val="center"/>
              <w:rPr>
                <w:color w:val="000000"/>
              </w:rPr>
            </w:pPr>
            <w:r>
              <w:rPr>
                <w:color w:val="000000"/>
              </w:rPr>
              <w:t>12</w:t>
            </w:r>
            <w:r w:rsidRPr="00B55A80">
              <w:rPr>
                <w:color w:val="000000"/>
              </w:rPr>
              <w:t>/1</w:t>
            </w:r>
            <w:r>
              <w:rPr>
                <w:color w:val="000000"/>
              </w:rPr>
              <w:t>6</w:t>
            </w:r>
            <w:r w:rsidRPr="00B55A80">
              <w:rPr>
                <w:color w:val="000000"/>
              </w:rPr>
              <w:t>/</w:t>
            </w:r>
            <w:r>
              <w:rPr>
                <w:color w:val="000000"/>
              </w:rPr>
              <w:t>2015</w:t>
            </w:r>
          </w:p>
        </w:tc>
        <w:tc>
          <w:tcPr>
            <w:tcW w:w="1759" w:type="dxa"/>
            <w:tcBorders>
              <w:right w:val="single" w:sz="12" w:space="0" w:color="auto"/>
            </w:tcBorders>
            <w:shd w:val="clear" w:color="auto" w:fill="auto"/>
            <w:vAlign w:val="center"/>
          </w:tcPr>
          <w:p w14:paraId="2C92D7FD" w14:textId="77777777" w:rsidR="00A02CE9" w:rsidRPr="00B55A80" w:rsidRDefault="00A02CE9" w:rsidP="00A02CE9">
            <w:pPr>
              <w:jc w:val="center"/>
              <w:rPr>
                <w:color w:val="000000"/>
              </w:rPr>
            </w:pPr>
            <w:r>
              <w:rPr>
                <w:color w:val="000000"/>
              </w:rPr>
              <w:t>1</w:t>
            </w:r>
            <w:r w:rsidRPr="00B55A80">
              <w:rPr>
                <w:color w:val="000000"/>
              </w:rPr>
              <w:t>/3</w:t>
            </w:r>
            <w:r>
              <w:rPr>
                <w:color w:val="000000"/>
              </w:rPr>
              <w:t>1</w:t>
            </w:r>
            <w:r w:rsidRPr="00B55A80">
              <w:rPr>
                <w:color w:val="000000"/>
              </w:rPr>
              <w:t>/</w:t>
            </w:r>
            <w:r>
              <w:rPr>
                <w:color w:val="000000"/>
              </w:rPr>
              <w:t>2021</w:t>
            </w:r>
          </w:p>
        </w:tc>
      </w:tr>
      <w:tr w:rsidR="00A02CE9" w:rsidRPr="00B55A80" w14:paraId="0C75BE7F" w14:textId="77777777" w:rsidTr="00FD129C">
        <w:trPr>
          <w:cantSplit/>
        </w:trPr>
        <w:tc>
          <w:tcPr>
            <w:tcW w:w="3776" w:type="dxa"/>
            <w:tcBorders>
              <w:left w:val="single" w:sz="12" w:space="0" w:color="auto"/>
            </w:tcBorders>
            <w:shd w:val="clear" w:color="auto" w:fill="auto"/>
          </w:tcPr>
          <w:p w14:paraId="55CEC637" w14:textId="523443C6" w:rsidR="00A02CE9" w:rsidRPr="00B55A80" w:rsidRDefault="001C5A72" w:rsidP="001C5A72">
            <w:pPr>
              <w:spacing w:before="20" w:after="20"/>
              <w:rPr>
                <w:rFonts w:eastAsia="Arial Unicode MS"/>
              </w:rPr>
            </w:pPr>
            <w:r>
              <w:rPr>
                <w:rFonts w:eastAsia="Arial Unicode MS"/>
              </w:rPr>
              <w:t xml:space="preserve">GenOn Delta, LLC </w:t>
            </w:r>
          </w:p>
        </w:tc>
        <w:tc>
          <w:tcPr>
            <w:tcW w:w="1659" w:type="dxa"/>
            <w:shd w:val="clear" w:color="auto" w:fill="auto"/>
            <w:vAlign w:val="center"/>
          </w:tcPr>
          <w:p w14:paraId="7897110E" w14:textId="77777777" w:rsidR="00A02CE9" w:rsidRPr="00B55A80" w:rsidRDefault="00A02CE9" w:rsidP="00A02CE9">
            <w:pPr>
              <w:jc w:val="center"/>
              <w:rPr>
                <w:color w:val="000000"/>
              </w:rPr>
            </w:pPr>
            <w:r w:rsidRPr="00B55A80">
              <w:rPr>
                <w:bCs/>
                <w:color w:val="000000"/>
              </w:rPr>
              <w:t>CA0004880</w:t>
            </w:r>
          </w:p>
        </w:tc>
        <w:tc>
          <w:tcPr>
            <w:tcW w:w="1659" w:type="dxa"/>
            <w:tcBorders>
              <w:right w:val="single" w:sz="4" w:space="0" w:color="auto"/>
            </w:tcBorders>
            <w:shd w:val="clear" w:color="auto" w:fill="auto"/>
            <w:vAlign w:val="center"/>
          </w:tcPr>
          <w:p w14:paraId="56764790" w14:textId="77777777" w:rsidR="00A02CE9" w:rsidRPr="00B55A80" w:rsidRDefault="00A02CE9" w:rsidP="00A02CE9">
            <w:pPr>
              <w:jc w:val="center"/>
              <w:rPr>
                <w:color w:val="000000"/>
              </w:rPr>
            </w:pPr>
            <w:r w:rsidRPr="00B55A80">
              <w:rPr>
                <w:bCs/>
                <w:color w:val="000000"/>
              </w:rPr>
              <w:t>R2-2002-0072</w:t>
            </w:r>
          </w:p>
        </w:tc>
        <w:tc>
          <w:tcPr>
            <w:tcW w:w="1659" w:type="dxa"/>
            <w:tcBorders>
              <w:right w:val="single" w:sz="4" w:space="0" w:color="auto"/>
            </w:tcBorders>
            <w:shd w:val="clear" w:color="auto" w:fill="auto"/>
            <w:vAlign w:val="center"/>
          </w:tcPr>
          <w:p w14:paraId="12A4345C" w14:textId="77777777" w:rsidR="00A02CE9" w:rsidRPr="00B55A80" w:rsidRDefault="00A02CE9" w:rsidP="00A02CE9">
            <w:pPr>
              <w:jc w:val="center"/>
              <w:rPr>
                <w:color w:val="000000"/>
              </w:rPr>
            </w:pPr>
            <w:r w:rsidRPr="00B55A80">
              <w:rPr>
                <w:color w:val="000000"/>
              </w:rPr>
              <w:t>6/19/02</w:t>
            </w:r>
          </w:p>
        </w:tc>
        <w:tc>
          <w:tcPr>
            <w:tcW w:w="1759" w:type="dxa"/>
            <w:tcBorders>
              <w:right w:val="single" w:sz="12" w:space="0" w:color="auto"/>
            </w:tcBorders>
            <w:shd w:val="clear" w:color="auto" w:fill="auto"/>
            <w:vAlign w:val="center"/>
          </w:tcPr>
          <w:p w14:paraId="4079671E" w14:textId="77777777" w:rsidR="00A02CE9" w:rsidRPr="00B55A80" w:rsidRDefault="00A02CE9" w:rsidP="00A02CE9">
            <w:pPr>
              <w:jc w:val="center"/>
              <w:rPr>
                <w:color w:val="000000"/>
              </w:rPr>
            </w:pPr>
            <w:r w:rsidRPr="00B55A80">
              <w:rPr>
                <w:color w:val="000000"/>
              </w:rPr>
              <w:t>5/31/07</w:t>
            </w:r>
          </w:p>
        </w:tc>
      </w:tr>
      <w:tr w:rsidR="00A02CE9" w:rsidRPr="00B55A80" w14:paraId="45DE347B" w14:textId="77777777" w:rsidTr="001A4DB3">
        <w:trPr>
          <w:cantSplit/>
        </w:trPr>
        <w:tc>
          <w:tcPr>
            <w:tcW w:w="3776" w:type="dxa"/>
            <w:tcBorders>
              <w:left w:val="single" w:sz="12" w:space="0" w:color="auto"/>
              <w:bottom w:val="single" w:sz="12" w:space="0" w:color="auto"/>
            </w:tcBorders>
            <w:shd w:val="clear" w:color="auto" w:fill="auto"/>
          </w:tcPr>
          <w:p w14:paraId="62131E2C" w14:textId="77777777" w:rsidR="00A02CE9" w:rsidRPr="00B55A80" w:rsidRDefault="00A02CE9" w:rsidP="00A02CE9">
            <w:pPr>
              <w:spacing w:before="20" w:after="20"/>
            </w:pPr>
            <w:r w:rsidRPr="00B55A80">
              <w:rPr>
                <w:rFonts w:eastAsia="Arial Unicode MS"/>
              </w:rPr>
              <w:t>USS-Posco Industries</w:t>
            </w:r>
          </w:p>
        </w:tc>
        <w:tc>
          <w:tcPr>
            <w:tcW w:w="1659" w:type="dxa"/>
            <w:tcBorders>
              <w:bottom w:val="single" w:sz="12" w:space="0" w:color="auto"/>
            </w:tcBorders>
            <w:shd w:val="clear" w:color="auto" w:fill="auto"/>
            <w:vAlign w:val="center"/>
          </w:tcPr>
          <w:p w14:paraId="12795DD2" w14:textId="77777777" w:rsidR="00A02CE9" w:rsidRPr="00B55A80" w:rsidRDefault="00A02CE9" w:rsidP="00A02CE9">
            <w:pPr>
              <w:jc w:val="center"/>
              <w:rPr>
                <w:color w:val="000000"/>
              </w:rPr>
            </w:pPr>
            <w:r w:rsidRPr="00B55A80">
              <w:rPr>
                <w:color w:val="000000"/>
              </w:rPr>
              <w:t>CA0005002</w:t>
            </w:r>
          </w:p>
        </w:tc>
        <w:tc>
          <w:tcPr>
            <w:tcW w:w="1659" w:type="dxa"/>
            <w:tcBorders>
              <w:bottom w:val="single" w:sz="12" w:space="0" w:color="auto"/>
              <w:right w:val="single" w:sz="4" w:space="0" w:color="auto"/>
            </w:tcBorders>
            <w:shd w:val="clear" w:color="auto" w:fill="auto"/>
            <w:vAlign w:val="center"/>
          </w:tcPr>
          <w:p w14:paraId="551100FA" w14:textId="76EE8744" w:rsidR="00A02CE9" w:rsidRPr="00B55A80" w:rsidRDefault="00A02CE9" w:rsidP="00A02CE9">
            <w:pPr>
              <w:jc w:val="center"/>
              <w:rPr>
                <w:color w:val="000000"/>
              </w:rPr>
            </w:pPr>
            <w:r w:rsidRPr="00CC3457">
              <w:t>R2-2016-0043</w:t>
            </w:r>
          </w:p>
        </w:tc>
        <w:tc>
          <w:tcPr>
            <w:tcW w:w="1659" w:type="dxa"/>
            <w:tcBorders>
              <w:bottom w:val="single" w:sz="12" w:space="0" w:color="auto"/>
              <w:right w:val="single" w:sz="4" w:space="0" w:color="auto"/>
            </w:tcBorders>
            <w:shd w:val="clear" w:color="auto" w:fill="auto"/>
            <w:vAlign w:val="center"/>
          </w:tcPr>
          <w:p w14:paraId="085F5FCC" w14:textId="1656148D" w:rsidR="00A02CE9" w:rsidRPr="00B55A80" w:rsidRDefault="00A02CE9" w:rsidP="00A02CE9">
            <w:pPr>
              <w:jc w:val="center"/>
              <w:rPr>
                <w:color w:val="000000"/>
              </w:rPr>
            </w:pPr>
            <w:r w:rsidRPr="00CC3457">
              <w:t>11/9/2016</w:t>
            </w:r>
          </w:p>
        </w:tc>
        <w:tc>
          <w:tcPr>
            <w:tcW w:w="1759" w:type="dxa"/>
            <w:tcBorders>
              <w:bottom w:val="single" w:sz="12" w:space="0" w:color="auto"/>
              <w:right w:val="single" w:sz="12" w:space="0" w:color="auto"/>
            </w:tcBorders>
            <w:shd w:val="clear" w:color="auto" w:fill="auto"/>
            <w:vAlign w:val="center"/>
          </w:tcPr>
          <w:p w14:paraId="4DEADAF1" w14:textId="7E9C78B0" w:rsidR="00A02CE9" w:rsidRPr="00B55A80" w:rsidRDefault="00A02CE9" w:rsidP="00A02CE9">
            <w:pPr>
              <w:jc w:val="center"/>
              <w:rPr>
                <w:color w:val="000000"/>
              </w:rPr>
            </w:pPr>
            <w:r w:rsidRPr="00CC3457">
              <w:t>12/31/2021</w:t>
            </w:r>
          </w:p>
        </w:tc>
      </w:tr>
      <w:tr w:rsidR="00A02CE9" w:rsidRPr="00B55A80" w14:paraId="4C231835" w14:textId="77777777" w:rsidTr="00D36870">
        <w:trPr>
          <w:cantSplit/>
        </w:trPr>
        <w:tc>
          <w:tcPr>
            <w:tcW w:w="10512"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8901FDB" w14:textId="77777777" w:rsidR="00A02CE9" w:rsidRPr="00B55A80" w:rsidRDefault="00A02CE9" w:rsidP="00A02CE9">
            <w:pPr>
              <w:jc w:val="center"/>
              <w:rPr>
                <w:color w:val="000000"/>
              </w:rPr>
            </w:pPr>
            <w:r>
              <w:rPr>
                <w:b/>
                <w:color w:val="000000"/>
              </w:rPr>
              <w:t>Industrial Dischargers (Petroleum Refinery)</w:t>
            </w:r>
          </w:p>
        </w:tc>
      </w:tr>
      <w:tr w:rsidR="00A02CE9" w:rsidRPr="00B55A80" w14:paraId="2F8E604E" w14:textId="77777777" w:rsidTr="001A4DB3">
        <w:trPr>
          <w:cantSplit/>
        </w:trPr>
        <w:tc>
          <w:tcPr>
            <w:tcW w:w="3776" w:type="dxa"/>
            <w:tcBorders>
              <w:top w:val="single" w:sz="12" w:space="0" w:color="auto"/>
              <w:left w:val="single" w:sz="12" w:space="0" w:color="auto"/>
            </w:tcBorders>
            <w:shd w:val="clear" w:color="auto" w:fill="auto"/>
          </w:tcPr>
          <w:p w14:paraId="796488A2" w14:textId="77777777" w:rsidR="00A02CE9" w:rsidRPr="00B55A80" w:rsidRDefault="00A02CE9" w:rsidP="00A02CE9">
            <w:pPr>
              <w:spacing w:before="20" w:after="20"/>
            </w:pPr>
            <w:r w:rsidRPr="00B55A80">
              <w:t>Chevron Products Company</w:t>
            </w:r>
          </w:p>
        </w:tc>
        <w:tc>
          <w:tcPr>
            <w:tcW w:w="1659" w:type="dxa"/>
            <w:tcBorders>
              <w:top w:val="single" w:sz="12" w:space="0" w:color="auto"/>
            </w:tcBorders>
            <w:shd w:val="clear" w:color="auto" w:fill="auto"/>
            <w:vAlign w:val="center"/>
          </w:tcPr>
          <w:p w14:paraId="20DAB7D3" w14:textId="77777777" w:rsidR="00A02CE9" w:rsidRPr="00B55A80" w:rsidRDefault="00A02CE9" w:rsidP="00A02CE9">
            <w:pPr>
              <w:jc w:val="center"/>
              <w:rPr>
                <w:color w:val="000000"/>
              </w:rPr>
            </w:pPr>
            <w:r w:rsidRPr="00B55A80">
              <w:rPr>
                <w:color w:val="000000"/>
              </w:rPr>
              <w:t>CA0005134</w:t>
            </w:r>
          </w:p>
        </w:tc>
        <w:tc>
          <w:tcPr>
            <w:tcW w:w="1659" w:type="dxa"/>
            <w:tcBorders>
              <w:top w:val="single" w:sz="12" w:space="0" w:color="auto"/>
              <w:right w:val="single" w:sz="4" w:space="0" w:color="auto"/>
            </w:tcBorders>
            <w:shd w:val="clear" w:color="auto" w:fill="auto"/>
            <w:vAlign w:val="center"/>
          </w:tcPr>
          <w:p w14:paraId="01CACEA1" w14:textId="30E73DA5" w:rsidR="00A02CE9" w:rsidRPr="00B55A80" w:rsidRDefault="00A02CE9" w:rsidP="00A02CE9">
            <w:pPr>
              <w:jc w:val="center"/>
              <w:rPr>
                <w:color w:val="000000"/>
              </w:rPr>
            </w:pPr>
            <w:r w:rsidRPr="00970A42">
              <w:t>R2-2016-0047</w:t>
            </w:r>
          </w:p>
        </w:tc>
        <w:tc>
          <w:tcPr>
            <w:tcW w:w="1659" w:type="dxa"/>
            <w:tcBorders>
              <w:top w:val="single" w:sz="12" w:space="0" w:color="auto"/>
              <w:right w:val="single" w:sz="4" w:space="0" w:color="auto"/>
            </w:tcBorders>
            <w:shd w:val="clear" w:color="auto" w:fill="auto"/>
            <w:vAlign w:val="center"/>
          </w:tcPr>
          <w:p w14:paraId="5C65BA12" w14:textId="2A6C4B27" w:rsidR="00A02CE9" w:rsidRPr="00B55A80" w:rsidRDefault="00A02CE9" w:rsidP="00A02CE9">
            <w:pPr>
              <w:jc w:val="center"/>
              <w:rPr>
                <w:color w:val="000000"/>
              </w:rPr>
            </w:pPr>
            <w:r w:rsidRPr="00970A42">
              <w:t>12/14/2016</w:t>
            </w:r>
          </w:p>
        </w:tc>
        <w:tc>
          <w:tcPr>
            <w:tcW w:w="1759" w:type="dxa"/>
            <w:tcBorders>
              <w:top w:val="single" w:sz="12" w:space="0" w:color="auto"/>
              <w:right w:val="single" w:sz="12" w:space="0" w:color="auto"/>
            </w:tcBorders>
            <w:shd w:val="clear" w:color="auto" w:fill="auto"/>
            <w:vAlign w:val="center"/>
          </w:tcPr>
          <w:p w14:paraId="45A03E99" w14:textId="6A8ABADC" w:rsidR="00A02CE9" w:rsidRPr="00B55A80" w:rsidRDefault="00A02CE9" w:rsidP="00A02CE9">
            <w:pPr>
              <w:jc w:val="center"/>
              <w:rPr>
                <w:color w:val="000000"/>
              </w:rPr>
            </w:pPr>
            <w:r w:rsidRPr="00970A42">
              <w:t>1/31/2022</w:t>
            </w:r>
          </w:p>
        </w:tc>
      </w:tr>
      <w:tr w:rsidR="00A02CE9" w:rsidRPr="00B55A80" w14:paraId="61297EB7" w14:textId="77777777" w:rsidTr="001A4DB3">
        <w:trPr>
          <w:cantSplit/>
        </w:trPr>
        <w:tc>
          <w:tcPr>
            <w:tcW w:w="3776" w:type="dxa"/>
            <w:tcBorders>
              <w:left w:val="single" w:sz="12" w:space="0" w:color="auto"/>
            </w:tcBorders>
            <w:shd w:val="clear" w:color="auto" w:fill="auto"/>
          </w:tcPr>
          <w:p w14:paraId="04115952" w14:textId="77A9E13A" w:rsidR="00A02CE9" w:rsidRPr="00B55A80" w:rsidRDefault="00A02CE9" w:rsidP="001C5A72">
            <w:pPr>
              <w:spacing w:before="20" w:after="20"/>
            </w:pPr>
            <w:r w:rsidRPr="00B55A80">
              <w:t xml:space="preserve">Phillips 66 </w:t>
            </w:r>
          </w:p>
        </w:tc>
        <w:tc>
          <w:tcPr>
            <w:tcW w:w="1659" w:type="dxa"/>
            <w:shd w:val="clear" w:color="auto" w:fill="auto"/>
            <w:vAlign w:val="center"/>
          </w:tcPr>
          <w:p w14:paraId="289C4F1F" w14:textId="77777777" w:rsidR="00A02CE9" w:rsidRPr="00B55A80" w:rsidRDefault="00A02CE9" w:rsidP="00A02CE9">
            <w:pPr>
              <w:jc w:val="center"/>
              <w:rPr>
                <w:color w:val="000000"/>
              </w:rPr>
            </w:pPr>
            <w:r w:rsidRPr="00B55A80">
              <w:rPr>
                <w:color w:val="000000"/>
              </w:rPr>
              <w:t>CA0005053</w:t>
            </w:r>
          </w:p>
        </w:tc>
        <w:tc>
          <w:tcPr>
            <w:tcW w:w="1659" w:type="dxa"/>
            <w:tcBorders>
              <w:right w:val="single" w:sz="4" w:space="0" w:color="auto"/>
            </w:tcBorders>
            <w:shd w:val="clear" w:color="auto" w:fill="auto"/>
            <w:vAlign w:val="center"/>
          </w:tcPr>
          <w:p w14:paraId="0F9411CF" w14:textId="2271863A" w:rsidR="00A02CE9" w:rsidRPr="00B55A80" w:rsidRDefault="00A02CE9" w:rsidP="00A02CE9">
            <w:pPr>
              <w:jc w:val="center"/>
              <w:rPr>
                <w:color w:val="000000"/>
              </w:rPr>
            </w:pPr>
            <w:r w:rsidRPr="00970A42">
              <w:t>R2-2016-0044</w:t>
            </w:r>
          </w:p>
        </w:tc>
        <w:tc>
          <w:tcPr>
            <w:tcW w:w="1659" w:type="dxa"/>
            <w:tcBorders>
              <w:right w:val="single" w:sz="4" w:space="0" w:color="auto"/>
            </w:tcBorders>
            <w:shd w:val="clear" w:color="auto" w:fill="auto"/>
            <w:vAlign w:val="center"/>
          </w:tcPr>
          <w:p w14:paraId="3E7BF8DB" w14:textId="75A9A131" w:rsidR="00A02CE9" w:rsidRPr="00B55A80" w:rsidRDefault="00A02CE9" w:rsidP="00A02CE9">
            <w:pPr>
              <w:jc w:val="center"/>
              <w:rPr>
                <w:color w:val="000000"/>
              </w:rPr>
            </w:pPr>
            <w:r w:rsidRPr="00970A42">
              <w:t>11/9/2016</w:t>
            </w:r>
          </w:p>
        </w:tc>
        <w:tc>
          <w:tcPr>
            <w:tcW w:w="1759" w:type="dxa"/>
            <w:tcBorders>
              <w:right w:val="single" w:sz="12" w:space="0" w:color="auto"/>
            </w:tcBorders>
            <w:shd w:val="clear" w:color="auto" w:fill="auto"/>
            <w:vAlign w:val="center"/>
          </w:tcPr>
          <w:p w14:paraId="3506CE6A" w14:textId="2F5489BD" w:rsidR="00A02CE9" w:rsidRPr="00B55A80" w:rsidRDefault="00A02CE9" w:rsidP="00A02CE9">
            <w:pPr>
              <w:jc w:val="center"/>
              <w:rPr>
                <w:color w:val="000000"/>
              </w:rPr>
            </w:pPr>
            <w:r w:rsidRPr="00970A42">
              <w:t>12/31/2021</w:t>
            </w:r>
          </w:p>
        </w:tc>
      </w:tr>
      <w:tr w:rsidR="00A02CE9" w:rsidRPr="00B55A80" w14:paraId="6CCAFA78" w14:textId="77777777" w:rsidTr="001A4DB3">
        <w:trPr>
          <w:cantSplit/>
        </w:trPr>
        <w:tc>
          <w:tcPr>
            <w:tcW w:w="3776" w:type="dxa"/>
            <w:tcBorders>
              <w:left w:val="single" w:sz="12" w:space="0" w:color="auto"/>
            </w:tcBorders>
            <w:shd w:val="clear" w:color="auto" w:fill="auto"/>
          </w:tcPr>
          <w:p w14:paraId="0FEF13E4" w14:textId="77777777" w:rsidR="00A02CE9" w:rsidRPr="00B55A80" w:rsidRDefault="00A02CE9" w:rsidP="00A02CE9">
            <w:pPr>
              <w:tabs>
                <w:tab w:val="left" w:pos="459"/>
              </w:tabs>
              <w:rPr>
                <w:rFonts w:eastAsia="Arial Unicode MS"/>
              </w:rPr>
            </w:pPr>
            <w:r w:rsidRPr="00B55A80">
              <w:rPr>
                <w:rFonts w:eastAsia="Arial Unicode MS"/>
              </w:rPr>
              <w:t>Shell Oil Products US and Equilon Enterprises LLC</w:t>
            </w:r>
          </w:p>
        </w:tc>
        <w:tc>
          <w:tcPr>
            <w:tcW w:w="1659" w:type="dxa"/>
            <w:shd w:val="clear" w:color="auto" w:fill="auto"/>
            <w:vAlign w:val="center"/>
          </w:tcPr>
          <w:p w14:paraId="61DACA66" w14:textId="77777777" w:rsidR="00A02CE9" w:rsidRPr="00B55A80" w:rsidRDefault="00A02CE9" w:rsidP="00A02CE9">
            <w:pPr>
              <w:jc w:val="center"/>
              <w:rPr>
                <w:color w:val="000000"/>
              </w:rPr>
            </w:pPr>
            <w:r w:rsidRPr="00B55A80">
              <w:rPr>
                <w:color w:val="000000"/>
              </w:rPr>
              <w:t>CA0005789</w:t>
            </w:r>
          </w:p>
        </w:tc>
        <w:tc>
          <w:tcPr>
            <w:tcW w:w="1659" w:type="dxa"/>
            <w:tcBorders>
              <w:right w:val="single" w:sz="4" w:space="0" w:color="auto"/>
            </w:tcBorders>
            <w:shd w:val="clear" w:color="auto" w:fill="auto"/>
            <w:vAlign w:val="center"/>
          </w:tcPr>
          <w:p w14:paraId="21938A37" w14:textId="5C9ACA45" w:rsidR="00A02CE9" w:rsidRPr="00B55A80" w:rsidRDefault="00A02CE9" w:rsidP="00A02CE9">
            <w:pPr>
              <w:jc w:val="center"/>
              <w:rPr>
                <w:color w:val="000000"/>
              </w:rPr>
            </w:pPr>
            <w:r w:rsidRPr="00970A42">
              <w:t>R2-2012-0052</w:t>
            </w:r>
          </w:p>
        </w:tc>
        <w:tc>
          <w:tcPr>
            <w:tcW w:w="1659" w:type="dxa"/>
            <w:tcBorders>
              <w:right w:val="single" w:sz="4" w:space="0" w:color="auto"/>
            </w:tcBorders>
            <w:shd w:val="clear" w:color="auto" w:fill="auto"/>
            <w:vAlign w:val="center"/>
          </w:tcPr>
          <w:p w14:paraId="342A2DAF" w14:textId="174F757B" w:rsidR="00A02CE9" w:rsidRPr="00B55A80" w:rsidRDefault="00A02CE9" w:rsidP="00A02CE9">
            <w:pPr>
              <w:jc w:val="center"/>
              <w:rPr>
                <w:color w:val="000000"/>
              </w:rPr>
            </w:pPr>
            <w:r w:rsidRPr="00970A42">
              <w:t>6/13/2012</w:t>
            </w:r>
          </w:p>
        </w:tc>
        <w:tc>
          <w:tcPr>
            <w:tcW w:w="1759" w:type="dxa"/>
            <w:tcBorders>
              <w:right w:val="single" w:sz="12" w:space="0" w:color="auto"/>
            </w:tcBorders>
            <w:shd w:val="clear" w:color="auto" w:fill="auto"/>
            <w:vAlign w:val="center"/>
          </w:tcPr>
          <w:p w14:paraId="512753E9" w14:textId="57D8BA8E" w:rsidR="00A02CE9" w:rsidRPr="00B55A80" w:rsidRDefault="00A02CE9" w:rsidP="00A02CE9">
            <w:pPr>
              <w:jc w:val="center"/>
              <w:rPr>
                <w:color w:val="000000"/>
              </w:rPr>
            </w:pPr>
            <w:r w:rsidRPr="00970A42">
              <w:t>7/31/2017</w:t>
            </w:r>
          </w:p>
        </w:tc>
      </w:tr>
      <w:tr w:rsidR="00A02CE9" w:rsidRPr="00B55A80" w14:paraId="07DF74EF" w14:textId="77777777" w:rsidTr="001A4DB3">
        <w:trPr>
          <w:cantSplit/>
        </w:trPr>
        <w:tc>
          <w:tcPr>
            <w:tcW w:w="3776" w:type="dxa"/>
            <w:tcBorders>
              <w:left w:val="single" w:sz="12" w:space="0" w:color="auto"/>
            </w:tcBorders>
            <w:shd w:val="clear" w:color="auto" w:fill="auto"/>
          </w:tcPr>
          <w:p w14:paraId="41F7ABDB" w14:textId="77777777" w:rsidR="00A02CE9" w:rsidRPr="00B55A80" w:rsidRDefault="00A02CE9" w:rsidP="00A02CE9">
            <w:pPr>
              <w:spacing w:before="20" w:after="20"/>
              <w:rPr>
                <w:rFonts w:eastAsia="Arial Unicode MS"/>
              </w:rPr>
            </w:pPr>
            <w:r w:rsidRPr="00B55A80">
              <w:rPr>
                <w:rFonts w:eastAsia="Arial Unicode MS"/>
              </w:rPr>
              <w:t>Tesoro Refining &amp; Marketing Co.</w:t>
            </w:r>
          </w:p>
        </w:tc>
        <w:tc>
          <w:tcPr>
            <w:tcW w:w="1659" w:type="dxa"/>
            <w:shd w:val="clear" w:color="auto" w:fill="auto"/>
            <w:vAlign w:val="center"/>
          </w:tcPr>
          <w:p w14:paraId="5588B784" w14:textId="77777777" w:rsidR="00A02CE9" w:rsidRPr="00B55A80" w:rsidRDefault="00A02CE9" w:rsidP="00A02CE9">
            <w:pPr>
              <w:jc w:val="center"/>
              <w:rPr>
                <w:color w:val="000000"/>
              </w:rPr>
            </w:pPr>
            <w:r w:rsidRPr="00B55A80">
              <w:rPr>
                <w:color w:val="000000"/>
              </w:rPr>
              <w:t>CA0004961</w:t>
            </w:r>
          </w:p>
        </w:tc>
        <w:tc>
          <w:tcPr>
            <w:tcW w:w="1659" w:type="dxa"/>
            <w:tcBorders>
              <w:right w:val="single" w:sz="4" w:space="0" w:color="auto"/>
            </w:tcBorders>
            <w:shd w:val="clear" w:color="auto" w:fill="auto"/>
            <w:vAlign w:val="center"/>
          </w:tcPr>
          <w:p w14:paraId="78F51D50" w14:textId="49078135" w:rsidR="00A02CE9" w:rsidRPr="00B55A80" w:rsidRDefault="00A02CE9" w:rsidP="00A02CE9">
            <w:pPr>
              <w:jc w:val="center"/>
              <w:rPr>
                <w:color w:val="000000"/>
              </w:rPr>
            </w:pPr>
            <w:r w:rsidRPr="00970A42">
              <w:t>R2-2015-0033</w:t>
            </w:r>
          </w:p>
        </w:tc>
        <w:tc>
          <w:tcPr>
            <w:tcW w:w="1659" w:type="dxa"/>
            <w:tcBorders>
              <w:right w:val="single" w:sz="4" w:space="0" w:color="auto"/>
            </w:tcBorders>
            <w:shd w:val="clear" w:color="auto" w:fill="auto"/>
            <w:vAlign w:val="center"/>
          </w:tcPr>
          <w:p w14:paraId="6E728883" w14:textId="28AD8936" w:rsidR="00A02CE9" w:rsidRPr="00B55A80" w:rsidRDefault="00A02CE9" w:rsidP="00A02CE9">
            <w:pPr>
              <w:jc w:val="center"/>
              <w:rPr>
                <w:color w:val="000000"/>
              </w:rPr>
            </w:pPr>
            <w:r w:rsidRPr="00970A42">
              <w:t>7/8/2015</w:t>
            </w:r>
          </w:p>
        </w:tc>
        <w:tc>
          <w:tcPr>
            <w:tcW w:w="1759" w:type="dxa"/>
            <w:tcBorders>
              <w:right w:val="single" w:sz="12" w:space="0" w:color="auto"/>
            </w:tcBorders>
            <w:shd w:val="clear" w:color="auto" w:fill="auto"/>
            <w:vAlign w:val="center"/>
          </w:tcPr>
          <w:p w14:paraId="3AEBEC92" w14:textId="4F398277" w:rsidR="00A02CE9" w:rsidRPr="00B55A80" w:rsidRDefault="00A02CE9" w:rsidP="00A02CE9">
            <w:pPr>
              <w:jc w:val="center"/>
              <w:rPr>
                <w:color w:val="000000"/>
              </w:rPr>
            </w:pPr>
            <w:r w:rsidRPr="00970A42">
              <w:t>8/31/2020</w:t>
            </w:r>
          </w:p>
        </w:tc>
      </w:tr>
      <w:tr w:rsidR="00A02CE9" w:rsidRPr="00B55A80" w14:paraId="1005F035" w14:textId="77777777" w:rsidTr="001A4DB3">
        <w:trPr>
          <w:cantSplit/>
        </w:trPr>
        <w:tc>
          <w:tcPr>
            <w:tcW w:w="3776" w:type="dxa"/>
            <w:tcBorders>
              <w:left w:val="single" w:sz="12" w:space="0" w:color="auto"/>
              <w:bottom w:val="single" w:sz="12" w:space="0" w:color="auto"/>
            </w:tcBorders>
            <w:shd w:val="clear" w:color="auto" w:fill="auto"/>
          </w:tcPr>
          <w:p w14:paraId="2295AAC6" w14:textId="77777777" w:rsidR="00A02CE9" w:rsidRPr="00B55A80" w:rsidRDefault="00A02CE9" w:rsidP="00A02CE9">
            <w:pPr>
              <w:spacing w:before="20" w:after="20"/>
              <w:rPr>
                <w:rFonts w:eastAsia="Arial Unicode MS"/>
              </w:rPr>
            </w:pPr>
            <w:r w:rsidRPr="00B55A80">
              <w:rPr>
                <w:rFonts w:eastAsia="Arial Unicode MS"/>
              </w:rPr>
              <w:t>Valero Refining Company</w:t>
            </w:r>
          </w:p>
        </w:tc>
        <w:tc>
          <w:tcPr>
            <w:tcW w:w="1659" w:type="dxa"/>
            <w:tcBorders>
              <w:bottom w:val="single" w:sz="12" w:space="0" w:color="auto"/>
            </w:tcBorders>
            <w:shd w:val="clear" w:color="auto" w:fill="auto"/>
            <w:vAlign w:val="center"/>
          </w:tcPr>
          <w:p w14:paraId="62C53F60" w14:textId="77777777" w:rsidR="00A02CE9" w:rsidRPr="00B55A80" w:rsidRDefault="00A02CE9" w:rsidP="00A02CE9">
            <w:pPr>
              <w:jc w:val="center"/>
              <w:rPr>
                <w:color w:val="000000"/>
              </w:rPr>
            </w:pPr>
            <w:r w:rsidRPr="00B55A80">
              <w:rPr>
                <w:color w:val="000000"/>
              </w:rPr>
              <w:t>CA0005550</w:t>
            </w:r>
          </w:p>
        </w:tc>
        <w:tc>
          <w:tcPr>
            <w:tcW w:w="1659" w:type="dxa"/>
            <w:tcBorders>
              <w:bottom w:val="single" w:sz="12" w:space="0" w:color="auto"/>
              <w:right w:val="single" w:sz="4" w:space="0" w:color="auto"/>
            </w:tcBorders>
            <w:shd w:val="clear" w:color="auto" w:fill="auto"/>
            <w:vAlign w:val="center"/>
          </w:tcPr>
          <w:p w14:paraId="441D30B9" w14:textId="2AF9C195" w:rsidR="00A02CE9" w:rsidRPr="00B55A80" w:rsidRDefault="00A02CE9" w:rsidP="00A02CE9">
            <w:pPr>
              <w:jc w:val="center"/>
              <w:rPr>
                <w:color w:val="000000"/>
              </w:rPr>
            </w:pPr>
            <w:r w:rsidRPr="00970A42">
              <w:t>R2-2015-0037</w:t>
            </w:r>
          </w:p>
        </w:tc>
        <w:tc>
          <w:tcPr>
            <w:tcW w:w="1659" w:type="dxa"/>
            <w:tcBorders>
              <w:bottom w:val="single" w:sz="12" w:space="0" w:color="auto"/>
              <w:right w:val="single" w:sz="4" w:space="0" w:color="auto"/>
            </w:tcBorders>
            <w:shd w:val="clear" w:color="auto" w:fill="auto"/>
            <w:vAlign w:val="center"/>
          </w:tcPr>
          <w:p w14:paraId="2EE303CC" w14:textId="4E3D34C9" w:rsidR="00A02CE9" w:rsidRPr="00B55A80" w:rsidRDefault="00A02CE9" w:rsidP="00A02CE9">
            <w:pPr>
              <w:jc w:val="center"/>
              <w:rPr>
                <w:color w:val="000000"/>
              </w:rPr>
            </w:pPr>
            <w:r w:rsidRPr="00970A42">
              <w:t>8/12/2015</w:t>
            </w:r>
          </w:p>
        </w:tc>
        <w:tc>
          <w:tcPr>
            <w:tcW w:w="1759" w:type="dxa"/>
            <w:tcBorders>
              <w:bottom w:val="single" w:sz="12" w:space="0" w:color="auto"/>
              <w:right w:val="single" w:sz="12" w:space="0" w:color="auto"/>
            </w:tcBorders>
            <w:shd w:val="clear" w:color="auto" w:fill="auto"/>
            <w:vAlign w:val="center"/>
          </w:tcPr>
          <w:p w14:paraId="561573BD" w14:textId="44ACAE5A" w:rsidR="00A02CE9" w:rsidRPr="00B55A80" w:rsidRDefault="00A02CE9" w:rsidP="00A02CE9">
            <w:pPr>
              <w:jc w:val="center"/>
              <w:rPr>
                <w:color w:val="000000"/>
              </w:rPr>
            </w:pPr>
            <w:r w:rsidRPr="00970A42">
              <w:t>9/30/2020</w:t>
            </w:r>
          </w:p>
        </w:tc>
      </w:tr>
    </w:tbl>
    <w:p w14:paraId="67852AF2" w14:textId="77777777" w:rsidR="0040170A" w:rsidRPr="00D63FB5" w:rsidRDefault="0040170A" w:rsidP="0040170A">
      <w:pPr>
        <w:pStyle w:val="H-indent5025"/>
        <w:keepNext/>
        <w:tabs>
          <w:tab w:val="clear" w:pos="1080"/>
          <w:tab w:val="left" w:pos="-90"/>
          <w:tab w:val="left" w:pos="7183"/>
        </w:tabs>
        <w:spacing w:before="60" w:after="60"/>
        <w:ind w:left="0" w:firstLine="0"/>
        <w:rPr>
          <w:rFonts w:ascii="Times New Roman" w:hAnsi="Times New Roman" w:cs="Times New Roman"/>
          <w:sz w:val="18"/>
          <w:szCs w:val="18"/>
          <w:u w:val="single"/>
        </w:rPr>
      </w:pPr>
      <w:r w:rsidRPr="00D63FB5">
        <w:rPr>
          <w:rFonts w:ascii="Times New Roman" w:hAnsi="Times New Roman" w:cs="Times New Roman"/>
          <w:sz w:val="18"/>
          <w:szCs w:val="18"/>
          <w:u w:val="single"/>
        </w:rPr>
        <w:t>Footnote:</w:t>
      </w:r>
    </w:p>
    <w:p w14:paraId="7ACD745B" w14:textId="5F9390EE" w:rsidR="0040170A" w:rsidRPr="00D63FB5" w:rsidRDefault="0040170A" w:rsidP="0040170A">
      <w:pPr>
        <w:pStyle w:val="H-indent5025"/>
        <w:tabs>
          <w:tab w:val="left" w:pos="270"/>
        </w:tabs>
        <w:spacing w:before="60" w:after="0"/>
        <w:ind w:left="630" w:hanging="630"/>
        <w:rPr>
          <w:rFonts w:ascii="Times New Roman" w:hAnsi="Times New Roman" w:cs="Times New Roman"/>
          <w:sz w:val="18"/>
          <w:szCs w:val="18"/>
        </w:rPr>
      </w:pPr>
      <w:r w:rsidRPr="00D63FB5">
        <w:rPr>
          <w:rFonts w:ascii="Times New Roman" w:hAnsi="Times New Roman" w:cs="Times New Roman"/>
          <w:sz w:val="18"/>
          <w:szCs w:val="18"/>
          <w:vertAlign w:val="superscript"/>
        </w:rPr>
        <w:t>[1]</w:t>
      </w:r>
      <w:r w:rsidRPr="00D63FB5">
        <w:rPr>
          <w:rFonts w:ascii="Times New Roman" w:hAnsi="Times New Roman" w:cs="Times New Roman"/>
          <w:sz w:val="18"/>
          <w:szCs w:val="18"/>
        </w:rPr>
        <w:tab/>
      </w:r>
      <w:r w:rsidRPr="0040170A">
        <w:rPr>
          <w:rFonts w:ascii="Times New Roman" w:hAnsi="Times New Roman" w:cs="Times New Roman"/>
          <w:sz w:val="18"/>
          <w:szCs w:val="18"/>
        </w:rPr>
        <w:t>The orders shown are for the primary permit reissuance and do not include permit amendments.</w:t>
      </w:r>
    </w:p>
    <w:p w14:paraId="42601CED" w14:textId="77777777" w:rsidR="0040170A" w:rsidRPr="00B55A80" w:rsidRDefault="0040170A" w:rsidP="00B55A80">
      <w:pPr>
        <w:spacing w:before="120" w:after="60"/>
      </w:pPr>
    </w:p>
    <w:p w14:paraId="07AC0930" w14:textId="77777777" w:rsidR="00CE1BCD" w:rsidRDefault="00CE1BCD">
      <w:pPr>
        <w:rPr>
          <w:color w:val="00B0F0"/>
        </w:rPr>
      </w:pPr>
      <w:r>
        <w:rPr>
          <w:color w:val="00B0F0"/>
        </w:rPr>
        <w:br w:type="page"/>
      </w:r>
    </w:p>
    <w:p w14:paraId="6DE9342D" w14:textId="77777777" w:rsidR="008F68EF" w:rsidRDefault="008F68EF" w:rsidP="00215D6F">
      <w:pPr>
        <w:rPr>
          <w:color w:val="00B0F0"/>
        </w:rPr>
        <w:sectPr w:rsidR="008F68EF" w:rsidSect="00863CE7">
          <w:headerReference w:type="default" r:id="rId38"/>
          <w:footerReference w:type="default" r:id="rId39"/>
          <w:footnotePr>
            <w:numRestart w:val="eachSect"/>
          </w:footnotePr>
          <w:endnotePr>
            <w:numFmt w:val="decimal"/>
          </w:endnotePr>
          <w:pgSz w:w="12240" w:h="15840" w:code="1"/>
          <w:pgMar w:top="1080" w:right="1080" w:bottom="1080" w:left="1080" w:header="547" w:footer="720" w:gutter="0"/>
          <w:pgNumType w:start="1" w:chapStyle="9"/>
          <w:cols w:space="720"/>
          <w:noEndnote/>
          <w:docGrid w:linePitch="326"/>
        </w:sectPr>
      </w:pPr>
    </w:p>
    <w:p w14:paraId="268395F7" w14:textId="4317C61E" w:rsidR="00CF69FF" w:rsidRPr="00CF69FF" w:rsidRDefault="00CF69FF" w:rsidP="00CF69FF">
      <w:pPr>
        <w:pStyle w:val="Heading9"/>
      </w:pPr>
    </w:p>
    <w:p w14:paraId="6C31A8D1" w14:textId="72B5FAAF" w:rsidR="00CD6994" w:rsidRPr="002841FB" w:rsidRDefault="00CF69FF" w:rsidP="00CD3DCF">
      <w:pPr>
        <w:rPr>
          <w:b/>
          <w:sz w:val="24"/>
          <w:szCs w:val="24"/>
        </w:rPr>
      </w:pPr>
      <w:r w:rsidRPr="002841FB">
        <w:rPr>
          <w:b/>
          <w:color w:val="FFFFFF" w:themeColor="background1"/>
          <w:sz w:val="24"/>
          <w:szCs w:val="24"/>
        </w:rPr>
        <w:t>C</w:t>
      </w:r>
      <w:r w:rsidR="00F878D4" w:rsidRPr="002841FB">
        <w:rPr>
          <w:b/>
          <w:sz w:val="24"/>
          <w:szCs w:val="24"/>
        </w:rPr>
        <w:t xml:space="preserve">ATTACHMENT C – </w:t>
      </w:r>
      <w:r w:rsidR="00CD3DCF" w:rsidRPr="002841FB">
        <w:rPr>
          <w:b/>
          <w:sz w:val="24"/>
          <w:szCs w:val="24"/>
        </w:rPr>
        <w:t>MAPS OF MUNICIPAL AND INDUSTRIAL DISCHARGERS</w:t>
      </w:r>
      <w:bookmarkStart w:id="105" w:name="_Toc101679535"/>
      <w:bookmarkStart w:id="106" w:name="_Toc87088815"/>
      <w:bookmarkStart w:id="107" w:name="_Toc125266060"/>
      <w:r w:rsidR="00FA6D88" w:rsidRPr="002841FB">
        <w:rPr>
          <w:noProof/>
          <w:color w:val="00B0F0"/>
          <w:sz w:val="24"/>
          <w:szCs w:val="24"/>
        </w:rPr>
        <w:br/>
      </w:r>
    </w:p>
    <w:p w14:paraId="4C79DEF4" w14:textId="350CF33D" w:rsidR="00130A29" w:rsidRDefault="00DE3390" w:rsidP="00CD3DCF">
      <w:pPr>
        <w:pStyle w:val="AttachmentHeading"/>
        <w:jc w:val="center"/>
        <w:rPr>
          <w:color w:val="00B0F0"/>
        </w:rPr>
      </w:pPr>
      <w:r>
        <w:rPr>
          <w:rFonts w:ascii="Arial" w:hAnsi="Arial" w:cs="Arial"/>
          <w:noProof/>
        </w:rPr>
        <w:drawing>
          <wp:inline distT="0" distB="0" distL="0" distR="0" wp14:anchorId="3B740946" wp14:editId="6DE3B09C">
            <wp:extent cx="6007100" cy="777675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rschlipf\Desktop\mun.png"/>
                    <pic:cNvPicPr>
                      <a:picLocks noChangeAspect="1" noChangeArrowheads="1"/>
                    </pic:cNvPicPr>
                  </pic:nvPicPr>
                  <pic:blipFill>
                    <a:blip r:embed="rId40" cstate="print">
                      <a:extLst>
                        <a:ext uri="{28A0092B-C50C-407E-A947-70E740481C1C}">
                          <a14:useLocalDpi xmlns:a14="http://schemas.microsoft.com/office/drawing/2010/main" val="0"/>
                        </a:ext>
                      </a:extLst>
                    </a:blip>
                    <a:stretch>
                      <a:fillRect/>
                    </a:stretch>
                  </pic:blipFill>
                  <pic:spPr bwMode="auto">
                    <a:xfrm>
                      <a:off x="0" y="0"/>
                      <a:ext cx="6015913" cy="7788168"/>
                    </a:xfrm>
                    <a:prstGeom prst="rect">
                      <a:avLst/>
                    </a:prstGeom>
                    <a:noFill/>
                    <a:ln>
                      <a:noFill/>
                    </a:ln>
                  </pic:spPr>
                </pic:pic>
              </a:graphicData>
            </a:graphic>
          </wp:inline>
        </w:drawing>
      </w:r>
    </w:p>
    <w:p w14:paraId="0A046B23" w14:textId="07C10355" w:rsidR="00130A29" w:rsidRPr="008632D9" w:rsidRDefault="00130A29" w:rsidP="00632D6D">
      <w:pPr>
        <w:pStyle w:val="AttachmentHeading"/>
        <w:jc w:val="center"/>
        <w:rPr>
          <w:color w:val="00B0F0"/>
        </w:rPr>
        <w:sectPr w:rsidR="00130A29" w:rsidRPr="008632D9" w:rsidSect="004A6A1D">
          <w:headerReference w:type="default" r:id="rId41"/>
          <w:footerReference w:type="default" r:id="rId42"/>
          <w:footnotePr>
            <w:numRestart w:val="eachSect"/>
          </w:footnotePr>
          <w:endnotePr>
            <w:numFmt w:val="decimal"/>
          </w:endnotePr>
          <w:pgSz w:w="12240" w:h="15840" w:code="1"/>
          <w:pgMar w:top="1080" w:right="1080" w:bottom="1080" w:left="1080" w:header="547" w:footer="720" w:gutter="0"/>
          <w:pgNumType w:start="1" w:chapStyle="9"/>
          <w:cols w:space="720"/>
          <w:noEndnote/>
          <w:docGrid w:linePitch="272"/>
        </w:sectPr>
      </w:pPr>
      <w:r>
        <w:rPr>
          <w:noProof/>
          <w:color w:val="00B0F0"/>
        </w:rPr>
        <w:lastRenderedPageBreak/>
        <w:drawing>
          <wp:inline distT="0" distB="0" distL="0" distR="0" wp14:anchorId="11E1170C" wp14:editId="181AE8B2">
            <wp:extent cx="6397019" cy="8281670"/>
            <wp:effectExtent l="0" t="0" r="381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43">
                      <a:extLst>
                        <a:ext uri="{28A0092B-C50C-407E-A947-70E740481C1C}">
                          <a14:useLocalDpi xmlns:a14="http://schemas.microsoft.com/office/drawing/2010/main" val="0"/>
                        </a:ext>
                      </a:extLst>
                    </a:blip>
                    <a:stretch>
                      <a:fillRect/>
                    </a:stretch>
                  </pic:blipFill>
                  <pic:spPr bwMode="auto">
                    <a:xfrm>
                      <a:off x="0" y="0"/>
                      <a:ext cx="6397019" cy="8281670"/>
                    </a:xfrm>
                    <a:prstGeom prst="rect">
                      <a:avLst/>
                    </a:prstGeom>
                    <a:noFill/>
                    <a:ln>
                      <a:noFill/>
                    </a:ln>
                  </pic:spPr>
                </pic:pic>
              </a:graphicData>
            </a:graphic>
          </wp:inline>
        </w:drawing>
      </w:r>
    </w:p>
    <w:p w14:paraId="32A46EBF" w14:textId="00B65C6B" w:rsidR="00C50F1A" w:rsidRPr="00C50F1A" w:rsidRDefault="00C50F1A" w:rsidP="00C50F1A">
      <w:pPr>
        <w:pStyle w:val="Heading9"/>
        <w:rPr>
          <w:color w:val="FFFFFF" w:themeColor="background1"/>
        </w:rPr>
      </w:pPr>
      <w:bookmarkStart w:id="108" w:name="_Toc87088818"/>
      <w:bookmarkEnd w:id="105"/>
      <w:bookmarkEnd w:id="106"/>
      <w:bookmarkEnd w:id="107"/>
      <w:r w:rsidRPr="00C50F1A">
        <w:rPr>
          <w:color w:val="FFFFFF" w:themeColor="background1"/>
        </w:rPr>
        <w:lastRenderedPageBreak/>
        <w:t>E</w:t>
      </w:r>
    </w:p>
    <w:p w14:paraId="720048C0" w14:textId="340B5ABA" w:rsidR="00F878D4" w:rsidRPr="00570B42" w:rsidRDefault="00F878D4">
      <w:pPr>
        <w:pStyle w:val="TOAHeading"/>
        <w:spacing w:after="120"/>
        <w:rPr>
          <w:rFonts w:ascii="Times New Roman" w:hAnsi="Times New Roman" w:cs="Times New Roman"/>
          <w:sz w:val="24"/>
          <w:szCs w:val="24"/>
        </w:rPr>
      </w:pPr>
      <w:r w:rsidRPr="00570B42">
        <w:rPr>
          <w:rFonts w:ascii="Times New Roman" w:hAnsi="Times New Roman" w:cs="Times New Roman"/>
          <w:sz w:val="24"/>
          <w:szCs w:val="24"/>
        </w:rPr>
        <w:t>ATTACHMENT E – MONITORING AND REPORTING PROGRAM</w:t>
      </w:r>
      <w:r w:rsidR="008A5A78" w:rsidRPr="00570B42">
        <w:rPr>
          <w:rFonts w:ascii="Times New Roman" w:hAnsi="Times New Roman" w:cs="Times New Roman"/>
          <w:sz w:val="24"/>
          <w:szCs w:val="24"/>
        </w:rPr>
        <w:t xml:space="preserve"> (MRP)</w:t>
      </w:r>
    </w:p>
    <w:p w14:paraId="0FF3DFCB" w14:textId="77777777" w:rsidR="00F878D4" w:rsidRPr="00570B42" w:rsidRDefault="00F878D4">
      <w:pPr>
        <w:pStyle w:val="Heading9"/>
        <w:ind w:left="720"/>
        <w:rPr>
          <w:color w:val="auto"/>
          <w:sz w:val="24"/>
          <w:szCs w:val="24"/>
        </w:rPr>
      </w:pPr>
    </w:p>
    <w:p w14:paraId="19DD33E8" w14:textId="77777777" w:rsidR="00F878D4" w:rsidRPr="00570B42" w:rsidRDefault="00F878D4">
      <w:pPr>
        <w:pStyle w:val="Title"/>
        <w:rPr>
          <w:rFonts w:ascii="Times New Roman" w:hAnsi="Times New Roman"/>
          <w:sz w:val="24"/>
          <w:szCs w:val="24"/>
        </w:rPr>
      </w:pPr>
      <w:r w:rsidRPr="00570B42">
        <w:rPr>
          <w:rFonts w:ascii="Times New Roman" w:hAnsi="Times New Roman"/>
          <w:sz w:val="24"/>
          <w:szCs w:val="24"/>
        </w:rPr>
        <w:t xml:space="preserve">Contents </w:t>
      </w:r>
    </w:p>
    <w:p w14:paraId="3F5736DF" w14:textId="3F0083E8" w:rsidR="00D16668" w:rsidRPr="00D16668" w:rsidRDefault="00BD2B3E">
      <w:pPr>
        <w:pStyle w:val="TOC1"/>
        <w:rPr>
          <w:rFonts w:asciiTheme="minorHAnsi" w:eastAsiaTheme="minorEastAsia" w:hAnsiTheme="minorHAnsi" w:cstheme="minorBidi"/>
          <w:sz w:val="24"/>
          <w:szCs w:val="24"/>
        </w:rPr>
      </w:pPr>
      <w:r w:rsidRPr="00570B42">
        <w:rPr>
          <w:sz w:val="24"/>
          <w:szCs w:val="24"/>
        </w:rPr>
        <w:fldChar w:fldCharType="begin"/>
      </w:r>
      <w:r w:rsidR="00F878D4" w:rsidRPr="00570B42">
        <w:rPr>
          <w:sz w:val="24"/>
          <w:szCs w:val="24"/>
        </w:rPr>
        <w:instrText xml:space="preserve"> TOC \h \z \t "Heading 1-E,1,Heading 2-E,2,Heading 3-E,3" </w:instrText>
      </w:r>
      <w:r w:rsidRPr="00570B42">
        <w:rPr>
          <w:sz w:val="24"/>
          <w:szCs w:val="24"/>
        </w:rPr>
        <w:fldChar w:fldCharType="separate"/>
      </w:r>
      <w:hyperlink w:anchor="_Toc487612916" w:history="1">
        <w:r w:rsidR="00D16668" w:rsidRPr="00D16668">
          <w:rPr>
            <w:rStyle w:val="Hyperlink"/>
            <w:sz w:val="24"/>
            <w:szCs w:val="24"/>
          </w:rPr>
          <w:t>I.</w:t>
        </w:r>
        <w:r w:rsidR="00D16668" w:rsidRPr="00D16668">
          <w:rPr>
            <w:rFonts w:asciiTheme="minorHAnsi" w:eastAsiaTheme="minorEastAsia" w:hAnsiTheme="minorHAnsi" w:cstheme="minorBidi"/>
            <w:sz w:val="24"/>
            <w:szCs w:val="24"/>
          </w:rPr>
          <w:tab/>
        </w:r>
        <w:r w:rsidR="00D16668" w:rsidRPr="00D16668">
          <w:rPr>
            <w:rStyle w:val="Hyperlink"/>
            <w:sz w:val="24"/>
            <w:szCs w:val="24"/>
          </w:rPr>
          <w:t>General Monitoring Provisions</w:t>
        </w:r>
        <w:r w:rsidR="00D16668" w:rsidRPr="00D16668">
          <w:rPr>
            <w:webHidden/>
            <w:sz w:val="24"/>
            <w:szCs w:val="24"/>
          </w:rPr>
          <w:tab/>
        </w:r>
        <w:r w:rsidR="00D16668" w:rsidRPr="00D16668">
          <w:rPr>
            <w:webHidden/>
            <w:sz w:val="24"/>
            <w:szCs w:val="24"/>
          </w:rPr>
          <w:fldChar w:fldCharType="begin"/>
        </w:r>
        <w:r w:rsidR="00D16668" w:rsidRPr="00D16668">
          <w:rPr>
            <w:webHidden/>
            <w:sz w:val="24"/>
            <w:szCs w:val="24"/>
          </w:rPr>
          <w:instrText xml:space="preserve"> PAGEREF _Toc487612916 \h </w:instrText>
        </w:r>
        <w:r w:rsidR="00D16668" w:rsidRPr="00D16668">
          <w:rPr>
            <w:webHidden/>
            <w:sz w:val="24"/>
            <w:szCs w:val="24"/>
          </w:rPr>
        </w:r>
        <w:r w:rsidR="00D16668" w:rsidRPr="00D16668">
          <w:rPr>
            <w:webHidden/>
            <w:sz w:val="24"/>
            <w:szCs w:val="24"/>
          </w:rPr>
          <w:fldChar w:fldCharType="separate"/>
        </w:r>
        <w:r w:rsidR="000018F2">
          <w:rPr>
            <w:webHidden/>
            <w:sz w:val="24"/>
            <w:szCs w:val="24"/>
          </w:rPr>
          <w:t>E-2</w:t>
        </w:r>
        <w:r w:rsidR="00D16668" w:rsidRPr="00D16668">
          <w:rPr>
            <w:webHidden/>
            <w:sz w:val="24"/>
            <w:szCs w:val="24"/>
          </w:rPr>
          <w:fldChar w:fldCharType="end"/>
        </w:r>
      </w:hyperlink>
    </w:p>
    <w:p w14:paraId="0FE0E6E6" w14:textId="37FD1A2D" w:rsidR="00D16668" w:rsidRPr="00D16668" w:rsidRDefault="0013573F">
      <w:pPr>
        <w:pStyle w:val="TOC1"/>
        <w:rPr>
          <w:rFonts w:asciiTheme="minorHAnsi" w:eastAsiaTheme="minorEastAsia" w:hAnsiTheme="minorHAnsi" w:cstheme="minorBidi"/>
          <w:sz w:val="24"/>
          <w:szCs w:val="24"/>
        </w:rPr>
      </w:pPr>
      <w:hyperlink w:anchor="_Toc487612917" w:history="1">
        <w:r w:rsidR="00D16668" w:rsidRPr="00D16668">
          <w:rPr>
            <w:rStyle w:val="Hyperlink"/>
            <w:sz w:val="24"/>
            <w:szCs w:val="24"/>
          </w:rPr>
          <w:t>II.</w:t>
        </w:r>
        <w:r w:rsidR="00D16668" w:rsidRPr="00D16668">
          <w:rPr>
            <w:rFonts w:asciiTheme="minorHAnsi" w:eastAsiaTheme="minorEastAsia" w:hAnsiTheme="minorHAnsi" w:cstheme="minorBidi"/>
            <w:sz w:val="24"/>
            <w:szCs w:val="24"/>
          </w:rPr>
          <w:tab/>
        </w:r>
        <w:r w:rsidR="00D16668" w:rsidRPr="00D16668">
          <w:rPr>
            <w:rStyle w:val="Hyperlink"/>
            <w:sz w:val="24"/>
            <w:szCs w:val="24"/>
          </w:rPr>
          <w:t>Monitoring Locations</w:t>
        </w:r>
        <w:r w:rsidR="00D16668" w:rsidRPr="00D16668">
          <w:rPr>
            <w:webHidden/>
            <w:sz w:val="24"/>
            <w:szCs w:val="24"/>
          </w:rPr>
          <w:tab/>
        </w:r>
        <w:r w:rsidR="00D16668" w:rsidRPr="00D16668">
          <w:rPr>
            <w:webHidden/>
            <w:sz w:val="24"/>
            <w:szCs w:val="24"/>
          </w:rPr>
          <w:fldChar w:fldCharType="begin"/>
        </w:r>
        <w:r w:rsidR="00D16668" w:rsidRPr="00D16668">
          <w:rPr>
            <w:webHidden/>
            <w:sz w:val="24"/>
            <w:szCs w:val="24"/>
          </w:rPr>
          <w:instrText xml:space="preserve"> PAGEREF _Toc487612917 \h </w:instrText>
        </w:r>
        <w:r w:rsidR="00D16668" w:rsidRPr="00D16668">
          <w:rPr>
            <w:webHidden/>
            <w:sz w:val="24"/>
            <w:szCs w:val="24"/>
          </w:rPr>
        </w:r>
        <w:r w:rsidR="00D16668" w:rsidRPr="00D16668">
          <w:rPr>
            <w:webHidden/>
            <w:sz w:val="24"/>
            <w:szCs w:val="24"/>
          </w:rPr>
          <w:fldChar w:fldCharType="separate"/>
        </w:r>
        <w:r w:rsidR="000018F2">
          <w:rPr>
            <w:webHidden/>
            <w:sz w:val="24"/>
            <w:szCs w:val="24"/>
          </w:rPr>
          <w:t>E-3</w:t>
        </w:r>
        <w:r w:rsidR="00D16668" w:rsidRPr="00D16668">
          <w:rPr>
            <w:webHidden/>
            <w:sz w:val="24"/>
            <w:szCs w:val="24"/>
          </w:rPr>
          <w:fldChar w:fldCharType="end"/>
        </w:r>
      </w:hyperlink>
    </w:p>
    <w:p w14:paraId="4206CFE2" w14:textId="19B768B8" w:rsidR="00D16668" w:rsidRPr="00D16668" w:rsidRDefault="0013573F">
      <w:pPr>
        <w:pStyle w:val="TOC1"/>
        <w:rPr>
          <w:rFonts w:asciiTheme="minorHAnsi" w:eastAsiaTheme="minorEastAsia" w:hAnsiTheme="minorHAnsi" w:cstheme="minorBidi"/>
          <w:sz w:val="24"/>
          <w:szCs w:val="24"/>
        </w:rPr>
      </w:pPr>
      <w:hyperlink w:anchor="_Toc487612918" w:history="1">
        <w:r w:rsidR="00D16668" w:rsidRPr="00D16668">
          <w:rPr>
            <w:rStyle w:val="Hyperlink"/>
            <w:sz w:val="24"/>
            <w:szCs w:val="24"/>
          </w:rPr>
          <w:t>III.</w:t>
        </w:r>
        <w:r w:rsidR="00D16668" w:rsidRPr="00D16668">
          <w:rPr>
            <w:rFonts w:asciiTheme="minorHAnsi" w:eastAsiaTheme="minorEastAsia" w:hAnsiTheme="minorHAnsi" w:cstheme="minorBidi"/>
            <w:sz w:val="24"/>
            <w:szCs w:val="24"/>
          </w:rPr>
          <w:tab/>
        </w:r>
        <w:r w:rsidR="00D16668" w:rsidRPr="00D16668">
          <w:rPr>
            <w:rStyle w:val="Hyperlink"/>
            <w:sz w:val="24"/>
            <w:szCs w:val="24"/>
          </w:rPr>
          <w:t>Effluent Monitoring Requirements</w:t>
        </w:r>
        <w:r w:rsidR="00D16668" w:rsidRPr="00D16668">
          <w:rPr>
            <w:webHidden/>
            <w:sz w:val="24"/>
            <w:szCs w:val="24"/>
          </w:rPr>
          <w:tab/>
        </w:r>
        <w:r w:rsidR="00D16668" w:rsidRPr="00D16668">
          <w:rPr>
            <w:webHidden/>
            <w:sz w:val="24"/>
            <w:szCs w:val="24"/>
          </w:rPr>
          <w:fldChar w:fldCharType="begin"/>
        </w:r>
        <w:r w:rsidR="00D16668" w:rsidRPr="00D16668">
          <w:rPr>
            <w:webHidden/>
            <w:sz w:val="24"/>
            <w:szCs w:val="24"/>
          </w:rPr>
          <w:instrText xml:space="preserve"> PAGEREF _Toc487612918 \h </w:instrText>
        </w:r>
        <w:r w:rsidR="00D16668" w:rsidRPr="00D16668">
          <w:rPr>
            <w:webHidden/>
            <w:sz w:val="24"/>
            <w:szCs w:val="24"/>
          </w:rPr>
        </w:r>
        <w:r w:rsidR="00D16668" w:rsidRPr="00D16668">
          <w:rPr>
            <w:webHidden/>
            <w:sz w:val="24"/>
            <w:szCs w:val="24"/>
          </w:rPr>
          <w:fldChar w:fldCharType="separate"/>
        </w:r>
        <w:r w:rsidR="000018F2">
          <w:rPr>
            <w:webHidden/>
            <w:sz w:val="24"/>
            <w:szCs w:val="24"/>
          </w:rPr>
          <w:t>E-3</w:t>
        </w:r>
        <w:r w:rsidR="00D16668" w:rsidRPr="00D16668">
          <w:rPr>
            <w:webHidden/>
            <w:sz w:val="24"/>
            <w:szCs w:val="24"/>
          </w:rPr>
          <w:fldChar w:fldCharType="end"/>
        </w:r>
      </w:hyperlink>
    </w:p>
    <w:p w14:paraId="1A61F223" w14:textId="3A5E1F1B" w:rsidR="00D16668" w:rsidRPr="00D16668" w:rsidRDefault="0013573F">
      <w:pPr>
        <w:pStyle w:val="TOC1"/>
        <w:rPr>
          <w:rFonts w:asciiTheme="minorHAnsi" w:eastAsiaTheme="minorEastAsia" w:hAnsiTheme="minorHAnsi" w:cstheme="minorBidi"/>
          <w:sz w:val="24"/>
          <w:szCs w:val="24"/>
        </w:rPr>
      </w:pPr>
      <w:hyperlink w:anchor="_Toc487612919" w:history="1">
        <w:r w:rsidR="00D16668" w:rsidRPr="00D16668">
          <w:rPr>
            <w:rStyle w:val="Hyperlink"/>
            <w:sz w:val="24"/>
            <w:szCs w:val="24"/>
          </w:rPr>
          <w:t xml:space="preserve">IV. </w:t>
        </w:r>
        <w:r w:rsidR="009E63F3">
          <w:rPr>
            <w:rStyle w:val="Hyperlink"/>
            <w:sz w:val="24"/>
            <w:szCs w:val="24"/>
          </w:rPr>
          <w:tab/>
        </w:r>
        <w:r w:rsidR="00D16668" w:rsidRPr="00D16668">
          <w:rPr>
            <w:rStyle w:val="Hyperlink"/>
            <w:sz w:val="24"/>
            <w:szCs w:val="24"/>
          </w:rPr>
          <w:t>Reporting Requirements</w:t>
        </w:r>
        <w:r w:rsidR="00D16668" w:rsidRPr="00D16668">
          <w:rPr>
            <w:webHidden/>
            <w:sz w:val="24"/>
            <w:szCs w:val="24"/>
          </w:rPr>
          <w:tab/>
        </w:r>
        <w:r w:rsidR="00D16668" w:rsidRPr="00D16668">
          <w:rPr>
            <w:webHidden/>
            <w:sz w:val="24"/>
            <w:szCs w:val="24"/>
          </w:rPr>
          <w:fldChar w:fldCharType="begin"/>
        </w:r>
        <w:r w:rsidR="00D16668" w:rsidRPr="00D16668">
          <w:rPr>
            <w:webHidden/>
            <w:sz w:val="24"/>
            <w:szCs w:val="24"/>
          </w:rPr>
          <w:instrText xml:space="preserve"> PAGEREF _Toc487612919 \h </w:instrText>
        </w:r>
        <w:r w:rsidR="00D16668" w:rsidRPr="00D16668">
          <w:rPr>
            <w:webHidden/>
            <w:sz w:val="24"/>
            <w:szCs w:val="24"/>
          </w:rPr>
        </w:r>
        <w:r w:rsidR="00D16668" w:rsidRPr="00D16668">
          <w:rPr>
            <w:webHidden/>
            <w:sz w:val="24"/>
            <w:szCs w:val="24"/>
          </w:rPr>
          <w:fldChar w:fldCharType="separate"/>
        </w:r>
        <w:r w:rsidR="000018F2">
          <w:rPr>
            <w:webHidden/>
            <w:sz w:val="24"/>
            <w:szCs w:val="24"/>
          </w:rPr>
          <w:t>E-4</w:t>
        </w:r>
        <w:r w:rsidR="00D16668" w:rsidRPr="00D16668">
          <w:rPr>
            <w:webHidden/>
            <w:sz w:val="24"/>
            <w:szCs w:val="24"/>
          </w:rPr>
          <w:fldChar w:fldCharType="end"/>
        </w:r>
      </w:hyperlink>
    </w:p>
    <w:p w14:paraId="3A92E4CF" w14:textId="6134DA85" w:rsidR="00D16668" w:rsidRPr="00D16668" w:rsidRDefault="0013573F">
      <w:pPr>
        <w:pStyle w:val="TOC2"/>
        <w:rPr>
          <w:rFonts w:asciiTheme="minorHAnsi" w:eastAsiaTheme="minorEastAsia" w:hAnsiTheme="minorHAnsi" w:cstheme="minorBidi"/>
          <w:sz w:val="24"/>
        </w:rPr>
      </w:pPr>
      <w:hyperlink w:anchor="_Toc487612920" w:history="1">
        <w:r w:rsidR="00D16668" w:rsidRPr="00D16668">
          <w:rPr>
            <w:rStyle w:val="Hyperlink"/>
            <w:sz w:val="24"/>
          </w:rPr>
          <w:t>A.</w:t>
        </w:r>
        <w:r w:rsidR="00D16668" w:rsidRPr="00D16668">
          <w:rPr>
            <w:rFonts w:asciiTheme="minorHAnsi" w:eastAsiaTheme="minorEastAsia" w:hAnsiTheme="minorHAnsi" w:cstheme="minorBidi"/>
            <w:sz w:val="24"/>
          </w:rPr>
          <w:tab/>
        </w:r>
        <w:r w:rsidR="00D16668" w:rsidRPr="00D16668">
          <w:rPr>
            <w:rStyle w:val="Hyperlink"/>
            <w:sz w:val="24"/>
          </w:rPr>
          <w:t>General Monitoring and Reporting Requirements</w:t>
        </w:r>
        <w:r w:rsidR="00D16668" w:rsidRPr="00D16668">
          <w:rPr>
            <w:webHidden/>
            <w:sz w:val="24"/>
          </w:rPr>
          <w:tab/>
        </w:r>
        <w:r w:rsidR="00D16668" w:rsidRPr="00D16668">
          <w:rPr>
            <w:webHidden/>
            <w:sz w:val="24"/>
          </w:rPr>
          <w:fldChar w:fldCharType="begin"/>
        </w:r>
        <w:r w:rsidR="00D16668" w:rsidRPr="00D16668">
          <w:rPr>
            <w:webHidden/>
            <w:sz w:val="24"/>
          </w:rPr>
          <w:instrText xml:space="preserve"> PAGEREF _Toc487612920 \h </w:instrText>
        </w:r>
        <w:r w:rsidR="00D16668" w:rsidRPr="00D16668">
          <w:rPr>
            <w:webHidden/>
            <w:sz w:val="24"/>
          </w:rPr>
        </w:r>
        <w:r w:rsidR="00D16668" w:rsidRPr="00D16668">
          <w:rPr>
            <w:webHidden/>
            <w:sz w:val="24"/>
          </w:rPr>
          <w:fldChar w:fldCharType="separate"/>
        </w:r>
        <w:r w:rsidR="000018F2">
          <w:rPr>
            <w:webHidden/>
            <w:sz w:val="24"/>
          </w:rPr>
          <w:t>E-4</w:t>
        </w:r>
        <w:r w:rsidR="00D16668" w:rsidRPr="00D16668">
          <w:rPr>
            <w:webHidden/>
            <w:sz w:val="24"/>
          </w:rPr>
          <w:fldChar w:fldCharType="end"/>
        </w:r>
      </w:hyperlink>
    </w:p>
    <w:p w14:paraId="3060A69A" w14:textId="1EBD5D1B" w:rsidR="00D16668" w:rsidRPr="00D16668" w:rsidRDefault="0013573F">
      <w:pPr>
        <w:pStyle w:val="TOC2"/>
        <w:rPr>
          <w:rFonts w:asciiTheme="minorHAnsi" w:eastAsiaTheme="minorEastAsia" w:hAnsiTheme="minorHAnsi" w:cstheme="minorBidi"/>
          <w:sz w:val="24"/>
        </w:rPr>
      </w:pPr>
      <w:hyperlink w:anchor="_Toc487612921" w:history="1">
        <w:r w:rsidR="00D16668" w:rsidRPr="00D16668">
          <w:rPr>
            <w:rStyle w:val="Hyperlink"/>
            <w:sz w:val="24"/>
          </w:rPr>
          <w:t>B.</w:t>
        </w:r>
        <w:r w:rsidR="00D16668" w:rsidRPr="00D16668">
          <w:rPr>
            <w:rFonts w:asciiTheme="minorHAnsi" w:eastAsiaTheme="minorEastAsia" w:hAnsiTheme="minorHAnsi" w:cstheme="minorBidi"/>
            <w:sz w:val="24"/>
          </w:rPr>
          <w:tab/>
        </w:r>
        <w:r w:rsidR="00D16668" w:rsidRPr="00D16668">
          <w:rPr>
            <w:rStyle w:val="Hyperlink"/>
            <w:sz w:val="24"/>
          </w:rPr>
          <w:t>Individual Reporting in Self-Monitoring Reports (SMRs)</w:t>
        </w:r>
        <w:r w:rsidR="00D16668" w:rsidRPr="00D16668">
          <w:rPr>
            <w:webHidden/>
            <w:sz w:val="24"/>
          </w:rPr>
          <w:tab/>
        </w:r>
        <w:r w:rsidR="00D16668" w:rsidRPr="00D16668">
          <w:rPr>
            <w:webHidden/>
            <w:sz w:val="24"/>
          </w:rPr>
          <w:fldChar w:fldCharType="begin"/>
        </w:r>
        <w:r w:rsidR="00D16668" w:rsidRPr="00D16668">
          <w:rPr>
            <w:webHidden/>
            <w:sz w:val="24"/>
          </w:rPr>
          <w:instrText xml:space="preserve"> PAGEREF _Toc487612921 \h </w:instrText>
        </w:r>
        <w:r w:rsidR="00D16668" w:rsidRPr="00D16668">
          <w:rPr>
            <w:webHidden/>
            <w:sz w:val="24"/>
          </w:rPr>
        </w:r>
        <w:r w:rsidR="00D16668" w:rsidRPr="00D16668">
          <w:rPr>
            <w:webHidden/>
            <w:sz w:val="24"/>
          </w:rPr>
          <w:fldChar w:fldCharType="separate"/>
        </w:r>
        <w:r w:rsidR="000018F2">
          <w:rPr>
            <w:webHidden/>
            <w:sz w:val="24"/>
          </w:rPr>
          <w:t>E-4</w:t>
        </w:r>
        <w:r w:rsidR="00D16668" w:rsidRPr="00D16668">
          <w:rPr>
            <w:webHidden/>
            <w:sz w:val="24"/>
          </w:rPr>
          <w:fldChar w:fldCharType="end"/>
        </w:r>
      </w:hyperlink>
    </w:p>
    <w:p w14:paraId="7ABCD7DF" w14:textId="72A19557" w:rsidR="00D16668" w:rsidRDefault="0013573F">
      <w:pPr>
        <w:pStyle w:val="TOC2"/>
        <w:rPr>
          <w:rFonts w:asciiTheme="minorHAnsi" w:eastAsiaTheme="minorEastAsia" w:hAnsiTheme="minorHAnsi" w:cstheme="minorBidi"/>
          <w:sz w:val="22"/>
          <w:szCs w:val="22"/>
        </w:rPr>
      </w:pPr>
      <w:hyperlink w:anchor="_Toc487612923" w:history="1">
        <w:r w:rsidR="00D16668" w:rsidRPr="00D16668">
          <w:rPr>
            <w:rStyle w:val="Hyperlink"/>
            <w:sz w:val="24"/>
          </w:rPr>
          <w:t>C.</w:t>
        </w:r>
        <w:r w:rsidR="00D16668" w:rsidRPr="00D16668">
          <w:rPr>
            <w:rFonts w:asciiTheme="minorHAnsi" w:eastAsiaTheme="minorEastAsia" w:hAnsiTheme="minorHAnsi" w:cstheme="minorBidi"/>
            <w:sz w:val="24"/>
          </w:rPr>
          <w:tab/>
        </w:r>
        <w:r w:rsidR="00D16668" w:rsidRPr="00D16668">
          <w:rPr>
            <w:rStyle w:val="Hyperlink"/>
            <w:sz w:val="24"/>
          </w:rPr>
          <w:t>Discharge Monitoring Reports (DMRs)</w:t>
        </w:r>
        <w:r w:rsidR="00D16668" w:rsidRPr="00D16668">
          <w:rPr>
            <w:webHidden/>
            <w:sz w:val="24"/>
          </w:rPr>
          <w:tab/>
        </w:r>
        <w:r w:rsidR="00D16668" w:rsidRPr="00D16668">
          <w:rPr>
            <w:webHidden/>
            <w:sz w:val="24"/>
          </w:rPr>
          <w:fldChar w:fldCharType="begin"/>
        </w:r>
        <w:r w:rsidR="00D16668" w:rsidRPr="00D16668">
          <w:rPr>
            <w:webHidden/>
            <w:sz w:val="24"/>
          </w:rPr>
          <w:instrText xml:space="preserve"> PAGEREF _Toc487612923 \h </w:instrText>
        </w:r>
        <w:r w:rsidR="00D16668" w:rsidRPr="00D16668">
          <w:rPr>
            <w:webHidden/>
            <w:sz w:val="24"/>
          </w:rPr>
        </w:r>
        <w:r w:rsidR="00D16668" w:rsidRPr="00D16668">
          <w:rPr>
            <w:webHidden/>
            <w:sz w:val="24"/>
          </w:rPr>
          <w:fldChar w:fldCharType="separate"/>
        </w:r>
        <w:r w:rsidR="000018F2">
          <w:rPr>
            <w:webHidden/>
            <w:sz w:val="24"/>
          </w:rPr>
          <w:t>E-7</w:t>
        </w:r>
        <w:r w:rsidR="00D16668" w:rsidRPr="00D16668">
          <w:rPr>
            <w:webHidden/>
            <w:sz w:val="24"/>
          </w:rPr>
          <w:fldChar w:fldCharType="end"/>
        </w:r>
      </w:hyperlink>
    </w:p>
    <w:p w14:paraId="0F63457A" w14:textId="2D3758D2" w:rsidR="00F878D4" w:rsidRPr="00570B42" w:rsidRDefault="00BD2B3E">
      <w:pPr>
        <w:rPr>
          <w:noProof/>
          <w:sz w:val="24"/>
          <w:szCs w:val="24"/>
        </w:rPr>
      </w:pPr>
      <w:r w:rsidRPr="00570B42">
        <w:rPr>
          <w:sz w:val="24"/>
          <w:szCs w:val="24"/>
        </w:rPr>
        <w:fldChar w:fldCharType="end"/>
      </w:r>
    </w:p>
    <w:p w14:paraId="6E6D1257" w14:textId="77777777" w:rsidR="00F878D4" w:rsidRPr="00570B42" w:rsidRDefault="00F878D4">
      <w:pPr>
        <w:pStyle w:val="Title"/>
        <w:rPr>
          <w:rFonts w:ascii="Times New Roman" w:hAnsi="Times New Roman"/>
          <w:sz w:val="24"/>
          <w:szCs w:val="24"/>
        </w:rPr>
      </w:pPr>
      <w:bookmarkStart w:id="109" w:name="_Toc92870533"/>
      <w:r w:rsidRPr="00570B42">
        <w:rPr>
          <w:rFonts w:ascii="Times New Roman" w:hAnsi="Times New Roman"/>
          <w:sz w:val="24"/>
          <w:szCs w:val="24"/>
        </w:rPr>
        <w:t>Tables</w:t>
      </w:r>
    </w:p>
    <w:p w14:paraId="71FF9800" w14:textId="03193A6D" w:rsidR="000A12B9" w:rsidRPr="000A12B9" w:rsidRDefault="00BD2B3E">
      <w:pPr>
        <w:pStyle w:val="TableofFigures"/>
        <w:tabs>
          <w:tab w:val="right" w:leader="dot" w:pos="10070"/>
        </w:tabs>
        <w:rPr>
          <w:rFonts w:asciiTheme="minorHAnsi" w:eastAsiaTheme="minorEastAsia" w:hAnsiTheme="minorHAnsi" w:cstheme="minorBidi"/>
          <w:noProof/>
          <w:sz w:val="24"/>
        </w:rPr>
      </w:pPr>
      <w:r w:rsidRPr="000A12B9">
        <w:rPr>
          <w:sz w:val="24"/>
        </w:rPr>
        <w:fldChar w:fldCharType="begin"/>
      </w:r>
      <w:r w:rsidR="00F878D4" w:rsidRPr="000A12B9">
        <w:rPr>
          <w:sz w:val="24"/>
        </w:rPr>
        <w:instrText xml:space="preserve"> TOC \h \z \t "Table Header1E" \c "Table" </w:instrText>
      </w:r>
      <w:r w:rsidRPr="000A12B9">
        <w:rPr>
          <w:sz w:val="24"/>
        </w:rPr>
        <w:fldChar w:fldCharType="separate"/>
      </w:r>
      <w:hyperlink w:anchor="_Toc488046594" w:history="1">
        <w:r w:rsidR="000A12B9" w:rsidRPr="000A12B9">
          <w:rPr>
            <w:rStyle w:val="Hyperlink"/>
            <w:noProof/>
            <w:sz w:val="24"/>
          </w:rPr>
          <w:t>Table E-1. Minimum Levels</w:t>
        </w:r>
        <w:r w:rsidR="000A12B9" w:rsidRPr="000A12B9">
          <w:rPr>
            <w:noProof/>
            <w:webHidden/>
            <w:sz w:val="24"/>
          </w:rPr>
          <w:tab/>
        </w:r>
        <w:r w:rsidR="000A12B9" w:rsidRPr="000A12B9">
          <w:rPr>
            <w:noProof/>
            <w:webHidden/>
            <w:sz w:val="24"/>
          </w:rPr>
          <w:fldChar w:fldCharType="begin"/>
        </w:r>
        <w:r w:rsidR="000A12B9" w:rsidRPr="000A12B9">
          <w:rPr>
            <w:noProof/>
            <w:webHidden/>
            <w:sz w:val="24"/>
          </w:rPr>
          <w:instrText xml:space="preserve"> PAGEREF _Toc488046594 \h </w:instrText>
        </w:r>
        <w:r w:rsidR="000A12B9" w:rsidRPr="000A12B9">
          <w:rPr>
            <w:noProof/>
            <w:webHidden/>
            <w:sz w:val="24"/>
          </w:rPr>
        </w:r>
        <w:r w:rsidR="000A12B9" w:rsidRPr="000A12B9">
          <w:rPr>
            <w:noProof/>
            <w:webHidden/>
            <w:sz w:val="24"/>
          </w:rPr>
          <w:fldChar w:fldCharType="separate"/>
        </w:r>
        <w:r w:rsidR="000018F2">
          <w:rPr>
            <w:noProof/>
            <w:webHidden/>
            <w:sz w:val="24"/>
          </w:rPr>
          <w:t>E-2</w:t>
        </w:r>
        <w:r w:rsidR="000A12B9" w:rsidRPr="000A12B9">
          <w:rPr>
            <w:noProof/>
            <w:webHidden/>
            <w:sz w:val="24"/>
          </w:rPr>
          <w:fldChar w:fldCharType="end"/>
        </w:r>
      </w:hyperlink>
    </w:p>
    <w:p w14:paraId="75773D72" w14:textId="574CA78C" w:rsidR="000A12B9" w:rsidRPr="000A12B9" w:rsidRDefault="0013573F">
      <w:pPr>
        <w:pStyle w:val="TableofFigures"/>
        <w:tabs>
          <w:tab w:val="right" w:leader="dot" w:pos="10070"/>
        </w:tabs>
        <w:rPr>
          <w:rFonts w:asciiTheme="minorHAnsi" w:eastAsiaTheme="minorEastAsia" w:hAnsiTheme="minorHAnsi" w:cstheme="minorBidi"/>
          <w:noProof/>
          <w:sz w:val="24"/>
        </w:rPr>
      </w:pPr>
      <w:hyperlink w:anchor="_Toc488046595" w:history="1">
        <w:r w:rsidR="000A12B9" w:rsidRPr="000A12B9">
          <w:rPr>
            <w:rStyle w:val="Hyperlink"/>
            <w:noProof/>
            <w:sz w:val="24"/>
          </w:rPr>
          <w:t>Table E-2. Monitoring Locations</w:t>
        </w:r>
        <w:r w:rsidR="000A12B9" w:rsidRPr="000A12B9">
          <w:rPr>
            <w:noProof/>
            <w:webHidden/>
            <w:sz w:val="24"/>
          </w:rPr>
          <w:tab/>
        </w:r>
        <w:r w:rsidR="000A12B9" w:rsidRPr="000A12B9">
          <w:rPr>
            <w:noProof/>
            <w:webHidden/>
            <w:sz w:val="24"/>
          </w:rPr>
          <w:fldChar w:fldCharType="begin"/>
        </w:r>
        <w:r w:rsidR="000A12B9" w:rsidRPr="000A12B9">
          <w:rPr>
            <w:noProof/>
            <w:webHidden/>
            <w:sz w:val="24"/>
          </w:rPr>
          <w:instrText xml:space="preserve"> PAGEREF _Toc488046595 \h </w:instrText>
        </w:r>
        <w:r w:rsidR="000A12B9" w:rsidRPr="000A12B9">
          <w:rPr>
            <w:noProof/>
            <w:webHidden/>
            <w:sz w:val="24"/>
          </w:rPr>
        </w:r>
        <w:r w:rsidR="000A12B9" w:rsidRPr="000A12B9">
          <w:rPr>
            <w:noProof/>
            <w:webHidden/>
            <w:sz w:val="24"/>
          </w:rPr>
          <w:fldChar w:fldCharType="separate"/>
        </w:r>
        <w:r w:rsidR="000018F2">
          <w:rPr>
            <w:noProof/>
            <w:webHidden/>
            <w:sz w:val="24"/>
          </w:rPr>
          <w:t>E-3</w:t>
        </w:r>
        <w:r w:rsidR="000A12B9" w:rsidRPr="000A12B9">
          <w:rPr>
            <w:noProof/>
            <w:webHidden/>
            <w:sz w:val="24"/>
          </w:rPr>
          <w:fldChar w:fldCharType="end"/>
        </w:r>
      </w:hyperlink>
    </w:p>
    <w:p w14:paraId="7A7D2B95" w14:textId="28269F76" w:rsidR="000A12B9" w:rsidRPr="000A12B9" w:rsidRDefault="0013573F">
      <w:pPr>
        <w:pStyle w:val="TableofFigures"/>
        <w:tabs>
          <w:tab w:val="right" w:leader="dot" w:pos="10070"/>
        </w:tabs>
        <w:rPr>
          <w:rFonts w:asciiTheme="minorHAnsi" w:eastAsiaTheme="minorEastAsia" w:hAnsiTheme="minorHAnsi" w:cstheme="minorBidi"/>
          <w:noProof/>
          <w:sz w:val="24"/>
        </w:rPr>
      </w:pPr>
      <w:hyperlink w:anchor="_Toc488046596" w:history="1">
        <w:r w:rsidR="000A12B9" w:rsidRPr="000A12B9">
          <w:rPr>
            <w:rStyle w:val="Hyperlink"/>
            <w:noProof/>
            <w:sz w:val="24"/>
          </w:rPr>
          <w:t>Table E-3. Effluent Monitoring</w:t>
        </w:r>
        <w:r w:rsidR="000A12B9" w:rsidRPr="000A12B9">
          <w:rPr>
            <w:noProof/>
            <w:webHidden/>
            <w:sz w:val="24"/>
          </w:rPr>
          <w:tab/>
        </w:r>
        <w:r w:rsidR="000A12B9" w:rsidRPr="000A12B9">
          <w:rPr>
            <w:noProof/>
            <w:webHidden/>
            <w:sz w:val="24"/>
          </w:rPr>
          <w:fldChar w:fldCharType="begin"/>
        </w:r>
        <w:r w:rsidR="000A12B9" w:rsidRPr="000A12B9">
          <w:rPr>
            <w:noProof/>
            <w:webHidden/>
            <w:sz w:val="24"/>
          </w:rPr>
          <w:instrText xml:space="preserve"> PAGEREF _Toc488046596 \h </w:instrText>
        </w:r>
        <w:r w:rsidR="000A12B9" w:rsidRPr="000A12B9">
          <w:rPr>
            <w:noProof/>
            <w:webHidden/>
            <w:sz w:val="24"/>
          </w:rPr>
        </w:r>
        <w:r w:rsidR="000A12B9" w:rsidRPr="000A12B9">
          <w:rPr>
            <w:noProof/>
            <w:webHidden/>
            <w:sz w:val="24"/>
          </w:rPr>
          <w:fldChar w:fldCharType="separate"/>
        </w:r>
        <w:r w:rsidR="000018F2">
          <w:rPr>
            <w:noProof/>
            <w:webHidden/>
            <w:sz w:val="24"/>
          </w:rPr>
          <w:t>E-3</w:t>
        </w:r>
        <w:r w:rsidR="000A12B9" w:rsidRPr="000A12B9">
          <w:rPr>
            <w:noProof/>
            <w:webHidden/>
            <w:sz w:val="24"/>
          </w:rPr>
          <w:fldChar w:fldCharType="end"/>
        </w:r>
      </w:hyperlink>
    </w:p>
    <w:p w14:paraId="2EFDE5FF" w14:textId="05011B42" w:rsidR="000A12B9" w:rsidRPr="000A12B9" w:rsidRDefault="0013573F">
      <w:pPr>
        <w:pStyle w:val="TableofFigures"/>
        <w:tabs>
          <w:tab w:val="right" w:leader="dot" w:pos="10070"/>
        </w:tabs>
        <w:rPr>
          <w:rFonts w:asciiTheme="minorHAnsi" w:eastAsiaTheme="minorEastAsia" w:hAnsiTheme="minorHAnsi" w:cstheme="minorBidi"/>
          <w:noProof/>
          <w:sz w:val="24"/>
        </w:rPr>
      </w:pPr>
      <w:hyperlink w:anchor="_Toc488046597" w:history="1">
        <w:r w:rsidR="000A12B9" w:rsidRPr="000A12B9">
          <w:rPr>
            <w:rStyle w:val="Hyperlink"/>
            <w:noProof/>
            <w:sz w:val="24"/>
          </w:rPr>
          <w:t>Table E-4. Monitoring Periods</w:t>
        </w:r>
        <w:r w:rsidR="000A12B9" w:rsidRPr="000A12B9">
          <w:rPr>
            <w:noProof/>
            <w:webHidden/>
            <w:sz w:val="24"/>
          </w:rPr>
          <w:tab/>
        </w:r>
        <w:r w:rsidR="000A12B9" w:rsidRPr="000A12B9">
          <w:rPr>
            <w:noProof/>
            <w:webHidden/>
            <w:sz w:val="24"/>
          </w:rPr>
          <w:fldChar w:fldCharType="begin"/>
        </w:r>
        <w:r w:rsidR="000A12B9" w:rsidRPr="000A12B9">
          <w:rPr>
            <w:noProof/>
            <w:webHidden/>
            <w:sz w:val="24"/>
          </w:rPr>
          <w:instrText xml:space="preserve"> PAGEREF _Toc488046597 \h </w:instrText>
        </w:r>
        <w:r w:rsidR="000A12B9" w:rsidRPr="000A12B9">
          <w:rPr>
            <w:noProof/>
            <w:webHidden/>
            <w:sz w:val="24"/>
          </w:rPr>
        </w:r>
        <w:r w:rsidR="000A12B9" w:rsidRPr="000A12B9">
          <w:rPr>
            <w:noProof/>
            <w:webHidden/>
            <w:sz w:val="24"/>
          </w:rPr>
          <w:fldChar w:fldCharType="separate"/>
        </w:r>
        <w:r w:rsidR="000018F2">
          <w:rPr>
            <w:noProof/>
            <w:webHidden/>
            <w:sz w:val="24"/>
          </w:rPr>
          <w:t>E-5</w:t>
        </w:r>
        <w:r w:rsidR="000A12B9" w:rsidRPr="000A12B9">
          <w:rPr>
            <w:noProof/>
            <w:webHidden/>
            <w:sz w:val="24"/>
          </w:rPr>
          <w:fldChar w:fldCharType="end"/>
        </w:r>
      </w:hyperlink>
    </w:p>
    <w:p w14:paraId="5D6D2CA5" w14:textId="4094C3FD" w:rsidR="000A12B9" w:rsidRPr="000A12B9" w:rsidRDefault="0013573F">
      <w:pPr>
        <w:pStyle w:val="TableofFigures"/>
        <w:tabs>
          <w:tab w:val="right" w:leader="dot" w:pos="10070"/>
        </w:tabs>
        <w:rPr>
          <w:rFonts w:asciiTheme="minorHAnsi" w:eastAsiaTheme="minorEastAsia" w:hAnsiTheme="minorHAnsi" w:cstheme="minorBidi"/>
          <w:noProof/>
          <w:sz w:val="24"/>
        </w:rPr>
      </w:pPr>
      <w:hyperlink w:anchor="_Toc488046598" w:history="1">
        <w:r w:rsidR="000A12B9" w:rsidRPr="000A12B9">
          <w:rPr>
            <w:rStyle w:val="Hyperlink"/>
            <w:noProof/>
            <w:sz w:val="24"/>
          </w:rPr>
          <w:t>Table E-5. U.S. EPA Method 1668C Qualifiers in CIWQS</w:t>
        </w:r>
        <w:r w:rsidR="000A12B9" w:rsidRPr="000A12B9">
          <w:rPr>
            <w:noProof/>
            <w:webHidden/>
            <w:sz w:val="24"/>
          </w:rPr>
          <w:tab/>
        </w:r>
        <w:r w:rsidR="000A12B9" w:rsidRPr="000A12B9">
          <w:rPr>
            <w:noProof/>
            <w:webHidden/>
            <w:sz w:val="24"/>
          </w:rPr>
          <w:fldChar w:fldCharType="begin"/>
        </w:r>
        <w:r w:rsidR="000A12B9" w:rsidRPr="000A12B9">
          <w:rPr>
            <w:noProof/>
            <w:webHidden/>
            <w:sz w:val="24"/>
          </w:rPr>
          <w:instrText xml:space="preserve"> PAGEREF _Toc488046598 \h </w:instrText>
        </w:r>
        <w:r w:rsidR="000A12B9" w:rsidRPr="000A12B9">
          <w:rPr>
            <w:noProof/>
            <w:webHidden/>
            <w:sz w:val="24"/>
          </w:rPr>
        </w:r>
        <w:r w:rsidR="000A12B9" w:rsidRPr="000A12B9">
          <w:rPr>
            <w:noProof/>
            <w:webHidden/>
            <w:sz w:val="24"/>
          </w:rPr>
          <w:fldChar w:fldCharType="separate"/>
        </w:r>
        <w:r w:rsidR="000018F2">
          <w:rPr>
            <w:noProof/>
            <w:webHidden/>
            <w:sz w:val="24"/>
          </w:rPr>
          <w:t>E-6</w:t>
        </w:r>
        <w:r w:rsidR="000A12B9" w:rsidRPr="000A12B9">
          <w:rPr>
            <w:noProof/>
            <w:webHidden/>
            <w:sz w:val="24"/>
          </w:rPr>
          <w:fldChar w:fldCharType="end"/>
        </w:r>
      </w:hyperlink>
    </w:p>
    <w:p w14:paraId="5AF5CADB" w14:textId="788DC65B" w:rsidR="00F878D4" w:rsidRPr="00570B42" w:rsidRDefault="00BD2B3E">
      <w:pPr>
        <w:rPr>
          <w:color w:val="00B0F0"/>
          <w:sz w:val="24"/>
          <w:szCs w:val="24"/>
        </w:rPr>
      </w:pPr>
      <w:r w:rsidRPr="000A12B9">
        <w:rPr>
          <w:sz w:val="24"/>
          <w:szCs w:val="24"/>
        </w:rPr>
        <w:fldChar w:fldCharType="end"/>
      </w:r>
    </w:p>
    <w:p w14:paraId="22740C80" w14:textId="4A3F0852" w:rsidR="00F878D4" w:rsidRPr="00570B42" w:rsidRDefault="00F878D4">
      <w:pPr>
        <w:pStyle w:val="AttachmentHeading"/>
        <w:rPr>
          <w:rFonts w:ascii="Times New Roman" w:hAnsi="Times New Roman"/>
          <w:szCs w:val="24"/>
        </w:rPr>
      </w:pPr>
      <w:r w:rsidRPr="00570B42">
        <w:rPr>
          <w:color w:val="00B0F0"/>
          <w:szCs w:val="24"/>
        </w:rPr>
        <w:br w:type="page"/>
      </w:r>
      <w:bookmarkStart w:id="110" w:name="_Toc125266098"/>
      <w:r w:rsidRPr="00570B42">
        <w:rPr>
          <w:rFonts w:ascii="Times New Roman" w:hAnsi="Times New Roman"/>
          <w:szCs w:val="24"/>
        </w:rPr>
        <w:lastRenderedPageBreak/>
        <w:t>ATTACHMENT E – MONITORING AND REPORTING PROGRAM (MRP)</w:t>
      </w:r>
      <w:bookmarkEnd w:id="108"/>
      <w:bookmarkEnd w:id="109"/>
      <w:bookmarkEnd w:id="110"/>
    </w:p>
    <w:p w14:paraId="59105547" w14:textId="77777777" w:rsidR="00A87535" w:rsidRPr="00570B42" w:rsidRDefault="00D07678" w:rsidP="00F878D4">
      <w:pPr>
        <w:rPr>
          <w:sz w:val="24"/>
          <w:szCs w:val="24"/>
        </w:rPr>
      </w:pPr>
      <w:bookmarkStart w:id="111" w:name="_Toc75063697"/>
      <w:bookmarkStart w:id="112" w:name="_Toc77743639"/>
      <w:bookmarkStart w:id="113" w:name="_Toc87088819"/>
      <w:bookmarkStart w:id="114" w:name="_Toc92870534"/>
      <w:bookmarkStart w:id="115" w:name="_Toc125266099"/>
      <w:r w:rsidRPr="00570B42">
        <w:rPr>
          <w:sz w:val="24"/>
          <w:szCs w:val="24"/>
        </w:rPr>
        <w:t xml:space="preserve">Clean Water Act </w:t>
      </w:r>
      <w:r w:rsidR="008021F8" w:rsidRPr="00570B42">
        <w:rPr>
          <w:sz w:val="24"/>
          <w:szCs w:val="24"/>
        </w:rPr>
        <w:t>section</w:t>
      </w:r>
      <w:r w:rsidRPr="00570B42">
        <w:rPr>
          <w:sz w:val="24"/>
          <w:szCs w:val="24"/>
        </w:rPr>
        <w:t xml:space="preserve"> 308 and </w:t>
      </w:r>
      <w:r w:rsidR="00A87535" w:rsidRPr="00570B42">
        <w:rPr>
          <w:sz w:val="24"/>
          <w:szCs w:val="24"/>
        </w:rPr>
        <w:t>40 C.F.R.</w:t>
      </w:r>
      <w:r w:rsidR="004B57C3" w:rsidRPr="00570B42">
        <w:rPr>
          <w:sz w:val="24"/>
          <w:szCs w:val="24"/>
        </w:rPr>
        <w:t xml:space="preserve"> </w:t>
      </w:r>
      <w:r w:rsidR="008021F8" w:rsidRPr="00570B42">
        <w:rPr>
          <w:sz w:val="24"/>
          <w:szCs w:val="24"/>
        </w:rPr>
        <w:t>sections</w:t>
      </w:r>
      <w:r w:rsidR="004B57C3" w:rsidRPr="00570B42">
        <w:rPr>
          <w:sz w:val="24"/>
          <w:szCs w:val="24"/>
        </w:rPr>
        <w:t xml:space="preserve"> 122.41</w:t>
      </w:r>
      <w:r w:rsidR="008021F8" w:rsidRPr="00570B42">
        <w:rPr>
          <w:sz w:val="24"/>
          <w:szCs w:val="24"/>
        </w:rPr>
        <w:t>(</w:t>
      </w:r>
      <w:r w:rsidR="004B57C3" w:rsidRPr="00570B42">
        <w:rPr>
          <w:sz w:val="24"/>
          <w:szCs w:val="24"/>
        </w:rPr>
        <w:t>h</w:t>
      </w:r>
      <w:r w:rsidR="008021F8" w:rsidRPr="00570B42">
        <w:rPr>
          <w:sz w:val="24"/>
          <w:szCs w:val="24"/>
        </w:rPr>
        <w:t>)</w:t>
      </w:r>
      <w:r w:rsidR="004B57C3" w:rsidRPr="00570B42">
        <w:rPr>
          <w:sz w:val="24"/>
          <w:szCs w:val="24"/>
        </w:rPr>
        <w:t>, 122.41</w:t>
      </w:r>
      <w:r w:rsidR="008021F8" w:rsidRPr="00570B42">
        <w:rPr>
          <w:sz w:val="24"/>
          <w:szCs w:val="24"/>
        </w:rPr>
        <w:t>(</w:t>
      </w:r>
      <w:r w:rsidR="004B57C3" w:rsidRPr="00570B42">
        <w:rPr>
          <w:sz w:val="24"/>
          <w:szCs w:val="24"/>
        </w:rPr>
        <w:t>j</w:t>
      </w:r>
      <w:r w:rsidR="008021F8" w:rsidRPr="00570B42">
        <w:rPr>
          <w:sz w:val="24"/>
          <w:szCs w:val="24"/>
        </w:rPr>
        <w:t>)</w:t>
      </w:r>
      <w:r w:rsidR="004B57C3" w:rsidRPr="00570B42">
        <w:rPr>
          <w:sz w:val="24"/>
          <w:szCs w:val="24"/>
        </w:rPr>
        <w:t>-</w:t>
      </w:r>
      <w:r w:rsidR="008021F8" w:rsidRPr="00570B42">
        <w:rPr>
          <w:sz w:val="24"/>
          <w:szCs w:val="24"/>
        </w:rPr>
        <w:t>(</w:t>
      </w:r>
      <w:r w:rsidR="004B57C3" w:rsidRPr="00570B42">
        <w:rPr>
          <w:sz w:val="24"/>
          <w:szCs w:val="24"/>
        </w:rPr>
        <w:t>l</w:t>
      </w:r>
      <w:r w:rsidR="008021F8" w:rsidRPr="00570B42">
        <w:rPr>
          <w:sz w:val="24"/>
          <w:szCs w:val="24"/>
        </w:rPr>
        <w:t>)</w:t>
      </w:r>
      <w:r w:rsidR="004B57C3" w:rsidRPr="00570B42">
        <w:rPr>
          <w:sz w:val="24"/>
          <w:szCs w:val="24"/>
        </w:rPr>
        <w:t>, 122.44</w:t>
      </w:r>
      <w:r w:rsidR="008021F8" w:rsidRPr="00570B42">
        <w:rPr>
          <w:sz w:val="24"/>
          <w:szCs w:val="24"/>
        </w:rPr>
        <w:t>(</w:t>
      </w:r>
      <w:r w:rsidR="004B57C3" w:rsidRPr="00570B42">
        <w:rPr>
          <w:sz w:val="24"/>
          <w:szCs w:val="24"/>
        </w:rPr>
        <w:t>i</w:t>
      </w:r>
      <w:r w:rsidR="008021F8" w:rsidRPr="00570B42">
        <w:rPr>
          <w:sz w:val="24"/>
          <w:szCs w:val="24"/>
        </w:rPr>
        <w:t>)</w:t>
      </w:r>
      <w:r w:rsidR="004B57C3" w:rsidRPr="00570B42">
        <w:rPr>
          <w:sz w:val="24"/>
          <w:szCs w:val="24"/>
        </w:rPr>
        <w:t>, and</w:t>
      </w:r>
      <w:r w:rsidR="00A87535" w:rsidRPr="00570B42">
        <w:rPr>
          <w:sz w:val="24"/>
          <w:szCs w:val="24"/>
        </w:rPr>
        <w:t xml:space="preserve"> 122.48 require that all NPDES permits specify monitoring and reporting requirements. Water Code sections 13267 and 13383 also authorize the Regional Water Board to </w:t>
      </w:r>
      <w:r w:rsidR="004B57C3" w:rsidRPr="00570B42">
        <w:rPr>
          <w:sz w:val="24"/>
          <w:szCs w:val="24"/>
        </w:rPr>
        <w:t xml:space="preserve">establish monitoring, inspection, entry, reporting, and recordkeeping requirements. </w:t>
      </w:r>
      <w:r w:rsidR="00A87535" w:rsidRPr="00570B42">
        <w:rPr>
          <w:sz w:val="24"/>
          <w:szCs w:val="24"/>
        </w:rPr>
        <w:t>This MRP establishes monitoring</w:t>
      </w:r>
      <w:r w:rsidR="004B57C3" w:rsidRPr="00570B42">
        <w:rPr>
          <w:sz w:val="24"/>
          <w:szCs w:val="24"/>
        </w:rPr>
        <w:t xml:space="preserve">, </w:t>
      </w:r>
      <w:r w:rsidR="00A87535" w:rsidRPr="00570B42">
        <w:rPr>
          <w:sz w:val="24"/>
          <w:szCs w:val="24"/>
        </w:rPr>
        <w:t>reporting</w:t>
      </w:r>
      <w:r w:rsidR="004B57C3" w:rsidRPr="00570B42">
        <w:rPr>
          <w:sz w:val="24"/>
          <w:szCs w:val="24"/>
        </w:rPr>
        <w:t>, and recordkeeping</w:t>
      </w:r>
      <w:r w:rsidR="00A87535" w:rsidRPr="00570B42">
        <w:rPr>
          <w:sz w:val="24"/>
          <w:szCs w:val="24"/>
        </w:rPr>
        <w:t xml:space="preserve"> requirements that implement federal and </w:t>
      </w:r>
      <w:r w:rsidR="00324327" w:rsidRPr="00570B42">
        <w:rPr>
          <w:sz w:val="24"/>
          <w:szCs w:val="24"/>
        </w:rPr>
        <w:t>State</w:t>
      </w:r>
      <w:r w:rsidR="00A87535" w:rsidRPr="00570B42">
        <w:rPr>
          <w:sz w:val="24"/>
          <w:szCs w:val="24"/>
        </w:rPr>
        <w:t xml:space="preserve"> </w:t>
      </w:r>
      <w:r w:rsidR="004B57C3" w:rsidRPr="00570B42">
        <w:rPr>
          <w:sz w:val="24"/>
          <w:szCs w:val="24"/>
        </w:rPr>
        <w:t xml:space="preserve">laws and </w:t>
      </w:r>
      <w:r w:rsidR="00A87535" w:rsidRPr="00570B42">
        <w:rPr>
          <w:sz w:val="24"/>
          <w:szCs w:val="24"/>
        </w:rPr>
        <w:t>regulations.</w:t>
      </w:r>
    </w:p>
    <w:p w14:paraId="62A46945" w14:textId="77777777" w:rsidR="00A87535" w:rsidRPr="00570B42" w:rsidRDefault="00A87535" w:rsidP="00F878D4">
      <w:pPr>
        <w:rPr>
          <w:sz w:val="24"/>
          <w:szCs w:val="24"/>
        </w:rPr>
      </w:pPr>
    </w:p>
    <w:p w14:paraId="58676C28" w14:textId="77777777" w:rsidR="00F878D4" w:rsidRPr="00570B42" w:rsidRDefault="00F878D4">
      <w:pPr>
        <w:pStyle w:val="Heading1-E"/>
        <w:rPr>
          <w:rFonts w:ascii="Times New Roman" w:hAnsi="Times New Roman"/>
          <w:sz w:val="24"/>
        </w:rPr>
      </w:pPr>
      <w:bookmarkStart w:id="116" w:name="_Toc340137619"/>
      <w:bookmarkStart w:id="117" w:name="_Toc402266706"/>
      <w:bookmarkStart w:id="118" w:name="_Toc487612916"/>
      <w:r w:rsidRPr="00570B42">
        <w:rPr>
          <w:rFonts w:ascii="Times New Roman" w:hAnsi="Times New Roman"/>
          <w:sz w:val="24"/>
        </w:rPr>
        <w:t>I.</w:t>
      </w:r>
      <w:r w:rsidRPr="00570B42">
        <w:rPr>
          <w:rFonts w:ascii="Times New Roman" w:hAnsi="Times New Roman"/>
          <w:sz w:val="24"/>
        </w:rPr>
        <w:tab/>
        <w:t>General Monitoring Provisions</w:t>
      </w:r>
      <w:bookmarkEnd w:id="111"/>
      <w:bookmarkEnd w:id="112"/>
      <w:bookmarkEnd w:id="113"/>
      <w:bookmarkEnd w:id="114"/>
      <w:bookmarkEnd w:id="115"/>
      <w:bookmarkEnd w:id="116"/>
      <w:bookmarkEnd w:id="117"/>
      <w:bookmarkEnd w:id="118"/>
    </w:p>
    <w:p w14:paraId="12AD308C" w14:textId="722E590E" w:rsidR="00F878D4" w:rsidRPr="00570B42" w:rsidRDefault="00F878D4" w:rsidP="00324327">
      <w:pPr>
        <w:pStyle w:val="H-indent2525"/>
        <w:rPr>
          <w:rFonts w:ascii="Times New Roman" w:hAnsi="Times New Roman" w:cs="Times New Roman"/>
          <w:sz w:val="24"/>
        </w:rPr>
      </w:pPr>
      <w:bookmarkStart w:id="119" w:name="_Toc125266100"/>
      <w:bookmarkStart w:id="120" w:name="_Toc75063698"/>
      <w:bookmarkStart w:id="121" w:name="_Toc77743640"/>
      <w:bookmarkStart w:id="122" w:name="_Toc87088820"/>
      <w:bookmarkStart w:id="123" w:name="_Toc92870535"/>
      <w:r w:rsidRPr="00570B42">
        <w:rPr>
          <w:rFonts w:ascii="Times New Roman" w:hAnsi="Times New Roman" w:cs="Times New Roman"/>
          <w:b/>
          <w:sz w:val="24"/>
        </w:rPr>
        <w:t>A.</w:t>
      </w:r>
      <w:r w:rsidRPr="00570B42">
        <w:rPr>
          <w:rFonts w:ascii="Times New Roman" w:hAnsi="Times New Roman" w:cs="Times New Roman"/>
          <w:sz w:val="24"/>
        </w:rPr>
        <w:tab/>
        <w:t>Discharger</w:t>
      </w:r>
      <w:r w:rsidR="009A6B26">
        <w:rPr>
          <w:rFonts w:ascii="Times New Roman" w:hAnsi="Times New Roman" w:cs="Times New Roman"/>
          <w:sz w:val="24"/>
        </w:rPr>
        <w:t>s</w:t>
      </w:r>
      <w:r w:rsidRPr="00570B42">
        <w:rPr>
          <w:rFonts w:ascii="Times New Roman" w:hAnsi="Times New Roman" w:cs="Times New Roman"/>
          <w:sz w:val="24"/>
        </w:rPr>
        <w:t xml:space="preserve"> shall comply with this MRP. The Executive Officer may amend this MRP pursuant to 40 </w:t>
      </w:r>
      <w:r w:rsidR="008E158C" w:rsidRPr="00570B42">
        <w:rPr>
          <w:rFonts w:ascii="Times New Roman" w:hAnsi="Times New Roman" w:cs="Times New Roman"/>
          <w:sz w:val="24"/>
        </w:rPr>
        <w:t>C.F.R. sections</w:t>
      </w:r>
      <w:r w:rsidRPr="00570B42">
        <w:rPr>
          <w:rFonts w:ascii="Times New Roman" w:hAnsi="Times New Roman" w:cs="Times New Roman"/>
          <w:sz w:val="24"/>
        </w:rPr>
        <w:t xml:space="preserve"> 122.62, 122.63, and 124.5. If any discrepancies exist between this MRP and the </w:t>
      </w:r>
      <w:r w:rsidR="00324327" w:rsidRPr="00570B42">
        <w:rPr>
          <w:rFonts w:ascii="Times New Roman" w:hAnsi="Times New Roman" w:cs="Times New Roman"/>
          <w:sz w:val="24"/>
        </w:rPr>
        <w:t>“Regional Standard Provisions, and Monitoring and Reporting Requirements (Supplement to Attachment D) for NPDES Wastewater Discharge Permits”</w:t>
      </w:r>
      <w:r w:rsidRPr="00570B42">
        <w:rPr>
          <w:rFonts w:ascii="Times New Roman" w:hAnsi="Times New Roman" w:cs="Times New Roman"/>
          <w:sz w:val="24"/>
        </w:rPr>
        <w:t xml:space="preserve"> (Attachment G)</w:t>
      </w:r>
      <w:r w:rsidR="00FA6950">
        <w:rPr>
          <w:rFonts w:ascii="Times New Roman" w:hAnsi="Times New Roman" w:cs="Times New Roman"/>
          <w:sz w:val="24"/>
        </w:rPr>
        <w:t xml:space="preserve"> in the individual permits listed in Attachment B of this Order</w:t>
      </w:r>
      <w:r w:rsidRPr="00570B42">
        <w:rPr>
          <w:rFonts w:ascii="Times New Roman" w:hAnsi="Times New Roman" w:cs="Times New Roman"/>
          <w:sz w:val="24"/>
        </w:rPr>
        <w:t xml:space="preserve">, this MRP </w:t>
      </w:r>
      <w:r w:rsidR="008A5A78" w:rsidRPr="00570B42">
        <w:rPr>
          <w:rFonts w:ascii="Times New Roman" w:hAnsi="Times New Roman" w:cs="Times New Roman"/>
          <w:sz w:val="24"/>
        </w:rPr>
        <w:t xml:space="preserve">shall </w:t>
      </w:r>
      <w:r w:rsidRPr="00570B42">
        <w:rPr>
          <w:rFonts w:ascii="Times New Roman" w:hAnsi="Times New Roman" w:cs="Times New Roman"/>
          <w:sz w:val="24"/>
        </w:rPr>
        <w:t xml:space="preserve">prevail. </w:t>
      </w:r>
    </w:p>
    <w:p w14:paraId="192C218F" w14:textId="34F52C24" w:rsidR="00F878D4" w:rsidRDefault="00F878D4">
      <w:pPr>
        <w:pStyle w:val="H-indent2525"/>
        <w:rPr>
          <w:rFonts w:ascii="Times New Roman" w:hAnsi="Times New Roman" w:cs="Times New Roman"/>
          <w:sz w:val="24"/>
        </w:rPr>
      </w:pPr>
      <w:r w:rsidRPr="00570B42">
        <w:rPr>
          <w:rFonts w:ascii="Times New Roman" w:hAnsi="Times New Roman" w:cs="Times New Roman"/>
          <w:b/>
          <w:sz w:val="24"/>
        </w:rPr>
        <w:t>B.</w:t>
      </w:r>
      <w:r w:rsidRPr="00570B42">
        <w:rPr>
          <w:rFonts w:ascii="Times New Roman" w:hAnsi="Times New Roman" w:cs="Times New Roman"/>
          <w:sz w:val="24"/>
        </w:rPr>
        <w:tab/>
      </w:r>
      <w:r w:rsidR="00E3233D">
        <w:rPr>
          <w:rFonts w:ascii="Times New Roman" w:hAnsi="Times New Roman" w:cs="Times New Roman"/>
          <w:sz w:val="24"/>
        </w:rPr>
        <w:t xml:space="preserve">Sampling is required during the entire year when discharging. </w:t>
      </w:r>
      <w:r w:rsidRPr="00570B42">
        <w:rPr>
          <w:rFonts w:ascii="Times New Roman" w:hAnsi="Times New Roman" w:cs="Times New Roman"/>
          <w:sz w:val="24"/>
        </w:rPr>
        <w:t>Discharger</w:t>
      </w:r>
      <w:r w:rsidR="009A6B26">
        <w:rPr>
          <w:rFonts w:ascii="Times New Roman" w:hAnsi="Times New Roman" w:cs="Times New Roman"/>
          <w:sz w:val="24"/>
        </w:rPr>
        <w:t>s</w:t>
      </w:r>
      <w:r w:rsidRPr="00570B42">
        <w:rPr>
          <w:rFonts w:ascii="Times New Roman" w:hAnsi="Times New Roman" w:cs="Times New Roman"/>
          <w:sz w:val="24"/>
        </w:rPr>
        <w:t xml:space="preserve"> shall conduct all monitoring in accordance with Attachment D, section III, as supplemented by Attachment G</w:t>
      </w:r>
      <w:r w:rsidR="00E3233D">
        <w:rPr>
          <w:rFonts w:ascii="Times New Roman" w:hAnsi="Times New Roman" w:cs="Times New Roman"/>
          <w:sz w:val="24"/>
        </w:rPr>
        <w:t>, of their individual permits listed in Attachment B of this Order</w:t>
      </w:r>
      <w:r w:rsidRPr="00570B42">
        <w:rPr>
          <w:rFonts w:ascii="Times New Roman" w:hAnsi="Times New Roman" w:cs="Times New Roman"/>
          <w:sz w:val="24"/>
        </w:rPr>
        <w:t xml:space="preserve">. Equivalent test methods must be more sensitive than those specified in 40 </w:t>
      </w:r>
      <w:r w:rsidR="008E158C" w:rsidRPr="00570B42">
        <w:rPr>
          <w:rFonts w:ascii="Times New Roman" w:hAnsi="Times New Roman" w:cs="Times New Roman"/>
          <w:sz w:val="24"/>
        </w:rPr>
        <w:t>C.F.R. section</w:t>
      </w:r>
      <w:r w:rsidRPr="00570B42">
        <w:rPr>
          <w:rFonts w:ascii="Times New Roman" w:hAnsi="Times New Roman" w:cs="Times New Roman"/>
          <w:sz w:val="24"/>
        </w:rPr>
        <w:t xml:space="preserve"> 136 and must be specified in th</w:t>
      </w:r>
      <w:r w:rsidR="008A5A78" w:rsidRPr="00570B42">
        <w:rPr>
          <w:rFonts w:ascii="Times New Roman" w:hAnsi="Times New Roman" w:cs="Times New Roman"/>
          <w:sz w:val="24"/>
        </w:rPr>
        <w:t>is</w:t>
      </w:r>
      <w:r w:rsidRPr="00570B42">
        <w:rPr>
          <w:rFonts w:ascii="Times New Roman" w:hAnsi="Times New Roman" w:cs="Times New Roman"/>
          <w:sz w:val="24"/>
        </w:rPr>
        <w:t xml:space="preserve"> permit. </w:t>
      </w:r>
    </w:p>
    <w:p w14:paraId="3CAB3F90" w14:textId="6A7BD7B2" w:rsidR="004C26EF" w:rsidRDefault="004C26EF" w:rsidP="004C26EF">
      <w:pPr>
        <w:pStyle w:val="H-indent2525"/>
        <w:tabs>
          <w:tab w:val="clear" w:pos="720"/>
          <w:tab w:val="left" w:pos="810"/>
        </w:tabs>
        <w:rPr>
          <w:rFonts w:ascii="Times New Roman" w:hAnsi="Times New Roman" w:cs="Times New Roman"/>
          <w:sz w:val="24"/>
        </w:rPr>
      </w:pPr>
      <w:r>
        <w:rPr>
          <w:rFonts w:ascii="Times New Roman" w:hAnsi="Times New Roman" w:cs="Times New Roman"/>
          <w:b/>
          <w:sz w:val="24"/>
        </w:rPr>
        <w:t>C.</w:t>
      </w:r>
      <w:r>
        <w:rPr>
          <w:rFonts w:ascii="Times New Roman" w:hAnsi="Times New Roman" w:cs="Times New Roman"/>
          <w:sz w:val="24"/>
        </w:rPr>
        <w:t xml:space="preserve"> </w:t>
      </w:r>
      <w:r>
        <w:rPr>
          <w:rFonts w:ascii="Times New Roman" w:hAnsi="Times New Roman" w:cs="Times New Roman"/>
          <w:sz w:val="24"/>
        </w:rPr>
        <w:tab/>
        <w:t xml:space="preserve">For </w:t>
      </w:r>
      <w:r w:rsidRPr="004C26EF">
        <w:rPr>
          <w:rFonts w:ascii="Times New Roman" w:hAnsi="Times New Roman" w:cs="Times New Roman"/>
          <w:sz w:val="24"/>
        </w:rPr>
        <w:t xml:space="preserve">compliance monitoring, analyses shall be conducted using the lowest commercially available and reasonably achievable detection levels. The objective is to provide quantification of constituents sufficient to allow evaluation of observed concentrations with respect to the Minimum Levels given below. All Minimum Levels are expressed as µg/L, equivalent to parts per billion (ppb). According to the SIP, method-specific factors can be applied. In such cases, this additional factor must be applied in the computation of the Reporting Level.  Application of such factors will alter the Reporting Level from the Minimum Level for the analysis. Dischargers are to instruct laboratories to establish calibration standards so that the Minimum Level value is the lowest calibration standard. At no time is a Discharger to use analytical data derived from extrapolation beyond the lowest point of the calibration curve. The </w:t>
      </w:r>
      <w:r w:rsidR="00974194">
        <w:rPr>
          <w:rFonts w:ascii="Times New Roman" w:hAnsi="Times New Roman" w:cs="Times New Roman"/>
          <w:sz w:val="24"/>
        </w:rPr>
        <w:t>E-1</w:t>
      </w:r>
      <w:r w:rsidRPr="004C26EF">
        <w:rPr>
          <w:rFonts w:ascii="Times New Roman" w:hAnsi="Times New Roman" w:cs="Times New Roman"/>
          <w:sz w:val="24"/>
        </w:rPr>
        <w:t xml:space="preserve"> below indicates the highest minimum level that the Discharger’s laboratory must achieve for calibration purposes.</w:t>
      </w:r>
    </w:p>
    <w:p w14:paraId="76085DD1" w14:textId="778E61A8" w:rsidR="00ED47A2" w:rsidRPr="00ED47A2" w:rsidRDefault="00ED47A2" w:rsidP="00ED47A2">
      <w:pPr>
        <w:pStyle w:val="TableHeader1E"/>
        <w:jc w:val="center"/>
        <w:rPr>
          <w:rFonts w:ascii="Times New Roman" w:hAnsi="Times New Roman" w:cs="Times New Roman"/>
          <w:sz w:val="24"/>
          <w:szCs w:val="24"/>
        </w:rPr>
      </w:pPr>
      <w:bookmarkStart w:id="124" w:name="_Toc488046594"/>
      <w:r w:rsidRPr="00570B42">
        <w:rPr>
          <w:rFonts w:ascii="Times New Roman" w:hAnsi="Times New Roman" w:cs="Times New Roman"/>
          <w:sz w:val="24"/>
          <w:szCs w:val="24"/>
        </w:rPr>
        <w:t xml:space="preserve">Table E-1. </w:t>
      </w:r>
      <w:r>
        <w:rPr>
          <w:rFonts w:ascii="Times New Roman" w:hAnsi="Times New Roman" w:cs="Times New Roman"/>
          <w:sz w:val="24"/>
          <w:szCs w:val="24"/>
        </w:rPr>
        <w:t>Minimum Levels</w:t>
      </w:r>
      <w:bookmarkEnd w:id="124"/>
    </w:p>
    <w:tbl>
      <w:tblPr>
        <w:tblW w:w="0" w:type="auto"/>
        <w:tblInd w:w="1098" w:type="dxa"/>
        <w:tblBorders>
          <w:top w:val="single" w:sz="12" w:space="0" w:color="auto"/>
          <w:left w:val="single" w:sz="12" w:space="0" w:color="auto"/>
          <w:bottom w:val="single" w:sz="12" w:space="0" w:color="auto"/>
          <w:right w:val="single" w:sz="12" w:space="0" w:color="auto"/>
        </w:tblBorders>
        <w:tblLook w:val="00A0" w:firstRow="1" w:lastRow="0" w:firstColumn="1" w:lastColumn="0" w:noHBand="0" w:noVBand="0"/>
      </w:tblPr>
      <w:tblGrid>
        <w:gridCol w:w="2970"/>
        <w:gridCol w:w="2740"/>
        <w:gridCol w:w="2514"/>
      </w:tblGrid>
      <w:tr w:rsidR="0017473F" w:rsidRPr="0017473F" w14:paraId="03876097" w14:textId="77777777" w:rsidTr="0083390D">
        <w:tc>
          <w:tcPr>
            <w:tcW w:w="2970" w:type="dxa"/>
            <w:tcBorders>
              <w:top w:val="single" w:sz="12" w:space="0" w:color="auto"/>
              <w:bottom w:val="single" w:sz="8" w:space="0" w:color="auto"/>
              <w:right w:val="single" w:sz="8" w:space="0" w:color="auto"/>
            </w:tcBorders>
            <w:shd w:val="clear" w:color="auto" w:fill="auto"/>
            <w:vAlign w:val="center"/>
          </w:tcPr>
          <w:p w14:paraId="0B646855" w14:textId="77777777" w:rsidR="0017473F" w:rsidRPr="0017473F" w:rsidRDefault="0017473F" w:rsidP="0017473F">
            <w:pPr>
              <w:spacing w:before="60" w:after="60"/>
              <w:jc w:val="center"/>
              <w:rPr>
                <w:b/>
              </w:rPr>
            </w:pPr>
            <w:r w:rsidRPr="0017473F">
              <w:rPr>
                <w:b/>
              </w:rPr>
              <w:t>Constituent</w:t>
            </w:r>
          </w:p>
        </w:tc>
        <w:tc>
          <w:tcPr>
            <w:tcW w:w="2740" w:type="dxa"/>
            <w:tcBorders>
              <w:top w:val="single" w:sz="12" w:space="0" w:color="auto"/>
              <w:left w:val="single" w:sz="8" w:space="0" w:color="auto"/>
              <w:bottom w:val="single" w:sz="8" w:space="0" w:color="auto"/>
              <w:right w:val="single" w:sz="8" w:space="0" w:color="auto"/>
            </w:tcBorders>
            <w:shd w:val="clear" w:color="auto" w:fill="auto"/>
            <w:vAlign w:val="center"/>
          </w:tcPr>
          <w:p w14:paraId="260330A4" w14:textId="56D78E5C" w:rsidR="0017473F" w:rsidRPr="0017473F" w:rsidRDefault="0017473F" w:rsidP="0016694E">
            <w:pPr>
              <w:spacing w:before="60" w:after="60"/>
              <w:jc w:val="center"/>
              <w:rPr>
                <w:b/>
              </w:rPr>
            </w:pPr>
            <w:r w:rsidRPr="0017473F">
              <w:rPr>
                <w:b/>
              </w:rPr>
              <w:t>Minimum Level</w:t>
            </w:r>
            <w:r w:rsidR="00FA6950">
              <w:rPr>
                <w:b/>
              </w:rPr>
              <w:t xml:space="preserve"> </w:t>
            </w:r>
          </w:p>
        </w:tc>
        <w:tc>
          <w:tcPr>
            <w:tcW w:w="2514" w:type="dxa"/>
            <w:tcBorders>
              <w:top w:val="single" w:sz="12" w:space="0" w:color="auto"/>
              <w:left w:val="single" w:sz="8" w:space="0" w:color="auto"/>
              <w:bottom w:val="single" w:sz="8" w:space="0" w:color="auto"/>
            </w:tcBorders>
            <w:shd w:val="clear" w:color="auto" w:fill="auto"/>
            <w:vAlign w:val="center"/>
          </w:tcPr>
          <w:p w14:paraId="636DBA0D" w14:textId="77777777" w:rsidR="0017473F" w:rsidRPr="0017473F" w:rsidRDefault="0017473F" w:rsidP="0017473F">
            <w:pPr>
              <w:spacing w:before="60" w:after="60"/>
              <w:jc w:val="center"/>
              <w:rPr>
                <w:b/>
              </w:rPr>
            </w:pPr>
            <w:r w:rsidRPr="0017473F">
              <w:rPr>
                <w:b/>
              </w:rPr>
              <w:t>Units</w:t>
            </w:r>
          </w:p>
        </w:tc>
      </w:tr>
      <w:tr w:rsidR="0017473F" w:rsidRPr="0017473F" w14:paraId="45DB2939" w14:textId="77777777" w:rsidTr="0083390D">
        <w:tc>
          <w:tcPr>
            <w:tcW w:w="2970" w:type="dxa"/>
            <w:tcBorders>
              <w:top w:val="single" w:sz="8" w:space="0" w:color="auto"/>
              <w:bottom w:val="single" w:sz="8" w:space="0" w:color="auto"/>
              <w:right w:val="single" w:sz="8" w:space="0" w:color="auto"/>
            </w:tcBorders>
            <w:shd w:val="clear" w:color="auto" w:fill="auto"/>
            <w:vAlign w:val="center"/>
          </w:tcPr>
          <w:p w14:paraId="7B91287D" w14:textId="77777777" w:rsidR="0017473F" w:rsidRPr="0017473F" w:rsidRDefault="0017473F" w:rsidP="0083390D">
            <w:pPr>
              <w:spacing w:before="60" w:after="60"/>
              <w:jc w:val="center"/>
            </w:pPr>
            <w:r w:rsidRPr="0017473F">
              <w:t>Mercury</w:t>
            </w:r>
          </w:p>
        </w:tc>
        <w:tc>
          <w:tcPr>
            <w:tcW w:w="2740" w:type="dxa"/>
            <w:tcBorders>
              <w:top w:val="single" w:sz="8" w:space="0" w:color="auto"/>
              <w:left w:val="single" w:sz="8" w:space="0" w:color="auto"/>
              <w:bottom w:val="single" w:sz="8" w:space="0" w:color="auto"/>
              <w:right w:val="single" w:sz="8" w:space="0" w:color="auto"/>
            </w:tcBorders>
            <w:shd w:val="clear" w:color="auto" w:fill="auto"/>
            <w:vAlign w:val="center"/>
          </w:tcPr>
          <w:p w14:paraId="0ACB46FD" w14:textId="77777777" w:rsidR="0017473F" w:rsidRPr="0017473F" w:rsidRDefault="0017473F" w:rsidP="0017473F">
            <w:pPr>
              <w:tabs>
                <w:tab w:val="decimal" w:pos="708"/>
                <w:tab w:val="decimal" w:pos="990"/>
              </w:tabs>
              <w:spacing w:before="60" w:after="60"/>
              <w:jc w:val="center"/>
            </w:pPr>
            <w:r w:rsidRPr="0017473F">
              <w:t>0.0005</w:t>
            </w:r>
          </w:p>
        </w:tc>
        <w:tc>
          <w:tcPr>
            <w:tcW w:w="2514" w:type="dxa"/>
            <w:tcBorders>
              <w:top w:val="single" w:sz="8" w:space="0" w:color="auto"/>
              <w:left w:val="single" w:sz="8" w:space="0" w:color="auto"/>
              <w:bottom w:val="single" w:sz="8" w:space="0" w:color="auto"/>
            </w:tcBorders>
            <w:shd w:val="clear" w:color="auto" w:fill="auto"/>
            <w:vAlign w:val="center"/>
          </w:tcPr>
          <w:p w14:paraId="336F09E3" w14:textId="77777777" w:rsidR="0017473F" w:rsidRPr="0017473F" w:rsidRDefault="0017473F" w:rsidP="0017473F">
            <w:pPr>
              <w:spacing w:before="60" w:after="60"/>
              <w:jc w:val="center"/>
            </w:pPr>
            <w:r w:rsidRPr="0017473F">
              <w:sym w:font="Symbol" w:char="F06D"/>
            </w:r>
            <w:r w:rsidRPr="0017473F">
              <w:t>g/L</w:t>
            </w:r>
          </w:p>
        </w:tc>
      </w:tr>
      <w:tr w:rsidR="0017473F" w:rsidRPr="0017473F" w14:paraId="3FD2F987" w14:textId="77777777" w:rsidTr="0083390D">
        <w:tc>
          <w:tcPr>
            <w:tcW w:w="2970" w:type="dxa"/>
            <w:tcBorders>
              <w:top w:val="single" w:sz="8" w:space="0" w:color="auto"/>
              <w:bottom w:val="single" w:sz="12" w:space="0" w:color="auto"/>
              <w:right w:val="single" w:sz="8" w:space="0" w:color="auto"/>
            </w:tcBorders>
            <w:shd w:val="clear" w:color="auto" w:fill="auto"/>
            <w:vAlign w:val="center"/>
          </w:tcPr>
          <w:p w14:paraId="03C94ECC" w14:textId="77777777" w:rsidR="0017473F" w:rsidRPr="0017473F" w:rsidRDefault="0017473F" w:rsidP="0083390D">
            <w:pPr>
              <w:spacing w:before="60" w:after="60"/>
              <w:jc w:val="center"/>
            </w:pPr>
            <w:r w:rsidRPr="0017473F">
              <w:t>PCB 1016, 1221, 1232, 1242, 1248, 1254, 1260</w:t>
            </w:r>
          </w:p>
        </w:tc>
        <w:tc>
          <w:tcPr>
            <w:tcW w:w="2740" w:type="dxa"/>
            <w:tcBorders>
              <w:top w:val="single" w:sz="8" w:space="0" w:color="auto"/>
              <w:left w:val="single" w:sz="8" w:space="0" w:color="auto"/>
              <w:bottom w:val="single" w:sz="12" w:space="0" w:color="auto"/>
              <w:right w:val="single" w:sz="8" w:space="0" w:color="auto"/>
            </w:tcBorders>
            <w:shd w:val="clear" w:color="auto" w:fill="auto"/>
            <w:vAlign w:val="center"/>
          </w:tcPr>
          <w:p w14:paraId="5CE0887A" w14:textId="77777777" w:rsidR="0017473F" w:rsidRPr="0017473F" w:rsidRDefault="0017473F" w:rsidP="0017473F">
            <w:pPr>
              <w:tabs>
                <w:tab w:val="decimal" w:pos="708"/>
                <w:tab w:val="decimal" w:pos="990"/>
              </w:tabs>
              <w:spacing w:before="60" w:after="60"/>
              <w:jc w:val="center"/>
            </w:pPr>
            <w:r w:rsidRPr="0017473F">
              <w:t>0.5</w:t>
            </w:r>
          </w:p>
        </w:tc>
        <w:tc>
          <w:tcPr>
            <w:tcW w:w="2514" w:type="dxa"/>
            <w:tcBorders>
              <w:top w:val="single" w:sz="8" w:space="0" w:color="auto"/>
              <w:left w:val="single" w:sz="8" w:space="0" w:color="auto"/>
              <w:bottom w:val="single" w:sz="12" w:space="0" w:color="auto"/>
            </w:tcBorders>
            <w:shd w:val="clear" w:color="auto" w:fill="auto"/>
            <w:vAlign w:val="center"/>
          </w:tcPr>
          <w:p w14:paraId="2CE09C25" w14:textId="77777777" w:rsidR="0017473F" w:rsidRPr="0017473F" w:rsidRDefault="0017473F" w:rsidP="0017473F">
            <w:pPr>
              <w:spacing w:before="60" w:after="60"/>
              <w:jc w:val="center"/>
            </w:pPr>
            <w:r w:rsidRPr="0017473F">
              <w:sym w:font="Symbol" w:char="F06D"/>
            </w:r>
            <w:r w:rsidRPr="0017473F">
              <w:t>g/L</w:t>
            </w:r>
          </w:p>
        </w:tc>
      </w:tr>
    </w:tbl>
    <w:p w14:paraId="7675450D" w14:textId="77777777" w:rsidR="0017473F" w:rsidRPr="00570B42" w:rsidRDefault="0017473F" w:rsidP="004C26EF">
      <w:pPr>
        <w:pStyle w:val="H-indent2525"/>
        <w:tabs>
          <w:tab w:val="clear" w:pos="720"/>
          <w:tab w:val="left" w:pos="810"/>
        </w:tabs>
        <w:rPr>
          <w:rFonts w:ascii="Times New Roman" w:hAnsi="Times New Roman" w:cs="Times New Roman"/>
          <w:sz w:val="24"/>
        </w:rPr>
      </w:pPr>
    </w:p>
    <w:p w14:paraId="74649D94" w14:textId="77777777" w:rsidR="00F878D4" w:rsidRPr="00570B42" w:rsidRDefault="00F878D4">
      <w:pPr>
        <w:pStyle w:val="Heading1-E"/>
        <w:rPr>
          <w:rFonts w:ascii="Times New Roman" w:hAnsi="Times New Roman"/>
          <w:sz w:val="24"/>
        </w:rPr>
      </w:pPr>
      <w:bookmarkStart w:id="125" w:name="_Toc340137620"/>
      <w:bookmarkStart w:id="126" w:name="_Toc402266707"/>
      <w:bookmarkStart w:id="127" w:name="_Toc487612917"/>
      <w:bookmarkEnd w:id="119"/>
      <w:r w:rsidRPr="00570B42">
        <w:rPr>
          <w:rFonts w:ascii="Times New Roman" w:hAnsi="Times New Roman"/>
          <w:sz w:val="24"/>
        </w:rPr>
        <w:t>II.</w:t>
      </w:r>
      <w:r w:rsidRPr="00570B42">
        <w:rPr>
          <w:rFonts w:ascii="Times New Roman" w:hAnsi="Times New Roman"/>
          <w:sz w:val="24"/>
        </w:rPr>
        <w:tab/>
        <w:t>Monitoring Locations</w:t>
      </w:r>
      <w:bookmarkEnd w:id="120"/>
      <w:bookmarkEnd w:id="121"/>
      <w:bookmarkEnd w:id="122"/>
      <w:bookmarkEnd w:id="123"/>
      <w:bookmarkEnd w:id="125"/>
      <w:bookmarkEnd w:id="126"/>
      <w:bookmarkEnd w:id="127"/>
    </w:p>
    <w:p w14:paraId="52FE3C96" w14:textId="3365A49F" w:rsidR="00F878D4" w:rsidRPr="00570B42" w:rsidRDefault="00974194" w:rsidP="00974334">
      <w:pPr>
        <w:pStyle w:val="paratextindented"/>
        <w:spacing w:after="120"/>
        <w:rPr>
          <w:rFonts w:ascii="Times New Roman" w:hAnsi="Times New Roman" w:cs="Times New Roman"/>
          <w:szCs w:val="24"/>
        </w:rPr>
      </w:pPr>
      <w:r>
        <w:rPr>
          <w:rFonts w:ascii="Times New Roman" w:hAnsi="Times New Roman" w:cs="Times New Roman"/>
          <w:szCs w:val="24"/>
        </w:rPr>
        <w:t>Dischargers</w:t>
      </w:r>
      <w:r w:rsidR="00F878D4" w:rsidRPr="00570B42">
        <w:rPr>
          <w:rFonts w:ascii="Times New Roman" w:hAnsi="Times New Roman" w:cs="Times New Roman"/>
          <w:szCs w:val="24"/>
        </w:rPr>
        <w:t xml:space="preserve"> shall establish the following monitoring locations to demonstrate compliance with the effluent limitations, discharge specifications, and other requirements in this </w:t>
      </w:r>
      <w:r w:rsidR="0005714F" w:rsidRPr="00570B42">
        <w:rPr>
          <w:rFonts w:ascii="Times New Roman" w:hAnsi="Times New Roman" w:cs="Times New Roman"/>
          <w:szCs w:val="24"/>
        </w:rPr>
        <w:t>Order</w:t>
      </w:r>
      <w:r w:rsidR="004B19B0" w:rsidRPr="00570B42">
        <w:rPr>
          <w:rFonts w:ascii="Times New Roman" w:hAnsi="Times New Roman" w:cs="Times New Roman"/>
          <w:szCs w:val="24"/>
        </w:rPr>
        <w:t>:</w:t>
      </w:r>
    </w:p>
    <w:p w14:paraId="7E673036" w14:textId="41C1ED3B" w:rsidR="00843F47" w:rsidRPr="00570B42" w:rsidRDefault="00843F47" w:rsidP="00843F47">
      <w:pPr>
        <w:pStyle w:val="TableHeader1E"/>
        <w:jc w:val="center"/>
        <w:rPr>
          <w:rFonts w:ascii="Times New Roman" w:hAnsi="Times New Roman" w:cs="Times New Roman"/>
          <w:sz w:val="24"/>
          <w:szCs w:val="24"/>
        </w:rPr>
      </w:pPr>
      <w:bookmarkStart w:id="128" w:name="_Toc464737946"/>
      <w:bookmarkStart w:id="129" w:name="_Toc488046595"/>
      <w:bookmarkStart w:id="130" w:name="_Toc125268966"/>
      <w:r w:rsidRPr="00570B42">
        <w:rPr>
          <w:rFonts w:ascii="Times New Roman" w:hAnsi="Times New Roman" w:cs="Times New Roman"/>
          <w:sz w:val="24"/>
          <w:szCs w:val="24"/>
        </w:rPr>
        <w:lastRenderedPageBreak/>
        <w:t>Table E-</w:t>
      </w:r>
      <w:r w:rsidR="00974194">
        <w:rPr>
          <w:rFonts w:ascii="Times New Roman" w:hAnsi="Times New Roman" w:cs="Times New Roman"/>
          <w:sz w:val="24"/>
          <w:szCs w:val="24"/>
        </w:rPr>
        <w:t>2</w:t>
      </w:r>
      <w:r w:rsidRPr="00570B42">
        <w:rPr>
          <w:rFonts w:ascii="Times New Roman" w:hAnsi="Times New Roman" w:cs="Times New Roman"/>
          <w:sz w:val="24"/>
          <w:szCs w:val="24"/>
        </w:rPr>
        <w:t>. Monitoring Locations</w:t>
      </w:r>
      <w:bookmarkEnd w:id="128"/>
      <w:bookmarkEnd w:id="129"/>
    </w:p>
    <w:tbl>
      <w:tblPr>
        <w:tblW w:w="9717" w:type="dxa"/>
        <w:jc w:val="center"/>
        <w:tblBorders>
          <w:top w:val="single" w:sz="12" w:space="0" w:color="auto"/>
          <w:left w:val="single" w:sz="12" w:space="0" w:color="auto"/>
          <w:bottom w:val="single" w:sz="12" w:space="0" w:color="auto"/>
          <w:right w:val="single" w:sz="12" w:space="0" w:color="auto"/>
          <w:insideH w:val="single" w:sz="6" w:space="0" w:color="000000"/>
          <w:insideV w:val="single" w:sz="6" w:space="0" w:color="000000"/>
        </w:tblBorders>
        <w:tblLayout w:type="fixed"/>
        <w:tblCellMar>
          <w:left w:w="72" w:type="dxa"/>
          <w:right w:w="72" w:type="dxa"/>
        </w:tblCellMar>
        <w:tblLook w:val="0080" w:firstRow="0" w:lastRow="0" w:firstColumn="1" w:lastColumn="0" w:noHBand="0" w:noVBand="0"/>
      </w:tblPr>
      <w:tblGrid>
        <w:gridCol w:w="1979"/>
        <w:gridCol w:w="3226"/>
        <w:gridCol w:w="4512"/>
      </w:tblGrid>
      <w:tr w:rsidR="00843F47" w:rsidRPr="00050401" w14:paraId="5767151A" w14:textId="77777777" w:rsidTr="00D72EF4">
        <w:trPr>
          <w:cantSplit/>
          <w:trHeight w:val="78"/>
          <w:tblHeader/>
          <w:jc w:val="center"/>
        </w:trPr>
        <w:tc>
          <w:tcPr>
            <w:tcW w:w="1979" w:type="dxa"/>
          </w:tcPr>
          <w:p w14:paraId="57B19322" w14:textId="77777777" w:rsidR="00843F47" w:rsidRPr="00050401" w:rsidRDefault="00843F47" w:rsidP="000F2144">
            <w:pPr>
              <w:pStyle w:val="TableHeader"/>
              <w:jc w:val="center"/>
              <w:rPr>
                <w:rFonts w:cs="Times New Roman"/>
              </w:rPr>
            </w:pPr>
            <w:r w:rsidRPr="00050401">
              <w:rPr>
                <w:rFonts w:cs="Times New Roman"/>
              </w:rPr>
              <w:t>Sampling Location Type</w:t>
            </w:r>
          </w:p>
        </w:tc>
        <w:tc>
          <w:tcPr>
            <w:tcW w:w="3226" w:type="dxa"/>
            <w:vAlign w:val="center"/>
          </w:tcPr>
          <w:p w14:paraId="52666195" w14:textId="2A7076F2" w:rsidR="00843F47" w:rsidRPr="002A7D4E" w:rsidRDefault="00843F47" w:rsidP="000F2144">
            <w:pPr>
              <w:pStyle w:val="TableHeader"/>
              <w:jc w:val="center"/>
              <w:rPr>
                <w:rFonts w:cs="Times New Roman"/>
                <w:vertAlign w:val="superscript"/>
              </w:rPr>
            </w:pPr>
            <w:r w:rsidRPr="00050401">
              <w:rPr>
                <w:rFonts w:cs="Times New Roman"/>
              </w:rPr>
              <w:t xml:space="preserve">Monitoring </w:t>
            </w:r>
            <w:r w:rsidRPr="00050401">
              <w:rPr>
                <w:rFonts w:cs="Times New Roman"/>
              </w:rPr>
              <w:br/>
              <w:t>Location Name</w:t>
            </w:r>
            <w:r w:rsidR="002A7D4E">
              <w:rPr>
                <w:rFonts w:cs="Times New Roman"/>
              </w:rPr>
              <w:t xml:space="preserve"> </w:t>
            </w:r>
            <w:r w:rsidR="002A7D4E" w:rsidRPr="002A7D4E">
              <w:rPr>
                <w:rFonts w:cs="Times New Roman"/>
                <w:b w:val="0"/>
                <w:vertAlign w:val="superscript"/>
              </w:rPr>
              <w:t>[1]</w:t>
            </w:r>
          </w:p>
        </w:tc>
        <w:tc>
          <w:tcPr>
            <w:tcW w:w="4512" w:type="dxa"/>
            <w:vAlign w:val="center"/>
          </w:tcPr>
          <w:p w14:paraId="3CBA6FFD" w14:textId="7B71E4D6" w:rsidR="00843F47" w:rsidRPr="00050401" w:rsidRDefault="00843F47" w:rsidP="002A7D4E">
            <w:pPr>
              <w:pStyle w:val="TableHeader"/>
              <w:jc w:val="center"/>
              <w:rPr>
                <w:rFonts w:cs="Times New Roman"/>
              </w:rPr>
            </w:pPr>
            <w:r w:rsidRPr="00050401">
              <w:rPr>
                <w:rFonts w:cs="Times New Roman"/>
              </w:rPr>
              <w:t>Monitoring Location Description</w:t>
            </w:r>
          </w:p>
        </w:tc>
      </w:tr>
      <w:tr w:rsidR="00843F47" w:rsidRPr="00050401" w14:paraId="1BD29F55" w14:textId="77777777" w:rsidTr="001F10A9">
        <w:trPr>
          <w:cantSplit/>
          <w:trHeight w:val="507"/>
          <w:jc w:val="center"/>
        </w:trPr>
        <w:tc>
          <w:tcPr>
            <w:tcW w:w="1979" w:type="dxa"/>
            <w:vAlign w:val="center"/>
          </w:tcPr>
          <w:p w14:paraId="28A15845" w14:textId="38FA776B" w:rsidR="00843F47" w:rsidRPr="00050401" w:rsidRDefault="003A162F" w:rsidP="000F2144">
            <w:pPr>
              <w:pStyle w:val="TableText"/>
              <w:spacing w:after="10"/>
              <w:rPr>
                <w:rFonts w:ascii="Times New Roman" w:hAnsi="Times New Roman" w:cs="Times New Roman"/>
                <w:bCs/>
              </w:rPr>
            </w:pPr>
            <w:r>
              <w:rPr>
                <w:rFonts w:ascii="Times New Roman" w:hAnsi="Times New Roman" w:cs="Times New Roman"/>
                <w:bCs/>
              </w:rPr>
              <w:t>Effluent</w:t>
            </w:r>
          </w:p>
        </w:tc>
        <w:tc>
          <w:tcPr>
            <w:tcW w:w="3226" w:type="dxa"/>
            <w:vAlign w:val="center"/>
          </w:tcPr>
          <w:p w14:paraId="50C41007" w14:textId="15914CCD" w:rsidR="00D72EF4" w:rsidRPr="00050401" w:rsidRDefault="00D72EF4" w:rsidP="00BE6935">
            <w:pPr>
              <w:pStyle w:val="TableText"/>
              <w:spacing w:after="10"/>
              <w:jc w:val="left"/>
              <w:rPr>
                <w:rFonts w:ascii="Times New Roman" w:hAnsi="Times New Roman" w:cs="Times New Roman"/>
                <w:bCs/>
              </w:rPr>
            </w:pPr>
            <w:r>
              <w:rPr>
                <w:rFonts w:ascii="Times New Roman" w:hAnsi="Times New Roman" w:cs="Times New Roman"/>
                <w:bCs/>
              </w:rPr>
              <w:t>In</w:t>
            </w:r>
            <w:r w:rsidR="007055BC">
              <w:rPr>
                <w:rFonts w:ascii="Times New Roman" w:hAnsi="Times New Roman" w:cs="Times New Roman"/>
                <w:bCs/>
              </w:rPr>
              <w:t>dividual monitoring location</w:t>
            </w:r>
            <w:r w:rsidR="0051113F">
              <w:rPr>
                <w:rFonts w:ascii="Times New Roman" w:hAnsi="Times New Roman" w:cs="Times New Roman"/>
                <w:bCs/>
              </w:rPr>
              <w:t>s</w:t>
            </w:r>
            <w:r w:rsidR="00BE6935">
              <w:rPr>
                <w:rFonts w:ascii="Times New Roman" w:hAnsi="Times New Roman" w:cs="Times New Roman"/>
                <w:bCs/>
              </w:rPr>
              <w:t xml:space="preserve"> for discharges of treated wastewater (normally EFF-001)</w:t>
            </w:r>
            <w:r w:rsidR="007055BC">
              <w:rPr>
                <w:rFonts w:ascii="Times New Roman" w:hAnsi="Times New Roman" w:cs="Times New Roman"/>
                <w:bCs/>
              </w:rPr>
              <w:t xml:space="preserve"> </w:t>
            </w:r>
            <w:r>
              <w:rPr>
                <w:rFonts w:ascii="Times New Roman" w:hAnsi="Times New Roman" w:cs="Times New Roman"/>
                <w:bCs/>
              </w:rPr>
              <w:t>are specified in the MRP of Dischargers’ individual NPDES permits listed in Attachment B of this Order.</w:t>
            </w:r>
          </w:p>
        </w:tc>
        <w:tc>
          <w:tcPr>
            <w:tcW w:w="4512" w:type="dxa"/>
            <w:tcBorders>
              <w:top w:val="single" w:sz="6" w:space="0" w:color="000000"/>
            </w:tcBorders>
            <w:vAlign w:val="center"/>
          </w:tcPr>
          <w:p w14:paraId="0CA7C8E5" w14:textId="2C575B28" w:rsidR="00843F47" w:rsidRPr="00050401" w:rsidRDefault="007055BC" w:rsidP="000F2144">
            <w:pPr>
              <w:pStyle w:val="TableText"/>
              <w:spacing w:after="10"/>
              <w:jc w:val="left"/>
              <w:rPr>
                <w:rFonts w:ascii="Times New Roman" w:hAnsi="Times New Roman" w:cs="Times New Roman"/>
              </w:rPr>
            </w:pPr>
            <w:r>
              <w:rPr>
                <w:rFonts w:ascii="Times New Roman" w:hAnsi="Times New Roman" w:cs="Times New Roman"/>
              </w:rPr>
              <w:t>Individual monitoring location descriptions are described in the MRP of Dischargers’ individual NPDES permits listed in Attachment B of this Order.</w:t>
            </w:r>
          </w:p>
        </w:tc>
      </w:tr>
    </w:tbl>
    <w:p w14:paraId="3D627AEC" w14:textId="1E366CC7" w:rsidR="00843F47" w:rsidRDefault="00843F47" w:rsidP="00843F47">
      <w:pPr>
        <w:pStyle w:val="H-indent5025"/>
        <w:keepNext/>
        <w:tabs>
          <w:tab w:val="clear" w:pos="1080"/>
          <w:tab w:val="left" w:pos="360"/>
          <w:tab w:val="left" w:pos="7183"/>
        </w:tabs>
        <w:spacing w:before="60" w:after="60"/>
        <w:ind w:left="360" w:firstLine="0"/>
        <w:rPr>
          <w:rFonts w:ascii="Times New Roman" w:hAnsi="Times New Roman" w:cs="Times New Roman"/>
          <w:sz w:val="18"/>
          <w:szCs w:val="18"/>
          <w:u w:val="single"/>
        </w:rPr>
      </w:pPr>
      <w:r w:rsidRPr="00D63FB5">
        <w:rPr>
          <w:rFonts w:ascii="Times New Roman" w:hAnsi="Times New Roman" w:cs="Times New Roman"/>
          <w:sz w:val="18"/>
          <w:szCs w:val="18"/>
          <w:u w:val="single"/>
        </w:rPr>
        <w:t>Footnote</w:t>
      </w:r>
      <w:r w:rsidR="002A7D4E">
        <w:rPr>
          <w:rFonts w:ascii="Times New Roman" w:hAnsi="Times New Roman" w:cs="Times New Roman"/>
          <w:sz w:val="18"/>
          <w:szCs w:val="18"/>
          <w:u w:val="single"/>
        </w:rPr>
        <w:t>s</w:t>
      </w:r>
      <w:r w:rsidRPr="00D63FB5">
        <w:rPr>
          <w:rFonts w:ascii="Times New Roman" w:hAnsi="Times New Roman" w:cs="Times New Roman"/>
          <w:sz w:val="18"/>
          <w:szCs w:val="18"/>
          <w:u w:val="single"/>
        </w:rPr>
        <w:t>:</w:t>
      </w:r>
    </w:p>
    <w:p w14:paraId="332DA26A" w14:textId="17027057" w:rsidR="002A7D4E" w:rsidRPr="002A7D4E" w:rsidRDefault="002A7D4E" w:rsidP="002A7D4E">
      <w:pPr>
        <w:pStyle w:val="H-indent5025"/>
        <w:keepNext/>
        <w:tabs>
          <w:tab w:val="left" w:pos="630"/>
          <w:tab w:val="left" w:pos="7183"/>
        </w:tabs>
        <w:spacing w:before="60" w:after="60"/>
        <w:ind w:left="360" w:firstLine="0"/>
        <w:rPr>
          <w:rFonts w:ascii="Times New Roman" w:hAnsi="Times New Roman" w:cs="Times New Roman"/>
          <w:sz w:val="18"/>
          <w:szCs w:val="18"/>
        </w:rPr>
      </w:pPr>
      <w:r w:rsidRPr="00D63FB5">
        <w:rPr>
          <w:rFonts w:ascii="Times New Roman" w:hAnsi="Times New Roman" w:cs="Times New Roman"/>
          <w:sz w:val="18"/>
          <w:szCs w:val="18"/>
          <w:vertAlign w:val="superscript"/>
        </w:rPr>
        <w:t>[1]</w:t>
      </w:r>
      <w:r>
        <w:rPr>
          <w:rFonts w:ascii="Times New Roman" w:hAnsi="Times New Roman" w:cs="Times New Roman"/>
          <w:sz w:val="18"/>
          <w:szCs w:val="18"/>
        </w:rPr>
        <w:tab/>
      </w:r>
      <w:r w:rsidRPr="002A7D4E">
        <w:rPr>
          <w:rFonts w:ascii="Times New Roman" w:hAnsi="Times New Roman" w:cs="Times New Roman"/>
          <w:sz w:val="18"/>
          <w:szCs w:val="18"/>
        </w:rPr>
        <w:t xml:space="preserve">For San Francisco International Airport, the monitoring location is EFF-001A for both its sanitary and industrial plants. </w:t>
      </w:r>
    </w:p>
    <w:p w14:paraId="7470B68E" w14:textId="7D0C7031" w:rsidR="002A7D4E" w:rsidRPr="002A7D4E" w:rsidRDefault="002A7D4E" w:rsidP="002A7D4E">
      <w:pPr>
        <w:pStyle w:val="H-indent5025"/>
        <w:keepNext/>
        <w:tabs>
          <w:tab w:val="left" w:pos="720"/>
          <w:tab w:val="left" w:pos="7183"/>
        </w:tabs>
        <w:spacing w:before="60" w:after="60"/>
        <w:ind w:left="630" w:hanging="270"/>
        <w:rPr>
          <w:rFonts w:ascii="Times New Roman" w:hAnsi="Times New Roman" w:cs="Times New Roman"/>
          <w:sz w:val="18"/>
          <w:szCs w:val="18"/>
        </w:rPr>
      </w:pPr>
      <w:r>
        <w:rPr>
          <w:rFonts w:ascii="Times New Roman" w:hAnsi="Times New Roman" w:cs="Times New Roman"/>
          <w:sz w:val="18"/>
          <w:szCs w:val="18"/>
        </w:rPr>
        <w:tab/>
      </w:r>
      <w:r w:rsidRPr="002A7D4E">
        <w:rPr>
          <w:rFonts w:ascii="Times New Roman" w:hAnsi="Times New Roman" w:cs="Times New Roman"/>
          <w:sz w:val="18"/>
          <w:szCs w:val="18"/>
        </w:rPr>
        <w:t>For the City of Calistoga, annual monitoring shall alternate each year between EFF-001 and EFF-002.</w:t>
      </w:r>
    </w:p>
    <w:p w14:paraId="788A5933" w14:textId="01A9BE63" w:rsidR="002A7D4E" w:rsidRPr="002A7D4E" w:rsidRDefault="002A7D4E" w:rsidP="004F6E39">
      <w:pPr>
        <w:pStyle w:val="H-indent5025"/>
        <w:keepNext/>
        <w:tabs>
          <w:tab w:val="clear" w:pos="1080"/>
          <w:tab w:val="left" w:pos="720"/>
        </w:tabs>
        <w:spacing w:before="60" w:after="60"/>
        <w:ind w:left="630" w:hanging="270"/>
        <w:rPr>
          <w:rFonts w:ascii="Times New Roman" w:hAnsi="Times New Roman" w:cs="Times New Roman"/>
          <w:sz w:val="18"/>
          <w:szCs w:val="18"/>
        </w:rPr>
      </w:pPr>
      <w:r>
        <w:rPr>
          <w:rFonts w:ascii="Times New Roman" w:hAnsi="Times New Roman" w:cs="Times New Roman"/>
          <w:sz w:val="18"/>
          <w:szCs w:val="18"/>
        </w:rPr>
        <w:tab/>
      </w:r>
      <w:r w:rsidRPr="002A7D4E">
        <w:rPr>
          <w:rFonts w:ascii="Times New Roman" w:hAnsi="Times New Roman" w:cs="Times New Roman"/>
          <w:sz w:val="18"/>
          <w:szCs w:val="18"/>
        </w:rPr>
        <w:t xml:space="preserve">For C&amp;H Sugar Company, Inc., the monitoring location is EFF-002. </w:t>
      </w:r>
    </w:p>
    <w:p w14:paraId="28F7CA03" w14:textId="1D0780D5" w:rsidR="002A7D4E" w:rsidRPr="00D63FB5" w:rsidRDefault="002A7D4E" w:rsidP="004F6E39">
      <w:pPr>
        <w:pStyle w:val="H-indent5025"/>
        <w:keepNext/>
        <w:tabs>
          <w:tab w:val="clear" w:pos="1080"/>
        </w:tabs>
        <w:spacing w:before="60" w:after="60"/>
        <w:ind w:left="630" w:hanging="270"/>
        <w:rPr>
          <w:rFonts w:ascii="Times New Roman" w:hAnsi="Times New Roman" w:cs="Times New Roman"/>
          <w:sz w:val="18"/>
          <w:szCs w:val="18"/>
          <w:u w:val="single"/>
        </w:rPr>
      </w:pPr>
      <w:r>
        <w:rPr>
          <w:rFonts w:ascii="Times New Roman" w:hAnsi="Times New Roman" w:cs="Times New Roman"/>
          <w:sz w:val="18"/>
          <w:szCs w:val="18"/>
        </w:rPr>
        <w:tab/>
      </w:r>
      <w:r w:rsidRPr="002A7D4E">
        <w:rPr>
          <w:rFonts w:ascii="Times New Roman" w:hAnsi="Times New Roman" w:cs="Times New Roman"/>
          <w:sz w:val="18"/>
          <w:szCs w:val="18"/>
        </w:rPr>
        <w:t xml:space="preserve">For GenOn Delta, LLC, the monitoring locations are E-001B through to and including E-001I.  </w:t>
      </w:r>
    </w:p>
    <w:p w14:paraId="6C079D36" w14:textId="63CE3245" w:rsidR="00050401" w:rsidRPr="008632D9" w:rsidRDefault="00050401" w:rsidP="00863CE7">
      <w:pPr>
        <w:pStyle w:val="H-indent5025"/>
        <w:spacing w:after="0"/>
        <w:ind w:left="0" w:firstLine="0"/>
        <w:rPr>
          <w:rFonts w:ascii="Times New Roman" w:hAnsi="Times New Roman" w:cs="Times New Roman"/>
          <w:color w:val="00B0F0"/>
        </w:rPr>
      </w:pPr>
      <w:bookmarkStart w:id="131" w:name="_Toc75063699"/>
      <w:bookmarkStart w:id="132" w:name="_Toc77743641"/>
      <w:bookmarkStart w:id="133" w:name="_Toc87088821"/>
      <w:bookmarkStart w:id="134" w:name="_Toc92870536"/>
      <w:bookmarkStart w:id="135" w:name="_Toc125266102"/>
      <w:bookmarkEnd w:id="130"/>
    </w:p>
    <w:p w14:paraId="7B2705C4" w14:textId="0909B01B" w:rsidR="00350749" w:rsidRPr="00570B42" w:rsidRDefault="0099047E" w:rsidP="005A3556">
      <w:pPr>
        <w:pStyle w:val="Heading1-E"/>
        <w:rPr>
          <w:rFonts w:ascii="Times New Roman" w:hAnsi="Times New Roman"/>
          <w:sz w:val="24"/>
        </w:rPr>
      </w:pPr>
      <w:bookmarkStart w:id="136" w:name="_Toc340137622"/>
      <w:bookmarkStart w:id="137" w:name="_Toc402266709"/>
      <w:bookmarkStart w:id="138" w:name="_Toc487612918"/>
      <w:r>
        <w:rPr>
          <w:rFonts w:ascii="Times New Roman" w:hAnsi="Times New Roman"/>
          <w:sz w:val="24"/>
        </w:rPr>
        <w:t>III</w:t>
      </w:r>
      <w:r w:rsidR="00F878D4" w:rsidRPr="00570B42">
        <w:rPr>
          <w:rFonts w:ascii="Times New Roman" w:hAnsi="Times New Roman"/>
          <w:sz w:val="24"/>
        </w:rPr>
        <w:t>.</w:t>
      </w:r>
      <w:r w:rsidR="00F878D4" w:rsidRPr="00570B42">
        <w:rPr>
          <w:rFonts w:ascii="Times New Roman" w:hAnsi="Times New Roman"/>
          <w:sz w:val="24"/>
        </w:rPr>
        <w:tab/>
        <w:t>Effluent Monitoring Requirements</w:t>
      </w:r>
      <w:bookmarkEnd w:id="131"/>
      <w:bookmarkEnd w:id="132"/>
      <w:bookmarkEnd w:id="133"/>
      <w:bookmarkEnd w:id="134"/>
      <w:bookmarkEnd w:id="135"/>
      <w:bookmarkEnd w:id="136"/>
      <w:bookmarkEnd w:id="137"/>
      <w:bookmarkEnd w:id="138"/>
    </w:p>
    <w:p w14:paraId="231538CD" w14:textId="36B447F1" w:rsidR="001E78A8" w:rsidRPr="00570B42" w:rsidRDefault="00843F47" w:rsidP="0049254D">
      <w:pPr>
        <w:pStyle w:val="H-indent5025"/>
        <w:spacing w:after="120"/>
        <w:ind w:left="360" w:firstLine="0"/>
        <w:rPr>
          <w:rFonts w:ascii="Times New Roman" w:hAnsi="Times New Roman" w:cs="Times New Roman"/>
          <w:spacing w:val="-2"/>
        </w:rPr>
      </w:pPr>
      <w:r w:rsidRPr="00570B42">
        <w:rPr>
          <w:rFonts w:ascii="Times New Roman" w:hAnsi="Times New Roman" w:cs="Times New Roman"/>
        </w:rPr>
        <w:t>The Discharger</w:t>
      </w:r>
      <w:r w:rsidR="006D06C6">
        <w:rPr>
          <w:rFonts w:ascii="Times New Roman" w:hAnsi="Times New Roman" w:cs="Times New Roman"/>
        </w:rPr>
        <w:t>s</w:t>
      </w:r>
      <w:r w:rsidRPr="00570B42">
        <w:rPr>
          <w:rFonts w:ascii="Times New Roman" w:hAnsi="Times New Roman" w:cs="Times New Roman"/>
        </w:rPr>
        <w:t xml:space="preserve"> shall monitor </w:t>
      </w:r>
      <w:r w:rsidR="006D06C6">
        <w:rPr>
          <w:rFonts w:ascii="Times New Roman" w:hAnsi="Times New Roman" w:cs="Times New Roman"/>
        </w:rPr>
        <w:t xml:space="preserve">their </w:t>
      </w:r>
      <w:r w:rsidRPr="00570B42">
        <w:rPr>
          <w:rFonts w:ascii="Times New Roman" w:hAnsi="Times New Roman" w:cs="Times New Roman"/>
        </w:rPr>
        <w:t xml:space="preserve">individual treatment plant effluent </w:t>
      </w:r>
      <w:r w:rsidR="006D06C6">
        <w:rPr>
          <w:rFonts w:ascii="Times New Roman" w:hAnsi="Times New Roman" w:cs="Times New Roman"/>
        </w:rPr>
        <w:t>for mercury and PCBs</w:t>
      </w:r>
      <w:r w:rsidRPr="00570B42">
        <w:rPr>
          <w:rFonts w:ascii="Times New Roman" w:hAnsi="Times New Roman" w:cs="Times New Roman"/>
        </w:rPr>
        <w:t xml:space="preserve"> as </w:t>
      </w:r>
      <w:r w:rsidR="006D06C6">
        <w:rPr>
          <w:rFonts w:ascii="Times New Roman" w:hAnsi="Times New Roman" w:cs="Times New Roman"/>
        </w:rPr>
        <w:t>follows:</w:t>
      </w:r>
    </w:p>
    <w:p w14:paraId="0030C90C" w14:textId="77777777" w:rsidR="00843F47" w:rsidRPr="00570B42" w:rsidRDefault="00843F47" w:rsidP="001713FD">
      <w:pPr>
        <w:pStyle w:val="TableHeader1E"/>
        <w:jc w:val="center"/>
        <w:rPr>
          <w:rFonts w:ascii="Times New Roman" w:hAnsi="Times New Roman" w:cs="Times New Roman"/>
          <w:sz w:val="24"/>
          <w:szCs w:val="24"/>
        </w:rPr>
      </w:pPr>
      <w:bookmarkStart w:id="139" w:name="_Toc488046596"/>
      <w:bookmarkStart w:id="140" w:name="_Toc125268967"/>
      <w:r w:rsidRPr="00570B42">
        <w:rPr>
          <w:rFonts w:ascii="Times New Roman" w:hAnsi="Times New Roman" w:cs="Times New Roman"/>
          <w:sz w:val="24"/>
          <w:szCs w:val="24"/>
        </w:rPr>
        <w:t>Table E-3. Effluent Monitoring</w:t>
      </w:r>
      <w:bookmarkEnd w:id="139"/>
    </w:p>
    <w:tbl>
      <w:tblPr>
        <w:tblW w:w="106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00"/>
        <w:gridCol w:w="2160"/>
        <w:gridCol w:w="2055"/>
        <w:gridCol w:w="2790"/>
      </w:tblGrid>
      <w:tr w:rsidR="00843F47" w:rsidRPr="000D49BF" w14:paraId="2C8B019E" w14:textId="77777777" w:rsidTr="00447FC5">
        <w:trPr>
          <w:tblHeader/>
          <w:jc w:val="center"/>
        </w:trPr>
        <w:tc>
          <w:tcPr>
            <w:tcW w:w="3600" w:type="dxa"/>
            <w:vAlign w:val="center"/>
          </w:tcPr>
          <w:p w14:paraId="6A9D8A27" w14:textId="77777777" w:rsidR="00843F47" w:rsidRPr="000D49BF" w:rsidRDefault="00843F47" w:rsidP="0049254D">
            <w:pPr>
              <w:keepNext/>
              <w:spacing w:before="20" w:after="20"/>
              <w:jc w:val="center"/>
              <w:rPr>
                <w:b/>
                <w:bCs/>
              </w:rPr>
            </w:pPr>
            <w:r w:rsidRPr="000D49BF">
              <w:rPr>
                <w:b/>
                <w:bCs/>
              </w:rPr>
              <w:t>Parameter</w:t>
            </w:r>
          </w:p>
        </w:tc>
        <w:tc>
          <w:tcPr>
            <w:tcW w:w="2160" w:type="dxa"/>
            <w:vAlign w:val="center"/>
          </w:tcPr>
          <w:p w14:paraId="38C9EE3C" w14:textId="77777777" w:rsidR="00843F47" w:rsidRPr="000D49BF" w:rsidRDefault="00843F47" w:rsidP="0049254D">
            <w:pPr>
              <w:keepNext/>
              <w:spacing w:before="20" w:after="20"/>
              <w:jc w:val="center"/>
              <w:rPr>
                <w:b/>
                <w:bCs/>
              </w:rPr>
            </w:pPr>
            <w:r w:rsidRPr="000D49BF">
              <w:rPr>
                <w:b/>
                <w:bCs/>
              </w:rPr>
              <w:t>Units</w:t>
            </w:r>
          </w:p>
        </w:tc>
        <w:tc>
          <w:tcPr>
            <w:tcW w:w="2055" w:type="dxa"/>
            <w:vAlign w:val="center"/>
          </w:tcPr>
          <w:p w14:paraId="35C54386" w14:textId="4BC469C5" w:rsidR="00843F47" w:rsidRPr="000D49BF" w:rsidRDefault="00843F47" w:rsidP="0049254D">
            <w:pPr>
              <w:keepNext/>
              <w:spacing w:before="20" w:after="20"/>
              <w:jc w:val="center"/>
              <w:rPr>
                <w:b/>
                <w:bCs/>
              </w:rPr>
            </w:pPr>
            <w:r w:rsidRPr="000D49BF">
              <w:rPr>
                <w:b/>
                <w:bCs/>
              </w:rPr>
              <w:t>Sample Type</w:t>
            </w:r>
            <w:r>
              <w:rPr>
                <w:b/>
                <w:bCs/>
              </w:rPr>
              <w:t xml:space="preserve"> </w:t>
            </w:r>
            <w:r w:rsidRPr="00943772">
              <w:rPr>
                <w:bCs/>
                <w:vertAlign w:val="superscript"/>
              </w:rPr>
              <w:t>[</w:t>
            </w:r>
            <w:r w:rsidR="00353A98">
              <w:rPr>
                <w:bCs/>
                <w:vertAlign w:val="superscript"/>
              </w:rPr>
              <w:t>1]</w:t>
            </w:r>
          </w:p>
        </w:tc>
        <w:tc>
          <w:tcPr>
            <w:tcW w:w="2790" w:type="dxa"/>
            <w:vAlign w:val="center"/>
          </w:tcPr>
          <w:p w14:paraId="6BBC2958" w14:textId="0D3AE248" w:rsidR="00843F47" w:rsidRPr="000D49BF" w:rsidRDefault="00843F47" w:rsidP="0049254D">
            <w:pPr>
              <w:keepNext/>
              <w:spacing w:before="20" w:after="20"/>
              <w:jc w:val="center"/>
              <w:rPr>
                <w:b/>
                <w:bCs/>
              </w:rPr>
            </w:pPr>
            <w:r w:rsidRPr="000D49BF">
              <w:rPr>
                <w:b/>
                <w:bCs/>
              </w:rPr>
              <w:t>Minimum Sampling Frequency</w:t>
            </w:r>
            <w:r w:rsidR="00D21335">
              <w:rPr>
                <w:b/>
                <w:bCs/>
              </w:rPr>
              <w:t xml:space="preserve"> </w:t>
            </w:r>
            <w:r w:rsidR="00D21335" w:rsidRPr="00943772">
              <w:rPr>
                <w:bCs/>
                <w:vertAlign w:val="superscript"/>
              </w:rPr>
              <w:t>[</w:t>
            </w:r>
            <w:r w:rsidR="00D21335">
              <w:rPr>
                <w:bCs/>
                <w:vertAlign w:val="superscript"/>
              </w:rPr>
              <w:t>2]</w:t>
            </w:r>
          </w:p>
        </w:tc>
      </w:tr>
      <w:tr w:rsidR="00843F47" w:rsidRPr="000D49BF" w14:paraId="37B972B3" w14:textId="77777777" w:rsidTr="00AB1D37">
        <w:trPr>
          <w:trHeight w:val="285"/>
          <w:jc w:val="center"/>
        </w:trPr>
        <w:tc>
          <w:tcPr>
            <w:tcW w:w="10605" w:type="dxa"/>
            <w:gridSpan w:val="4"/>
            <w:shd w:val="clear" w:color="auto" w:fill="D9D9D9" w:themeFill="background1" w:themeFillShade="D9"/>
            <w:vAlign w:val="center"/>
          </w:tcPr>
          <w:p w14:paraId="6BC9CC8F" w14:textId="65207CEE" w:rsidR="00843F47" w:rsidRPr="00A70549" w:rsidRDefault="006D06C6" w:rsidP="0049254D">
            <w:pPr>
              <w:keepNext/>
              <w:spacing w:before="20" w:after="20"/>
              <w:jc w:val="center"/>
              <w:rPr>
                <w:b/>
              </w:rPr>
            </w:pPr>
            <w:r>
              <w:rPr>
                <w:b/>
              </w:rPr>
              <w:t>Major Dischargers (see Tables 1A and 1B)</w:t>
            </w:r>
          </w:p>
        </w:tc>
      </w:tr>
      <w:tr w:rsidR="00843F47" w:rsidRPr="000D49BF" w14:paraId="0B516023" w14:textId="77777777" w:rsidTr="00447FC5">
        <w:trPr>
          <w:trHeight w:val="285"/>
          <w:jc w:val="center"/>
        </w:trPr>
        <w:tc>
          <w:tcPr>
            <w:tcW w:w="3600" w:type="dxa"/>
            <w:vAlign w:val="center"/>
          </w:tcPr>
          <w:p w14:paraId="60721478" w14:textId="06093963" w:rsidR="00843F47" w:rsidRPr="00E5539F" w:rsidRDefault="0038472E" w:rsidP="0049254D">
            <w:pPr>
              <w:keepNext/>
              <w:spacing w:before="20" w:after="20"/>
            </w:pPr>
            <w:r>
              <w:t>Mercury, Total</w:t>
            </w:r>
            <w:r w:rsidR="00E075D4">
              <w:t xml:space="preserve"> </w:t>
            </w:r>
            <w:r w:rsidR="00E075D4" w:rsidRPr="00943772">
              <w:rPr>
                <w:bCs/>
                <w:vertAlign w:val="superscript"/>
              </w:rPr>
              <w:t>[</w:t>
            </w:r>
            <w:r w:rsidR="00A721B6">
              <w:rPr>
                <w:bCs/>
                <w:vertAlign w:val="superscript"/>
              </w:rPr>
              <w:t>3</w:t>
            </w:r>
            <w:r w:rsidR="00E075D4">
              <w:rPr>
                <w:bCs/>
                <w:vertAlign w:val="superscript"/>
              </w:rPr>
              <w:t>]</w:t>
            </w:r>
            <w:r w:rsidR="00A721B6">
              <w:rPr>
                <w:bCs/>
                <w:vertAlign w:val="superscript"/>
              </w:rPr>
              <w:t>,[8]</w:t>
            </w:r>
          </w:p>
        </w:tc>
        <w:tc>
          <w:tcPr>
            <w:tcW w:w="2160" w:type="dxa"/>
            <w:vAlign w:val="center"/>
          </w:tcPr>
          <w:p w14:paraId="13881876" w14:textId="76CE97B6" w:rsidR="00843F47" w:rsidRPr="000D49BF" w:rsidRDefault="005352F6" w:rsidP="0049254D">
            <w:pPr>
              <w:keepNext/>
              <w:spacing w:before="20" w:after="20"/>
              <w:jc w:val="center"/>
            </w:pPr>
            <w:r w:rsidRPr="000D49BF">
              <w:t>µg/L</w:t>
            </w:r>
          </w:p>
        </w:tc>
        <w:tc>
          <w:tcPr>
            <w:tcW w:w="2055" w:type="dxa"/>
            <w:vAlign w:val="center"/>
          </w:tcPr>
          <w:p w14:paraId="671F2AAD" w14:textId="477803FA" w:rsidR="00843F47" w:rsidRPr="000D49BF" w:rsidRDefault="004944A4" w:rsidP="0049254D">
            <w:pPr>
              <w:keepNext/>
              <w:spacing w:before="20" w:after="20"/>
              <w:jc w:val="center"/>
            </w:pPr>
            <w:r w:rsidRPr="000D49BF">
              <w:rPr>
                <w:bCs/>
              </w:rPr>
              <w:t>C-24</w:t>
            </w:r>
            <w:r>
              <w:rPr>
                <w:bCs/>
              </w:rPr>
              <w:t xml:space="preserve"> or Grab</w:t>
            </w:r>
            <w:r w:rsidR="00D1422A">
              <w:rPr>
                <w:bCs/>
              </w:rPr>
              <w:t xml:space="preserve"> </w:t>
            </w:r>
            <w:r w:rsidR="00D1422A" w:rsidRPr="00943772">
              <w:rPr>
                <w:bCs/>
                <w:vertAlign w:val="superscript"/>
              </w:rPr>
              <w:t>[</w:t>
            </w:r>
            <w:r w:rsidR="00D1422A">
              <w:rPr>
                <w:bCs/>
                <w:vertAlign w:val="superscript"/>
              </w:rPr>
              <w:t>5]</w:t>
            </w:r>
          </w:p>
        </w:tc>
        <w:tc>
          <w:tcPr>
            <w:tcW w:w="2790" w:type="dxa"/>
            <w:vAlign w:val="center"/>
          </w:tcPr>
          <w:p w14:paraId="31B51773" w14:textId="53DEC117" w:rsidR="00843F47" w:rsidRPr="000D49BF" w:rsidRDefault="007E15D0" w:rsidP="0049254D">
            <w:pPr>
              <w:keepNext/>
              <w:spacing w:before="20" w:after="20"/>
              <w:jc w:val="center"/>
            </w:pPr>
            <w:r>
              <w:t>1/Month</w:t>
            </w:r>
          </w:p>
        </w:tc>
      </w:tr>
      <w:tr w:rsidR="00843F47" w:rsidRPr="000D49BF" w14:paraId="17F7BFDD" w14:textId="77777777" w:rsidTr="00447FC5">
        <w:trPr>
          <w:trHeight w:val="285"/>
          <w:jc w:val="center"/>
        </w:trPr>
        <w:tc>
          <w:tcPr>
            <w:tcW w:w="3600" w:type="dxa"/>
            <w:vAlign w:val="center"/>
          </w:tcPr>
          <w:p w14:paraId="4BE1CB86" w14:textId="782ECB7B" w:rsidR="00843F47" w:rsidRPr="000D49BF" w:rsidRDefault="00D1422A" w:rsidP="000F2144">
            <w:pPr>
              <w:spacing w:before="20" w:after="20"/>
            </w:pPr>
            <w:r>
              <w:t>PCBs</w:t>
            </w:r>
            <w:r w:rsidR="00447FC5">
              <w:t>, Total</w:t>
            </w:r>
            <w:r>
              <w:t xml:space="preserve"> (as A</w:t>
            </w:r>
            <w:r w:rsidR="005352F6">
              <w:t>roclors)</w:t>
            </w:r>
            <w:r>
              <w:t xml:space="preserve"> </w:t>
            </w:r>
            <w:r w:rsidRPr="00943772">
              <w:rPr>
                <w:bCs/>
                <w:vertAlign w:val="superscript"/>
              </w:rPr>
              <w:t>[</w:t>
            </w:r>
            <w:r>
              <w:rPr>
                <w:bCs/>
                <w:vertAlign w:val="superscript"/>
              </w:rPr>
              <w:t>6]</w:t>
            </w:r>
          </w:p>
        </w:tc>
        <w:tc>
          <w:tcPr>
            <w:tcW w:w="2160" w:type="dxa"/>
            <w:vAlign w:val="center"/>
          </w:tcPr>
          <w:p w14:paraId="30499EFC" w14:textId="1CCBAD08" w:rsidR="00843F47" w:rsidRPr="000D49BF" w:rsidRDefault="005352F6" w:rsidP="000F2144">
            <w:pPr>
              <w:spacing w:before="20" w:after="20"/>
              <w:jc w:val="center"/>
            </w:pPr>
            <w:r w:rsidRPr="000D49BF">
              <w:t>µg/L</w:t>
            </w:r>
          </w:p>
        </w:tc>
        <w:tc>
          <w:tcPr>
            <w:tcW w:w="2055" w:type="dxa"/>
            <w:vAlign w:val="center"/>
          </w:tcPr>
          <w:p w14:paraId="1364F215" w14:textId="77777777" w:rsidR="00843F47" w:rsidRPr="000D49BF" w:rsidRDefault="00843F47" w:rsidP="000F2144">
            <w:pPr>
              <w:spacing w:before="20" w:after="20"/>
              <w:jc w:val="center"/>
            </w:pPr>
            <w:r w:rsidRPr="000D49BF">
              <w:rPr>
                <w:bCs/>
              </w:rPr>
              <w:t>C-24</w:t>
            </w:r>
          </w:p>
        </w:tc>
        <w:tc>
          <w:tcPr>
            <w:tcW w:w="2790" w:type="dxa"/>
            <w:vAlign w:val="center"/>
          </w:tcPr>
          <w:p w14:paraId="22A7BC83" w14:textId="736B4465" w:rsidR="00843F47" w:rsidRPr="000D49BF" w:rsidRDefault="007E15D0" w:rsidP="000F2144">
            <w:pPr>
              <w:spacing w:before="20" w:after="20"/>
              <w:jc w:val="center"/>
            </w:pPr>
            <w:r>
              <w:t>2/Year</w:t>
            </w:r>
          </w:p>
        </w:tc>
      </w:tr>
      <w:tr w:rsidR="003930F0" w:rsidRPr="000D49BF" w14:paraId="6E9FF84A" w14:textId="77777777" w:rsidTr="00447FC5">
        <w:trPr>
          <w:trHeight w:val="143"/>
          <w:jc w:val="center"/>
        </w:trPr>
        <w:tc>
          <w:tcPr>
            <w:tcW w:w="3600" w:type="dxa"/>
            <w:vMerge w:val="restart"/>
            <w:vAlign w:val="center"/>
          </w:tcPr>
          <w:p w14:paraId="168845B3" w14:textId="5C02A7C5" w:rsidR="003930F0" w:rsidRPr="000D49BF" w:rsidRDefault="003930F0" w:rsidP="000F2144">
            <w:pPr>
              <w:spacing w:before="20" w:after="20"/>
            </w:pPr>
            <w:r>
              <w:t>PCBs (as congeners)</w:t>
            </w:r>
            <w:r w:rsidR="00D1422A">
              <w:t xml:space="preserve"> </w:t>
            </w:r>
            <w:r w:rsidR="00D1422A" w:rsidRPr="00943772">
              <w:rPr>
                <w:bCs/>
                <w:vertAlign w:val="superscript"/>
              </w:rPr>
              <w:t>[</w:t>
            </w:r>
            <w:r w:rsidR="00D1422A">
              <w:rPr>
                <w:bCs/>
                <w:vertAlign w:val="superscript"/>
              </w:rPr>
              <w:t>7]</w:t>
            </w:r>
          </w:p>
        </w:tc>
        <w:tc>
          <w:tcPr>
            <w:tcW w:w="2160" w:type="dxa"/>
            <w:vMerge w:val="restart"/>
            <w:vAlign w:val="center"/>
          </w:tcPr>
          <w:p w14:paraId="04E6914A" w14:textId="30E028E1" w:rsidR="003930F0" w:rsidRPr="000D49BF" w:rsidRDefault="003930F0" w:rsidP="000F2144">
            <w:pPr>
              <w:spacing w:before="20" w:after="20"/>
              <w:jc w:val="center"/>
            </w:pPr>
            <w:r w:rsidRPr="000D49BF">
              <w:t>µg/L</w:t>
            </w:r>
          </w:p>
        </w:tc>
        <w:tc>
          <w:tcPr>
            <w:tcW w:w="2055" w:type="dxa"/>
            <w:vMerge w:val="restart"/>
            <w:vAlign w:val="center"/>
          </w:tcPr>
          <w:p w14:paraId="1C606C46" w14:textId="77777777" w:rsidR="003930F0" w:rsidRPr="000D49BF" w:rsidRDefault="003930F0" w:rsidP="000F2144">
            <w:pPr>
              <w:spacing w:before="20" w:after="20"/>
              <w:jc w:val="center"/>
            </w:pPr>
            <w:r w:rsidRPr="000D49BF">
              <w:rPr>
                <w:bCs/>
              </w:rPr>
              <w:t>C-24</w:t>
            </w:r>
          </w:p>
        </w:tc>
        <w:tc>
          <w:tcPr>
            <w:tcW w:w="2790" w:type="dxa"/>
            <w:vAlign w:val="center"/>
          </w:tcPr>
          <w:p w14:paraId="62B777CE" w14:textId="77777777" w:rsidR="00AB1D37" w:rsidRDefault="003930F0" w:rsidP="000F2144">
            <w:pPr>
              <w:spacing w:before="20" w:after="20"/>
              <w:jc w:val="center"/>
            </w:pPr>
            <w:r>
              <w:t xml:space="preserve">1/Quarter </w:t>
            </w:r>
          </w:p>
          <w:p w14:paraId="3A26693C" w14:textId="4A953D7A" w:rsidR="003930F0" w:rsidRPr="000D49BF" w:rsidRDefault="003930F0" w:rsidP="000F2144">
            <w:pPr>
              <w:spacing w:before="20" w:after="20"/>
              <w:jc w:val="center"/>
            </w:pPr>
            <w:r>
              <w:t>(for design flow</w:t>
            </w:r>
            <w:r w:rsidR="00447FC5">
              <w:t xml:space="preserve"> </w:t>
            </w:r>
            <w:r w:rsidR="00447FC5" w:rsidRPr="00943772">
              <w:rPr>
                <w:bCs/>
                <w:vertAlign w:val="superscript"/>
              </w:rPr>
              <w:t>[</w:t>
            </w:r>
            <w:r w:rsidR="00447FC5">
              <w:rPr>
                <w:bCs/>
                <w:vertAlign w:val="superscript"/>
              </w:rPr>
              <w:t>8]</w:t>
            </w:r>
            <w:r>
              <w:t xml:space="preserve"> &gt; 5.0 MGD)</w:t>
            </w:r>
          </w:p>
        </w:tc>
      </w:tr>
      <w:tr w:rsidR="003930F0" w:rsidRPr="000D49BF" w14:paraId="3215D386" w14:textId="77777777" w:rsidTr="00447FC5">
        <w:trPr>
          <w:trHeight w:val="142"/>
          <w:jc w:val="center"/>
        </w:trPr>
        <w:tc>
          <w:tcPr>
            <w:tcW w:w="3600" w:type="dxa"/>
            <w:vMerge/>
            <w:vAlign w:val="center"/>
          </w:tcPr>
          <w:p w14:paraId="0D4C0873" w14:textId="77777777" w:rsidR="003930F0" w:rsidRDefault="003930F0" w:rsidP="000F2144">
            <w:pPr>
              <w:spacing w:before="20" w:after="20"/>
            </w:pPr>
          </w:p>
        </w:tc>
        <w:tc>
          <w:tcPr>
            <w:tcW w:w="2160" w:type="dxa"/>
            <w:vMerge/>
            <w:vAlign w:val="center"/>
          </w:tcPr>
          <w:p w14:paraId="38ECE172" w14:textId="77777777" w:rsidR="003930F0" w:rsidRPr="000D49BF" w:rsidRDefault="003930F0" w:rsidP="000F2144">
            <w:pPr>
              <w:spacing w:before="20" w:after="20"/>
              <w:jc w:val="center"/>
            </w:pPr>
          </w:p>
        </w:tc>
        <w:tc>
          <w:tcPr>
            <w:tcW w:w="2055" w:type="dxa"/>
            <w:vMerge/>
            <w:vAlign w:val="center"/>
          </w:tcPr>
          <w:p w14:paraId="729198B2" w14:textId="77777777" w:rsidR="003930F0" w:rsidRPr="000D49BF" w:rsidRDefault="003930F0" w:rsidP="000F2144">
            <w:pPr>
              <w:spacing w:before="20" w:after="20"/>
              <w:jc w:val="center"/>
              <w:rPr>
                <w:bCs/>
              </w:rPr>
            </w:pPr>
          </w:p>
        </w:tc>
        <w:tc>
          <w:tcPr>
            <w:tcW w:w="2790" w:type="dxa"/>
            <w:vAlign w:val="center"/>
          </w:tcPr>
          <w:p w14:paraId="22D9B58D" w14:textId="77777777" w:rsidR="00AB1D37" w:rsidRDefault="003930F0" w:rsidP="000F2144">
            <w:pPr>
              <w:spacing w:before="20" w:after="20"/>
              <w:jc w:val="center"/>
            </w:pPr>
            <w:r>
              <w:t>2/Yea</w:t>
            </w:r>
            <w:r w:rsidRPr="003930F0">
              <w:t xml:space="preserve">r  </w:t>
            </w:r>
          </w:p>
          <w:p w14:paraId="569BCD0A" w14:textId="7EFFB46C" w:rsidR="003930F0" w:rsidRDefault="003930F0" w:rsidP="000F2144">
            <w:pPr>
              <w:spacing w:before="20" w:after="20"/>
              <w:jc w:val="center"/>
            </w:pPr>
            <w:r w:rsidRPr="003930F0">
              <w:t>(if design flow</w:t>
            </w:r>
            <w:r w:rsidR="00447FC5">
              <w:t xml:space="preserve"> </w:t>
            </w:r>
            <w:r w:rsidR="00447FC5" w:rsidRPr="00943772">
              <w:rPr>
                <w:bCs/>
                <w:vertAlign w:val="superscript"/>
              </w:rPr>
              <w:t>[</w:t>
            </w:r>
            <w:r w:rsidR="00447FC5">
              <w:rPr>
                <w:bCs/>
                <w:vertAlign w:val="superscript"/>
              </w:rPr>
              <w:t>8]</w:t>
            </w:r>
            <w:r w:rsidRPr="003930F0">
              <w:t xml:space="preserve"> ≤ 5.0 MGD)</w:t>
            </w:r>
          </w:p>
        </w:tc>
      </w:tr>
      <w:tr w:rsidR="00843F47" w:rsidRPr="000D49BF" w14:paraId="7F9F4231" w14:textId="77777777" w:rsidTr="00AB1D37">
        <w:trPr>
          <w:trHeight w:val="285"/>
          <w:jc w:val="center"/>
        </w:trPr>
        <w:tc>
          <w:tcPr>
            <w:tcW w:w="10605" w:type="dxa"/>
            <w:gridSpan w:val="4"/>
            <w:shd w:val="clear" w:color="auto" w:fill="D9D9D9" w:themeFill="background1" w:themeFillShade="D9"/>
            <w:vAlign w:val="center"/>
          </w:tcPr>
          <w:p w14:paraId="0A051264" w14:textId="1F84B45A" w:rsidR="00843F47" w:rsidRDefault="006D06C6" w:rsidP="001713FD">
            <w:pPr>
              <w:spacing w:before="20" w:after="20"/>
              <w:jc w:val="center"/>
            </w:pPr>
            <w:r>
              <w:rPr>
                <w:b/>
              </w:rPr>
              <w:t>Minor Dischargers (see Tables 1A and 1B)</w:t>
            </w:r>
          </w:p>
        </w:tc>
      </w:tr>
      <w:tr w:rsidR="007E15D0" w:rsidRPr="000D49BF" w14:paraId="3D976676" w14:textId="77777777" w:rsidTr="00447FC5">
        <w:trPr>
          <w:trHeight w:val="285"/>
          <w:jc w:val="center"/>
        </w:trPr>
        <w:tc>
          <w:tcPr>
            <w:tcW w:w="3600" w:type="dxa"/>
            <w:vAlign w:val="center"/>
          </w:tcPr>
          <w:p w14:paraId="1BBB5707" w14:textId="030079A3" w:rsidR="007E15D0" w:rsidRPr="00E5539F" w:rsidRDefault="0038472E" w:rsidP="007E15D0">
            <w:pPr>
              <w:spacing w:before="20" w:after="20"/>
            </w:pPr>
            <w:r>
              <w:t xml:space="preserve">Mercury, Total </w:t>
            </w:r>
            <w:r w:rsidRPr="00943772">
              <w:rPr>
                <w:bCs/>
                <w:vertAlign w:val="superscript"/>
              </w:rPr>
              <w:t>[</w:t>
            </w:r>
            <w:r>
              <w:rPr>
                <w:bCs/>
                <w:vertAlign w:val="superscript"/>
              </w:rPr>
              <w:t>4]</w:t>
            </w:r>
          </w:p>
        </w:tc>
        <w:tc>
          <w:tcPr>
            <w:tcW w:w="2160" w:type="dxa"/>
            <w:vAlign w:val="center"/>
          </w:tcPr>
          <w:p w14:paraId="7D065984" w14:textId="1EB0A2C9" w:rsidR="007E15D0" w:rsidRPr="000D49BF" w:rsidRDefault="007E15D0" w:rsidP="007E15D0">
            <w:pPr>
              <w:spacing w:before="20" w:after="20"/>
              <w:jc w:val="center"/>
            </w:pPr>
            <w:r w:rsidRPr="000D49BF">
              <w:t>µg/L</w:t>
            </w:r>
          </w:p>
        </w:tc>
        <w:tc>
          <w:tcPr>
            <w:tcW w:w="2055" w:type="dxa"/>
            <w:vAlign w:val="center"/>
          </w:tcPr>
          <w:p w14:paraId="77A52312" w14:textId="64C796F5" w:rsidR="007E15D0" w:rsidRPr="000D49BF" w:rsidRDefault="004944A4" w:rsidP="007E15D0">
            <w:pPr>
              <w:spacing w:before="20" w:after="20"/>
              <w:jc w:val="center"/>
            </w:pPr>
            <w:r w:rsidRPr="000D49BF">
              <w:rPr>
                <w:bCs/>
              </w:rPr>
              <w:t>C-24</w:t>
            </w:r>
            <w:r>
              <w:rPr>
                <w:bCs/>
              </w:rPr>
              <w:t xml:space="preserve"> or Grab</w:t>
            </w:r>
            <w:r w:rsidR="00D1422A">
              <w:rPr>
                <w:bCs/>
              </w:rPr>
              <w:t xml:space="preserve"> </w:t>
            </w:r>
            <w:r w:rsidR="00D1422A" w:rsidRPr="00943772">
              <w:rPr>
                <w:bCs/>
                <w:vertAlign w:val="superscript"/>
              </w:rPr>
              <w:t>[</w:t>
            </w:r>
            <w:r w:rsidR="00D1422A">
              <w:rPr>
                <w:bCs/>
                <w:vertAlign w:val="superscript"/>
              </w:rPr>
              <w:t>5]</w:t>
            </w:r>
          </w:p>
        </w:tc>
        <w:tc>
          <w:tcPr>
            <w:tcW w:w="2790" w:type="dxa"/>
            <w:vAlign w:val="center"/>
          </w:tcPr>
          <w:p w14:paraId="153F6F24" w14:textId="7D9F4E9D" w:rsidR="007E15D0" w:rsidRPr="000D49BF" w:rsidRDefault="009601E4" w:rsidP="007E15D0">
            <w:pPr>
              <w:spacing w:before="20" w:after="20"/>
              <w:jc w:val="center"/>
            </w:pPr>
            <w:r>
              <w:t>1/Quarter</w:t>
            </w:r>
          </w:p>
        </w:tc>
      </w:tr>
      <w:tr w:rsidR="007E15D0" w:rsidRPr="000D49BF" w14:paraId="712773B7" w14:textId="77777777" w:rsidTr="00447FC5">
        <w:trPr>
          <w:trHeight w:val="285"/>
          <w:jc w:val="center"/>
        </w:trPr>
        <w:tc>
          <w:tcPr>
            <w:tcW w:w="3600" w:type="dxa"/>
            <w:vAlign w:val="center"/>
          </w:tcPr>
          <w:p w14:paraId="7442810D" w14:textId="518F3A87" w:rsidR="007E15D0" w:rsidRPr="000D49BF" w:rsidRDefault="00447FC5" w:rsidP="007E15D0">
            <w:pPr>
              <w:spacing w:before="20" w:after="20"/>
            </w:pPr>
            <w:r>
              <w:t>PCBs, Total</w:t>
            </w:r>
            <w:r w:rsidR="00D1422A">
              <w:t xml:space="preserve"> (as A</w:t>
            </w:r>
            <w:r w:rsidR="007E15D0">
              <w:t>roclors)</w:t>
            </w:r>
            <w:r w:rsidRPr="00943772">
              <w:rPr>
                <w:bCs/>
                <w:vertAlign w:val="superscript"/>
              </w:rPr>
              <w:t xml:space="preserve"> [</w:t>
            </w:r>
            <w:r>
              <w:rPr>
                <w:bCs/>
                <w:vertAlign w:val="superscript"/>
              </w:rPr>
              <w:t>6]</w:t>
            </w:r>
          </w:p>
        </w:tc>
        <w:tc>
          <w:tcPr>
            <w:tcW w:w="2160" w:type="dxa"/>
            <w:vAlign w:val="center"/>
          </w:tcPr>
          <w:p w14:paraId="365DB4CD" w14:textId="48584146" w:rsidR="007E15D0" w:rsidRPr="000D49BF" w:rsidRDefault="007E15D0" w:rsidP="007E15D0">
            <w:pPr>
              <w:spacing w:before="20" w:after="20"/>
              <w:jc w:val="center"/>
            </w:pPr>
            <w:r w:rsidRPr="000D49BF">
              <w:t>µg/L</w:t>
            </w:r>
          </w:p>
        </w:tc>
        <w:tc>
          <w:tcPr>
            <w:tcW w:w="2055" w:type="dxa"/>
            <w:vAlign w:val="center"/>
          </w:tcPr>
          <w:p w14:paraId="43EDF7A9" w14:textId="4F31DA64" w:rsidR="007E15D0" w:rsidRPr="000D49BF" w:rsidRDefault="007E15D0" w:rsidP="007E15D0">
            <w:pPr>
              <w:spacing w:before="20" w:after="20"/>
              <w:jc w:val="center"/>
            </w:pPr>
            <w:r w:rsidRPr="000D49BF">
              <w:rPr>
                <w:bCs/>
              </w:rPr>
              <w:t>C-24</w:t>
            </w:r>
          </w:p>
        </w:tc>
        <w:tc>
          <w:tcPr>
            <w:tcW w:w="2790" w:type="dxa"/>
            <w:vAlign w:val="center"/>
          </w:tcPr>
          <w:p w14:paraId="1B42EA69" w14:textId="1054FDD5" w:rsidR="007E15D0" w:rsidRPr="000D49BF" w:rsidRDefault="009601E4" w:rsidP="007E15D0">
            <w:pPr>
              <w:spacing w:before="20" w:after="20"/>
              <w:jc w:val="center"/>
            </w:pPr>
            <w:r>
              <w:t>1/Year</w:t>
            </w:r>
          </w:p>
        </w:tc>
      </w:tr>
      <w:tr w:rsidR="007E15D0" w:rsidRPr="000D49BF" w14:paraId="53832775" w14:textId="77777777" w:rsidTr="00447FC5">
        <w:trPr>
          <w:trHeight w:val="285"/>
          <w:jc w:val="center"/>
        </w:trPr>
        <w:tc>
          <w:tcPr>
            <w:tcW w:w="3600" w:type="dxa"/>
            <w:vAlign w:val="center"/>
          </w:tcPr>
          <w:p w14:paraId="369865FA" w14:textId="220F4E6C" w:rsidR="007E15D0" w:rsidRPr="000D49BF" w:rsidRDefault="007E15D0" w:rsidP="007E15D0">
            <w:pPr>
              <w:spacing w:before="20" w:after="20"/>
            </w:pPr>
            <w:r>
              <w:t>PCBs (as congeners)</w:t>
            </w:r>
            <w:r w:rsidR="00447FC5" w:rsidRPr="00943772">
              <w:rPr>
                <w:bCs/>
                <w:vertAlign w:val="superscript"/>
              </w:rPr>
              <w:t xml:space="preserve"> [</w:t>
            </w:r>
            <w:r w:rsidR="00447FC5">
              <w:rPr>
                <w:bCs/>
                <w:vertAlign w:val="superscript"/>
              </w:rPr>
              <w:t>7]</w:t>
            </w:r>
            <w:r w:rsidR="0000405B">
              <w:rPr>
                <w:bCs/>
                <w:vertAlign w:val="superscript"/>
              </w:rPr>
              <w:t>,[9]</w:t>
            </w:r>
          </w:p>
        </w:tc>
        <w:tc>
          <w:tcPr>
            <w:tcW w:w="2160" w:type="dxa"/>
            <w:vAlign w:val="center"/>
          </w:tcPr>
          <w:p w14:paraId="0F8D05EF" w14:textId="2EF47948" w:rsidR="007E15D0" w:rsidRPr="000D49BF" w:rsidRDefault="007E15D0" w:rsidP="007E15D0">
            <w:pPr>
              <w:spacing w:before="20" w:after="20"/>
              <w:jc w:val="center"/>
            </w:pPr>
            <w:r w:rsidRPr="000D49BF">
              <w:t>µg/L</w:t>
            </w:r>
          </w:p>
        </w:tc>
        <w:tc>
          <w:tcPr>
            <w:tcW w:w="2055" w:type="dxa"/>
            <w:vAlign w:val="center"/>
          </w:tcPr>
          <w:p w14:paraId="30295AB2" w14:textId="46940180" w:rsidR="007E15D0" w:rsidRPr="000D49BF" w:rsidRDefault="007E15D0" w:rsidP="007E15D0">
            <w:pPr>
              <w:spacing w:before="20" w:after="20"/>
              <w:jc w:val="center"/>
            </w:pPr>
            <w:r w:rsidRPr="000D49BF">
              <w:rPr>
                <w:bCs/>
              </w:rPr>
              <w:t>C-24</w:t>
            </w:r>
          </w:p>
        </w:tc>
        <w:tc>
          <w:tcPr>
            <w:tcW w:w="2790" w:type="dxa"/>
            <w:vAlign w:val="center"/>
          </w:tcPr>
          <w:p w14:paraId="3D893355" w14:textId="2EB108F3" w:rsidR="007E15D0" w:rsidRDefault="009601E4" w:rsidP="007E15D0">
            <w:pPr>
              <w:spacing w:before="20" w:after="20"/>
              <w:jc w:val="center"/>
            </w:pPr>
            <w:r>
              <w:t>1/Year</w:t>
            </w:r>
          </w:p>
        </w:tc>
      </w:tr>
    </w:tbl>
    <w:bookmarkEnd w:id="140"/>
    <w:p w14:paraId="75B7100C" w14:textId="77777777" w:rsidR="000D49BF" w:rsidRPr="00863CE7" w:rsidRDefault="000D49BF" w:rsidP="00824329">
      <w:pPr>
        <w:tabs>
          <w:tab w:val="left" w:pos="0"/>
          <w:tab w:val="left" w:pos="1170"/>
        </w:tabs>
        <w:spacing w:before="60" w:after="60"/>
        <w:ind w:left="270" w:hanging="540"/>
        <w:rPr>
          <w:iCs/>
          <w:sz w:val="18"/>
          <w:szCs w:val="18"/>
          <w:u w:val="single"/>
        </w:rPr>
      </w:pPr>
      <w:r w:rsidRPr="00863CE7">
        <w:rPr>
          <w:iCs/>
          <w:sz w:val="18"/>
          <w:szCs w:val="18"/>
          <w:u w:val="single"/>
        </w:rPr>
        <w:t>Unit</w:t>
      </w:r>
      <w:r w:rsidR="003508B5" w:rsidRPr="00863CE7">
        <w:rPr>
          <w:iCs/>
          <w:sz w:val="18"/>
          <w:szCs w:val="18"/>
          <w:u w:val="single"/>
        </w:rPr>
        <w:t xml:space="preserve"> Abbreviations</w:t>
      </w:r>
      <w:r w:rsidRPr="00863CE7">
        <w:rPr>
          <w:iCs/>
          <w:sz w:val="18"/>
          <w:szCs w:val="18"/>
          <w:u w:val="single"/>
        </w:rPr>
        <w:t>:</w:t>
      </w:r>
    </w:p>
    <w:p w14:paraId="0AEF8929" w14:textId="301A2B64" w:rsidR="00FC2214" w:rsidRDefault="004944A4" w:rsidP="00A94E6D">
      <w:pPr>
        <w:tabs>
          <w:tab w:val="left" w:pos="0"/>
          <w:tab w:val="left" w:pos="720"/>
        </w:tabs>
        <w:ind w:left="540" w:hanging="810"/>
        <w:rPr>
          <w:sz w:val="18"/>
          <w:szCs w:val="18"/>
        </w:rPr>
      </w:pPr>
      <w:r w:rsidRPr="004944A4">
        <w:rPr>
          <w:sz w:val="18"/>
          <w:szCs w:val="18"/>
        </w:rPr>
        <w:t>µg/L</w:t>
      </w:r>
      <w:r w:rsidR="00FC2214" w:rsidRPr="00863CE7">
        <w:rPr>
          <w:sz w:val="18"/>
          <w:szCs w:val="18"/>
        </w:rPr>
        <w:tab/>
        <w:t>=</w:t>
      </w:r>
      <w:r w:rsidR="00FC2214" w:rsidRPr="00863CE7">
        <w:rPr>
          <w:sz w:val="18"/>
          <w:szCs w:val="18"/>
        </w:rPr>
        <w:tab/>
      </w:r>
      <w:r>
        <w:rPr>
          <w:sz w:val="18"/>
          <w:szCs w:val="18"/>
        </w:rPr>
        <w:t>micrograms per liter</w:t>
      </w:r>
    </w:p>
    <w:p w14:paraId="36477D1C" w14:textId="539584BF" w:rsidR="004944A4" w:rsidRPr="00863CE7" w:rsidRDefault="004944A4" w:rsidP="00A94E6D">
      <w:pPr>
        <w:tabs>
          <w:tab w:val="left" w:pos="0"/>
          <w:tab w:val="left" w:pos="720"/>
        </w:tabs>
        <w:ind w:left="540" w:hanging="810"/>
        <w:rPr>
          <w:sz w:val="18"/>
          <w:szCs w:val="18"/>
        </w:rPr>
      </w:pPr>
      <w:r>
        <w:rPr>
          <w:sz w:val="18"/>
          <w:szCs w:val="18"/>
        </w:rPr>
        <w:t>MGD</w:t>
      </w:r>
      <w:r w:rsidRPr="00863CE7">
        <w:rPr>
          <w:sz w:val="18"/>
          <w:szCs w:val="18"/>
        </w:rPr>
        <w:tab/>
        <w:t>=</w:t>
      </w:r>
      <w:r w:rsidRPr="00863CE7">
        <w:rPr>
          <w:sz w:val="18"/>
          <w:szCs w:val="18"/>
        </w:rPr>
        <w:tab/>
      </w:r>
      <w:r>
        <w:rPr>
          <w:sz w:val="18"/>
          <w:szCs w:val="18"/>
        </w:rPr>
        <w:t>million gallons per day</w:t>
      </w:r>
    </w:p>
    <w:p w14:paraId="32E93D6D" w14:textId="77777777" w:rsidR="000D49BF" w:rsidRPr="00863CE7" w:rsidRDefault="000D49BF" w:rsidP="00A94E6D">
      <w:pPr>
        <w:tabs>
          <w:tab w:val="left" w:pos="0"/>
          <w:tab w:val="left" w:pos="720"/>
        </w:tabs>
        <w:spacing w:before="60" w:after="60"/>
        <w:ind w:left="540" w:hanging="810"/>
        <w:rPr>
          <w:iCs/>
          <w:sz w:val="18"/>
          <w:szCs w:val="18"/>
          <w:u w:val="single"/>
        </w:rPr>
      </w:pPr>
      <w:r w:rsidRPr="00863CE7">
        <w:rPr>
          <w:iCs/>
          <w:sz w:val="18"/>
          <w:szCs w:val="18"/>
          <w:u w:val="single"/>
        </w:rPr>
        <w:t>Sampl</w:t>
      </w:r>
      <w:r w:rsidR="003508B5" w:rsidRPr="00863CE7">
        <w:rPr>
          <w:iCs/>
          <w:sz w:val="18"/>
          <w:szCs w:val="18"/>
          <w:u w:val="single"/>
        </w:rPr>
        <w:t>ing</w:t>
      </w:r>
      <w:r w:rsidRPr="00863CE7">
        <w:rPr>
          <w:iCs/>
          <w:sz w:val="18"/>
          <w:szCs w:val="18"/>
          <w:u w:val="single"/>
        </w:rPr>
        <w:t xml:space="preserve"> Type</w:t>
      </w:r>
      <w:r w:rsidR="003508B5" w:rsidRPr="00863CE7">
        <w:rPr>
          <w:iCs/>
          <w:sz w:val="18"/>
          <w:szCs w:val="18"/>
          <w:u w:val="single"/>
        </w:rPr>
        <w:t>s and Frequencies:</w:t>
      </w:r>
    </w:p>
    <w:p w14:paraId="38E647BA" w14:textId="6C61EB5E" w:rsidR="000D49BF" w:rsidRDefault="000D49BF" w:rsidP="00A94E6D">
      <w:pPr>
        <w:tabs>
          <w:tab w:val="left" w:pos="0"/>
          <w:tab w:val="left" w:pos="720"/>
        </w:tabs>
        <w:ind w:left="540" w:hanging="810"/>
        <w:rPr>
          <w:rFonts w:cs="Arial"/>
          <w:spacing w:val="-3"/>
          <w:sz w:val="18"/>
          <w:szCs w:val="18"/>
        </w:rPr>
      </w:pPr>
      <w:r w:rsidRPr="00863CE7">
        <w:rPr>
          <w:rFonts w:cs="Arial"/>
          <w:spacing w:val="-3"/>
          <w:sz w:val="18"/>
          <w:szCs w:val="18"/>
        </w:rPr>
        <w:t>C-24</w:t>
      </w:r>
      <w:r w:rsidRPr="00863CE7">
        <w:rPr>
          <w:rFonts w:cs="Arial"/>
          <w:spacing w:val="-3"/>
          <w:sz w:val="18"/>
          <w:szCs w:val="18"/>
        </w:rPr>
        <w:tab/>
        <w:t>=</w:t>
      </w:r>
      <w:r w:rsidRPr="00863CE7">
        <w:rPr>
          <w:rFonts w:cs="Arial"/>
          <w:spacing w:val="-3"/>
          <w:sz w:val="18"/>
          <w:szCs w:val="18"/>
        </w:rPr>
        <w:tab/>
        <w:t xml:space="preserve">24-hour Composite </w:t>
      </w:r>
    </w:p>
    <w:p w14:paraId="1B632D75" w14:textId="3E406CEA" w:rsidR="004944A4" w:rsidRPr="00863CE7" w:rsidRDefault="004944A4" w:rsidP="00A94E6D">
      <w:pPr>
        <w:tabs>
          <w:tab w:val="left" w:pos="0"/>
          <w:tab w:val="left" w:pos="720"/>
        </w:tabs>
        <w:ind w:left="540" w:hanging="810"/>
        <w:rPr>
          <w:rFonts w:cs="Arial"/>
          <w:spacing w:val="-3"/>
          <w:sz w:val="18"/>
          <w:szCs w:val="18"/>
        </w:rPr>
      </w:pPr>
      <w:r>
        <w:rPr>
          <w:rFonts w:cs="Arial"/>
          <w:spacing w:val="-3"/>
          <w:sz w:val="18"/>
          <w:szCs w:val="18"/>
        </w:rPr>
        <w:t>Grab</w:t>
      </w:r>
      <w:r w:rsidRPr="00863CE7">
        <w:rPr>
          <w:rFonts w:cs="Arial"/>
          <w:spacing w:val="-3"/>
          <w:sz w:val="18"/>
          <w:szCs w:val="18"/>
        </w:rPr>
        <w:tab/>
        <w:t>=</w:t>
      </w:r>
      <w:r w:rsidRPr="00863CE7">
        <w:rPr>
          <w:rFonts w:cs="Arial"/>
          <w:spacing w:val="-3"/>
          <w:sz w:val="18"/>
          <w:szCs w:val="18"/>
        </w:rPr>
        <w:tab/>
      </w:r>
      <w:r>
        <w:rPr>
          <w:rFonts w:cs="Arial"/>
          <w:spacing w:val="-3"/>
          <w:sz w:val="18"/>
          <w:szCs w:val="18"/>
        </w:rPr>
        <w:t>grab sample</w:t>
      </w:r>
      <w:r w:rsidRPr="00863CE7">
        <w:rPr>
          <w:rFonts w:cs="Arial"/>
          <w:spacing w:val="-3"/>
          <w:sz w:val="18"/>
          <w:szCs w:val="18"/>
        </w:rPr>
        <w:t xml:space="preserve"> </w:t>
      </w:r>
    </w:p>
    <w:p w14:paraId="3FD70423" w14:textId="40240BF4" w:rsidR="004944A4" w:rsidRPr="00863CE7" w:rsidRDefault="004944A4" w:rsidP="00A94E6D">
      <w:pPr>
        <w:tabs>
          <w:tab w:val="left" w:pos="0"/>
          <w:tab w:val="left" w:pos="720"/>
        </w:tabs>
        <w:ind w:left="540" w:hanging="810"/>
        <w:rPr>
          <w:rFonts w:cs="Arial"/>
          <w:spacing w:val="-3"/>
          <w:sz w:val="18"/>
          <w:szCs w:val="18"/>
        </w:rPr>
      </w:pPr>
      <w:r>
        <w:rPr>
          <w:rFonts w:cs="Arial"/>
          <w:spacing w:val="-3"/>
          <w:sz w:val="18"/>
          <w:szCs w:val="18"/>
        </w:rPr>
        <w:t>1/Month</w:t>
      </w:r>
      <w:r w:rsidRPr="00863CE7">
        <w:rPr>
          <w:rFonts w:cs="Arial"/>
          <w:spacing w:val="-3"/>
          <w:sz w:val="18"/>
          <w:szCs w:val="18"/>
        </w:rPr>
        <w:tab/>
        <w:t>=</w:t>
      </w:r>
      <w:r w:rsidRPr="00863CE7">
        <w:rPr>
          <w:rFonts w:cs="Arial"/>
          <w:spacing w:val="-3"/>
          <w:sz w:val="18"/>
          <w:szCs w:val="18"/>
        </w:rPr>
        <w:tab/>
      </w:r>
      <w:r>
        <w:rPr>
          <w:rFonts w:cs="Arial"/>
          <w:spacing w:val="-3"/>
          <w:sz w:val="18"/>
          <w:szCs w:val="18"/>
        </w:rPr>
        <w:t>once per month</w:t>
      </w:r>
    </w:p>
    <w:p w14:paraId="694203FD" w14:textId="77777777" w:rsidR="00332C4C" w:rsidRPr="00863CE7" w:rsidRDefault="00332C4C" w:rsidP="00A94E6D">
      <w:pPr>
        <w:tabs>
          <w:tab w:val="left" w:pos="0"/>
          <w:tab w:val="left" w:pos="720"/>
        </w:tabs>
        <w:ind w:left="540" w:hanging="810"/>
        <w:rPr>
          <w:rFonts w:cs="Arial"/>
          <w:spacing w:val="-3"/>
          <w:sz w:val="18"/>
          <w:szCs w:val="18"/>
        </w:rPr>
      </w:pPr>
      <w:r>
        <w:rPr>
          <w:rFonts w:cs="Arial"/>
          <w:spacing w:val="-3"/>
          <w:sz w:val="18"/>
          <w:szCs w:val="18"/>
        </w:rPr>
        <w:t>1/Quarter</w:t>
      </w:r>
      <w:r w:rsidRPr="00863CE7">
        <w:rPr>
          <w:rFonts w:cs="Arial"/>
          <w:spacing w:val="-3"/>
          <w:sz w:val="18"/>
          <w:szCs w:val="18"/>
        </w:rPr>
        <w:tab/>
        <w:t>=</w:t>
      </w:r>
      <w:r w:rsidRPr="00863CE7">
        <w:rPr>
          <w:rFonts w:cs="Arial"/>
          <w:spacing w:val="-3"/>
          <w:sz w:val="18"/>
          <w:szCs w:val="18"/>
        </w:rPr>
        <w:tab/>
      </w:r>
      <w:r>
        <w:rPr>
          <w:rFonts w:cs="Arial"/>
          <w:spacing w:val="-3"/>
          <w:sz w:val="18"/>
          <w:szCs w:val="18"/>
        </w:rPr>
        <w:t>once per quarter</w:t>
      </w:r>
    </w:p>
    <w:p w14:paraId="02170160" w14:textId="33FB8D76" w:rsidR="00332C4C" w:rsidRPr="00863CE7" w:rsidRDefault="00332C4C" w:rsidP="00A94E6D">
      <w:pPr>
        <w:tabs>
          <w:tab w:val="left" w:pos="0"/>
          <w:tab w:val="left" w:pos="720"/>
        </w:tabs>
        <w:ind w:left="540" w:hanging="810"/>
        <w:rPr>
          <w:rFonts w:cs="Arial"/>
          <w:spacing w:val="-3"/>
          <w:sz w:val="18"/>
          <w:szCs w:val="18"/>
        </w:rPr>
      </w:pPr>
      <w:r>
        <w:rPr>
          <w:rFonts w:cs="Arial"/>
          <w:spacing w:val="-3"/>
          <w:sz w:val="18"/>
          <w:szCs w:val="18"/>
        </w:rPr>
        <w:t>2/Year</w:t>
      </w:r>
      <w:r w:rsidRPr="00863CE7">
        <w:rPr>
          <w:rFonts w:cs="Arial"/>
          <w:spacing w:val="-3"/>
          <w:sz w:val="18"/>
          <w:szCs w:val="18"/>
        </w:rPr>
        <w:tab/>
        <w:t>=</w:t>
      </w:r>
      <w:r w:rsidRPr="00863CE7">
        <w:rPr>
          <w:rFonts w:cs="Arial"/>
          <w:spacing w:val="-3"/>
          <w:sz w:val="18"/>
          <w:szCs w:val="18"/>
        </w:rPr>
        <w:tab/>
      </w:r>
      <w:r>
        <w:rPr>
          <w:rFonts w:cs="Arial"/>
          <w:spacing w:val="-3"/>
          <w:sz w:val="18"/>
          <w:szCs w:val="18"/>
        </w:rPr>
        <w:t>twice per year</w:t>
      </w:r>
    </w:p>
    <w:p w14:paraId="32A08532" w14:textId="105FC8F3" w:rsidR="00332C4C" w:rsidRPr="00863CE7" w:rsidRDefault="00332C4C" w:rsidP="00A94E6D">
      <w:pPr>
        <w:tabs>
          <w:tab w:val="left" w:pos="0"/>
          <w:tab w:val="left" w:pos="720"/>
        </w:tabs>
        <w:ind w:left="540" w:hanging="810"/>
        <w:rPr>
          <w:rFonts w:cs="Arial"/>
          <w:spacing w:val="-3"/>
          <w:sz w:val="18"/>
          <w:szCs w:val="18"/>
        </w:rPr>
      </w:pPr>
      <w:r>
        <w:rPr>
          <w:rFonts w:cs="Arial"/>
          <w:spacing w:val="-3"/>
          <w:sz w:val="18"/>
          <w:szCs w:val="18"/>
        </w:rPr>
        <w:t>1/Year</w:t>
      </w:r>
      <w:r w:rsidRPr="00863CE7">
        <w:rPr>
          <w:rFonts w:cs="Arial"/>
          <w:spacing w:val="-3"/>
          <w:sz w:val="18"/>
          <w:szCs w:val="18"/>
        </w:rPr>
        <w:tab/>
        <w:t>=</w:t>
      </w:r>
      <w:r w:rsidRPr="00863CE7">
        <w:rPr>
          <w:rFonts w:cs="Arial"/>
          <w:spacing w:val="-3"/>
          <w:sz w:val="18"/>
          <w:szCs w:val="18"/>
        </w:rPr>
        <w:tab/>
      </w:r>
      <w:r>
        <w:rPr>
          <w:rFonts w:cs="Arial"/>
          <w:spacing w:val="-3"/>
          <w:sz w:val="18"/>
          <w:szCs w:val="18"/>
        </w:rPr>
        <w:t>once per year</w:t>
      </w:r>
    </w:p>
    <w:p w14:paraId="77112891" w14:textId="77777777" w:rsidR="000D49BF" w:rsidRDefault="000D49BF" w:rsidP="006456D2">
      <w:pPr>
        <w:keepNext/>
        <w:tabs>
          <w:tab w:val="left" w:pos="360"/>
          <w:tab w:val="left" w:pos="720"/>
        </w:tabs>
        <w:spacing w:before="60" w:after="60"/>
        <w:ind w:hanging="270"/>
        <w:rPr>
          <w:iCs/>
          <w:sz w:val="18"/>
          <w:szCs w:val="18"/>
          <w:u w:val="single"/>
        </w:rPr>
      </w:pPr>
      <w:r w:rsidRPr="00863CE7">
        <w:rPr>
          <w:iCs/>
          <w:sz w:val="18"/>
          <w:szCs w:val="18"/>
          <w:u w:val="single"/>
        </w:rPr>
        <w:t>Footnotes:</w:t>
      </w:r>
    </w:p>
    <w:p w14:paraId="684E3A7C" w14:textId="20F5C7C6" w:rsidR="00E5539F" w:rsidRDefault="00E5539F" w:rsidP="006456D2">
      <w:pPr>
        <w:pStyle w:val="TableFootnotes"/>
        <w:tabs>
          <w:tab w:val="left" w:pos="360"/>
        </w:tabs>
        <w:spacing w:after="0"/>
        <w:ind w:hanging="270"/>
        <w:rPr>
          <w:rFonts w:ascii="Times New Roman" w:hAnsi="Times New Roman" w:cs="Times New Roman"/>
          <w:szCs w:val="22"/>
        </w:rPr>
      </w:pPr>
      <w:r w:rsidRPr="00643973">
        <w:rPr>
          <w:rFonts w:ascii="Times New Roman" w:hAnsi="Times New Roman" w:cs="Times New Roman"/>
          <w:vertAlign w:val="superscript"/>
        </w:rPr>
        <w:t>[</w:t>
      </w:r>
      <w:r>
        <w:rPr>
          <w:rFonts w:ascii="Times New Roman" w:hAnsi="Times New Roman" w:cs="Times New Roman"/>
          <w:vertAlign w:val="superscript"/>
        </w:rPr>
        <w:t>1</w:t>
      </w:r>
      <w:r w:rsidRPr="00643973">
        <w:rPr>
          <w:rFonts w:ascii="Times New Roman" w:hAnsi="Times New Roman" w:cs="Times New Roman"/>
          <w:vertAlign w:val="superscript"/>
        </w:rPr>
        <w:t>]</w:t>
      </w:r>
      <w:r w:rsidRPr="00643973">
        <w:rPr>
          <w:rFonts w:ascii="Times New Roman" w:hAnsi="Times New Roman" w:cs="Times New Roman"/>
        </w:rPr>
        <w:tab/>
      </w:r>
      <w:r w:rsidR="00353A98" w:rsidRPr="00353A98">
        <w:rPr>
          <w:rFonts w:ascii="Times New Roman" w:hAnsi="Times New Roman" w:cs="Times New Roman"/>
          <w:szCs w:val="22"/>
        </w:rPr>
        <w:t xml:space="preserve">24-hour composites may be made up of discrete grab samples collected over a 24-hour period, or may be collected using automatic compositing equipment. If using compositing equipment, the Discharger shall implement all feasible ultra clean techniques to reduce sample contamination (such as </w:t>
      </w:r>
      <w:r w:rsidR="00CD3DCF">
        <w:rPr>
          <w:rFonts w:ascii="Times New Roman" w:hAnsi="Times New Roman" w:cs="Times New Roman"/>
          <w:szCs w:val="22"/>
        </w:rPr>
        <w:t>using</w:t>
      </w:r>
      <w:r w:rsidR="00353A98" w:rsidRPr="00353A98">
        <w:rPr>
          <w:rFonts w:ascii="Times New Roman" w:hAnsi="Times New Roman" w:cs="Times New Roman"/>
          <w:szCs w:val="22"/>
        </w:rPr>
        <w:t xml:space="preserve"> ultra clean Teflon tubing).</w:t>
      </w:r>
    </w:p>
    <w:p w14:paraId="507300D7" w14:textId="77777777" w:rsidR="00E075D4" w:rsidRDefault="00E075D4" w:rsidP="00E075D4">
      <w:pPr>
        <w:pStyle w:val="TableFootnotes"/>
        <w:tabs>
          <w:tab w:val="left" w:pos="360"/>
        </w:tabs>
        <w:spacing w:after="0"/>
        <w:ind w:hanging="270"/>
        <w:rPr>
          <w:rFonts w:ascii="Times New Roman" w:hAnsi="Times New Roman" w:cs="Times New Roman"/>
          <w:szCs w:val="22"/>
        </w:rPr>
      </w:pPr>
      <w:r w:rsidRPr="00643973">
        <w:rPr>
          <w:rFonts w:ascii="Times New Roman" w:hAnsi="Times New Roman" w:cs="Times New Roman"/>
          <w:vertAlign w:val="superscript"/>
        </w:rPr>
        <w:t>[</w:t>
      </w:r>
      <w:r>
        <w:rPr>
          <w:rFonts w:ascii="Times New Roman" w:hAnsi="Times New Roman" w:cs="Times New Roman"/>
          <w:vertAlign w:val="superscript"/>
        </w:rPr>
        <w:t>2</w:t>
      </w:r>
      <w:r w:rsidRPr="00643973">
        <w:rPr>
          <w:rFonts w:ascii="Times New Roman" w:hAnsi="Times New Roman" w:cs="Times New Roman"/>
          <w:vertAlign w:val="superscript"/>
        </w:rPr>
        <w:t>]</w:t>
      </w:r>
      <w:r w:rsidRPr="00643973">
        <w:rPr>
          <w:rFonts w:ascii="Times New Roman" w:hAnsi="Times New Roman" w:cs="Times New Roman"/>
        </w:rPr>
        <w:tab/>
      </w:r>
      <w:r>
        <w:rPr>
          <w:rFonts w:ascii="Times New Roman" w:hAnsi="Times New Roman" w:cs="Times New Roman"/>
          <w:szCs w:val="22"/>
        </w:rPr>
        <w:t>Intermittent or seasonal D</w:t>
      </w:r>
      <w:r w:rsidRPr="00CD3DCF">
        <w:rPr>
          <w:rFonts w:ascii="Times New Roman" w:hAnsi="Times New Roman" w:cs="Times New Roman"/>
          <w:szCs w:val="22"/>
        </w:rPr>
        <w:t>ischargers shall collect samples during those months for which a discharge occurs.</w:t>
      </w:r>
    </w:p>
    <w:p w14:paraId="09AB1DD8" w14:textId="250F3088" w:rsidR="00E8098F" w:rsidRPr="00E075D4" w:rsidRDefault="00E8098F" w:rsidP="00E8098F">
      <w:pPr>
        <w:pStyle w:val="TableFootnotes"/>
        <w:tabs>
          <w:tab w:val="left" w:pos="360"/>
        </w:tabs>
        <w:spacing w:after="0"/>
        <w:ind w:hanging="270"/>
        <w:rPr>
          <w:rFonts w:ascii="Times New Roman" w:hAnsi="Times New Roman" w:cs="Times New Roman"/>
          <w:szCs w:val="22"/>
        </w:rPr>
      </w:pPr>
      <w:r w:rsidRPr="00643973">
        <w:rPr>
          <w:rFonts w:ascii="Times New Roman" w:hAnsi="Times New Roman" w:cs="Times New Roman"/>
          <w:vertAlign w:val="superscript"/>
        </w:rPr>
        <w:t>[</w:t>
      </w:r>
      <w:r w:rsidR="00A721B6">
        <w:rPr>
          <w:rFonts w:ascii="Times New Roman" w:hAnsi="Times New Roman" w:cs="Times New Roman"/>
          <w:vertAlign w:val="superscript"/>
        </w:rPr>
        <w:t>3</w:t>
      </w:r>
      <w:r w:rsidRPr="00643973">
        <w:rPr>
          <w:rFonts w:ascii="Times New Roman" w:hAnsi="Times New Roman" w:cs="Times New Roman"/>
          <w:vertAlign w:val="superscript"/>
        </w:rPr>
        <w:t>]</w:t>
      </w:r>
      <w:r w:rsidRPr="00643973">
        <w:rPr>
          <w:rFonts w:ascii="Times New Roman" w:hAnsi="Times New Roman" w:cs="Times New Roman"/>
        </w:rPr>
        <w:tab/>
      </w:r>
      <w:r w:rsidRPr="00E075D4">
        <w:rPr>
          <w:rFonts w:ascii="Times New Roman" w:hAnsi="Times New Roman" w:cs="Times New Roman"/>
          <w:szCs w:val="22"/>
        </w:rPr>
        <w:t>The Dischargers shall use ultra-clean sampling (</w:t>
      </w:r>
      <w:r w:rsidR="00EE0813">
        <w:rPr>
          <w:rFonts w:ascii="Times New Roman" w:hAnsi="Times New Roman" w:cs="Times New Roman"/>
          <w:szCs w:val="22"/>
        </w:rPr>
        <w:t>U.S. EPA</w:t>
      </w:r>
      <w:r w:rsidRPr="00E075D4">
        <w:rPr>
          <w:rFonts w:ascii="Times New Roman" w:hAnsi="Times New Roman" w:cs="Times New Roman"/>
          <w:szCs w:val="22"/>
        </w:rPr>
        <w:t xml:space="preserve"> Method 1669) and ultra-clean analytical methods (</w:t>
      </w:r>
      <w:r w:rsidR="00EE0813">
        <w:rPr>
          <w:rFonts w:ascii="Times New Roman" w:hAnsi="Times New Roman" w:cs="Times New Roman"/>
          <w:szCs w:val="22"/>
        </w:rPr>
        <w:t>U.S. EPA</w:t>
      </w:r>
      <w:r w:rsidRPr="00E075D4">
        <w:rPr>
          <w:rFonts w:ascii="Times New Roman" w:hAnsi="Times New Roman" w:cs="Times New Roman"/>
          <w:szCs w:val="22"/>
        </w:rPr>
        <w:t xml:space="preserve"> Method 1631) for total mercury monitoring.</w:t>
      </w:r>
      <w:r>
        <w:rPr>
          <w:rFonts w:ascii="Times New Roman" w:hAnsi="Times New Roman" w:cs="Times New Roman"/>
          <w:szCs w:val="22"/>
        </w:rPr>
        <w:t xml:space="preserve"> </w:t>
      </w:r>
    </w:p>
    <w:p w14:paraId="530E575A" w14:textId="53A55AC4" w:rsidR="00D1422A" w:rsidRPr="00E075D4" w:rsidRDefault="00D1422A" w:rsidP="00D1422A">
      <w:pPr>
        <w:pStyle w:val="TableFootnotes"/>
        <w:tabs>
          <w:tab w:val="left" w:pos="360"/>
        </w:tabs>
        <w:spacing w:after="0"/>
        <w:ind w:hanging="270"/>
        <w:rPr>
          <w:rFonts w:ascii="Times New Roman" w:hAnsi="Times New Roman" w:cs="Times New Roman"/>
          <w:szCs w:val="22"/>
        </w:rPr>
      </w:pPr>
      <w:r w:rsidRPr="00643973">
        <w:rPr>
          <w:rFonts w:ascii="Times New Roman" w:hAnsi="Times New Roman" w:cs="Times New Roman"/>
          <w:vertAlign w:val="superscript"/>
        </w:rPr>
        <w:lastRenderedPageBreak/>
        <w:t>[</w:t>
      </w:r>
      <w:r w:rsidR="00A721B6">
        <w:rPr>
          <w:rFonts w:ascii="Times New Roman" w:hAnsi="Times New Roman" w:cs="Times New Roman"/>
          <w:vertAlign w:val="superscript"/>
        </w:rPr>
        <w:t>4</w:t>
      </w:r>
      <w:r w:rsidRPr="00643973">
        <w:rPr>
          <w:rFonts w:ascii="Times New Roman" w:hAnsi="Times New Roman" w:cs="Times New Roman"/>
          <w:vertAlign w:val="superscript"/>
        </w:rPr>
        <w:t>]</w:t>
      </w:r>
      <w:r w:rsidRPr="00643973">
        <w:rPr>
          <w:rFonts w:ascii="Times New Roman" w:hAnsi="Times New Roman" w:cs="Times New Roman"/>
        </w:rPr>
        <w:tab/>
      </w:r>
      <w:r w:rsidRPr="00D1422A">
        <w:rPr>
          <w:rFonts w:ascii="Times New Roman" w:hAnsi="Times New Roman" w:cs="Times New Roman"/>
          <w:szCs w:val="22"/>
        </w:rPr>
        <w:t xml:space="preserve">If allowed in the Pretreatment and Biosolids Monitoring Requirements of the Dischargers’ individual NPDES permits, grab samples </w:t>
      </w:r>
      <w:r w:rsidR="00D97125">
        <w:rPr>
          <w:rFonts w:ascii="Times New Roman" w:hAnsi="Times New Roman" w:cs="Times New Roman"/>
          <w:szCs w:val="22"/>
        </w:rPr>
        <w:t xml:space="preserve">may </w:t>
      </w:r>
      <w:r w:rsidRPr="00D1422A">
        <w:rPr>
          <w:rFonts w:ascii="Times New Roman" w:hAnsi="Times New Roman" w:cs="Times New Roman"/>
          <w:szCs w:val="22"/>
        </w:rPr>
        <w:t>be collected coincident with composite samples collected for the analysis of other regulated parameters.</w:t>
      </w:r>
    </w:p>
    <w:p w14:paraId="49B6D07F" w14:textId="59AAADE5" w:rsidR="00D1422A" w:rsidRPr="00E075D4" w:rsidRDefault="00D1422A" w:rsidP="00D1422A">
      <w:pPr>
        <w:pStyle w:val="TableFootnotes"/>
        <w:tabs>
          <w:tab w:val="left" w:pos="360"/>
        </w:tabs>
        <w:spacing w:after="0"/>
        <w:ind w:hanging="270"/>
        <w:rPr>
          <w:rFonts w:ascii="Times New Roman" w:hAnsi="Times New Roman" w:cs="Times New Roman"/>
          <w:szCs w:val="22"/>
        </w:rPr>
      </w:pPr>
      <w:r w:rsidRPr="00643973">
        <w:rPr>
          <w:rFonts w:ascii="Times New Roman" w:hAnsi="Times New Roman" w:cs="Times New Roman"/>
          <w:vertAlign w:val="superscript"/>
        </w:rPr>
        <w:t>[</w:t>
      </w:r>
      <w:r w:rsidR="00A721B6">
        <w:rPr>
          <w:rFonts w:ascii="Times New Roman" w:hAnsi="Times New Roman" w:cs="Times New Roman"/>
          <w:vertAlign w:val="superscript"/>
        </w:rPr>
        <w:t>5</w:t>
      </w:r>
      <w:r w:rsidRPr="00643973">
        <w:rPr>
          <w:rFonts w:ascii="Times New Roman" w:hAnsi="Times New Roman" w:cs="Times New Roman"/>
          <w:vertAlign w:val="superscript"/>
        </w:rPr>
        <w:t>]</w:t>
      </w:r>
      <w:r w:rsidRPr="00643973">
        <w:rPr>
          <w:rFonts w:ascii="Times New Roman" w:hAnsi="Times New Roman" w:cs="Times New Roman"/>
        </w:rPr>
        <w:tab/>
      </w:r>
      <w:r w:rsidRPr="00D1422A">
        <w:rPr>
          <w:rFonts w:ascii="Times New Roman" w:hAnsi="Times New Roman" w:cs="Times New Roman"/>
          <w:szCs w:val="22"/>
        </w:rPr>
        <w:t xml:space="preserve">Dischargers shall use </w:t>
      </w:r>
      <w:r w:rsidR="00EE0813">
        <w:rPr>
          <w:rFonts w:ascii="Times New Roman" w:hAnsi="Times New Roman" w:cs="Times New Roman"/>
          <w:szCs w:val="22"/>
        </w:rPr>
        <w:t>U.S. EPA</w:t>
      </w:r>
      <w:r w:rsidRPr="00D1422A">
        <w:rPr>
          <w:rFonts w:ascii="Times New Roman" w:hAnsi="Times New Roman" w:cs="Times New Roman"/>
          <w:szCs w:val="22"/>
        </w:rPr>
        <w:t xml:space="preserve"> Method 608 for </w:t>
      </w:r>
      <w:r>
        <w:rPr>
          <w:rFonts w:ascii="Times New Roman" w:hAnsi="Times New Roman" w:cs="Times New Roman"/>
          <w:szCs w:val="22"/>
        </w:rPr>
        <w:t>Aroclor</w:t>
      </w:r>
      <w:r w:rsidRPr="00D1422A">
        <w:rPr>
          <w:rFonts w:ascii="Times New Roman" w:hAnsi="Times New Roman" w:cs="Times New Roman"/>
          <w:szCs w:val="22"/>
        </w:rPr>
        <w:t xml:space="preserve"> monitoring. These data will be used for assessing compli</w:t>
      </w:r>
      <w:r w:rsidR="00447FC5">
        <w:rPr>
          <w:rFonts w:ascii="Times New Roman" w:hAnsi="Times New Roman" w:cs="Times New Roman"/>
          <w:szCs w:val="22"/>
        </w:rPr>
        <w:t>ance with the limits in Tables 4B and 5</w:t>
      </w:r>
      <w:r w:rsidRPr="00D1422A">
        <w:rPr>
          <w:rFonts w:ascii="Times New Roman" w:hAnsi="Times New Roman" w:cs="Times New Roman"/>
          <w:szCs w:val="22"/>
        </w:rPr>
        <w:t>B. Non-detected and/or estimated values shall be treated as zeros in the calculation of Total PCBs.</w:t>
      </w:r>
    </w:p>
    <w:p w14:paraId="001BB7A0" w14:textId="7DD49E1F" w:rsidR="00D1422A" w:rsidRDefault="00D1422A" w:rsidP="00447FC5">
      <w:pPr>
        <w:pStyle w:val="TableFootnotes"/>
        <w:tabs>
          <w:tab w:val="left" w:pos="360"/>
        </w:tabs>
        <w:spacing w:after="0"/>
        <w:ind w:hanging="270"/>
        <w:rPr>
          <w:rFonts w:ascii="Times New Roman" w:hAnsi="Times New Roman" w:cs="Times New Roman"/>
          <w:szCs w:val="22"/>
        </w:rPr>
      </w:pPr>
      <w:r w:rsidRPr="00643973">
        <w:rPr>
          <w:rFonts w:ascii="Times New Roman" w:hAnsi="Times New Roman" w:cs="Times New Roman"/>
          <w:vertAlign w:val="superscript"/>
        </w:rPr>
        <w:t>[</w:t>
      </w:r>
      <w:r w:rsidR="00A721B6">
        <w:rPr>
          <w:rFonts w:ascii="Times New Roman" w:hAnsi="Times New Roman" w:cs="Times New Roman"/>
          <w:vertAlign w:val="superscript"/>
        </w:rPr>
        <w:t>6</w:t>
      </w:r>
      <w:r w:rsidRPr="00643973">
        <w:rPr>
          <w:rFonts w:ascii="Times New Roman" w:hAnsi="Times New Roman" w:cs="Times New Roman"/>
          <w:vertAlign w:val="superscript"/>
        </w:rPr>
        <w:t>]</w:t>
      </w:r>
      <w:r w:rsidRPr="00643973">
        <w:rPr>
          <w:rFonts w:ascii="Times New Roman" w:hAnsi="Times New Roman" w:cs="Times New Roman"/>
        </w:rPr>
        <w:tab/>
      </w:r>
      <w:r w:rsidR="00447FC5">
        <w:rPr>
          <w:rFonts w:ascii="Times New Roman" w:hAnsi="Times New Roman" w:cs="Times New Roman"/>
          <w:szCs w:val="22"/>
        </w:rPr>
        <w:t>PCBs congener</w:t>
      </w:r>
      <w:r w:rsidR="008A393D">
        <w:rPr>
          <w:rFonts w:ascii="Times New Roman" w:hAnsi="Times New Roman" w:cs="Times New Roman"/>
          <w:szCs w:val="22"/>
        </w:rPr>
        <w:t>s</w:t>
      </w:r>
      <w:r w:rsidR="00447FC5" w:rsidRPr="00447FC5">
        <w:rPr>
          <w:rFonts w:ascii="Times New Roman" w:hAnsi="Times New Roman" w:cs="Times New Roman"/>
          <w:szCs w:val="22"/>
        </w:rPr>
        <w:t xml:space="preserve"> monitoring is for informational purposes. Dischargers shall</w:t>
      </w:r>
      <w:r w:rsidR="00802F4B">
        <w:rPr>
          <w:rFonts w:ascii="Times New Roman" w:hAnsi="Times New Roman" w:cs="Times New Roman"/>
          <w:szCs w:val="22"/>
        </w:rPr>
        <w:t xml:space="preserve"> use </w:t>
      </w:r>
      <w:r w:rsidR="00EE0813">
        <w:rPr>
          <w:rFonts w:ascii="Times New Roman" w:hAnsi="Times New Roman" w:cs="Times New Roman"/>
          <w:szCs w:val="22"/>
        </w:rPr>
        <w:t>U.S. EPA</w:t>
      </w:r>
      <w:r w:rsidR="00802F4B">
        <w:rPr>
          <w:rFonts w:ascii="Times New Roman" w:hAnsi="Times New Roman" w:cs="Times New Roman"/>
          <w:szCs w:val="22"/>
        </w:rPr>
        <w:t xml:space="preserve"> Proposed Method 1668C</w:t>
      </w:r>
      <w:r w:rsidR="00447FC5" w:rsidRPr="00447FC5">
        <w:rPr>
          <w:rFonts w:ascii="Times New Roman" w:hAnsi="Times New Roman" w:cs="Times New Roman"/>
          <w:szCs w:val="22"/>
        </w:rPr>
        <w:t xml:space="preserve"> and report the results for each of the 40 congeners that contribute to the Bay’s impairment and congeners that co-elute with the 40 congeners (see Table F-14). For congeners that co-elute with the 40 congeners, Dischargers shall report the sum of these co-eluting congeners. A summation for total PCBs is not required.</w:t>
      </w:r>
    </w:p>
    <w:p w14:paraId="77F133CE" w14:textId="6D2BF74A" w:rsidR="008C283B" w:rsidRDefault="00447FC5" w:rsidP="00A721B6">
      <w:pPr>
        <w:pStyle w:val="TableFootnotes"/>
        <w:tabs>
          <w:tab w:val="left" w:pos="360"/>
        </w:tabs>
        <w:ind w:hanging="270"/>
        <w:rPr>
          <w:rFonts w:ascii="Times New Roman" w:hAnsi="Times New Roman" w:cs="Times New Roman"/>
          <w:szCs w:val="22"/>
        </w:rPr>
      </w:pPr>
      <w:r w:rsidRPr="00643973">
        <w:rPr>
          <w:rFonts w:ascii="Times New Roman" w:hAnsi="Times New Roman" w:cs="Times New Roman"/>
          <w:vertAlign w:val="superscript"/>
        </w:rPr>
        <w:t>[</w:t>
      </w:r>
      <w:r w:rsidR="00A721B6">
        <w:rPr>
          <w:rFonts w:ascii="Times New Roman" w:hAnsi="Times New Roman" w:cs="Times New Roman"/>
          <w:vertAlign w:val="superscript"/>
        </w:rPr>
        <w:t>7</w:t>
      </w:r>
      <w:r w:rsidRPr="00643973">
        <w:rPr>
          <w:rFonts w:ascii="Times New Roman" w:hAnsi="Times New Roman" w:cs="Times New Roman"/>
          <w:vertAlign w:val="superscript"/>
        </w:rPr>
        <w:t>]</w:t>
      </w:r>
      <w:r w:rsidRPr="00643973">
        <w:rPr>
          <w:rFonts w:ascii="Times New Roman" w:hAnsi="Times New Roman" w:cs="Times New Roman"/>
        </w:rPr>
        <w:tab/>
      </w:r>
      <w:r w:rsidRPr="00447FC5">
        <w:rPr>
          <w:rFonts w:ascii="Times New Roman" w:hAnsi="Times New Roman" w:cs="Times New Roman"/>
          <w:szCs w:val="22"/>
        </w:rPr>
        <w:t xml:space="preserve">The design flows for each facility are included in </w:t>
      </w:r>
      <w:r w:rsidRPr="00885807">
        <w:rPr>
          <w:rFonts w:ascii="Times New Roman" w:hAnsi="Times New Roman" w:cs="Times New Roman"/>
          <w:szCs w:val="22"/>
        </w:rPr>
        <w:t>Tables F-1A and F-1B</w:t>
      </w:r>
      <w:r w:rsidRPr="00447FC5">
        <w:rPr>
          <w:rFonts w:ascii="Times New Roman" w:hAnsi="Times New Roman" w:cs="Times New Roman"/>
          <w:szCs w:val="22"/>
        </w:rPr>
        <w:t xml:space="preserve"> of the Fact Sheet.</w:t>
      </w:r>
      <w:bookmarkStart w:id="141" w:name="_Toc402266714"/>
      <w:bookmarkStart w:id="142" w:name="_Toc133308216"/>
      <w:bookmarkStart w:id="143" w:name="_Toc340137629"/>
      <w:bookmarkStart w:id="144" w:name="_Toc133308217"/>
      <w:bookmarkStart w:id="145" w:name="_Toc92870552"/>
      <w:bookmarkStart w:id="146" w:name="_Toc125266110"/>
      <w:bookmarkStart w:id="147" w:name="_Toc140484485"/>
    </w:p>
    <w:p w14:paraId="4ABAC499" w14:textId="52C1D686" w:rsidR="00A721B6" w:rsidRDefault="00A721B6" w:rsidP="00A721B6">
      <w:pPr>
        <w:pStyle w:val="TableFootnotes"/>
        <w:tabs>
          <w:tab w:val="left" w:pos="360"/>
        </w:tabs>
        <w:spacing w:before="0"/>
        <w:ind w:hanging="270"/>
        <w:rPr>
          <w:rFonts w:ascii="Times New Roman" w:hAnsi="Times New Roman" w:cs="Times New Roman"/>
          <w:szCs w:val="22"/>
        </w:rPr>
      </w:pPr>
      <w:r w:rsidRPr="00643973">
        <w:rPr>
          <w:rFonts w:ascii="Times New Roman" w:hAnsi="Times New Roman" w:cs="Times New Roman"/>
          <w:vertAlign w:val="superscript"/>
        </w:rPr>
        <w:t>[</w:t>
      </w:r>
      <w:r>
        <w:rPr>
          <w:rFonts w:ascii="Times New Roman" w:hAnsi="Times New Roman" w:cs="Times New Roman"/>
          <w:vertAlign w:val="superscript"/>
        </w:rPr>
        <w:t>8</w:t>
      </w:r>
      <w:r w:rsidRPr="00643973">
        <w:rPr>
          <w:rFonts w:ascii="Times New Roman" w:hAnsi="Times New Roman" w:cs="Times New Roman"/>
          <w:vertAlign w:val="superscript"/>
        </w:rPr>
        <w:t>]</w:t>
      </w:r>
      <w:r w:rsidRPr="00643973">
        <w:rPr>
          <w:rFonts w:ascii="Times New Roman" w:hAnsi="Times New Roman" w:cs="Times New Roman"/>
        </w:rPr>
        <w:tab/>
      </w:r>
      <w:r>
        <w:rPr>
          <w:rFonts w:ascii="Times New Roman" w:hAnsi="Times New Roman" w:cs="Times New Roman"/>
          <w:szCs w:val="22"/>
        </w:rPr>
        <w:t>For Sanitary District No. 5 of Marin County (Paradise Cove) and Crockett Community Services District (Port Costa), the minimum monitoring frequency for total mercury shall be annually.</w:t>
      </w:r>
    </w:p>
    <w:p w14:paraId="6A4898AB" w14:textId="531F433D" w:rsidR="0000405B" w:rsidRPr="00B25821" w:rsidRDefault="0000405B" w:rsidP="0000405B">
      <w:pPr>
        <w:pStyle w:val="TableFootnotes"/>
        <w:tabs>
          <w:tab w:val="left" w:pos="360"/>
        </w:tabs>
        <w:spacing w:before="0" w:after="0"/>
        <w:ind w:hanging="270"/>
        <w:rPr>
          <w:rFonts w:ascii="Times New Roman" w:hAnsi="Times New Roman" w:cs="Times New Roman"/>
          <w:szCs w:val="22"/>
        </w:rPr>
      </w:pPr>
      <w:r w:rsidRPr="00643973">
        <w:rPr>
          <w:rFonts w:ascii="Times New Roman" w:hAnsi="Times New Roman" w:cs="Times New Roman"/>
          <w:vertAlign w:val="superscript"/>
        </w:rPr>
        <w:t>[</w:t>
      </w:r>
      <w:r>
        <w:rPr>
          <w:rFonts w:ascii="Times New Roman" w:hAnsi="Times New Roman" w:cs="Times New Roman"/>
          <w:vertAlign w:val="superscript"/>
        </w:rPr>
        <w:t>9</w:t>
      </w:r>
      <w:r w:rsidRPr="00643973">
        <w:rPr>
          <w:rFonts w:ascii="Times New Roman" w:hAnsi="Times New Roman" w:cs="Times New Roman"/>
          <w:vertAlign w:val="superscript"/>
        </w:rPr>
        <w:t>]</w:t>
      </w:r>
      <w:r w:rsidRPr="00643973">
        <w:rPr>
          <w:rFonts w:ascii="Times New Roman" w:hAnsi="Times New Roman" w:cs="Times New Roman"/>
        </w:rPr>
        <w:tab/>
      </w:r>
      <w:r>
        <w:rPr>
          <w:rFonts w:ascii="Times New Roman" w:hAnsi="Times New Roman" w:cs="Times New Roman"/>
          <w:szCs w:val="22"/>
        </w:rPr>
        <w:t>For Sanitary District No. 5 of Marin County (Paradise Cove) and Crockett Community Services District (Port Costa), the minimum monitoring frequency for PCBs congeners shall be once in this Order’s effective term.</w:t>
      </w:r>
    </w:p>
    <w:p w14:paraId="7B5D6609" w14:textId="1E2CDA4D" w:rsidR="00AE5E4C" w:rsidRPr="00570B42" w:rsidRDefault="00B25821" w:rsidP="00B25821">
      <w:pPr>
        <w:pStyle w:val="Heading1-E"/>
        <w:tabs>
          <w:tab w:val="clear" w:pos="360"/>
          <w:tab w:val="left" w:pos="450"/>
        </w:tabs>
        <w:spacing w:before="240"/>
        <w:rPr>
          <w:rFonts w:ascii="Times New Roman" w:hAnsi="Times New Roman"/>
          <w:sz w:val="24"/>
        </w:rPr>
      </w:pPr>
      <w:bookmarkStart w:id="148" w:name="_Toc487612919"/>
      <w:r>
        <w:rPr>
          <w:rFonts w:ascii="Times New Roman" w:hAnsi="Times New Roman"/>
          <w:sz w:val="24"/>
        </w:rPr>
        <w:t>IV</w:t>
      </w:r>
      <w:r w:rsidR="00034C5C" w:rsidRPr="00570B42">
        <w:rPr>
          <w:rFonts w:ascii="Times New Roman" w:hAnsi="Times New Roman"/>
          <w:sz w:val="24"/>
        </w:rPr>
        <w:t>.</w:t>
      </w:r>
      <w:r w:rsidR="006D216D" w:rsidRPr="00570B42">
        <w:rPr>
          <w:rFonts w:ascii="Times New Roman" w:hAnsi="Times New Roman"/>
          <w:sz w:val="24"/>
        </w:rPr>
        <w:t xml:space="preserve"> </w:t>
      </w:r>
      <w:r w:rsidR="00AE5E4C" w:rsidRPr="00570B42">
        <w:rPr>
          <w:rFonts w:ascii="Times New Roman" w:hAnsi="Times New Roman"/>
          <w:sz w:val="24"/>
        </w:rPr>
        <w:t>Reporting Requirements</w:t>
      </w:r>
      <w:bookmarkEnd w:id="141"/>
      <w:bookmarkEnd w:id="148"/>
    </w:p>
    <w:p w14:paraId="49205F61" w14:textId="77777777" w:rsidR="00F878D4" w:rsidRPr="00570B42" w:rsidRDefault="00F878D4" w:rsidP="00B8682E">
      <w:pPr>
        <w:pStyle w:val="Heading2-E"/>
        <w:rPr>
          <w:rFonts w:ascii="Times New Roman" w:hAnsi="Times New Roman" w:cs="Times New Roman"/>
          <w:sz w:val="24"/>
          <w:szCs w:val="24"/>
        </w:rPr>
      </w:pPr>
      <w:bookmarkStart w:id="149" w:name="_Toc402266715"/>
      <w:bookmarkStart w:id="150" w:name="_Toc487612920"/>
      <w:r w:rsidRPr="00570B42">
        <w:rPr>
          <w:rFonts w:ascii="Times New Roman" w:hAnsi="Times New Roman" w:cs="Times New Roman"/>
          <w:sz w:val="24"/>
          <w:szCs w:val="24"/>
        </w:rPr>
        <w:t>A.</w:t>
      </w:r>
      <w:r w:rsidRPr="00570B42">
        <w:rPr>
          <w:rFonts w:ascii="Times New Roman" w:hAnsi="Times New Roman" w:cs="Times New Roman"/>
          <w:sz w:val="24"/>
          <w:szCs w:val="24"/>
        </w:rPr>
        <w:tab/>
        <w:t>General Monitoring and Reporting Requirements</w:t>
      </w:r>
      <w:bookmarkEnd w:id="142"/>
      <w:bookmarkEnd w:id="143"/>
      <w:bookmarkEnd w:id="149"/>
      <w:bookmarkEnd w:id="150"/>
    </w:p>
    <w:p w14:paraId="79F7ECAB" w14:textId="4299F555" w:rsidR="00F878D4" w:rsidRPr="00570B42" w:rsidRDefault="00F878D4">
      <w:pPr>
        <w:pStyle w:val="H-indent5025"/>
        <w:tabs>
          <w:tab w:val="clear" w:pos="1080"/>
        </w:tabs>
        <w:ind w:left="720" w:firstLine="0"/>
        <w:rPr>
          <w:rFonts w:ascii="Times New Roman" w:hAnsi="Times New Roman" w:cs="Times New Roman"/>
        </w:rPr>
      </w:pPr>
      <w:r w:rsidRPr="00570B42">
        <w:rPr>
          <w:rFonts w:ascii="Times New Roman" w:hAnsi="Times New Roman" w:cs="Times New Roman"/>
        </w:rPr>
        <w:t>The Discharger</w:t>
      </w:r>
      <w:r w:rsidR="00B25821">
        <w:rPr>
          <w:rFonts w:ascii="Times New Roman" w:hAnsi="Times New Roman" w:cs="Times New Roman"/>
        </w:rPr>
        <w:t>s</w:t>
      </w:r>
      <w:r w:rsidRPr="00570B42">
        <w:rPr>
          <w:rFonts w:ascii="Times New Roman" w:hAnsi="Times New Roman" w:cs="Times New Roman"/>
        </w:rPr>
        <w:t xml:space="preserve"> shall comply with all Standard Provisions (Attachment</w:t>
      </w:r>
      <w:r w:rsidR="003D15C3" w:rsidRPr="00570B42">
        <w:rPr>
          <w:rFonts w:ascii="Times New Roman" w:hAnsi="Times New Roman" w:cs="Times New Roman"/>
        </w:rPr>
        <w:t>s</w:t>
      </w:r>
      <w:r w:rsidRPr="00570B42">
        <w:rPr>
          <w:rFonts w:ascii="Times New Roman" w:hAnsi="Times New Roman" w:cs="Times New Roman"/>
        </w:rPr>
        <w:t xml:space="preserve"> D</w:t>
      </w:r>
      <w:r w:rsidR="003D15C3" w:rsidRPr="00570B42">
        <w:rPr>
          <w:rFonts w:ascii="Times New Roman" w:hAnsi="Times New Roman" w:cs="Times New Roman"/>
        </w:rPr>
        <w:t xml:space="preserve"> and</w:t>
      </w:r>
      <w:r w:rsidRPr="00570B42">
        <w:rPr>
          <w:rFonts w:ascii="Times New Roman" w:hAnsi="Times New Roman" w:cs="Times New Roman"/>
        </w:rPr>
        <w:t xml:space="preserve"> G</w:t>
      </w:r>
      <w:r w:rsidR="00B25821">
        <w:rPr>
          <w:rFonts w:ascii="Times New Roman" w:hAnsi="Times New Roman" w:cs="Times New Roman"/>
        </w:rPr>
        <w:t xml:space="preserve"> in the Dischargers’ individual NPDES permits</w:t>
      </w:r>
      <w:r w:rsidRPr="00570B42">
        <w:rPr>
          <w:rFonts w:ascii="Times New Roman" w:hAnsi="Times New Roman" w:cs="Times New Roman"/>
        </w:rPr>
        <w:t>) related to monitoring, reporting, and recordkeeping</w:t>
      </w:r>
      <w:r w:rsidR="00B25821">
        <w:rPr>
          <w:rFonts w:ascii="Times New Roman" w:hAnsi="Times New Roman" w:cs="Times New Roman"/>
        </w:rPr>
        <w:t>.</w:t>
      </w:r>
      <w:r w:rsidR="000A4B28">
        <w:rPr>
          <w:rFonts w:ascii="Times New Roman" w:hAnsi="Times New Roman" w:cs="Times New Roman"/>
        </w:rPr>
        <w:t xml:space="preserve"> These attachments are included in the Dischargers’ individual permits.</w:t>
      </w:r>
    </w:p>
    <w:p w14:paraId="373F538F" w14:textId="6077CFAB" w:rsidR="00F878D4" w:rsidRDefault="00845239" w:rsidP="00F009DF">
      <w:pPr>
        <w:pStyle w:val="Heading2-E"/>
        <w:numPr>
          <w:ilvl w:val="0"/>
          <w:numId w:val="30"/>
        </w:numPr>
        <w:rPr>
          <w:rFonts w:ascii="Times New Roman" w:hAnsi="Times New Roman" w:cs="Times New Roman"/>
          <w:sz w:val="24"/>
          <w:szCs w:val="24"/>
        </w:rPr>
      </w:pPr>
      <w:bookmarkStart w:id="151" w:name="_Toc340137630"/>
      <w:bookmarkStart w:id="152" w:name="_Toc402266716"/>
      <w:bookmarkStart w:id="153" w:name="_Toc487612921"/>
      <w:r>
        <w:rPr>
          <w:rFonts w:ascii="Times New Roman" w:hAnsi="Times New Roman" w:cs="Times New Roman"/>
          <w:sz w:val="24"/>
          <w:szCs w:val="24"/>
        </w:rPr>
        <w:t xml:space="preserve">Individual Reporting in </w:t>
      </w:r>
      <w:r w:rsidR="00401546" w:rsidRPr="00570B42">
        <w:rPr>
          <w:rFonts w:ascii="Times New Roman" w:hAnsi="Times New Roman" w:cs="Times New Roman"/>
          <w:sz w:val="24"/>
          <w:szCs w:val="24"/>
        </w:rPr>
        <w:t>Self-</w:t>
      </w:r>
      <w:r w:rsidR="00F878D4" w:rsidRPr="00570B42">
        <w:rPr>
          <w:rFonts w:ascii="Times New Roman" w:hAnsi="Times New Roman" w:cs="Times New Roman"/>
          <w:sz w:val="24"/>
          <w:szCs w:val="24"/>
        </w:rPr>
        <w:t>Monitoring Reports</w:t>
      </w:r>
      <w:bookmarkEnd w:id="144"/>
      <w:r w:rsidR="00F878D4" w:rsidRPr="00570B42">
        <w:rPr>
          <w:rFonts w:ascii="Times New Roman" w:hAnsi="Times New Roman" w:cs="Times New Roman"/>
          <w:sz w:val="24"/>
          <w:szCs w:val="24"/>
        </w:rPr>
        <w:t xml:space="preserve"> (SMRs)</w:t>
      </w:r>
      <w:bookmarkEnd w:id="151"/>
      <w:bookmarkEnd w:id="152"/>
      <w:bookmarkEnd w:id="153"/>
    </w:p>
    <w:p w14:paraId="11E74243" w14:textId="3634A38E" w:rsidR="00F23025" w:rsidRPr="000F0DF9" w:rsidRDefault="00F23025" w:rsidP="000F0DF9">
      <w:pPr>
        <w:pStyle w:val="Heading2-E"/>
        <w:tabs>
          <w:tab w:val="clear" w:pos="720"/>
          <w:tab w:val="left" w:pos="1080"/>
        </w:tabs>
        <w:ind w:left="1080"/>
        <w:rPr>
          <w:rFonts w:ascii="Times New Roman" w:hAnsi="Times New Roman" w:cs="Times New Roman"/>
          <w:b w:val="0"/>
          <w:sz w:val="24"/>
          <w:szCs w:val="24"/>
        </w:rPr>
      </w:pPr>
      <w:bookmarkStart w:id="154" w:name="_Toc487612922"/>
      <w:r>
        <w:rPr>
          <w:rFonts w:ascii="Times New Roman" w:hAnsi="Times New Roman" w:cs="Times New Roman"/>
          <w:sz w:val="24"/>
          <w:szCs w:val="24"/>
        </w:rPr>
        <w:t xml:space="preserve">1. </w:t>
      </w:r>
      <w:r>
        <w:rPr>
          <w:rFonts w:ascii="Times New Roman" w:hAnsi="Times New Roman" w:cs="Times New Roman"/>
          <w:sz w:val="24"/>
          <w:szCs w:val="24"/>
        </w:rPr>
        <w:tab/>
        <w:t xml:space="preserve">SMR Format. </w:t>
      </w:r>
      <w:r w:rsidR="000F0DF9" w:rsidRPr="000F0DF9">
        <w:rPr>
          <w:rFonts w:ascii="Times New Roman" w:hAnsi="Times New Roman" w:cs="Times New Roman"/>
          <w:b w:val="0"/>
          <w:sz w:val="24"/>
          <w:szCs w:val="24"/>
        </w:rPr>
        <w:t>Discharger</w:t>
      </w:r>
      <w:r w:rsidR="000F0DF9">
        <w:rPr>
          <w:rFonts w:ascii="Times New Roman" w:hAnsi="Times New Roman" w:cs="Times New Roman"/>
          <w:b w:val="0"/>
          <w:sz w:val="24"/>
          <w:szCs w:val="24"/>
        </w:rPr>
        <w:t>s</w:t>
      </w:r>
      <w:r w:rsidR="000F0DF9" w:rsidRPr="000F0DF9">
        <w:rPr>
          <w:rFonts w:ascii="Times New Roman" w:hAnsi="Times New Roman" w:cs="Times New Roman"/>
          <w:b w:val="0"/>
          <w:sz w:val="24"/>
          <w:szCs w:val="24"/>
        </w:rPr>
        <w:t xml:space="preserve"> shall electronically submit SMRs using the State Water Board’s California Integrated Water Quality System (CIWQS) website (http://www.waterboards.ca.gov/water_issues/programs/ciwqs). The CIWQS website will provide additional information for SMR submittal in the event of a planned service interruption for electronic submitta</w:t>
      </w:r>
      <w:r w:rsidR="000F0DF9">
        <w:rPr>
          <w:rFonts w:ascii="Times New Roman" w:hAnsi="Times New Roman" w:cs="Times New Roman"/>
          <w:b w:val="0"/>
          <w:sz w:val="24"/>
          <w:szCs w:val="24"/>
        </w:rPr>
        <w:t>l.</w:t>
      </w:r>
      <w:bookmarkEnd w:id="154"/>
    </w:p>
    <w:p w14:paraId="13755D1C" w14:textId="3E17B350" w:rsidR="00F878D4" w:rsidRDefault="007E2D2E" w:rsidP="00F878D4">
      <w:pPr>
        <w:tabs>
          <w:tab w:val="left" w:pos="1080"/>
        </w:tabs>
        <w:ind w:left="1080" w:hanging="360"/>
        <w:rPr>
          <w:sz w:val="24"/>
          <w:szCs w:val="24"/>
        </w:rPr>
      </w:pPr>
      <w:bookmarkStart w:id="155" w:name="_Toc133308218"/>
      <w:r>
        <w:rPr>
          <w:b/>
          <w:sz w:val="24"/>
          <w:szCs w:val="24"/>
        </w:rPr>
        <w:t>2</w:t>
      </w:r>
      <w:r w:rsidR="00F878D4" w:rsidRPr="00570B42">
        <w:rPr>
          <w:b/>
          <w:sz w:val="24"/>
          <w:szCs w:val="24"/>
        </w:rPr>
        <w:t xml:space="preserve">. </w:t>
      </w:r>
      <w:r w:rsidR="00F878D4" w:rsidRPr="00570B42">
        <w:rPr>
          <w:b/>
          <w:sz w:val="24"/>
          <w:szCs w:val="24"/>
        </w:rPr>
        <w:tab/>
      </w:r>
      <w:r w:rsidR="00845239">
        <w:rPr>
          <w:b/>
          <w:sz w:val="24"/>
          <w:szCs w:val="24"/>
        </w:rPr>
        <w:t>Mercury and PCBs Data</w:t>
      </w:r>
      <w:r w:rsidR="00F878D4" w:rsidRPr="00570B42">
        <w:rPr>
          <w:b/>
          <w:sz w:val="24"/>
          <w:szCs w:val="24"/>
        </w:rPr>
        <w:t>.</w:t>
      </w:r>
      <w:r w:rsidR="00F878D4" w:rsidRPr="00570B42">
        <w:rPr>
          <w:sz w:val="24"/>
          <w:szCs w:val="24"/>
        </w:rPr>
        <w:t xml:space="preserve"> </w:t>
      </w:r>
    </w:p>
    <w:p w14:paraId="6B7CA16F" w14:textId="77777777" w:rsidR="00845239" w:rsidRDefault="00845239" w:rsidP="00F878D4">
      <w:pPr>
        <w:tabs>
          <w:tab w:val="left" w:pos="1080"/>
        </w:tabs>
        <w:ind w:left="1080" w:hanging="360"/>
        <w:rPr>
          <w:sz w:val="24"/>
          <w:szCs w:val="24"/>
        </w:rPr>
      </w:pPr>
    </w:p>
    <w:p w14:paraId="1C5EBC35" w14:textId="44CD76B1" w:rsidR="00845239" w:rsidRPr="00845239" w:rsidRDefault="00845239" w:rsidP="00845239">
      <w:pPr>
        <w:pStyle w:val="H-indent5025"/>
        <w:tabs>
          <w:tab w:val="clear" w:pos="1080"/>
          <w:tab w:val="left" w:pos="1440"/>
        </w:tabs>
        <w:spacing w:after="0"/>
        <w:ind w:left="1440"/>
        <w:rPr>
          <w:rFonts w:ascii="Times New Roman" w:hAnsi="Times New Roman" w:cs="Times New Roman"/>
        </w:rPr>
      </w:pPr>
      <w:r w:rsidRPr="00570B42">
        <w:rPr>
          <w:rFonts w:ascii="Times New Roman" w:hAnsi="Times New Roman" w:cs="Times New Roman"/>
          <w:b/>
        </w:rPr>
        <w:t>a.</w:t>
      </w:r>
      <w:r w:rsidRPr="00570B42">
        <w:rPr>
          <w:rFonts w:ascii="Times New Roman" w:hAnsi="Times New Roman" w:cs="Times New Roman"/>
        </w:rPr>
        <w:tab/>
      </w:r>
      <w:r>
        <w:rPr>
          <w:rFonts w:ascii="Times New Roman" w:hAnsi="Times New Roman" w:cs="Times New Roman"/>
          <w:b/>
        </w:rPr>
        <w:t>Routine</w:t>
      </w:r>
      <w:r w:rsidRPr="00570B42">
        <w:rPr>
          <w:rFonts w:ascii="Times New Roman" w:hAnsi="Times New Roman" w:cs="Times New Roman"/>
          <w:b/>
        </w:rPr>
        <w:t xml:space="preserve"> SMRs — </w:t>
      </w:r>
      <w:r w:rsidRPr="00845239">
        <w:rPr>
          <w:rFonts w:ascii="Times New Roman" w:hAnsi="Times New Roman" w:cs="Times New Roman"/>
        </w:rPr>
        <w:t xml:space="preserve">Dischargers shall submit mercury and PCBs data collected as part of this Order in the </w:t>
      </w:r>
      <w:r w:rsidR="00596FD1">
        <w:rPr>
          <w:rFonts w:ascii="Times New Roman" w:hAnsi="Times New Roman" w:cs="Times New Roman"/>
        </w:rPr>
        <w:t>routine</w:t>
      </w:r>
      <w:r w:rsidRPr="00845239">
        <w:rPr>
          <w:rFonts w:ascii="Times New Roman" w:hAnsi="Times New Roman" w:cs="Times New Roman"/>
        </w:rPr>
        <w:t xml:space="preserve"> monthly</w:t>
      </w:r>
      <w:r w:rsidR="00596FD1">
        <w:rPr>
          <w:rFonts w:ascii="Times New Roman" w:hAnsi="Times New Roman" w:cs="Times New Roman"/>
        </w:rPr>
        <w:t xml:space="preserve"> or quarterly SMRs required in Discharger</w:t>
      </w:r>
      <w:r w:rsidRPr="00845239">
        <w:rPr>
          <w:rFonts w:ascii="Times New Roman" w:hAnsi="Times New Roman" w:cs="Times New Roman"/>
        </w:rPr>
        <w:t>s</w:t>
      </w:r>
      <w:r w:rsidR="00596FD1">
        <w:rPr>
          <w:rFonts w:ascii="Times New Roman" w:hAnsi="Times New Roman" w:cs="Times New Roman"/>
        </w:rPr>
        <w:t>’</w:t>
      </w:r>
      <w:r w:rsidRPr="00845239">
        <w:rPr>
          <w:rFonts w:ascii="Times New Roman" w:hAnsi="Times New Roman" w:cs="Times New Roman"/>
        </w:rPr>
        <w:t xml:space="preserve"> individual </w:t>
      </w:r>
      <w:r w:rsidR="00596FD1">
        <w:rPr>
          <w:rFonts w:ascii="Times New Roman" w:hAnsi="Times New Roman" w:cs="Times New Roman"/>
        </w:rPr>
        <w:t xml:space="preserve">NPDES </w:t>
      </w:r>
      <w:r w:rsidRPr="00845239">
        <w:rPr>
          <w:rFonts w:ascii="Times New Roman" w:hAnsi="Times New Roman" w:cs="Times New Roman"/>
        </w:rPr>
        <w:t>permit</w:t>
      </w:r>
      <w:r w:rsidR="00596FD1">
        <w:rPr>
          <w:rFonts w:ascii="Times New Roman" w:hAnsi="Times New Roman" w:cs="Times New Roman"/>
        </w:rPr>
        <w:t>s</w:t>
      </w:r>
      <w:r w:rsidRPr="00845239">
        <w:rPr>
          <w:rFonts w:ascii="Times New Roman" w:hAnsi="Times New Roman" w:cs="Times New Roman"/>
        </w:rPr>
        <w:t>. This includes da</w:t>
      </w:r>
      <w:r w:rsidR="00E0192B">
        <w:rPr>
          <w:rFonts w:ascii="Times New Roman" w:hAnsi="Times New Roman" w:cs="Times New Roman"/>
        </w:rPr>
        <w:t xml:space="preserve">ta for mercury, total PCBs </w:t>
      </w:r>
      <w:r>
        <w:rPr>
          <w:rFonts w:ascii="Times New Roman" w:hAnsi="Times New Roman" w:cs="Times New Roman"/>
        </w:rPr>
        <w:t>as A</w:t>
      </w:r>
      <w:r w:rsidR="00E0192B">
        <w:rPr>
          <w:rFonts w:ascii="Times New Roman" w:hAnsi="Times New Roman" w:cs="Times New Roman"/>
        </w:rPr>
        <w:t>roclors</w:t>
      </w:r>
      <w:r w:rsidRPr="00845239">
        <w:rPr>
          <w:rFonts w:ascii="Times New Roman" w:hAnsi="Times New Roman" w:cs="Times New Roman"/>
        </w:rPr>
        <w:t xml:space="preserve"> </w:t>
      </w:r>
      <w:r w:rsidR="00E0192B">
        <w:rPr>
          <w:rFonts w:ascii="Times New Roman" w:hAnsi="Times New Roman" w:cs="Times New Roman"/>
        </w:rPr>
        <w:t>(</w:t>
      </w:r>
      <w:r w:rsidRPr="00845239">
        <w:rPr>
          <w:rFonts w:ascii="Times New Roman" w:hAnsi="Times New Roman" w:cs="Times New Roman"/>
        </w:rPr>
        <w:t>us</w:t>
      </w:r>
      <w:r w:rsidR="00E0192B">
        <w:rPr>
          <w:rFonts w:ascii="Times New Roman" w:hAnsi="Times New Roman" w:cs="Times New Roman"/>
        </w:rPr>
        <w:t xml:space="preserve">ing </w:t>
      </w:r>
      <w:r w:rsidR="00EE0813">
        <w:rPr>
          <w:rFonts w:ascii="Times New Roman" w:hAnsi="Times New Roman" w:cs="Times New Roman"/>
        </w:rPr>
        <w:t>U.S. EPA</w:t>
      </w:r>
      <w:r w:rsidR="00E0192B">
        <w:rPr>
          <w:rFonts w:ascii="Times New Roman" w:hAnsi="Times New Roman" w:cs="Times New Roman"/>
        </w:rPr>
        <w:t xml:space="preserve"> Method 608), and PCBs as congeners (</w:t>
      </w:r>
      <w:r w:rsidR="00802F4B">
        <w:rPr>
          <w:rFonts w:ascii="Times New Roman" w:hAnsi="Times New Roman" w:cs="Times New Roman"/>
        </w:rPr>
        <w:t xml:space="preserve">using </w:t>
      </w:r>
      <w:r w:rsidR="00EE0813">
        <w:rPr>
          <w:rFonts w:ascii="Times New Roman" w:hAnsi="Times New Roman" w:cs="Times New Roman"/>
        </w:rPr>
        <w:t>U.S. EPA</w:t>
      </w:r>
      <w:r w:rsidR="00802F4B">
        <w:rPr>
          <w:rFonts w:ascii="Times New Roman" w:hAnsi="Times New Roman" w:cs="Times New Roman"/>
        </w:rPr>
        <w:t xml:space="preserve"> Method 1668C</w:t>
      </w:r>
      <w:r w:rsidR="00E0192B">
        <w:rPr>
          <w:rFonts w:ascii="Times New Roman" w:hAnsi="Times New Roman" w:cs="Times New Roman"/>
        </w:rPr>
        <w:t>)</w:t>
      </w:r>
      <w:r w:rsidRPr="00845239">
        <w:rPr>
          <w:rFonts w:ascii="Times New Roman" w:hAnsi="Times New Roman" w:cs="Times New Roman"/>
        </w:rPr>
        <w:t>. The PCB</w:t>
      </w:r>
      <w:r w:rsidR="00596FD1">
        <w:rPr>
          <w:rFonts w:ascii="Times New Roman" w:hAnsi="Times New Roman" w:cs="Times New Roman"/>
        </w:rPr>
        <w:t>s</w:t>
      </w:r>
      <w:r w:rsidRPr="00845239">
        <w:rPr>
          <w:rFonts w:ascii="Times New Roman" w:hAnsi="Times New Roman" w:cs="Times New Roman"/>
        </w:rPr>
        <w:t xml:space="preserve"> congeners shall include the 40 that contribute to water quality impairment plus co-elutes (</w:t>
      </w:r>
      <w:r w:rsidR="005B45EF">
        <w:rPr>
          <w:rFonts w:ascii="Times New Roman" w:hAnsi="Times New Roman" w:cs="Times New Roman"/>
        </w:rPr>
        <w:t xml:space="preserve">59 to </w:t>
      </w:r>
      <w:r w:rsidRPr="00845239">
        <w:rPr>
          <w:rFonts w:ascii="Times New Roman" w:hAnsi="Times New Roman" w:cs="Times New Roman"/>
        </w:rPr>
        <w:t xml:space="preserve">66 congeners in total, see </w:t>
      </w:r>
      <w:r w:rsidRPr="00885807">
        <w:rPr>
          <w:rFonts w:ascii="Times New Roman" w:hAnsi="Times New Roman" w:cs="Times New Roman"/>
        </w:rPr>
        <w:t>Table</w:t>
      </w:r>
      <w:r w:rsidR="005B45EF">
        <w:rPr>
          <w:rFonts w:ascii="Times New Roman" w:hAnsi="Times New Roman" w:cs="Times New Roman"/>
        </w:rPr>
        <w:t>s</w:t>
      </w:r>
      <w:r w:rsidRPr="00885807">
        <w:rPr>
          <w:rFonts w:ascii="Times New Roman" w:hAnsi="Times New Roman" w:cs="Times New Roman"/>
        </w:rPr>
        <w:t xml:space="preserve"> F</w:t>
      </w:r>
      <w:r w:rsidR="00596FD1" w:rsidRPr="00885807">
        <w:rPr>
          <w:rFonts w:ascii="Times New Roman" w:hAnsi="Times New Roman" w:cs="Times New Roman"/>
        </w:rPr>
        <w:noBreakHyphen/>
      </w:r>
      <w:r w:rsidR="00885807">
        <w:rPr>
          <w:rFonts w:ascii="Times New Roman" w:hAnsi="Times New Roman" w:cs="Times New Roman"/>
        </w:rPr>
        <w:t>9</w:t>
      </w:r>
      <w:r w:rsidR="005B45EF">
        <w:rPr>
          <w:rFonts w:ascii="Times New Roman" w:hAnsi="Times New Roman" w:cs="Times New Roman"/>
        </w:rPr>
        <w:t xml:space="preserve"> and F-10</w:t>
      </w:r>
      <w:r w:rsidR="00802F4B">
        <w:rPr>
          <w:rFonts w:ascii="Times New Roman" w:hAnsi="Times New Roman" w:cs="Times New Roman"/>
        </w:rPr>
        <w:t xml:space="preserve">), using </w:t>
      </w:r>
      <w:r w:rsidR="00EE0813">
        <w:rPr>
          <w:rFonts w:ascii="Times New Roman" w:hAnsi="Times New Roman" w:cs="Times New Roman"/>
        </w:rPr>
        <w:t>U.S. EPA</w:t>
      </w:r>
      <w:r w:rsidR="00802F4B">
        <w:rPr>
          <w:rFonts w:ascii="Times New Roman" w:hAnsi="Times New Roman" w:cs="Times New Roman"/>
        </w:rPr>
        <w:t xml:space="preserve"> Method 1668C</w:t>
      </w:r>
      <w:r w:rsidRPr="00845239">
        <w:rPr>
          <w:rFonts w:ascii="Times New Roman" w:hAnsi="Times New Roman" w:cs="Times New Roman"/>
        </w:rPr>
        <w:t>.</w:t>
      </w:r>
    </w:p>
    <w:p w14:paraId="79670302" w14:textId="33AAD1B9" w:rsidR="00845239" w:rsidRDefault="00845239" w:rsidP="00845239">
      <w:pPr>
        <w:pStyle w:val="H-indent5025"/>
        <w:tabs>
          <w:tab w:val="clear" w:pos="1080"/>
          <w:tab w:val="left" w:pos="1440"/>
        </w:tabs>
        <w:spacing w:after="0"/>
        <w:ind w:left="1440"/>
        <w:rPr>
          <w:rFonts w:ascii="Times New Roman" w:hAnsi="Times New Roman" w:cs="Times New Roman"/>
        </w:rPr>
      </w:pPr>
    </w:p>
    <w:p w14:paraId="13D82631" w14:textId="77777777" w:rsidR="004214BC" w:rsidRPr="00596FD1" w:rsidRDefault="004214BC" w:rsidP="00F009DF">
      <w:pPr>
        <w:numPr>
          <w:ilvl w:val="3"/>
          <w:numId w:val="33"/>
        </w:numPr>
        <w:tabs>
          <w:tab w:val="clear" w:pos="2880"/>
          <w:tab w:val="num" w:pos="1800"/>
        </w:tabs>
        <w:spacing w:after="240"/>
        <w:ind w:left="1800"/>
        <w:rPr>
          <w:sz w:val="24"/>
          <w:szCs w:val="24"/>
        </w:rPr>
      </w:pPr>
      <w:r>
        <w:rPr>
          <w:b/>
          <w:color w:val="000000" w:themeColor="text1"/>
          <w:sz w:val="24"/>
          <w:szCs w:val="24"/>
        </w:rPr>
        <w:t>Discharge Adjustments</w:t>
      </w:r>
      <w:r w:rsidRPr="00570B42">
        <w:rPr>
          <w:b/>
          <w:color w:val="000000" w:themeColor="text1"/>
          <w:sz w:val="24"/>
          <w:szCs w:val="24"/>
        </w:rPr>
        <w:t xml:space="preserve">. </w:t>
      </w:r>
      <w:r w:rsidRPr="00596FD1">
        <w:rPr>
          <w:sz w:val="24"/>
          <w:szCs w:val="24"/>
        </w:rPr>
        <w:t xml:space="preserve">For Industrial Dischargers claiming </w:t>
      </w:r>
      <w:r>
        <w:rPr>
          <w:sz w:val="24"/>
          <w:szCs w:val="24"/>
        </w:rPr>
        <w:t>a discharge adjustment</w:t>
      </w:r>
      <w:r w:rsidRPr="00596FD1">
        <w:rPr>
          <w:sz w:val="24"/>
          <w:szCs w:val="24"/>
        </w:rPr>
        <w:t xml:space="preserve"> for recycled water use pursuant to Provision V</w:t>
      </w:r>
      <w:r>
        <w:rPr>
          <w:sz w:val="24"/>
          <w:szCs w:val="24"/>
        </w:rPr>
        <w:t>I.C.5</w:t>
      </w:r>
      <w:r w:rsidRPr="00596FD1">
        <w:rPr>
          <w:sz w:val="24"/>
          <w:szCs w:val="24"/>
        </w:rPr>
        <w:t xml:space="preserve">, the amount of </w:t>
      </w:r>
      <w:r>
        <w:rPr>
          <w:sz w:val="24"/>
          <w:szCs w:val="24"/>
        </w:rPr>
        <w:t>adjustment</w:t>
      </w:r>
      <w:r w:rsidRPr="00596FD1">
        <w:rPr>
          <w:sz w:val="24"/>
          <w:szCs w:val="24"/>
        </w:rPr>
        <w:t xml:space="preserve"> claimed for that month shall be reported monthly to the Municipal Discharger that supplied the recycled water. The reporting from the Industrial Discharger to the Municipal Discharger shall be completed no later than 15 days following the end of the calendar month. The Municipal and Industrial Dischargers shall then include this information in their respective monthly (or quarterly) and annual SMRs.</w:t>
      </w:r>
    </w:p>
    <w:p w14:paraId="6FF01181" w14:textId="0741343D" w:rsidR="004214BC" w:rsidRPr="00570B42" w:rsidRDefault="00DD4074" w:rsidP="004214BC">
      <w:pPr>
        <w:pStyle w:val="H-indent5025"/>
        <w:tabs>
          <w:tab w:val="clear" w:pos="1080"/>
          <w:tab w:val="left" w:pos="1440"/>
        </w:tabs>
        <w:spacing w:after="0"/>
        <w:ind w:left="1440"/>
        <w:rPr>
          <w:rFonts w:ascii="Times New Roman" w:hAnsi="Times New Roman" w:cs="Times New Roman"/>
        </w:rPr>
      </w:pPr>
      <w:r>
        <w:rPr>
          <w:rFonts w:ascii="Times New Roman" w:hAnsi="Times New Roman" w:cs="Times New Roman"/>
        </w:rPr>
        <w:tab/>
        <w:t>Each</w:t>
      </w:r>
      <w:r w:rsidRPr="00570B42">
        <w:rPr>
          <w:rFonts w:ascii="Times New Roman" w:hAnsi="Times New Roman" w:cs="Times New Roman"/>
        </w:rPr>
        <w:t xml:space="preserve"> </w:t>
      </w:r>
      <w:r>
        <w:rPr>
          <w:rFonts w:ascii="Times New Roman" w:hAnsi="Times New Roman" w:cs="Times New Roman"/>
        </w:rPr>
        <w:t>SMR</w:t>
      </w:r>
      <w:r w:rsidRPr="00570B42">
        <w:rPr>
          <w:rFonts w:ascii="Times New Roman" w:hAnsi="Times New Roman" w:cs="Times New Roman"/>
        </w:rPr>
        <w:t xml:space="preserve"> shall include all new</w:t>
      </w:r>
      <w:r>
        <w:rPr>
          <w:rFonts w:ascii="Times New Roman" w:hAnsi="Times New Roman" w:cs="Times New Roman"/>
        </w:rPr>
        <w:t xml:space="preserve"> mercury or PCBs</w:t>
      </w:r>
      <w:r w:rsidRPr="00570B42">
        <w:rPr>
          <w:rFonts w:ascii="Times New Roman" w:hAnsi="Times New Roman" w:cs="Times New Roman"/>
        </w:rPr>
        <w:t xml:space="preserve"> monitoring results obtained since the last SMR was submitted. If </w:t>
      </w:r>
      <w:r>
        <w:rPr>
          <w:rFonts w:ascii="Times New Roman" w:hAnsi="Times New Roman" w:cs="Times New Roman"/>
        </w:rPr>
        <w:t>a</w:t>
      </w:r>
      <w:r w:rsidRPr="00570B42">
        <w:rPr>
          <w:rFonts w:ascii="Times New Roman" w:hAnsi="Times New Roman" w:cs="Times New Roman"/>
        </w:rPr>
        <w:t xml:space="preserve"> Discharger monitors </w:t>
      </w:r>
      <w:r>
        <w:rPr>
          <w:rFonts w:ascii="Times New Roman" w:hAnsi="Times New Roman" w:cs="Times New Roman"/>
        </w:rPr>
        <w:t>mercury or PCBs</w:t>
      </w:r>
      <w:r w:rsidRPr="00570B42">
        <w:rPr>
          <w:rFonts w:ascii="Times New Roman" w:hAnsi="Times New Roman" w:cs="Times New Roman"/>
        </w:rPr>
        <w:t xml:space="preserve"> more frequently than </w:t>
      </w:r>
      <w:r w:rsidRPr="00570B42">
        <w:rPr>
          <w:rFonts w:ascii="Times New Roman" w:hAnsi="Times New Roman" w:cs="Times New Roman"/>
        </w:rPr>
        <w:lastRenderedPageBreak/>
        <w:t>required by this Order, the Discharger shall include the results of such monitoring in the calculations and reporting for the SMR.</w:t>
      </w:r>
      <w:r w:rsidR="004214BC" w:rsidRPr="00570B42">
        <w:rPr>
          <w:rFonts w:ascii="Times New Roman" w:hAnsi="Times New Roman" w:cs="Times New Roman"/>
        </w:rPr>
        <w:tab/>
      </w:r>
    </w:p>
    <w:p w14:paraId="05038C2C" w14:textId="07596E5D" w:rsidR="00845239" w:rsidRPr="00570B42" w:rsidRDefault="00845239" w:rsidP="00DD4074">
      <w:pPr>
        <w:pStyle w:val="H-indent5025"/>
        <w:tabs>
          <w:tab w:val="clear" w:pos="1080"/>
          <w:tab w:val="left" w:pos="1440"/>
        </w:tabs>
        <w:spacing w:after="0"/>
        <w:ind w:left="0" w:firstLine="0"/>
        <w:rPr>
          <w:rFonts w:ascii="Times New Roman" w:hAnsi="Times New Roman" w:cs="Times New Roman"/>
        </w:rPr>
      </w:pPr>
    </w:p>
    <w:p w14:paraId="04573A33" w14:textId="00B53B1C" w:rsidR="00845239" w:rsidRPr="00E0192B" w:rsidRDefault="00845239" w:rsidP="00E0192B">
      <w:pPr>
        <w:pStyle w:val="H-indent5025"/>
        <w:tabs>
          <w:tab w:val="clear" w:pos="1080"/>
          <w:tab w:val="left" w:pos="1440"/>
        </w:tabs>
        <w:spacing w:after="0"/>
        <w:ind w:left="1440"/>
        <w:rPr>
          <w:rFonts w:ascii="Times New Roman" w:hAnsi="Times New Roman" w:cs="Times New Roman"/>
        </w:rPr>
      </w:pPr>
      <w:r w:rsidRPr="00570B42">
        <w:rPr>
          <w:rFonts w:ascii="Times New Roman" w:hAnsi="Times New Roman" w:cs="Times New Roman"/>
          <w:b/>
          <w:bCs/>
        </w:rPr>
        <w:t>b.</w:t>
      </w:r>
      <w:r w:rsidRPr="00570B42">
        <w:rPr>
          <w:rFonts w:ascii="Times New Roman" w:hAnsi="Times New Roman" w:cs="Times New Roman"/>
          <w:b/>
          <w:bCs/>
        </w:rPr>
        <w:tab/>
        <w:t xml:space="preserve">Annual SMR — </w:t>
      </w:r>
      <w:r w:rsidRPr="00570B42">
        <w:rPr>
          <w:rFonts w:ascii="Times New Roman" w:hAnsi="Times New Roman" w:cs="Times New Roman"/>
        </w:rPr>
        <w:t xml:space="preserve">Annual SMRs shall be due February 1 each year, covering the previous calendar year. The annual SMR shall contain </w:t>
      </w:r>
      <w:r w:rsidR="004A6B00">
        <w:rPr>
          <w:rFonts w:ascii="Times New Roman" w:hAnsi="Times New Roman" w:cs="Times New Roman"/>
        </w:rPr>
        <w:t xml:space="preserve">a summary of its mercury data. This summary shall include, at a minimum, mercury concentrations for each sample, the corresponding flow, and the annual mercury loading. </w:t>
      </w:r>
    </w:p>
    <w:p w14:paraId="44F8E90C" w14:textId="2CA60BC2" w:rsidR="00F878D4" w:rsidRPr="00570B42" w:rsidRDefault="00F878D4" w:rsidP="007E2D2E">
      <w:pPr>
        <w:pStyle w:val="H-indent5025"/>
        <w:tabs>
          <w:tab w:val="clear" w:pos="1080"/>
          <w:tab w:val="left" w:pos="1440"/>
        </w:tabs>
        <w:spacing w:after="0"/>
        <w:ind w:left="0" w:firstLine="0"/>
        <w:rPr>
          <w:rFonts w:ascii="Times New Roman" w:hAnsi="Times New Roman" w:cs="Times New Roman"/>
        </w:rPr>
      </w:pPr>
    </w:p>
    <w:p w14:paraId="1C114701" w14:textId="1B6A7E97" w:rsidR="00F878D4" w:rsidRPr="00570B42" w:rsidRDefault="008D34B0" w:rsidP="00297FEF">
      <w:pPr>
        <w:pStyle w:val="H-indent5025"/>
        <w:spacing w:after="0"/>
        <w:rPr>
          <w:rFonts w:ascii="Times New Roman" w:hAnsi="Times New Roman" w:cs="Times New Roman"/>
        </w:rPr>
      </w:pPr>
      <w:r w:rsidRPr="00570B42">
        <w:rPr>
          <w:rFonts w:ascii="Times New Roman" w:hAnsi="Times New Roman" w:cs="Times New Roman"/>
          <w:b/>
        </w:rPr>
        <w:t>3.</w:t>
      </w:r>
      <w:r w:rsidRPr="00570B42">
        <w:rPr>
          <w:rFonts w:ascii="Times New Roman" w:hAnsi="Times New Roman" w:cs="Times New Roman"/>
          <w:b/>
        </w:rPr>
        <w:tab/>
      </w:r>
      <w:r w:rsidR="00F878D4" w:rsidRPr="00570B42">
        <w:rPr>
          <w:rFonts w:ascii="Times New Roman" w:hAnsi="Times New Roman" w:cs="Times New Roman"/>
          <w:b/>
        </w:rPr>
        <w:t>Specifications for Submitting SMRs to CIWQS</w:t>
      </w:r>
      <w:r w:rsidR="00F25462" w:rsidRPr="00570B42">
        <w:rPr>
          <w:rFonts w:ascii="Times New Roman" w:hAnsi="Times New Roman" w:cs="Times New Roman"/>
          <w:b/>
        </w:rPr>
        <w:t>.</w:t>
      </w:r>
      <w:r w:rsidR="00F878D4" w:rsidRPr="00570B42">
        <w:rPr>
          <w:rFonts w:ascii="Times New Roman" w:hAnsi="Times New Roman" w:cs="Times New Roman"/>
          <w:b/>
        </w:rPr>
        <w:t xml:space="preserve"> </w:t>
      </w:r>
      <w:r w:rsidR="00857266" w:rsidRPr="00570B42">
        <w:rPr>
          <w:rFonts w:ascii="Times New Roman" w:hAnsi="Times New Roman" w:cs="Times New Roman"/>
        </w:rPr>
        <w:t>Discharger</w:t>
      </w:r>
      <w:r w:rsidR="007E2D2E">
        <w:rPr>
          <w:rFonts w:ascii="Times New Roman" w:hAnsi="Times New Roman" w:cs="Times New Roman"/>
        </w:rPr>
        <w:t>s</w:t>
      </w:r>
      <w:r w:rsidR="00857266" w:rsidRPr="00570B42">
        <w:rPr>
          <w:rFonts w:ascii="Times New Roman" w:hAnsi="Times New Roman" w:cs="Times New Roman"/>
        </w:rPr>
        <w:t xml:space="preserve"> s</w:t>
      </w:r>
      <w:r w:rsidR="002B6D59" w:rsidRPr="00570B42">
        <w:rPr>
          <w:rFonts w:ascii="Times New Roman" w:hAnsi="Times New Roman" w:cs="Times New Roman"/>
        </w:rPr>
        <w:t xml:space="preserve">hall </w:t>
      </w:r>
      <w:r w:rsidR="00F878D4" w:rsidRPr="00570B42">
        <w:rPr>
          <w:rFonts w:ascii="Times New Roman" w:hAnsi="Times New Roman" w:cs="Times New Roman"/>
        </w:rPr>
        <w:t xml:space="preserve">submit analytical </w:t>
      </w:r>
      <w:r w:rsidR="007E2D2E">
        <w:rPr>
          <w:rFonts w:ascii="Times New Roman" w:hAnsi="Times New Roman" w:cs="Times New Roman"/>
        </w:rPr>
        <w:t xml:space="preserve">mercury, total PCBs as Aroclors (using </w:t>
      </w:r>
      <w:r w:rsidR="00EE0813">
        <w:rPr>
          <w:rFonts w:ascii="Times New Roman" w:hAnsi="Times New Roman" w:cs="Times New Roman"/>
          <w:szCs w:val="22"/>
        </w:rPr>
        <w:t>U.S. EPA</w:t>
      </w:r>
      <w:r w:rsidR="007E2D2E" w:rsidRPr="00D1422A">
        <w:rPr>
          <w:rFonts w:ascii="Times New Roman" w:hAnsi="Times New Roman" w:cs="Times New Roman"/>
          <w:szCs w:val="22"/>
        </w:rPr>
        <w:t xml:space="preserve"> Method 608</w:t>
      </w:r>
      <w:r w:rsidR="007E2D2E">
        <w:rPr>
          <w:rFonts w:ascii="Times New Roman" w:hAnsi="Times New Roman" w:cs="Times New Roman"/>
          <w:szCs w:val="22"/>
        </w:rPr>
        <w:t xml:space="preserve">), and </w:t>
      </w:r>
      <w:r w:rsidR="008005C0">
        <w:rPr>
          <w:rFonts w:ascii="Times New Roman" w:hAnsi="Times New Roman" w:cs="Times New Roman"/>
          <w:szCs w:val="22"/>
        </w:rPr>
        <w:t>PCBs as congeners (</w:t>
      </w:r>
      <w:r w:rsidR="00434A13">
        <w:rPr>
          <w:rFonts w:ascii="Times New Roman" w:hAnsi="Times New Roman" w:cs="Times New Roman"/>
          <w:szCs w:val="22"/>
        </w:rPr>
        <w:t xml:space="preserve">using </w:t>
      </w:r>
      <w:r w:rsidR="00EE0813">
        <w:rPr>
          <w:rFonts w:ascii="Times New Roman" w:hAnsi="Times New Roman" w:cs="Times New Roman"/>
          <w:szCs w:val="22"/>
        </w:rPr>
        <w:t>U.S. EPA</w:t>
      </w:r>
      <w:r w:rsidR="007E2D2E">
        <w:rPr>
          <w:rFonts w:ascii="Times New Roman" w:hAnsi="Times New Roman" w:cs="Times New Roman"/>
          <w:szCs w:val="22"/>
        </w:rPr>
        <w:t xml:space="preserve"> Method 1668C) </w:t>
      </w:r>
      <w:r w:rsidR="00F878D4" w:rsidRPr="00570B42">
        <w:rPr>
          <w:rFonts w:ascii="Times New Roman" w:hAnsi="Times New Roman" w:cs="Times New Roman"/>
        </w:rPr>
        <w:t xml:space="preserve">results </w:t>
      </w:r>
      <w:r w:rsidR="00434A13">
        <w:rPr>
          <w:rFonts w:ascii="Times New Roman" w:hAnsi="Times New Roman" w:cs="Times New Roman"/>
        </w:rPr>
        <w:t>to</w:t>
      </w:r>
      <w:r w:rsidR="007E2D2E">
        <w:rPr>
          <w:rFonts w:ascii="Times New Roman" w:hAnsi="Times New Roman" w:cs="Times New Roman"/>
        </w:rPr>
        <w:t xml:space="preserve"> CIWQS </w:t>
      </w:r>
      <w:r w:rsidR="00434A13">
        <w:rPr>
          <w:rFonts w:ascii="Times New Roman" w:hAnsi="Times New Roman" w:cs="Times New Roman"/>
        </w:rPr>
        <w:t xml:space="preserve">in electronic reporting format by </w:t>
      </w:r>
      <w:r w:rsidR="007E2D2E">
        <w:rPr>
          <w:rFonts w:ascii="Times New Roman" w:hAnsi="Times New Roman" w:cs="Times New Roman"/>
        </w:rPr>
        <w:t xml:space="preserve">EDF/CDF </w:t>
      </w:r>
      <w:r w:rsidR="008005C0">
        <w:rPr>
          <w:rFonts w:ascii="Times New Roman" w:hAnsi="Times New Roman" w:cs="Times New Roman"/>
        </w:rPr>
        <w:t>upload</w:t>
      </w:r>
      <w:r w:rsidR="007E2D2E">
        <w:rPr>
          <w:rFonts w:ascii="Times New Roman" w:hAnsi="Times New Roman" w:cs="Times New Roman"/>
        </w:rPr>
        <w:t xml:space="preserve"> or</w:t>
      </w:r>
      <w:r w:rsidR="00434A13">
        <w:rPr>
          <w:rFonts w:ascii="Times New Roman" w:hAnsi="Times New Roman" w:cs="Times New Roman"/>
        </w:rPr>
        <w:t xml:space="preserve"> through</w:t>
      </w:r>
      <w:r w:rsidR="007E2D2E">
        <w:rPr>
          <w:rFonts w:ascii="Times New Roman" w:hAnsi="Times New Roman" w:cs="Times New Roman"/>
        </w:rPr>
        <w:t xml:space="preserve"> manual entry.</w:t>
      </w:r>
    </w:p>
    <w:p w14:paraId="4D6B1C62" w14:textId="77777777" w:rsidR="0013730F" w:rsidRPr="000A3B0D" w:rsidRDefault="0013730F" w:rsidP="008E5672">
      <w:pPr>
        <w:pStyle w:val="H-indent5025"/>
        <w:tabs>
          <w:tab w:val="clear" w:pos="1080"/>
        </w:tabs>
        <w:spacing w:after="0"/>
        <w:ind w:firstLine="0"/>
        <w:rPr>
          <w:rFonts w:ascii="Times New Roman" w:hAnsi="Times New Roman" w:cs="Times New Roman"/>
        </w:rPr>
      </w:pPr>
    </w:p>
    <w:p w14:paraId="212CB585" w14:textId="6453E260" w:rsidR="009863C6" w:rsidRDefault="009863C6" w:rsidP="008E5672">
      <w:pPr>
        <w:pStyle w:val="H-indent5025"/>
        <w:tabs>
          <w:tab w:val="clear" w:pos="1080"/>
        </w:tabs>
        <w:spacing w:after="0"/>
        <w:ind w:firstLine="0"/>
        <w:rPr>
          <w:rFonts w:ascii="Times New Roman" w:hAnsi="Times New Roman" w:cs="Times New Roman"/>
        </w:rPr>
      </w:pPr>
      <w:r w:rsidRPr="00570B42">
        <w:rPr>
          <w:rFonts w:ascii="Times New Roman" w:hAnsi="Times New Roman" w:cs="Times New Roman"/>
        </w:rPr>
        <w:t>Discharger</w:t>
      </w:r>
      <w:r w:rsidR="00A93479">
        <w:rPr>
          <w:rFonts w:ascii="Times New Roman" w:hAnsi="Times New Roman" w:cs="Times New Roman"/>
        </w:rPr>
        <w:t>s</w:t>
      </w:r>
      <w:r w:rsidRPr="00570B42">
        <w:rPr>
          <w:rFonts w:ascii="Times New Roman" w:hAnsi="Times New Roman" w:cs="Times New Roman"/>
        </w:rPr>
        <w:t xml:space="preserve"> shall arrange all reported data in a tabular format and summarize</w:t>
      </w:r>
      <w:r w:rsidR="00FA0F82" w:rsidRPr="00570B42">
        <w:rPr>
          <w:rFonts w:ascii="Times New Roman" w:hAnsi="Times New Roman" w:cs="Times New Roman"/>
        </w:rPr>
        <w:t xml:space="preserve"> the</w:t>
      </w:r>
      <w:r w:rsidRPr="00570B42">
        <w:rPr>
          <w:rFonts w:ascii="Times New Roman" w:hAnsi="Times New Roman" w:cs="Times New Roman"/>
        </w:rPr>
        <w:t xml:space="preserve"> data to clearly illustrate whether the</w:t>
      </w:r>
      <w:r w:rsidR="00A93479">
        <w:rPr>
          <w:rFonts w:ascii="Times New Roman" w:hAnsi="Times New Roman" w:cs="Times New Roman"/>
        </w:rPr>
        <w:t>ir</w:t>
      </w:r>
      <w:r w:rsidRPr="00570B42">
        <w:rPr>
          <w:rFonts w:ascii="Times New Roman" w:hAnsi="Times New Roman" w:cs="Times New Roman"/>
        </w:rPr>
        <w:t xml:space="preserve"> Facility is operating in compliance with</w:t>
      </w:r>
      <w:r w:rsidR="00FA0F82" w:rsidRPr="00570B42">
        <w:rPr>
          <w:rFonts w:ascii="Times New Roman" w:hAnsi="Times New Roman" w:cs="Times New Roman"/>
        </w:rPr>
        <w:t xml:space="preserve"> the</w:t>
      </w:r>
      <w:r w:rsidRPr="00570B42">
        <w:rPr>
          <w:rFonts w:ascii="Times New Roman" w:hAnsi="Times New Roman" w:cs="Times New Roman"/>
        </w:rPr>
        <w:t xml:space="preserve"> effluent limitations. When electronic submittal of data is required and CIWQS does not provide for entry into a tabular format, the Discharger shall electronically submit the data in a tabular format as an attachment.</w:t>
      </w:r>
    </w:p>
    <w:p w14:paraId="0120585E" w14:textId="1D7A0610" w:rsidR="00297FEF" w:rsidRDefault="00297FEF" w:rsidP="008E5672">
      <w:pPr>
        <w:pStyle w:val="H-indent5025"/>
        <w:tabs>
          <w:tab w:val="clear" w:pos="1080"/>
        </w:tabs>
        <w:spacing w:after="0"/>
        <w:ind w:firstLine="0"/>
        <w:rPr>
          <w:rFonts w:ascii="Times New Roman" w:hAnsi="Times New Roman" w:cs="Times New Roman"/>
        </w:rPr>
      </w:pPr>
    </w:p>
    <w:p w14:paraId="6678D97C" w14:textId="77777777" w:rsidR="00F878D4" w:rsidRPr="00570B42" w:rsidRDefault="005A2F80" w:rsidP="00974334">
      <w:pPr>
        <w:pStyle w:val="H-indent5025"/>
        <w:tabs>
          <w:tab w:val="left" w:pos="387"/>
        </w:tabs>
        <w:spacing w:after="120"/>
        <w:rPr>
          <w:rFonts w:ascii="Times New Roman" w:hAnsi="Times New Roman" w:cs="Times New Roman"/>
        </w:rPr>
      </w:pPr>
      <w:r w:rsidRPr="00570B42">
        <w:rPr>
          <w:rFonts w:ascii="Times New Roman" w:hAnsi="Times New Roman" w:cs="Times New Roman"/>
          <w:b/>
        </w:rPr>
        <w:t>4</w:t>
      </w:r>
      <w:r w:rsidR="00F878D4" w:rsidRPr="00570B42">
        <w:rPr>
          <w:rFonts w:ascii="Times New Roman" w:hAnsi="Times New Roman" w:cs="Times New Roman"/>
          <w:b/>
        </w:rPr>
        <w:t>.</w:t>
      </w:r>
      <w:r w:rsidR="00F878D4" w:rsidRPr="00570B42">
        <w:rPr>
          <w:rFonts w:ascii="Times New Roman" w:hAnsi="Times New Roman" w:cs="Times New Roman"/>
          <w:b/>
        </w:rPr>
        <w:tab/>
        <w:t xml:space="preserve">Monitoring Periods. </w:t>
      </w:r>
      <w:r w:rsidR="00F878D4" w:rsidRPr="00570B42">
        <w:rPr>
          <w:rFonts w:ascii="Times New Roman" w:hAnsi="Times New Roman" w:cs="Times New Roman"/>
        </w:rPr>
        <w:t>Monitoring periods for all required monitoring shall be</w:t>
      </w:r>
      <w:r w:rsidR="005E4308" w:rsidRPr="00570B42">
        <w:rPr>
          <w:rFonts w:ascii="Times New Roman" w:hAnsi="Times New Roman" w:cs="Times New Roman"/>
        </w:rPr>
        <w:t xml:space="preserve"> </w:t>
      </w:r>
      <w:r w:rsidR="00F878D4" w:rsidRPr="00570B42">
        <w:rPr>
          <w:rFonts w:ascii="Times New Roman" w:hAnsi="Times New Roman" w:cs="Times New Roman"/>
        </w:rPr>
        <w:t>as set forth below</w:t>
      </w:r>
      <w:r w:rsidR="00D42BA7" w:rsidRPr="00570B42">
        <w:rPr>
          <w:rFonts w:ascii="Times New Roman" w:hAnsi="Times New Roman" w:cs="Times New Roman"/>
        </w:rPr>
        <w:t xml:space="preserve"> unless otherwise specified</w:t>
      </w:r>
      <w:r w:rsidR="00091BFE" w:rsidRPr="00570B42">
        <w:rPr>
          <w:rFonts w:ascii="Times New Roman" w:hAnsi="Times New Roman" w:cs="Times New Roman"/>
        </w:rPr>
        <w:t>:</w:t>
      </w:r>
    </w:p>
    <w:p w14:paraId="453C5F03" w14:textId="542701F4" w:rsidR="00F878D4" w:rsidRPr="00570B42" w:rsidRDefault="00F878D4" w:rsidP="002C2B92">
      <w:pPr>
        <w:pStyle w:val="TableHeader1E"/>
        <w:jc w:val="center"/>
        <w:rPr>
          <w:rFonts w:ascii="Times New Roman" w:hAnsi="Times New Roman" w:cs="Times New Roman"/>
          <w:sz w:val="24"/>
          <w:szCs w:val="24"/>
        </w:rPr>
      </w:pPr>
      <w:bookmarkStart w:id="156" w:name="_Toc133225541"/>
      <w:bookmarkStart w:id="157" w:name="_Toc133225618"/>
      <w:bookmarkStart w:id="158" w:name="_Toc133308230"/>
      <w:bookmarkStart w:id="159" w:name="_Toc291082498"/>
      <w:bookmarkStart w:id="160" w:name="_Toc488046597"/>
      <w:r w:rsidRPr="00570B42">
        <w:rPr>
          <w:rFonts w:ascii="Times New Roman" w:hAnsi="Times New Roman" w:cs="Times New Roman"/>
          <w:sz w:val="24"/>
          <w:szCs w:val="24"/>
        </w:rPr>
        <w:t>Table E-</w:t>
      </w:r>
      <w:r w:rsidR="000A12B9">
        <w:rPr>
          <w:rFonts w:ascii="Times New Roman" w:hAnsi="Times New Roman" w:cs="Times New Roman"/>
          <w:sz w:val="24"/>
          <w:szCs w:val="24"/>
        </w:rPr>
        <w:t>4</w:t>
      </w:r>
      <w:r w:rsidRPr="00570B42">
        <w:rPr>
          <w:rFonts w:ascii="Times New Roman" w:hAnsi="Times New Roman" w:cs="Times New Roman"/>
          <w:sz w:val="24"/>
          <w:szCs w:val="24"/>
        </w:rPr>
        <w:t>. Monitoring Periods</w:t>
      </w:r>
      <w:bookmarkEnd w:id="156"/>
      <w:bookmarkEnd w:id="157"/>
      <w:bookmarkEnd w:id="158"/>
      <w:bookmarkEnd w:id="159"/>
      <w:bookmarkEnd w:id="16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86" w:type="dxa"/>
          <w:right w:w="86" w:type="dxa"/>
        </w:tblCellMar>
        <w:tblLook w:val="0000" w:firstRow="0" w:lastRow="0" w:firstColumn="0" w:lastColumn="0" w:noHBand="0" w:noVBand="0"/>
      </w:tblPr>
      <w:tblGrid>
        <w:gridCol w:w="1440"/>
        <w:gridCol w:w="3279"/>
        <w:gridCol w:w="4433"/>
      </w:tblGrid>
      <w:tr w:rsidR="00B445CF" w14:paraId="7B289B98" w14:textId="77777777" w:rsidTr="00F75060">
        <w:trPr>
          <w:cantSplit/>
          <w:tblHeader/>
          <w:jc w:val="center"/>
        </w:trPr>
        <w:tc>
          <w:tcPr>
            <w:tcW w:w="1440" w:type="dxa"/>
            <w:shd w:val="clear" w:color="auto" w:fill="FFFFFF"/>
            <w:vAlign w:val="center"/>
          </w:tcPr>
          <w:p w14:paraId="3815BE52" w14:textId="77777777" w:rsidR="00B445CF" w:rsidRDefault="00B445CF" w:rsidP="001F7B77">
            <w:pPr>
              <w:tabs>
                <w:tab w:val="left" w:pos="4392"/>
                <w:tab w:val="center" w:pos="6840"/>
                <w:tab w:val="center" w:pos="8640"/>
              </w:tabs>
              <w:suppressAutoHyphens/>
              <w:ind w:left="-108" w:right="-108"/>
              <w:jc w:val="center"/>
              <w:rPr>
                <w:b/>
                <w:spacing w:val="-2"/>
              </w:rPr>
            </w:pPr>
            <w:r>
              <w:rPr>
                <w:b/>
                <w:spacing w:val="-2"/>
              </w:rPr>
              <w:t>Sampling</w:t>
            </w:r>
            <w:r>
              <w:rPr>
                <w:b/>
                <w:spacing w:val="-2"/>
              </w:rPr>
              <w:br/>
              <w:t>Frequency</w:t>
            </w:r>
          </w:p>
        </w:tc>
        <w:tc>
          <w:tcPr>
            <w:tcW w:w="3279" w:type="dxa"/>
            <w:shd w:val="clear" w:color="auto" w:fill="FFFFFF"/>
            <w:vAlign w:val="center"/>
          </w:tcPr>
          <w:p w14:paraId="35332D86" w14:textId="77777777" w:rsidR="00B445CF" w:rsidRDefault="00B445CF" w:rsidP="001F7B77">
            <w:pPr>
              <w:tabs>
                <w:tab w:val="left" w:pos="4392"/>
                <w:tab w:val="center" w:pos="6840"/>
                <w:tab w:val="center" w:pos="8640"/>
              </w:tabs>
              <w:suppressAutoHyphens/>
              <w:jc w:val="center"/>
              <w:rPr>
                <w:b/>
                <w:spacing w:val="-2"/>
              </w:rPr>
            </w:pPr>
            <w:r>
              <w:rPr>
                <w:b/>
                <w:spacing w:val="-2"/>
              </w:rPr>
              <w:t>Monitoring Period Begins On…</w:t>
            </w:r>
          </w:p>
        </w:tc>
        <w:tc>
          <w:tcPr>
            <w:tcW w:w="4433" w:type="dxa"/>
            <w:shd w:val="clear" w:color="auto" w:fill="FFFFFF"/>
            <w:vAlign w:val="center"/>
          </w:tcPr>
          <w:p w14:paraId="07665070" w14:textId="77777777" w:rsidR="00B445CF" w:rsidRDefault="00B445CF" w:rsidP="001F7B77">
            <w:pPr>
              <w:tabs>
                <w:tab w:val="left" w:pos="4392"/>
                <w:tab w:val="center" w:pos="6840"/>
                <w:tab w:val="center" w:pos="8640"/>
              </w:tabs>
              <w:suppressAutoHyphens/>
              <w:jc w:val="center"/>
              <w:rPr>
                <w:b/>
                <w:spacing w:val="-2"/>
              </w:rPr>
            </w:pPr>
            <w:r>
              <w:rPr>
                <w:b/>
                <w:spacing w:val="-2"/>
              </w:rPr>
              <w:t>Monitoring Period</w:t>
            </w:r>
          </w:p>
        </w:tc>
      </w:tr>
      <w:tr w:rsidR="00034FB7" w14:paraId="5C80F100" w14:textId="77777777" w:rsidTr="00A16F93">
        <w:trPr>
          <w:cantSplit/>
          <w:jc w:val="center"/>
        </w:trPr>
        <w:tc>
          <w:tcPr>
            <w:tcW w:w="1440" w:type="dxa"/>
            <w:vAlign w:val="center"/>
          </w:tcPr>
          <w:p w14:paraId="5FE61E49" w14:textId="0474AE03" w:rsidR="00034FB7" w:rsidRDefault="007D0FF5" w:rsidP="00A16F93">
            <w:pPr>
              <w:tabs>
                <w:tab w:val="left" w:pos="4392"/>
                <w:tab w:val="center" w:pos="6840"/>
                <w:tab w:val="center" w:pos="8640"/>
              </w:tabs>
              <w:suppressAutoHyphens/>
              <w:ind w:right="-18"/>
              <w:jc w:val="center"/>
              <w:rPr>
                <w:bCs/>
                <w:spacing w:val="-2"/>
              </w:rPr>
            </w:pPr>
            <w:r>
              <w:rPr>
                <w:bCs/>
                <w:spacing w:val="-2"/>
              </w:rPr>
              <w:t>1/Month</w:t>
            </w:r>
          </w:p>
        </w:tc>
        <w:tc>
          <w:tcPr>
            <w:tcW w:w="3279" w:type="dxa"/>
            <w:vAlign w:val="center"/>
          </w:tcPr>
          <w:p w14:paraId="1A24D154" w14:textId="77777777" w:rsidR="00034FB7" w:rsidRDefault="00034FB7" w:rsidP="00A16F93">
            <w:pPr>
              <w:tabs>
                <w:tab w:val="center" w:pos="6840"/>
                <w:tab w:val="center" w:pos="8640"/>
              </w:tabs>
              <w:suppressAutoHyphens/>
              <w:ind w:left="-4" w:right="-18"/>
              <w:rPr>
                <w:bCs/>
                <w:spacing w:val="-2"/>
              </w:rPr>
            </w:pPr>
            <w:r>
              <w:rPr>
                <w:bCs/>
                <w:spacing w:val="-2"/>
              </w:rPr>
              <w:t>Order effective date</w:t>
            </w:r>
          </w:p>
        </w:tc>
        <w:tc>
          <w:tcPr>
            <w:tcW w:w="4433" w:type="dxa"/>
            <w:vAlign w:val="center"/>
          </w:tcPr>
          <w:p w14:paraId="117F5232" w14:textId="1B84952B" w:rsidR="00034FB7" w:rsidRDefault="007D0FF5" w:rsidP="00A16F93">
            <w:pPr>
              <w:tabs>
                <w:tab w:val="center" w:pos="6840"/>
                <w:tab w:val="center" w:pos="8640"/>
              </w:tabs>
              <w:suppressAutoHyphens/>
              <w:ind w:right="-9"/>
              <w:rPr>
                <w:bCs/>
                <w:spacing w:val="-2"/>
              </w:rPr>
            </w:pPr>
            <w:r>
              <w:rPr>
                <w:bCs/>
                <w:spacing w:val="-2"/>
              </w:rPr>
              <w:t>First day of calendar month through last day of calendar month</w:t>
            </w:r>
          </w:p>
        </w:tc>
      </w:tr>
      <w:tr w:rsidR="007D0FF5" w14:paraId="04294558" w14:textId="77777777" w:rsidTr="00A16F93">
        <w:trPr>
          <w:cantSplit/>
          <w:jc w:val="center"/>
        </w:trPr>
        <w:tc>
          <w:tcPr>
            <w:tcW w:w="1440" w:type="dxa"/>
            <w:vAlign w:val="center"/>
          </w:tcPr>
          <w:p w14:paraId="59AA669D" w14:textId="2C1E643D" w:rsidR="007D0FF5" w:rsidRDefault="007D0FF5" w:rsidP="00A16F93">
            <w:pPr>
              <w:tabs>
                <w:tab w:val="left" w:pos="4392"/>
                <w:tab w:val="center" w:pos="6840"/>
                <w:tab w:val="center" w:pos="8640"/>
              </w:tabs>
              <w:suppressAutoHyphens/>
              <w:ind w:right="-18"/>
              <w:jc w:val="center"/>
              <w:rPr>
                <w:bCs/>
                <w:spacing w:val="-2"/>
              </w:rPr>
            </w:pPr>
            <w:r>
              <w:rPr>
                <w:bCs/>
                <w:spacing w:val="-2"/>
              </w:rPr>
              <w:t>1/Quarter</w:t>
            </w:r>
          </w:p>
        </w:tc>
        <w:tc>
          <w:tcPr>
            <w:tcW w:w="3279" w:type="dxa"/>
            <w:vAlign w:val="center"/>
          </w:tcPr>
          <w:p w14:paraId="792F782A" w14:textId="364370F8" w:rsidR="007D0FF5" w:rsidRDefault="007D0FF5" w:rsidP="00A16F93">
            <w:pPr>
              <w:tabs>
                <w:tab w:val="center" w:pos="6840"/>
                <w:tab w:val="center" w:pos="8640"/>
              </w:tabs>
              <w:suppressAutoHyphens/>
              <w:ind w:left="-4" w:right="-18"/>
              <w:rPr>
                <w:bCs/>
                <w:spacing w:val="-2"/>
              </w:rPr>
            </w:pPr>
            <w:r>
              <w:rPr>
                <w:bCs/>
                <w:spacing w:val="-2"/>
              </w:rPr>
              <w:t xml:space="preserve">Closest January 1, April 1, July 1, October 1 before or after Order effective date </w:t>
            </w:r>
            <w:r w:rsidRPr="008B6261">
              <w:rPr>
                <w:vertAlign w:val="superscript"/>
              </w:rPr>
              <w:t>[1]</w:t>
            </w:r>
          </w:p>
        </w:tc>
        <w:tc>
          <w:tcPr>
            <w:tcW w:w="4433" w:type="dxa"/>
            <w:vAlign w:val="center"/>
          </w:tcPr>
          <w:p w14:paraId="7EB0DB3E" w14:textId="77777777" w:rsidR="007D0FF5" w:rsidRDefault="007D0FF5" w:rsidP="00A16F93">
            <w:pPr>
              <w:tabs>
                <w:tab w:val="center" w:pos="6840"/>
                <w:tab w:val="center" w:pos="8640"/>
              </w:tabs>
              <w:suppressAutoHyphens/>
              <w:ind w:right="-9"/>
              <w:rPr>
                <w:bCs/>
                <w:spacing w:val="-2"/>
              </w:rPr>
            </w:pPr>
            <w:r>
              <w:rPr>
                <w:bCs/>
                <w:spacing w:val="-2"/>
              </w:rPr>
              <w:t>January 1 through March 31</w:t>
            </w:r>
          </w:p>
          <w:p w14:paraId="61D7E56A" w14:textId="77777777" w:rsidR="007D0FF5" w:rsidRDefault="007D0FF5" w:rsidP="00A16F93">
            <w:pPr>
              <w:tabs>
                <w:tab w:val="center" w:pos="6840"/>
                <w:tab w:val="center" w:pos="8640"/>
              </w:tabs>
              <w:suppressAutoHyphens/>
              <w:ind w:right="-9"/>
              <w:rPr>
                <w:bCs/>
                <w:spacing w:val="-2"/>
              </w:rPr>
            </w:pPr>
            <w:r>
              <w:rPr>
                <w:bCs/>
                <w:spacing w:val="-2"/>
              </w:rPr>
              <w:t>April 1 through June 30</w:t>
            </w:r>
          </w:p>
          <w:p w14:paraId="2D21C903" w14:textId="1447DF10" w:rsidR="007D0FF5" w:rsidRDefault="007D0FF5" w:rsidP="00A16F93">
            <w:pPr>
              <w:tabs>
                <w:tab w:val="center" w:pos="6840"/>
                <w:tab w:val="center" w:pos="8640"/>
              </w:tabs>
              <w:suppressAutoHyphens/>
              <w:ind w:right="-9"/>
              <w:rPr>
                <w:bCs/>
                <w:spacing w:val="-2"/>
              </w:rPr>
            </w:pPr>
            <w:r>
              <w:rPr>
                <w:bCs/>
                <w:spacing w:val="-2"/>
              </w:rPr>
              <w:t>July 1 through September 30</w:t>
            </w:r>
          </w:p>
        </w:tc>
      </w:tr>
      <w:tr w:rsidR="00A16F93" w14:paraId="19754E8B" w14:textId="77777777" w:rsidTr="00A16F93">
        <w:trPr>
          <w:cantSplit/>
          <w:jc w:val="center"/>
        </w:trPr>
        <w:tc>
          <w:tcPr>
            <w:tcW w:w="1440" w:type="dxa"/>
            <w:vAlign w:val="center"/>
          </w:tcPr>
          <w:p w14:paraId="3813232F" w14:textId="2855DBA0" w:rsidR="00A16F93" w:rsidRDefault="00A16F93" w:rsidP="00A16F93">
            <w:pPr>
              <w:tabs>
                <w:tab w:val="left" w:pos="4392"/>
                <w:tab w:val="center" w:pos="6840"/>
                <w:tab w:val="center" w:pos="8640"/>
              </w:tabs>
              <w:suppressAutoHyphens/>
              <w:ind w:right="-18"/>
              <w:jc w:val="center"/>
              <w:rPr>
                <w:bCs/>
                <w:spacing w:val="-2"/>
              </w:rPr>
            </w:pPr>
            <w:r>
              <w:rPr>
                <w:bCs/>
                <w:spacing w:val="-2"/>
              </w:rPr>
              <w:t>2/Year</w:t>
            </w:r>
          </w:p>
        </w:tc>
        <w:tc>
          <w:tcPr>
            <w:tcW w:w="3279" w:type="dxa"/>
            <w:vAlign w:val="center"/>
          </w:tcPr>
          <w:p w14:paraId="51399E03" w14:textId="5D480597" w:rsidR="00A16F93" w:rsidRDefault="00A16F93" w:rsidP="00A16F93">
            <w:pPr>
              <w:tabs>
                <w:tab w:val="center" w:pos="6840"/>
                <w:tab w:val="center" w:pos="8640"/>
              </w:tabs>
              <w:suppressAutoHyphens/>
              <w:ind w:left="-4" w:right="-18"/>
              <w:rPr>
                <w:bCs/>
                <w:spacing w:val="-2"/>
              </w:rPr>
            </w:pPr>
            <w:r>
              <w:rPr>
                <w:bCs/>
                <w:spacing w:val="-2"/>
              </w:rPr>
              <w:t xml:space="preserve">Closest January 1 or July 1 before or after Order effective date </w:t>
            </w:r>
            <w:r w:rsidRPr="009D550E">
              <w:rPr>
                <w:bCs/>
                <w:spacing w:val="-2"/>
                <w:vertAlign w:val="superscript"/>
              </w:rPr>
              <w:t>[1]</w:t>
            </w:r>
          </w:p>
        </w:tc>
        <w:tc>
          <w:tcPr>
            <w:tcW w:w="4433" w:type="dxa"/>
            <w:vAlign w:val="center"/>
          </w:tcPr>
          <w:p w14:paraId="5F60E8ED" w14:textId="77777777" w:rsidR="00A16F93" w:rsidRDefault="00A16F93" w:rsidP="00A16F93">
            <w:pPr>
              <w:tabs>
                <w:tab w:val="center" w:pos="6840"/>
                <w:tab w:val="center" w:pos="8640"/>
              </w:tabs>
              <w:suppressAutoHyphens/>
              <w:ind w:right="-9"/>
              <w:rPr>
                <w:bCs/>
                <w:spacing w:val="-2"/>
              </w:rPr>
            </w:pPr>
            <w:r>
              <w:rPr>
                <w:bCs/>
                <w:spacing w:val="-2"/>
              </w:rPr>
              <w:t>January 1 through June 30</w:t>
            </w:r>
          </w:p>
          <w:p w14:paraId="2A6FAE0F" w14:textId="23D4C7F5" w:rsidR="00A16F93" w:rsidRDefault="00A16F93" w:rsidP="00A16F93">
            <w:pPr>
              <w:tabs>
                <w:tab w:val="center" w:pos="6840"/>
                <w:tab w:val="center" w:pos="8640"/>
              </w:tabs>
              <w:suppressAutoHyphens/>
              <w:ind w:right="-9"/>
              <w:rPr>
                <w:bCs/>
                <w:spacing w:val="-2"/>
              </w:rPr>
            </w:pPr>
            <w:r>
              <w:rPr>
                <w:bCs/>
                <w:spacing w:val="-2"/>
              </w:rPr>
              <w:t>July 1 through December 31</w:t>
            </w:r>
          </w:p>
        </w:tc>
      </w:tr>
      <w:tr w:rsidR="00A16F93" w14:paraId="6F7E1772" w14:textId="77777777" w:rsidTr="00A16F93">
        <w:trPr>
          <w:cantSplit/>
          <w:jc w:val="center"/>
        </w:trPr>
        <w:tc>
          <w:tcPr>
            <w:tcW w:w="1440" w:type="dxa"/>
            <w:vAlign w:val="center"/>
          </w:tcPr>
          <w:p w14:paraId="39EF4D12" w14:textId="54CE113F" w:rsidR="00A16F93" w:rsidRDefault="00A16F93" w:rsidP="00A16F93">
            <w:pPr>
              <w:tabs>
                <w:tab w:val="left" w:pos="4392"/>
                <w:tab w:val="center" w:pos="6840"/>
                <w:tab w:val="center" w:pos="8640"/>
              </w:tabs>
              <w:suppressAutoHyphens/>
              <w:ind w:right="-18"/>
              <w:jc w:val="center"/>
              <w:rPr>
                <w:bCs/>
                <w:spacing w:val="-2"/>
              </w:rPr>
            </w:pPr>
            <w:r w:rsidDel="00F75060">
              <w:rPr>
                <w:bCs/>
                <w:spacing w:val="-2"/>
              </w:rPr>
              <w:t>1/Year</w:t>
            </w:r>
          </w:p>
        </w:tc>
        <w:tc>
          <w:tcPr>
            <w:tcW w:w="3279" w:type="dxa"/>
            <w:vAlign w:val="center"/>
          </w:tcPr>
          <w:p w14:paraId="2C6C7605" w14:textId="276AF9B2" w:rsidR="00A16F93" w:rsidRDefault="00A16F93" w:rsidP="00A16F93">
            <w:pPr>
              <w:tabs>
                <w:tab w:val="center" w:pos="6840"/>
                <w:tab w:val="center" w:pos="8640"/>
              </w:tabs>
              <w:suppressAutoHyphens/>
              <w:ind w:left="-4" w:right="-18"/>
              <w:rPr>
                <w:bCs/>
                <w:spacing w:val="-2"/>
              </w:rPr>
            </w:pPr>
            <w:r w:rsidDel="00F75060">
              <w:rPr>
                <w:bCs/>
                <w:spacing w:val="-2"/>
              </w:rPr>
              <w:t xml:space="preserve">Closest January 1 before or after Order effective date </w:t>
            </w:r>
            <w:r w:rsidRPr="009D550E" w:rsidDel="00F75060">
              <w:rPr>
                <w:bCs/>
                <w:spacing w:val="-2"/>
                <w:vertAlign w:val="superscript"/>
              </w:rPr>
              <w:t>[1]</w:t>
            </w:r>
          </w:p>
        </w:tc>
        <w:tc>
          <w:tcPr>
            <w:tcW w:w="4433" w:type="dxa"/>
            <w:vAlign w:val="center"/>
          </w:tcPr>
          <w:p w14:paraId="57F8666C" w14:textId="055E58A7" w:rsidR="00A16F93" w:rsidRDefault="00A16F93" w:rsidP="00A16F93">
            <w:pPr>
              <w:tabs>
                <w:tab w:val="center" w:pos="6840"/>
                <w:tab w:val="center" w:pos="8640"/>
              </w:tabs>
              <w:suppressAutoHyphens/>
              <w:ind w:right="-9"/>
              <w:rPr>
                <w:bCs/>
                <w:spacing w:val="-2"/>
              </w:rPr>
            </w:pPr>
            <w:r w:rsidDel="00F75060">
              <w:rPr>
                <w:bCs/>
                <w:spacing w:val="-2"/>
              </w:rPr>
              <w:t>January 1 through December 31</w:t>
            </w:r>
          </w:p>
        </w:tc>
      </w:tr>
      <w:tr w:rsidR="007D0FF5" w14:paraId="7F7F5CD8" w14:textId="77777777" w:rsidTr="00A16F93">
        <w:trPr>
          <w:cantSplit/>
          <w:jc w:val="center"/>
        </w:trPr>
        <w:tc>
          <w:tcPr>
            <w:tcW w:w="1440" w:type="dxa"/>
            <w:tcBorders>
              <w:top w:val="single" w:sz="6" w:space="0" w:color="auto"/>
              <w:left w:val="single" w:sz="12" w:space="0" w:color="auto"/>
              <w:bottom w:val="single" w:sz="6" w:space="0" w:color="auto"/>
              <w:right w:val="single" w:sz="6" w:space="0" w:color="auto"/>
            </w:tcBorders>
            <w:vAlign w:val="center"/>
          </w:tcPr>
          <w:p w14:paraId="02FDCD55" w14:textId="0A3B51B9" w:rsidR="007D0FF5" w:rsidRDefault="007D0FF5" w:rsidP="00A16F93">
            <w:pPr>
              <w:tabs>
                <w:tab w:val="left" w:pos="4392"/>
                <w:tab w:val="center" w:pos="6840"/>
                <w:tab w:val="center" w:pos="8640"/>
              </w:tabs>
              <w:suppressAutoHyphens/>
              <w:ind w:right="-18"/>
              <w:jc w:val="center"/>
              <w:rPr>
                <w:bCs/>
                <w:spacing w:val="-2"/>
              </w:rPr>
            </w:pPr>
            <w:r>
              <w:rPr>
                <w:bCs/>
                <w:spacing w:val="-2"/>
              </w:rPr>
              <w:t>Once</w:t>
            </w:r>
          </w:p>
        </w:tc>
        <w:tc>
          <w:tcPr>
            <w:tcW w:w="3279" w:type="dxa"/>
            <w:tcBorders>
              <w:top w:val="single" w:sz="6" w:space="0" w:color="auto"/>
              <w:left w:val="single" w:sz="6" w:space="0" w:color="auto"/>
              <w:bottom w:val="single" w:sz="6" w:space="0" w:color="auto"/>
              <w:right w:val="single" w:sz="6" w:space="0" w:color="auto"/>
            </w:tcBorders>
            <w:vAlign w:val="center"/>
          </w:tcPr>
          <w:p w14:paraId="5DBAD51F" w14:textId="77777777" w:rsidR="007D0FF5" w:rsidRDefault="007D0FF5" w:rsidP="00A16F93">
            <w:pPr>
              <w:tabs>
                <w:tab w:val="center" w:pos="6840"/>
                <w:tab w:val="center" w:pos="8640"/>
              </w:tabs>
              <w:suppressAutoHyphens/>
              <w:ind w:left="-4" w:right="-18"/>
              <w:rPr>
                <w:bCs/>
                <w:spacing w:val="-2"/>
              </w:rPr>
            </w:pPr>
            <w:r>
              <w:rPr>
                <w:bCs/>
                <w:spacing w:val="-2"/>
              </w:rPr>
              <w:t>Order effective date</w:t>
            </w:r>
          </w:p>
        </w:tc>
        <w:tc>
          <w:tcPr>
            <w:tcW w:w="4433" w:type="dxa"/>
            <w:tcBorders>
              <w:top w:val="single" w:sz="6" w:space="0" w:color="auto"/>
              <w:left w:val="single" w:sz="6" w:space="0" w:color="auto"/>
              <w:bottom w:val="single" w:sz="6" w:space="0" w:color="auto"/>
              <w:right w:val="single" w:sz="12" w:space="0" w:color="auto"/>
            </w:tcBorders>
            <w:vAlign w:val="center"/>
          </w:tcPr>
          <w:p w14:paraId="638EFCA6" w14:textId="77777777" w:rsidR="007D0FF5" w:rsidRDefault="007D0FF5" w:rsidP="00A16F93">
            <w:pPr>
              <w:tabs>
                <w:tab w:val="center" w:pos="6840"/>
                <w:tab w:val="center" w:pos="8640"/>
              </w:tabs>
              <w:suppressAutoHyphens/>
              <w:ind w:right="-9"/>
              <w:rPr>
                <w:bCs/>
                <w:spacing w:val="-2"/>
              </w:rPr>
            </w:pPr>
            <w:r>
              <w:rPr>
                <w:bCs/>
                <w:spacing w:val="-2"/>
              </w:rPr>
              <w:t>Once during Order term such that result is included with application for permit reissuance</w:t>
            </w:r>
          </w:p>
        </w:tc>
      </w:tr>
    </w:tbl>
    <w:p w14:paraId="5419C3ED" w14:textId="77777777" w:rsidR="00E00692" w:rsidRPr="00AA7908" w:rsidRDefault="00E00692" w:rsidP="00F75060">
      <w:pPr>
        <w:keepNext/>
        <w:spacing w:before="60" w:after="60"/>
        <w:ind w:left="810" w:hanging="270"/>
        <w:rPr>
          <w:sz w:val="18"/>
          <w:szCs w:val="18"/>
          <w:u w:val="single"/>
        </w:rPr>
      </w:pPr>
      <w:r w:rsidRPr="00AA7908">
        <w:rPr>
          <w:sz w:val="18"/>
          <w:szCs w:val="18"/>
          <w:u w:val="single"/>
        </w:rPr>
        <w:t>Footnote:</w:t>
      </w:r>
    </w:p>
    <w:p w14:paraId="7B7E45DE" w14:textId="77777777" w:rsidR="00F878D4" w:rsidRPr="00943772" w:rsidRDefault="00E00692" w:rsidP="00F75060">
      <w:pPr>
        <w:spacing w:before="60" w:after="240"/>
        <w:ind w:left="810" w:hanging="270"/>
        <w:rPr>
          <w:sz w:val="18"/>
          <w:szCs w:val="18"/>
        </w:rPr>
      </w:pPr>
      <w:r w:rsidRPr="00AA7908">
        <w:rPr>
          <w:sz w:val="18"/>
          <w:szCs w:val="18"/>
          <w:vertAlign w:val="superscript"/>
        </w:rPr>
        <w:t>[1]</w:t>
      </w:r>
      <w:r>
        <w:rPr>
          <w:sz w:val="18"/>
          <w:szCs w:val="18"/>
        </w:rPr>
        <w:tab/>
      </w:r>
      <w:r w:rsidRPr="00AA7908">
        <w:rPr>
          <w:sz w:val="18"/>
          <w:szCs w:val="18"/>
        </w:rPr>
        <w:t>Monitoring performed during the previous order term may be used to satisfy monitoring required by this Order.</w:t>
      </w:r>
    </w:p>
    <w:p w14:paraId="364B4FA2" w14:textId="7E0AF92A" w:rsidR="00F878D4" w:rsidRPr="002B463F" w:rsidRDefault="005A2F80" w:rsidP="00974334">
      <w:pPr>
        <w:pStyle w:val="H-indent5025"/>
        <w:tabs>
          <w:tab w:val="left" w:pos="387"/>
        </w:tabs>
        <w:spacing w:after="120"/>
        <w:rPr>
          <w:rFonts w:ascii="Times New Roman" w:hAnsi="Times New Roman" w:cs="Times New Roman"/>
          <w:b/>
        </w:rPr>
      </w:pPr>
      <w:r w:rsidRPr="000A3B0D">
        <w:rPr>
          <w:rFonts w:ascii="Times New Roman" w:hAnsi="Times New Roman" w:cs="Times New Roman"/>
          <w:b/>
        </w:rPr>
        <w:t>5</w:t>
      </w:r>
      <w:r w:rsidR="00F878D4" w:rsidRPr="000A3B0D">
        <w:rPr>
          <w:rFonts w:ascii="Times New Roman" w:hAnsi="Times New Roman" w:cs="Times New Roman"/>
          <w:b/>
        </w:rPr>
        <w:t>.</w:t>
      </w:r>
      <w:r w:rsidR="00F878D4" w:rsidRPr="000A3B0D">
        <w:rPr>
          <w:rFonts w:ascii="Times New Roman" w:hAnsi="Times New Roman" w:cs="Times New Roman"/>
          <w:b/>
        </w:rPr>
        <w:tab/>
      </w:r>
      <w:r w:rsidR="00755778" w:rsidRPr="000A3B0D">
        <w:rPr>
          <w:rFonts w:ascii="Times New Roman" w:hAnsi="Times New Roman" w:cs="Times New Roman"/>
          <w:b/>
        </w:rPr>
        <w:t xml:space="preserve">RL </w:t>
      </w:r>
      <w:r w:rsidR="00F878D4" w:rsidRPr="000A3B0D">
        <w:rPr>
          <w:rFonts w:ascii="Times New Roman" w:hAnsi="Times New Roman" w:cs="Times New Roman"/>
          <w:b/>
        </w:rPr>
        <w:t>and MDL Reporting.</w:t>
      </w:r>
      <w:r w:rsidR="00F878D4" w:rsidRPr="000A3B0D">
        <w:rPr>
          <w:rFonts w:ascii="Times New Roman" w:hAnsi="Times New Roman" w:cs="Times New Roman"/>
        </w:rPr>
        <w:t xml:space="preserve"> </w:t>
      </w:r>
      <w:r w:rsidR="00B33472">
        <w:rPr>
          <w:rFonts w:ascii="Times New Roman" w:hAnsi="Times New Roman" w:cs="Times New Roman"/>
        </w:rPr>
        <w:t>Dischargers</w:t>
      </w:r>
      <w:r w:rsidR="00F878D4" w:rsidRPr="000A3B0D">
        <w:rPr>
          <w:rFonts w:ascii="Times New Roman" w:hAnsi="Times New Roman" w:cs="Times New Roman"/>
        </w:rPr>
        <w:t xml:space="preserve"> shall report with each sample result the Reporting Level (RL) and Method Detection Limit (MDL) as determined by the procedure in 40 </w:t>
      </w:r>
      <w:r w:rsidR="008E158C" w:rsidRPr="000A3B0D">
        <w:rPr>
          <w:rFonts w:ascii="Times New Roman" w:hAnsi="Times New Roman" w:cs="Times New Roman"/>
        </w:rPr>
        <w:t xml:space="preserve">C.F.R. </w:t>
      </w:r>
      <w:r w:rsidR="00FB7404" w:rsidRPr="000A3B0D">
        <w:rPr>
          <w:rFonts w:ascii="Times New Roman" w:hAnsi="Times New Roman" w:cs="Times New Roman"/>
        </w:rPr>
        <w:t>part</w:t>
      </w:r>
      <w:r w:rsidR="00F878D4" w:rsidRPr="000A3B0D">
        <w:rPr>
          <w:rFonts w:ascii="Times New Roman" w:hAnsi="Times New Roman" w:cs="Times New Roman"/>
        </w:rPr>
        <w:t xml:space="preserve"> 136. </w:t>
      </w:r>
      <w:r w:rsidR="00B70AC2">
        <w:rPr>
          <w:rFonts w:ascii="Times New Roman" w:hAnsi="Times New Roman" w:cs="Times New Roman"/>
        </w:rPr>
        <w:t>Dischargers</w:t>
      </w:r>
      <w:r w:rsidR="00F878D4" w:rsidRPr="000A3B0D">
        <w:rPr>
          <w:rFonts w:ascii="Times New Roman" w:hAnsi="Times New Roman" w:cs="Times New Roman"/>
        </w:rPr>
        <w:t xml:space="preserve"> shall report the results of analytical determinations for the presence </w:t>
      </w:r>
      <w:r w:rsidR="00F878D4" w:rsidRPr="002B463F">
        <w:rPr>
          <w:rFonts w:ascii="Times New Roman" w:hAnsi="Times New Roman" w:cs="Times New Roman"/>
        </w:rPr>
        <w:t>of chemical constituents in a sample using the following reporting protocols:</w:t>
      </w:r>
    </w:p>
    <w:p w14:paraId="023AC89B" w14:textId="77777777" w:rsidR="00F878D4" w:rsidRPr="002B463F" w:rsidRDefault="00F878D4" w:rsidP="00F878D4">
      <w:pPr>
        <w:tabs>
          <w:tab w:val="left" w:pos="1440"/>
        </w:tabs>
        <w:ind w:left="1440" w:hanging="360"/>
        <w:rPr>
          <w:sz w:val="24"/>
          <w:szCs w:val="24"/>
        </w:rPr>
      </w:pPr>
      <w:r w:rsidRPr="002B463F">
        <w:rPr>
          <w:b/>
          <w:sz w:val="24"/>
          <w:szCs w:val="24"/>
        </w:rPr>
        <w:t>a.</w:t>
      </w:r>
      <w:r w:rsidRPr="002B463F">
        <w:rPr>
          <w:sz w:val="24"/>
          <w:szCs w:val="24"/>
        </w:rPr>
        <w:tab/>
        <w:t>Sample results greater than or equal to the RL shall be reported as measured by the laboratory (i.e., the measured chemical concentration in the sample).</w:t>
      </w:r>
    </w:p>
    <w:p w14:paraId="242E921D" w14:textId="77777777" w:rsidR="00F878D4" w:rsidRPr="002B463F" w:rsidRDefault="00F878D4" w:rsidP="00F878D4">
      <w:pPr>
        <w:tabs>
          <w:tab w:val="left" w:pos="1440"/>
        </w:tabs>
        <w:ind w:left="1440" w:hanging="360"/>
        <w:rPr>
          <w:sz w:val="24"/>
          <w:szCs w:val="24"/>
        </w:rPr>
      </w:pPr>
    </w:p>
    <w:p w14:paraId="29A83808" w14:textId="77777777" w:rsidR="00F878D4" w:rsidRPr="002B463F" w:rsidRDefault="00F878D4" w:rsidP="00F878D4">
      <w:pPr>
        <w:tabs>
          <w:tab w:val="left" w:pos="1440"/>
        </w:tabs>
        <w:ind w:left="1440" w:hanging="360"/>
        <w:rPr>
          <w:sz w:val="24"/>
          <w:szCs w:val="24"/>
        </w:rPr>
      </w:pPr>
      <w:r w:rsidRPr="002B463F">
        <w:rPr>
          <w:b/>
          <w:sz w:val="24"/>
          <w:szCs w:val="24"/>
        </w:rPr>
        <w:t>b.</w:t>
      </w:r>
      <w:r w:rsidRPr="002B463F">
        <w:rPr>
          <w:sz w:val="24"/>
          <w:szCs w:val="24"/>
        </w:rPr>
        <w:tab/>
        <w:t xml:space="preserve">Sample results less than the RL, but greater than or equal to the laboratory’s MDL, shall be reported as “Detected, but Not Quantified,” or DNQ. The estimated chemical concentration of the sample shall also be reported. </w:t>
      </w:r>
      <w:r w:rsidR="00FB7404" w:rsidRPr="002B463F">
        <w:rPr>
          <w:sz w:val="24"/>
          <w:szCs w:val="24"/>
        </w:rPr>
        <w:br/>
      </w:r>
      <w:r w:rsidR="00FB7404" w:rsidRPr="002B463F">
        <w:rPr>
          <w:sz w:val="24"/>
          <w:szCs w:val="24"/>
        </w:rPr>
        <w:lastRenderedPageBreak/>
        <w:br/>
      </w:r>
      <w:r w:rsidRPr="002B463F">
        <w:rPr>
          <w:sz w:val="24"/>
          <w:szCs w:val="24"/>
        </w:rPr>
        <w:t>For purposes of data collection, the laboratory shall write the estimated chemical concentration next to DNQ. The laboratory may, if such information is available, include numerical estimates of the data quality for the reported result. Numerical estimates of data quality may be percent accuracy (+/</w:t>
      </w:r>
      <w:r w:rsidRPr="002B463F">
        <w:rPr>
          <w:sz w:val="24"/>
          <w:szCs w:val="24"/>
        </w:rPr>
        <w:noBreakHyphen/>
        <w:t> a percentage of the reported value), numerical ranges (low to high), or any other means the laboratory considers appropriate.</w:t>
      </w:r>
    </w:p>
    <w:p w14:paraId="357A5F0D" w14:textId="77777777" w:rsidR="00F878D4" w:rsidRPr="002B463F" w:rsidRDefault="00F878D4" w:rsidP="00F878D4">
      <w:pPr>
        <w:tabs>
          <w:tab w:val="left" w:pos="1440"/>
        </w:tabs>
        <w:ind w:left="1440" w:hanging="360"/>
        <w:rPr>
          <w:sz w:val="24"/>
          <w:szCs w:val="24"/>
        </w:rPr>
      </w:pPr>
    </w:p>
    <w:p w14:paraId="57E83A26" w14:textId="7674E07E" w:rsidR="00F878D4" w:rsidRPr="002B463F" w:rsidRDefault="00F878D4" w:rsidP="0056237B">
      <w:pPr>
        <w:tabs>
          <w:tab w:val="left" w:pos="1440"/>
        </w:tabs>
        <w:ind w:left="1440" w:hanging="360"/>
        <w:rPr>
          <w:sz w:val="24"/>
          <w:szCs w:val="24"/>
        </w:rPr>
      </w:pPr>
      <w:r w:rsidRPr="002B463F">
        <w:rPr>
          <w:b/>
          <w:sz w:val="24"/>
          <w:szCs w:val="24"/>
        </w:rPr>
        <w:t>c.</w:t>
      </w:r>
      <w:r w:rsidRPr="002B463F">
        <w:rPr>
          <w:sz w:val="24"/>
          <w:szCs w:val="24"/>
        </w:rPr>
        <w:tab/>
        <w:t>Sample results less than the laboratory’s MDL shall be reported as “Not Detected”</w:t>
      </w:r>
      <w:r w:rsidR="00E1592E" w:rsidRPr="002B463F">
        <w:rPr>
          <w:sz w:val="24"/>
          <w:szCs w:val="24"/>
        </w:rPr>
        <w:t xml:space="preserve">, or </w:t>
      </w:r>
      <w:r w:rsidRPr="002B463F">
        <w:rPr>
          <w:sz w:val="24"/>
          <w:szCs w:val="24"/>
        </w:rPr>
        <w:t>ND.</w:t>
      </w:r>
    </w:p>
    <w:p w14:paraId="6F697796" w14:textId="77777777" w:rsidR="00F878D4" w:rsidRPr="002B463F" w:rsidRDefault="00F878D4" w:rsidP="00F878D4">
      <w:pPr>
        <w:tabs>
          <w:tab w:val="left" w:pos="1440"/>
        </w:tabs>
        <w:ind w:left="1440" w:hanging="360"/>
        <w:rPr>
          <w:sz w:val="24"/>
          <w:szCs w:val="24"/>
        </w:rPr>
      </w:pPr>
    </w:p>
    <w:p w14:paraId="50CC9FE2" w14:textId="540A9A29" w:rsidR="00FA4881" w:rsidRDefault="00FA4881" w:rsidP="00885807">
      <w:pPr>
        <w:pStyle w:val="H-indent5025"/>
        <w:numPr>
          <w:ilvl w:val="1"/>
          <w:numId w:val="36"/>
        </w:numPr>
        <w:tabs>
          <w:tab w:val="left" w:pos="387"/>
        </w:tabs>
        <w:rPr>
          <w:rFonts w:ascii="Times New Roman" w:hAnsi="Times New Roman" w:cs="Times New Roman"/>
        </w:rPr>
      </w:pPr>
      <w:r>
        <w:rPr>
          <w:rFonts w:ascii="Times New Roman" w:hAnsi="Times New Roman" w:cs="Times New Roman"/>
          <w:b/>
        </w:rPr>
        <w:t>PCBs Congeners Reporting</w:t>
      </w:r>
      <w:r w:rsidR="00D9600D" w:rsidRPr="000A3B0D">
        <w:rPr>
          <w:rFonts w:ascii="Times New Roman" w:hAnsi="Times New Roman" w:cs="Times New Roman"/>
          <w:b/>
        </w:rPr>
        <w:t xml:space="preserve">. </w:t>
      </w:r>
      <w:r w:rsidRPr="00FA4881">
        <w:rPr>
          <w:rFonts w:ascii="Times New Roman" w:hAnsi="Times New Roman" w:cs="Times New Roman"/>
        </w:rPr>
        <w:t xml:space="preserve">General requirements for reporting </w:t>
      </w:r>
      <w:r w:rsidR="00EE0813">
        <w:rPr>
          <w:rFonts w:ascii="Times New Roman" w:hAnsi="Times New Roman" w:cs="Times New Roman"/>
        </w:rPr>
        <w:t>U.S. EPA</w:t>
      </w:r>
      <w:r w:rsidRPr="00FA4881">
        <w:rPr>
          <w:rFonts w:ascii="Times New Roman" w:hAnsi="Times New Roman" w:cs="Times New Roman"/>
        </w:rPr>
        <w:t xml:space="preserve"> Method 1668C data are as follows:</w:t>
      </w:r>
    </w:p>
    <w:p w14:paraId="47DF428B" w14:textId="7C8B22A4" w:rsidR="00960AD3" w:rsidRPr="00960AD3" w:rsidRDefault="00960AD3" w:rsidP="00960AD3">
      <w:pPr>
        <w:pStyle w:val="H-indent5025"/>
        <w:tabs>
          <w:tab w:val="clear" w:pos="1080"/>
          <w:tab w:val="left" w:pos="387"/>
          <w:tab w:val="left" w:pos="1440"/>
        </w:tabs>
        <w:ind w:left="1440"/>
        <w:rPr>
          <w:rFonts w:ascii="Times New Roman" w:hAnsi="Times New Roman" w:cs="Times New Roman"/>
        </w:rPr>
      </w:pPr>
      <w:r>
        <w:rPr>
          <w:rFonts w:ascii="Times New Roman" w:hAnsi="Times New Roman" w:cs="Times New Roman"/>
          <w:b/>
        </w:rPr>
        <w:t xml:space="preserve">a. </w:t>
      </w:r>
      <w:r>
        <w:rPr>
          <w:rFonts w:ascii="Times New Roman" w:hAnsi="Times New Roman" w:cs="Times New Roman"/>
          <w:b/>
        </w:rPr>
        <w:tab/>
        <w:t xml:space="preserve">Minimum Levels </w:t>
      </w:r>
      <w:r w:rsidRPr="00570B42">
        <w:rPr>
          <w:rFonts w:ascii="Times New Roman" w:hAnsi="Times New Roman" w:cs="Times New Roman"/>
          <w:b/>
        </w:rPr>
        <w:t>—</w:t>
      </w:r>
      <w:r>
        <w:rPr>
          <w:rFonts w:ascii="Times New Roman" w:hAnsi="Times New Roman" w:cs="Times New Roman"/>
        </w:rPr>
        <w:t xml:space="preserve"> The ML</w:t>
      </w:r>
      <w:r w:rsidRPr="00960AD3">
        <w:rPr>
          <w:rFonts w:ascii="Times New Roman" w:hAnsi="Times New Roman" w:cs="Times New Roman"/>
        </w:rPr>
        <w:t xml:space="preserve"> for each congener shall be published Method MLs (Table 2, EPA1668C). The laboratory analyzing the samples must have on file data demonstrating a lower calibration limit that is equal to or less than the published Method ML. Laboratories may revise the lower calibration limits based on final published values when </w:t>
      </w:r>
      <w:r w:rsidR="00EE0813">
        <w:rPr>
          <w:rFonts w:ascii="Times New Roman" w:hAnsi="Times New Roman" w:cs="Times New Roman"/>
        </w:rPr>
        <w:t>U.S. EPA</w:t>
      </w:r>
      <w:r w:rsidRPr="00960AD3">
        <w:rPr>
          <w:rFonts w:ascii="Times New Roman" w:hAnsi="Times New Roman" w:cs="Times New Roman"/>
        </w:rPr>
        <w:t xml:space="preserve"> Method 1668C is fully approved or</w:t>
      </w:r>
      <w:r>
        <w:rPr>
          <w:rFonts w:ascii="Times New Roman" w:hAnsi="Times New Roman" w:cs="Times New Roman"/>
        </w:rPr>
        <w:t xml:space="preserve"> promulgated.</w:t>
      </w:r>
    </w:p>
    <w:p w14:paraId="0B6CA8D7" w14:textId="6AFDC332" w:rsidR="00960AD3" w:rsidRPr="00960AD3" w:rsidRDefault="00960AD3" w:rsidP="003C7ACC">
      <w:pPr>
        <w:pStyle w:val="H-indent5025"/>
        <w:tabs>
          <w:tab w:val="left" w:pos="387"/>
        </w:tabs>
        <w:ind w:left="1440"/>
        <w:rPr>
          <w:rFonts w:ascii="Times New Roman" w:hAnsi="Times New Roman" w:cs="Times New Roman"/>
        </w:rPr>
      </w:pPr>
      <w:r w:rsidRPr="00960AD3">
        <w:rPr>
          <w:rFonts w:ascii="Times New Roman" w:hAnsi="Times New Roman" w:cs="Times New Roman"/>
          <w:b/>
        </w:rPr>
        <w:t>b.</w:t>
      </w:r>
      <w:r>
        <w:rPr>
          <w:rFonts w:ascii="Times New Roman" w:hAnsi="Times New Roman" w:cs="Times New Roman"/>
          <w:b/>
        </w:rPr>
        <w:t xml:space="preserve"> </w:t>
      </w:r>
      <w:r>
        <w:rPr>
          <w:rFonts w:ascii="Times New Roman" w:hAnsi="Times New Roman" w:cs="Times New Roman"/>
          <w:b/>
        </w:rPr>
        <w:tab/>
        <w:t xml:space="preserve">Method Detection Limits </w:t>
      </w:r>
      <w:r w:rsidRPr="00570B42">
        <w:rPr>
          <w:rFonts w:ascii="Times New Roman" w:hAnsi="Times New Roman" w:cs="Times New Roman"/>
          <w:b/>
        </w:rPr>
        <w:t>—</w:t>
      </w:r>
      <w:r w:rsidRPr="00960AD3">
        <w:rPr>
          <w:rFonts w:ascii="Times New Roman" w:hAnsi="Times New Roman" w:cs="Times New Roman"/>
        </w:rPr>
        <w:t xml:space="preserve">The MDLs reported by the laboratory shall meet the criteria set in </w:t>
      </w:r>
      <w:r w:rsidR="00EE0813">
        <w:rPr>
          <w:rFonts w:ascii="Times New Roman" w:hAnsi="Times New Roman" w:cs="Times New Roman"/>
        </w:rPr>
        <w:t>U.S. EPA</w:t>
      </w:r>
      <w:r w:rsidRPr="00960AD3">
        <w:rPr>
          <w:rFonts w:ascii="Times New Roman" w:hAnsi="Times New Roman" w:cs="Times New Roman"/>
        </w:rPr>
        <w:t xml:space="preserve"> Method 1668C. The laboratory shall demonstrate capability by achieving MDLs below method-specified MDLs. The MDL is based on</w:t>
      </w:r>
      <w:r>
        <w:rPr>
          <w:rFonts w:ascii="Times New Roman" w:hAnsi="Times New Roman" w:cs="Times New Roman"/>
        </w:rPr>
        <w:t xml:space="preserve"> analysis of low-level replicates of clean matrices (deionized water). Sample-specific detection limits (SSDLs) </w:t>
      </w:r>
      <w:r w:rsidRPr="00960AD3">
        <w:rPr>
          <w:rFonts w:ascii="Times New Roman" w:hAnsi="Times New Roman" w:cs="Times New Roman"/>
        </w:rPr>
        <w:t xml:space="preserve">for each congener shall be reported when there is a </w:t>
      </w:r>
      <w:r w:rsidR="000559C0">
        <w:rPr>
          <w:rFonts w:ascii="Times New Roman" w:hAnsi="Times New Roman" w:cs="Times New Roman"/>
        </w:rPr>
        <w:t>ND</w:t>
      </w:r>
      <w:r w:rsidRPr="00960AD3">
        <w:rPr>
          <w:rFonts w:ascii="Times New Roman" w:hAnsi="Times New Roman" w:cs="Times New Roman"/>
        </w:rPr>
        <w:t xml:space="preserve"> result. The SSDL is calculated by using the instrument processing method based on the noise level in the</w:t>
      </w:r>
      <w:r>
        <w:rPr>
          <w:rFonts w:ascii="Times New Roman" w:hAnsi="Times New Roman" w:cs="Times New Roman"/>
        </w:rPr>
        <w:t xml:space="preserve"> vicinity of the largest peak in sample extracts containing the real matrix. </w:t>
      </w:r>
    </w:p>
    <w:p w14:paraId="381B47FE" w14:textId="6E413E3C" w:rsidR="00960AD3" w:rsidRDefault="003C7ACC" w:rsidP="00960AD3">
      <w:pPr>
        <w:pStyle w:val="H-indent5025"/>
        <w:tabs>
          <w:tab w:val="left" w:pos="387"/>
        </w:tabs>
        <w:ind w:left="1440"/>
        <w:rPr>
          <w:rFonts w:ascii="Times New Roman" w:hAnsi="Times New Roman" w:cs="Times New Roman"/>
        </w:rPr>
      </w:pPr>
      <w:r>
        <w:rPr>
          <w:rFonts w:ascii="Times New Roman" w:hAnsi="Times New Roman" w:cs="Times New Roman"/>
          <w:b/>
        </w:rPr>
        <w:t>c</w:t>
      </w:r>
      <w:r w:rsidR="00960AD3" w:rsidRPr="00960AD3">
        <w:rPr>
          <w:rFonts w:ascii="Times New Roman" w:hAnsi="Times New Roman" w:cs="Times New Roman"/>
          <w:b/>
        </w:rPr>
        <w:t>.</w:t>
      </w:r>
      <w:r w:rsidR="00960AD3">
        <w:rPr>
          <w:rFonts w:ascii="Times New Roman" w:hAnsi="Times New Roman" w:cs="Times New Roman"/>
          <w:b/>
        </w:rPr>
        <w:t xml:space="preserve"> </w:t>
      </w:r>
      <w:r w:rsidR="00960AD3">
        <w:rPr>
          <w:rFonts w:ascii="Times New Roman" w:hAnsi="Times New Roman" w:cs="Times New Roman"/>
          <w:b/>
        </w:rPr>
        <w:tab/>
        <w:t xml:space="preserve">Co-elution </w:t>
      </w:r>
      <w:r w:rsidR="00960AD3" w:rsidRPr="00570B42">
        <w:rPr>
          <w:rFonts w:ascii="Times New Roman" w:hAnsi="Times New Roman" w:cs="Times New Roman"/>
          <w:b/>
        </w:rPr>
        <w:t>—</w:t>
      </w:r>
      <w:r w:rsidR="00960AD3">
        <w:rPr>
          <w:rFonts w:ascii="Times New Roman" w:hAnsi="Times New Roman" w:cs="Times New Roman"/>
          <w:b/>
        </w:rPr>
        <w:t xml:space="preserve"> </w:t>
      </w:r>
      <w:r w:rsidR="00960AD3">
        <w:rPr>
          <w:rFonts w:ascii="Times New Roman" w:hAnsi="Times New Roman" w:cs="Times New Roman"/>
        </w:rPr>
        <w:t xml:space="preserve">Congeners </w:t>
      </w:r>
      <w:r w:rsidR="00960AD3" w:rsidRPr="00960AD3">
        <w:rPr>
          <w:rFonts w:ascii="Times New Roman" w:hAnsi="Times New Roman" w:cs="Times New Roman"/>
        </w:rPr>
        <w:t>in a co-elution shall be reported as a combination of the congeners, with the lowest numerically designated congener reported first and separated by a slash (/) from numerically higher designated congeners.</w:t>
      </w:r>
    </w:p>
    <w:p w14:paraId="791208BB" w14:textId="66F6A7F6" w:rsidR="00960AD3" w:rsidRPr="00960AD3" w:rsidRDefault="00960AD3" w:rsidP="00960AD3">
      <w:pPr>
        <w:spacing w:after="240"/>
        <w:ind w:left="1440"/>
        <w:rPr>
          <w:sz w:val="24"/>
          <w:szCs w:val="24"/>
        </w:rPr>
      </w:pPr>
      <w:r>
        <w:rPr>
          <w:color w:val="000000" w:themeColor="text1"/>
          <w:sz w:val="24"/>
          <w:szCs w:val="24"/>
        </w:rPr>
        <w:t>For example, if PCB congeners 020, 021, and 033 are co-</w:t>
      </w:r>
      <w:r>
        <w:rPr>
          <w:sz w:val="24"/>
          <w:szCs w:val="24"/>
        </w:rPr>
        <w:t>eluted, the Discharger shall report the co</w:t>
      </w:r>
      <w:r>
        <w:rPr>
          <w:sz w:val="24"/>
          <w:szCs w:val="24"/>
        </w:rPr>
        <w:noBreakHyphen/>
        <w:t xml:space="preserve">elution as PCB 020/021/033.  </w:t>
      </w:r>
    </w:p>
    <w:p w14:paraId="3918DEB3" w14:textId="52C67C3F" w:rsidR="00960AD3" w:rsidRPr="00960AD3" w:rsidRDefault="003C7ACC" w:rsidP="00B70AC2">
      <w:pPr>
        <w:pStyle w:val="H-indent5025"/>
        <w:keepNext/>
        <w:tabs>
          <w:tab w:val="left" w:pos="387"/>
        </w:tabs>
        <w:spacing w:after="120"/>
        <w:ind w:firstLine="0"/>
        <w:rPr>
          <w:rFonts w:ascii="Times New Roman" w:hAnsi="Times New Roman" w:cs="Times New Roman"/>
        </w:rPr>
      </w:pPr>
      <w:r>
        <w:rPr>
          <w:rFonts w:ascii="Times New Roman" w:hAnsi="Times New Roman" w:cs="Times New Roman"/>
          <w:b/>
        </w:rPr>
        <w:t>d</w:t>
      </w:r>
      <w:r w:rsidR="00960AD3">
        <w:rPr>
          <w:rFonts w:ascii="Times New Roman" w:hAnsi="Times New Roman" w:cs="Times New Roman"/>
        </w:rPr>
        <w:t xml:space="preserve">. </w:t>
      </w:r>
      <w:r w:rsidR="00D549D6">
        <w:rPr>
          <w:rFonts w:ascii="Times New Roman" w:hAnsi="Times New Roman" w:cs="Times New Roman"/>
        </w:rPr>
        <w:tab/>
      </w:r>
      <w:r w:rsidR="00960AD3">
        <w:rPr>
          <w:rFonts w:ascii="Times New Roman" w:hAnsi="Times New Roman" w:cs="Times New Roman"/>
          <w:b/>
        </w:rPr>
        <w:t>Qualifiers</w:t>
      </w:r>
      <w:r w:rsidR="00444789">
        <w:rPr>
          <w:rFonts w:ascii="Times New Roman" w:hAnsi="Times New Roman" w:cs="Times New Roman"/>
          <w:b/>
        </w:rPr>
        <w:t xml:space="preserve"> </w:t>
      </w:r>
      <w:r w:rsidR="00444789" w:rsidRPr="00570B42">
        <w:rPr>
          <w:rFonts w:ascii="Times New Roman" w:hAnsi="Times New Roman" w:cs="Times New Roman"/>
          <w:b/>
        </w:rPr>
        <w:t>—</w:t>
      </w:r>
      <w:r w:rsidR="00960AD3">
        <w:rPr>
          <w:rFonts w:ascii="Times New Roman" w:hAnsi="Times New Roman" w:cs="Times New Roman"/>
          <w:b/>
        </w:rPr>
        <w:t xml:space="preserve"> </w:t>
      </w:r>
      <w:r w:rsidR="00960AD3">
        <w:rPr>
          <w:rFonts w:ascii="Times New Roman" w:hAnsi="Times New Roman" w:cs="Times New Roman"/>
        </w:rPr>
        <w:t xml:space="preserve">Qualifiers allowed </w:t>
      </w:r>
      <w:r w:rsidR="00960AD3" w:rsidRPr="00960AD3">
        <w:rPr>
          <w:rFonts w:ascii="Times New Roman" w:hAnsi="Times New Roman" w:cs="Times New Roman"/>
        </w:rPr>
        <w:t xml:space="preserve">in reporting </w:t>
      </w:r>
      <w:r w:rsidR="00EE0813">
        <w:rPr>
          <w:rFonts w:ascii="Times New Roman" w:hAnsi="Times New Roman" w:cs="Times New Roman"/>
        </w:rPr>
        <w:t>U.S. EPA</w:t>
      </w:r>
      <w:r w:rsidR="00960AD3" w:rsidRPr="00960AD3">
        <w:rPr>
          <w:rFonts w:ascii="Times New Roman" w:hAnsi="Times New Roman" w:cs="Times New Roman"/>
        </w:rPr>
        <w:t xml:space="preserve"> 1668C data are as follows:</w:t>
      </w:r>
    </w:p>
    <w:p w14:paraId="77E4F1F1" w14:textId="2E2B5D53" w:rsidR="00960AD3" w:rsidRPr="000A12B9" w:rsidRDefault="000A12B9" w:rsidP="000A12B9">
      <w:pPr>
        <w:pStyle w:val="TableHeader1E"/>
        <w:ind w:left="720" w:firstLine="720"/>
        <w:jc w:val="center"/>
        <w:rPr>
          <w:rFonts w:ascii="Times New Roman" w:hAnsi="Times New Roman" w:cs="Times New Roman"/>
          <w:sz w:val="24"/>
          <w:szCs w:val="24"/>
        </w:rPr>
      </w:pPr>
      <w:bookmarkStart w:id="161" w:name="_Toc488046598"/>
      <w:r w:rsidRPr="000A12B9">
        <w:rPr>
          <w:rFonts w:ascii="Times New Roman" w:hAnsi="Times New Roman" w:cs="Times New Roman"/>
          <w:sz w:val="24"/>
          <w:szCs w:val="24"/>
        </w:rPr>
        <w:t>Table E-5</w:t>
      </w:r>
      <w:r w:rsidR="00960AD3" w:rsidRPr="000A12B9">
        <w:rPr>
          <w:rFonts w:ascii="Times New Roman" w:hAnsi="Times New Roman" w:cs="Times New Roman"/>
          <w:sz w:val="24"/>
          <w:szCs w:val="24"/>
        </w:rPr>
        <w:t xml:space="preserve">. </w:t>
      </w:r>
      <w:r w:rsidR="00EE0813" w:rsidRPr="000A12B9">
        <w:rPr>
          <w:rFonts w:ascii="Times New Roman" w:hAnsi="Times New Roman" w:cs="Times New Roman"/>
          <w:sz w:val="24"/>
          <w:szCs w:val="24"/>
        </w:rPr>
        <w:t>U.S. EPA</w:t>
      </w:r>
      <w:r w:rsidR="00960AD3" w:rsidRPr="000A12B9">
        <w:rPr>
          <w:rFonts w:ascii="Times New Roman" w:hAnsi="Times New Roman" w:cs="Times New Roman"/>
          <w:sz w:val="24"/>
          <w:szCs w:val="24"/>
        </w:rPr>
        <w:t xml:space="preserve"> Method 1668C Qualifiers in CIWQS</w:t>
      </w:r>
      <w:bookmarkEnd w:id="161"/>
    </w:p>
    <w:tbl>
      <w:tblPr>
        <w:tblStyle w:val="TableGrid"/>
        <w:tblW w:w="0" w:type="auto"/>
        <w:tblInd w:w="180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1344"/>
        <w:gridCol w:w="1886"/>
        <w:gridCol w:w="5020"/>
      </w:tblGrid>
      <w:tr w:rsidR="00960AD3" w14:paraId="576DCB55" w14:textId="77777777" w:rsidTr="001F0046">
        <w:trPr>
          <w:trHeight w:val="332"/>
        </w:trPr>
        <w:tc>
          <w:tcPr>
            <w:tcW w:w="1345" w:type="dxa"/>
            <w:vAlign w:val="center"/>
          </w:tcPr>
          <w:p w14:paraId="2522A1EA" w14:textId="77777777" w:rsidR="00960AD3" w:rsidRPr="00866516" w:rsidRDefault="00960AD3" w:rsidP="00DD7DCC">
            <w:pPr>
              <w:keepNext/>
              <w:jc w:val="center"/>
              <w:rPr>
                <w:b/>
              </w:rPr>
            </w:pPr>
            <w:r w:rsidRPr="00866516">
              <w:rPr>
                <w:b/>
              </w:rPr>
              <w:t>Qualifiers</w:t>
            </w:r>
          </w:p>
        </w:tc>
        <w:tc>
          <w:tcPr>
            <w:tcW w:w="1890" w:type="dxa"/>
            <w:vAlign w:val="center"/>
          </w:tcPr>
          <w:p w14:paraId="3CAA4F1F" w14:textId="77777777" w:rsidR="00960AD3" w:rsidRPr="00866516" w:rsidRDefault="00960AD3" w:rsidP="00DD7DCC">
            <w:pPr>
              <w:keepNext/>
              <w:jc w:val="center"/>
              <w:rPr>
                <w:b/>
              </w:rPr>
            </w:pPr>
            <w:r w:rsidRPr="00866516">
              <w:rPr>
                <w:b/>
              </w:rPr>
              <w:t>CIWQS Field</w:t>
            </w:r>
          </w:p>
        </w:tc>
        <w:tc>
          <w:tcPr>
            <w:tcW w:w="5035" w:type="dxa"/>
            <w:vAlign w:val="center"/>
          </w:tcPr>
          <w:p w14:paraId="6CAA2C2E" w14:textId="77777777" w:rsidR="00960AD3" w:rsidRPr="00866516" w:rsidRDefault="00960AD3" w:rsidP="00DD7DCC">
            <w:pPr>
              <w:keepNext/>
              <w:jc w:val="center"/>
              <w:rPr>
                <w:b/>
              </w:rPr>
            </w:pPr>
            <w:r w:rsidRPr="00866516">
              <w:rPr>
                <w:b/>
              </w:rPr>
              <w:t>Qualifier Description</w:t>
            </w:r>
          </w:p>
        </w:tc>
      </w:tr>
      <w:tr w:rsidR="00960AD3" w14:paraId="472119BE" w14:textId="77777777" w:rsidTr="001F0046">
        <w:tc>
          <w:tcPr>
            <w:tcW w:w="1345" w:type="dxa"/>
            <w:vAlign w:val="center"/>
          </w:tcPr>
          <w:p w14:paraId="2A1E6801" w14:textId="77777777" w:rsidR="00960AD3" w:rsidRPr="00866516" w:rsidRDefault="00960AD3" w:rsidP="00E06065">
            <w:pPr>
              <w:jc w:val="center"/>
            </w:pPr>
            <w:r w:rsidRPr="00866516">
              <w:t>ND</w:t>
            </w:r>
          </w:p>
        </w:tc>
        <w:tc>
          <w:tcPr>
            <w:tcW w:w="1890" w:type="dxa"/>
            <w:vAlign w:val="center"/>
          </w:tcPr>
          <w:p w14:paraId="6B88A5F5" w14:textId="77777777" w:rsidR="00960AD3" w:rsidRPr="00866516" w:rsidRDefault="00960AD3" w:rsidP="00E06065">
            <w:pPr>
              <w:jc w:val="center"/>
            </w:pPr>
            <w:r w:rsidRPr="00866516">
              <w:t>Qualifier</w:t>
            </w:r>
          </w:p>
        </w:tc>
        <w:tc>
          <w:tcPr>
            <w:tcW w:w="4320" w:type="dxa"/>
            <w:vAlign w:val="center"/>
          </w:tcPr>
          <w:p w14:paraId="74539FA9" w14:textId="77777777" w:rsidR="00960AD3" w:rsidRPr="00866516" w:rsidRDefault="00960AD3" w:rsidP="00E06065">
            <w:r w:rsidRPr="00866516">
              <w:t>The analyte was not detected in the sample at the SSDL.</w:t>
            </w:r>
          </w:p>
        </w:tc>
      </w:tr>
      <w:tr w:rsidR="00960AD3" w14:paraId="13BEF650" w14:textId="77777777" w:rsidTr="001F0046">
        <w:tc>
          <w:tcPr>
            <w:tcW w:w="1345" w:type="dxa"/>
            <w:vAlign w:val="center"/>
          </w:tcPr>
          <w:p w14:paraId="5BE577E5" w14:textId="77777777" w:rsidR="00960AD3" w:rsidRPr="00866516" w:rsidRDefault="00960AD3" w:rsidP="00E06065">
            <w:pPr>
              <w:jc w:val="center"/>
            </w:pPr>
            <w:r w:rsidRPr="00866516">
              <w:t>DNQ</w:t>
            </w:r>
          </w:p>
        </w:tc>
        <w:tc>
          <w:tcPr>
            <w:tcW w:w="1890" w:type="dxa"/>
            <w:vAlign w:val="center"/>
          </w:tcPr>
          <w:p w14:paraId="0D357F49" w14:textId="77777777" w:rsidR="00960AD3" w:rsidRPr="00866516" w:rsidRDefault="00960AD3" w:rsidP="00E06065">
            <w:pPr>
              <w:jc w:val="center"/>
            </w:pPr>
            <w:r w:rsidRPr="00866516">
              <w:t>Qualifier</w:t>
            </w:r>
          </w:p>
        </w:tc>
        <w:tc>
          <w:tcPr>
            <w:tcW w:w="4320" w:type="dxa"/>
            <w:vAlign w:val="center"/>
          </w:tcPr>
          <w:p w14:paraId="5860C6FE" w14:textId="77777777" w:rsidR="00960AD3" w:rsidRPr="00866516" w:rsidRDefault="00960AD3" w:rsidP="00E06065">
            <w:r w:rsidRPr="00866516">
              <w:t>The reported result is an estimate. The concentration is greater than the SSDL but is less than the method-specified ML.</w:t>
            </w:r>
          </w:p>
        </w:tc>
      </w:tr>
      <w:tr w:rsidR="00960AD3" w14:paraId="41697314" w14:textId="77777777" w:rsidTr="001F0046">
        <w:tc>
          <w:tcPr>
            <w:tcW w:w="1345" w:type="dxa"/>
            <w:vAlign w:val="center"/>
          </w:tcPr>
          <w:p w14:paraId="1FFC0E17" w14:textId="77777777" w:rsidR="00960AD3" w:rsidRPr="00866516" w:rsidRDefault="00960AD3" w:rsidP="00E06065">
            <w:pPr>
              <w:jc w:val="center"/>
            </w:pPr>
            <w:r w:rsidRPr="00866516">
              <w:t>M</w:t>
            </w:r>
          </w:p>
        </w:tc>
        <w:tc>
          <w:tcPr>
            <w:tcW w:w="1890" w:type="dxa"/>
            <w:vAlign w:val="center"/>
          </w:tcPr>
          <w:p w14:paraId="23B55695" w14:textId="77777777" w:rsidR="00960AD3" w:rsidRPr="00866516" w:rsidRDefault="00960AD3" w:rsidP="00E06065">
            <w:pPr>
              <w:jc w:val="center"/>
            </w:pPr>
            <w:r w:rsidRPr="00866516">
              <w:t>QA Code</w:t>
            </w:r>
          </w:p>
        </w:tc>
        <w:tc>
          <w:tcPr>
            <w:tcW w:w="4320" w:type="dxa"/>
            <w:vAlign w:val="center"/>
          </w:tcPr>
          <w:p w14:paraId="7EC75DE1" w14:textId="171D2796" w:rsidR="00960AD3" w:rsidRPr="00866516" w:rsidRDefault="00960AD3" w:rsidP="00EC1FE6">
            <w:r w:rsidRPr="00866516">
              <w:t>Estimated maximum possible concentration</w:t>
            </w:r>
            <w:r w:rsidR="00EC1FE6">
              <w:t xml:space="preserve">. </w:t>
            </w:r>
          </w:p>
        </w:tc>
      </w:tr>
      <w:tr w:rsidR="00960AD3" w14:paraId="65548797" w14:textId="77777777" w:rsidTr="001F0046">
        <w:tc>
          <w:tcPr>
            <w:tcW w:w="1345" w:type="dxa"/>
            <w:vAlign w:val="center"/>
          </w:tcPr>
          <w:p w14:paraId="0570A74D" w14:textId="77777777" w:rsidR="00960AD3" w:rsidRPr="00866516" w:rsidRDefault="00960AD3" w:rsidP="00E06065">
            <w:pPr>
              <w:jc w:val="center"/>
            </w:pPr>
            <w:r w:rsidRPr="00866516">
              <w:t>D</w:t>
            </w:r>
          </w:p>
        </w:tc>
        <w:tc>
          <w:tcPr>
            <w:tcW w:w="1890" w:type="dxa"/>
            <w:vAlign w:val="center"/>
          </w:tcPr>
          <w:p w14:paraId="4DCEF111" w14:textId="77777777" w:rsidR="00960AD3" w:rsidRPr="00866516" w:rsidRDefault="00960AD3" w:rsidP="00E06065">
            <w:pPr>
              <w:jc w:val="center"/>
            </w:pPr>
            <w:r w:rsidRPr="00866516">
              <w:t>QA Code</w:t>
            </w:r>
          </w:p>
        </w:tc>
        <w:tc>
          <w:tcPr>
            <w:tcW w:w="4320" w:type="dxa"/>
            <w:vAlign w:val="center"/>
          </w:tcPr>
          <w:p w14:paraId="1702E694" w14:textId="77777777" w:rsidR="00960AD3" w:rsidRPr="00866516" w:rsidRDefault="00960AD3" w:rsidP="00E06065">
            <w:r w:rsidRPr="00866516">
              <w:t>Result obtained from the analysis of a dilution.</w:t>
            </w:r>
          </w:p>
        </w:tc>
      </w:tr>
      <w:tr w:rsidR="00960AD3" w14:paraId="13FC3D0F" w14:textId="77777777" w:rsidTr="001F0046">
        <w:trPr>
          <w:trHeight w:val="305"/>
        </w:trPr>
        <w:tc>
          <w:tcPr>
            <w:tcW w:w="1345" w:type="dxa"/>
            <w:vAlign w:val="center"/>
          </w:tcPr>
          <w:p w14:paraId="76E2A529" w14:textId="77777777" w:rsidR="00960AD3" w:rsidRPr="00866516" w:rsidRDefault="00960AD3" w:rsidP="00E06065">
            <w:pPr>
              <w:jc w:val="center"/>
            </w:pPr>
            <w:r w:rsidRPr="00866516">
              <w:t>B</w:t>
            </w:r>
          </w:p>
        </w:tc>
        <w:tc>
          <w:tcPr>
            <w:tcW w:w="1890" w:type="dxa"/>
            <w:vAlign w:val="center"/>
          </w:tcPr>
          <w:p w14:paraId="6FE71904" w14:textId="77777777" w:rsidR="00960AD3" w:rsidRPr="00866516" w:rsidRDefault="00960AD3" w:rsidP="00E06065">
            <w:pPr>
              <w:jc w:val="center"/>
            </w:pPr>
            <w:r w:rsidRPr="00866516">
              <w:t>QA Code</w:t>
            </w:r>
          </w:p>
        </w:tc>
        <w:tc>
          <w:tcPr>
            <w:tcW w:w="4320" w:type="dxa"/>
            <w:vAlign w:val="center"/>
          </w:tcPr>
          <w:p w14:paraId="0FB7A9DD" w14:textId="77777777" w:rsidR="00960AD3" w:rsidRPr="00866516" w:rsidRDefault="00960AD3" w:rsidP="00E06065">
            <w:r w:rsidRPr="00866516">
              <w:t>Congener is present in the method blank.</w:t>
            </w:r>
          </w:p>
        </w:tc>
      </w:tr>
    </w:tbl>
    <w:p w14:paraId="617BF5F7" w14:textId="7628A49A" w:rsidR="00960AD3" w:rsidRDefault="00960AD3" w:rsidP="00D549D6">
      <w:pPr>
        <w:pStyle w:val="H-indent5025"/>
        <w:tabs>
          <w:tab w:val="clear" w:pos="1080"/>
          <w:tab w:val="left" w:pos="387"/>
        </w:tabs>
        <w:spacing w:after="0"/>
        <w:ind w:left="0" w:firstLine="0"/>
        <w:rPr>
          <w:rFonts w:ascii="Times New Roman" w:hAnsi="Times New Roman" w:cs="Times New Roman"/>
          <w:b/>
        </w:rPr>
      </w:pPr>
    </w:p>
    <w:p w14:paraId="67309797" w14:textId="29E5AEF8" w:rsidR="00EC1FE6" w:rsidRPr="00D549D6" w:rsidRDefault="00960AD3" w:rsidP="0056237B">
      <w:pPr>
        <w:pStyle w:val="H-indent5025"/>
        <w:tabs>
          <w:tab w:val="clear" w:pos="1080"/>
          <w:tab w:val="left" w:pos="387"/>
        </w:tabs>
        <w:rPr>
          <w:rFonts w:ascii="Times New Roman" w:hAnsi="Times New Roman" w:cs="Times New Roman"/>
        </w:rPr>
      </w:pPr>
      <w:r>
        <w:rPr>
          <w:rFonts w:ascii="Times New Roman" w:hAnsi="Times New Roman" w:cs="Times New Roman"/>
          <w:b/>
        </w:rPr>
        <w:tab/>
      </w:r>
      <w:r w:rsidR="003C7ACC">
        <w:rPr>
          <w:rFonts w:ascii="Times New Roman" w:hAnsi="Times New Roman" w:cs="Times New Roman"/>
          <w:b/>
        </w:rPr>
        <w:t>e</w:t>
      </w:r>
      <w:r w:rsidR="00EC1FE6">
        <w:rPr>
          <w:rFonts w:ascii="Times New Roman" w:hAnsi="Times New Roman" w:cs="Times New Roman"/>
          <w:b/>
        </w:rPr>
        <w:t>.</w:t>
      </w:r>
      <w:r w:rsidR="00EC1FE6">
        <w:rPr>
          <w:rFonts w:ascii="Times New Roman" w:hAnsi="Times New Roman" w:cs="Times New Roman"/>
          <w:b/>
        </w:rPr>
        <w:tab/>
        <w:t xml:space="preserve">Method Blank Correction </w:t>
      </w:r>
      <w:r w:rsidR="00EC1FE6" w:rsidRPr="00570B42">
        <w:rPr>
          <w:rFonts w:ascii="Times New Roman" w:hAnsi="Times New Roman" w:cs="Times New Roman"/>
          <w:b/>
        </w:rPr>
        <w:t>—</w:t>
      </w:r>
      <w:r w:rsidR="00D549D6">
        <w:rPr>
          <w:rFonts w:ascii="Times New Roman" w:hAnsi="Times New Roman" w:cs="Times New Roman"/>
          <w:b/>
        </w:rPr>
        <w:t xml:space="preserve"> </w:t>
      </w:r>
      <w:r w:rsidR="00D549D6">
        <w:rPr>
          <w:rFonts w:ascii="Times New Roman" w:hAnsi="Times New Roman" w:cs="Times New Roman"/>
        </w:rPr>
        <w:t>Results shall be reported without method blank correction.</w:t>
      </w:r>
    </w:p>
    <w:p w14:paraId="2E737C98" w14:textId="5FED65C9" w:rsidR="00FA4881" w:rsidRDefault="0056237B" w:rsidP="00FA4881">
      <w:pPr>
        <w:pStyle w:val="H-indent5025"/>
        <w:tabs>
          <w:tab w:val="left" w:pos="387"/>
        </w:tabs>
        <w:spacing w:after="0"/>
        <w:ind w:firstLine="0"/>
        <w:rPr>
          <w:rFonts w:ascii="Times New Roman" w:hAnsi="Times New Roman" w:cs="Times New Roman"/>
        </w:rPr>
      </w:pPr>
      <w:r>
        <w:rPr>
          <w:rFonts w:ascii="Times New Roman" w:hAnsi="Times New Roman" w:cs="Times New Roman"/>
          <w:b/>
        </w:rPr>
        <w:t>f</w:t>
      </w:r>
      <w:r w:rsidR="00EC1FE6">
        <w:rPr>
          <w:rFonts w:ascii="Times New Roman" w:hAnsi="Times New Roman" w:cs="Times New Roman"/>
          <w:b/>
        </w:rPr>
        <w:t>.</w:t>
      </w:r>
      <w:r w:rsidR="00EC1FE6">
        <w:rPr>
          <w:rFonts w:ascii="Times New Roman" w:hAnsi="Times New Roman" w:cs="Times New Roman"/>
          <w:b/>
        </w:rPr>
        <w:tab/>
      </w:r>
      <w:r w:rsidR="00EC1FE6" w:rsidRPr="00EC1FE6">
        <w:rPr>
          <w:rFonts w:ascii="Times New Roman" w:hAnsi="Times New Roman" w:cs="Times New Roman"/>
          <w:b/>
        </w:rPr>
        <w:t>Units</w:t>
      </w:r>
      <w:r w:rsidR="00EC1FE6">
        <w:rPr>
          <w:rFonts w:ascii="Times New Roman" w:hAnsi="Times New Roman" w:cs="Times New Roman"/>
        </w:rPr>
        <w:t xml:space="preserve"> </w:t>
      </w:r>
      <w:r w:rsidR="00EC1FE6" w:rsidRPr="00570B42">
        <w:rPr>
          <w:rFonts w:ascii="Times New Roman" w:hAnsi="Times New Roman" w:cs="Times New Roman"/>
          <w:b/>
        </w:rPr>
        <w:t>—</w:t>
      </w:r>
      <w:r w:rsidR="00EC1FE6">
        <w:rPr>
          <w:rFonts w:ascii="Times New Roman" w:hAnsi="Times New Roman" w:cs="Times New Roman"/>
          <w:b/>
        </w:rPr>
        <w:t xml:space="preserve"> </w:t>
      </w:r>
      <w:r w:rsidR="00EC1FE6">
        <w:rPr>
          <w:rFonts w:ascii="Times New Roman" w:hAnsi="Times New Roman" w:cs="Times New Roman"/>
        </w:rPr>
        <w:t>Concentr</w:t>
      </w:r>
      <w:r w:rsidR="00F377B6">
        <w:rPr>
          <w:rFonts w:ascii="Times New Roman" w:hAnsi="Times New Roman" w:cs="Times New Roman"/>
        </w:rPr>
        <w:t>ations shall be reported in pic</w:t>
      </w:r>
      <w:r w:rsidR="00EC1FE6">
        <w:rPr>
          <w:rFonts w:ascii="Times New Roman" w:hAnsi="Times New Roman" w:cs="Times New Roman"/>
        </w:rPr>
        <w:t xml:space="preserve">ograms per liter (pg/L). </w:t>
      </w:r>
    </w:p>
    <w:p w14:paraId="21F3F684" w14:textId="1940ECFE" w:rsidR="00EC1FE6" w:rsidRPr="00EC1FE6" w:rsidRDefault="00EC1FE6" w:rsidP="0056237B">
      <w:pPr>
        <w:pStyle w:val="H-indent5025"/>
        <w:tabs>
          <w:tab w:val="left" w:pos="387"/>
        </w:tabs>
        <w:spacing w:after="0"/>
        <w:ind w:left="0" w:firstLine="0"/>
        <w:rPr>
          <w:rFonts w:ascii="Times New Roman" w:hAnsi="Times New Roman" w:cs="Times New Roman"/>
        </w:rPr>
      </w:pPr>
    </w:p>
    <w:p w14:paraId="4631D31A" w14:textId="77777777" w:rsidR="00EC1FE6" w:rsidRPr="00EC1FE6" w:rsidRDefault="00EC1FE6" w:rsidP="00FA4881">
      <w:pPr>
        <w:pStyle w:val="H-indent5025"/>
        <w:tabs>
          <w:tab w:val="left" w:pos="387"/>
        </w:tabs>
        <w:spacing w:after="0"/>
        <w:ind w:firstLine="0"/>
        <w:rPr>
          <w:rFonts w:ascii="Times New Roman" w:hAnsi="Times New Roman" w:cs="Times New Roman"/>
          <w:b/>
        </w:rPr>
      </w:pPr>
    </w:p>
    <w:p w14:paraId="2C68BB89" w14:textId="232FC2E1" w:rsidR="00804374" w:rsidRPr="00FA4881" w:rsidRDefault="00804374" w:rsidP="00F009DF">
      <w:pPr>
        <w:pStyle w:val="H-indent5025"/>
        <w:numPr>
          <w:ilvl w:val="1"/>
          <w:numId w:val="36"/>
        </w:numPr>
        <w:tabs>
          <w:tab w:val="left" w:pos="387"/>
        </w:tabs>
        <w:rPr>
          <w:rFonts w:ascii="Times New Roman" w:hAnsi="Times New Roman" w:cs="Times New Roman"/>
        </w:rPr>
      </w:pPr>
      <w:r>
        <w:rPr>
          <w:rFonts w:ascii="Times New Roman" w:hAnsi="Times New Roman" w:cs="Times New Roman"/>
          <w:b/>
        </w:rPr>
        <w:t>Transmittal Letter.</w:t>
      </w:r>
      <w:r>
        <w:rPr>
          <w:rFonts w:ascii="Times New Roman" w:hAnsi="Times New Roman" w:cs="Times New Roman"/>
        </w:rPr>
        <w:t xml:space="preserve"> Each Discharger shall attach a transmittal letter to its SMR. The transmittal letter shall clearly identify violations of the WDRs set forth in this Order and any exceedances of trigger levels. The Discharger shall also describe the requirement that was violated or the trigger that was exceeded, discuss corrective actions taken or planned, and propose a time schedule for the corrective actions.</w:t>
      </w:r>
    </w:p>
    <w:p w14:paraId="335F6416" w14:textId="77777777" w:rsidR="00F878D4" w:rsidRPr="00570B42" w:rsidRDefault="00F878D4">
      <w:pPr>
        <w:pStyle w:val="Heading2-E"/>
        <w:rPr>
          <w:rFonts w:ascii="Times New Roman" w:hAnsi="Times New Roman" w:cs="Times New Roman"/>
          <w:sz w:val="24"/>
          <w:szCs w:val="24"/>
        </w:rPr>
      </w:pPr>
      <w:bookmarkStart w:id="162" w:name="_Toc340137631"/>
      <w:bookmarkStart w:id="163" w:name="_Toc402266717"/>
      <w:bookmarkStart w:id="164" w:name="_Toc487612923"/>
      <w:r w:rsidRPr="00570B42">
        <w:rPr>
          <w:rFonts w:ascii="Times New Roman" w:hAnsi="Times New Roman" w:cs="Times New Roman"/>
          <w:sz w:val="24"/>
          <w:szCs w:val="24"/>
        </w:rPr>
        <w:t>C.</w:t>
      </w:r>
      <w:r w:rsidRPr="00570B42">
        <w:rPr>
          <w:rFonts w:ascii="Times New Roman" w:hAnsi="Times New Roman" w:cs="Times New Roman"/>
          <w:sz w:val="24"/>
          <w:szCs w:val="24"/>
        </w:rPr>
        <w:tab/>
        <w:t>Discharge Monitoring Reports</w:t>
      </w:r>
      <w:bookmarkEnd w:id="155"/>
      <w:bookmarkEnd w:id="162"/>
      <w:r w:rsidRPr="00570B42">
        <w:rPr>
          <w:rFonts w:ascii="Times New Roman" w:hAnsi="Times New Roman" w:cs="Times New Roman"/>
          <w:sz w:val="24"/>
          <w:szCs w:val="24"/>
        </w:rPr>
        <w:t xml:space="preserve"> </w:t>
      </w:r>
      <w:r w:rsidR="00D818AD" w:rsidRPr="00570B42">
        <w:rPr>
          <w:rFonts w:ascii="Times New Roman" w:hAnsi="Times New Roman" w:cs="Times New Roman"/>
          <w:sz w:val="24"/>
          <w:szCs w:val="24"/>
        </w:rPr>
        <w:t>(DMRs)</w:t>
      </w:r>
      <w:bookmarkEnd w:id="163"/>
      <w:bookmarkEnd w:id="164"/>
    </w:p>
    <w:p w14:paraId="6D8F763B" w14:textId="4FE67FC7" w:rsidR="00636DA3" w:rsidRPr="00570B42" w:rsidRDefault="00636DA3" w:rsidP="00636DA3">
      <w:pPr>
        <w:spacing w:after="240"/>
        <w:ind w:left="720"/>
        <w:rPr>
          <w:sz w:val="24"/>
          <w:szCs w:val="24"/>
          <w:u w:val="single"/>
        </w:rPr>
      </w:pPr>
      <w:bookmarkStart w:id="165" w:name="_Toc402266718"/>
      <w:r w:rsidRPr="00570B42">
        <w:rPr>
          <w:color w:val="000000" w:themeColor="text1"/>
          <w:sz w:val="24"/>
          <w:szCs w:val="24"/>
        </w:rPr>
        <w:t xml:space="preserve">DMRs are U.S. EPA reporting requirements. </w:t>
      </w:r>
      <w:r w:rsidR="00804374">
        <w:rPr>
          <w:color w:val="000000" w:themeColor="text1"/>
          <w:sz w:val="24"/>
          <w:szCs w:val="24"/>
        </w:rPr>
        <w:t>Dischargers</w:t>
      </w:r>
      <w:r w:rsidRPr="00570B42">
        <w:rPr>
          <w:color w:val="000000" w:themeColor="text1"/>
          <w:sz w:val="24"/>
          <w:szCs w:val="24"/>
        </w:rPr>
        <w:t xml:space="preserve"> shall electronically certify and submit DMRs together with SMRs using the Electronic Self-Monitoring Reports module eSMR 2.5 or the latest upgraded version. Electronic DMR submittal shall be in addition to electronic SMR submittal. Information about electronic DMR submittal is available at the DMR website at </w:t>
      </w:r>
      <w:hyperlink r:id="rId44" w:history="1">
        <w:r w:rsidRPr="00570B42">
          <w:rPr>
            <w:color w:val="000000" w:themeColor="text1"/>
            <w:sz w:val="24"/>
            <w:szCs w:val="24"/>
          </w:rPr>
          <w:t>http://www.waterboards.ca.gov/water_issues/programs/discharge_monitoring</w:t>
        </w:r>
      </w:hyperlink>
      <w:r w:rsidRPr="00570B42">
        <w:rPr>
          <w:color w:val="000000" w:themeColor="text1"/>
          <w:sz w:val="24"/>
          <w:szCs w:val="24"/>
        </w:rPr>
        <w:t>.</w:t>
      </w:r>
    </w:p>
    <w:bookmarkEnd w:id="165"/>
    <w:p w14:paraId="7F82410C" w14:textId="77777777" w:rsidR="00F878D4" w:rsidRPr="003B096B" w:rsidRDefault="00F878D4">
      <w:pPr>
        <w:pStyle w:val="Indent50"/>
        <w:rPr>
          <w:bCs w:val="0"/>
        </w:rPr>
        <w:sectPr w:rsidR="00F878D4" w:rsidRPr="003B096B" w:rsidSect="00C50F1A">
          <w:footerReference w:type="default" r:id="rId45"/>
          <w:footnotePr>
            <w:numRestart w:val="eachPage"/>
          </w:footnotePr>
          <w:endnotePr>
            <w:numFmt w:val="decimal"/>
          </w:endnotePr>
          <w:type w:val="continuous"/>
          <w:pgSz w:w="12240" w:h="15840" w:code="1"/>
          <w:pgMar w:top="1080" w:right="1080" w:bottom="1080" w:left="1080" w:header="547" w:footer="720" w:gutter="0"/>
          <w:pgNumType w:start="1" w:chapStyle="9"/>
          <w:cols w:space="720"/>
          <w:noEndnote/>
          <w:titlePg/>
          <w:docGrid w:linePitch="326"/>
        </w:sectPr>
      </w:pPr>
    </w:p>
    <w:p w14:paraId="43065854" w14:textId="77777777" w:rsidR="00F878D4" w:rsidRPr="00943772" w:rsidRDefault="00F878D4" w:rsidP="00913023">
      <w:pPr>
        <w:pStyle w:val="Heading9"/>
        <w:rPr>
          <w:color w:val="FFFFFF" w:themeColor="background1"/>
        </w:rPr>
      </w:pPr>
      <w:bookmarkStart w:id="166" w:name="Attf"/>
      <w:bookmarkEnd w:id="145"/>
      <w:bookmarkEnd w:id="146"/>
      <w:bookmarkEnd w:id="147"/>
      <w:r w:rsidRPr="00943772">
        <w:rPr>
          <w:color w:val="FFFFFF" w:themeColor="background1"/>
        </w:rPr>
        <w:lastRenderedPageBreak/>
        <w:t>F</w:t>
      </w:r>
      <w:r w:rsidR="00913023" w:rsidRPr="00943772">
        <w:rPr>
          <w:color w:val="FFFFFF" w:themeColor="background1"/>
        </w:rPr>
        <w:t>F</w:t>
      </w:r>
    </w:p>
    <w:p w14:paraId="657768CD" w14:textId="3741955B" w:rsidR="00F878D4" w:rsidRPr="00570B42" w:rsidRDefault="00F878D4" w:rsidP="00F878D4">
      <w:pPr>
        <w:pStyle w:val="AttachmentHeading"/>
        <w:rPr>
          <w:rFonts w:ascii="Times New Roman" w:hAnsi="Times New Roman"/>
          <w:szCs w:val="24"/>
        </w:rPr>
      </w:pPr>
      <w:r w:rsidRPr="00570B42">
        <w:rPr>
          <w:rFonts w:ascii="Times New Roman" w:hAnsi="Times New Roman"/>
          <w:szCs w:val="24"/>
        </w:rPr>
        <w:t xml:space="preserve">ATTACHMENT F - FACT </w:t>
      </w:r>
      <w:bookmarkEnd w:id="166"/>
      <w:r w:rsidRPr="00570B42">
        <w:rPr>
          <w:rFonts w:ascii="Times New Roman" w:hAnsi="Times New Roman"/>
          <w:szCs w:val="24"/>
        </w:rPr>
        <w:t>SHEET</w:t>
      </w:r>
    </w:p>
    <w:p w14:paraId="30FC7BF5" w14:textId="77777777" w:rsidR="00F878D4" w:rsidRPr="00570B42" w:rsidRDefault="00F878D4">
      <w:pPr>
        <w:pStyle w:val="TOAHeading"/>
        <w:jc w:val="center"/>
        <w:rPr>
          <w:rFonts w:ascii="Times New Roman" w:hAnsi="Times New Roman" w:cs="Times New Roman"/>
          <w:sz w:val="24"/>
          <w:szCs w:val="24"/>
        </w:rPr>
      </w:pPr>
      <w:r w:rsidRPr="00570B42">
        <w:rPr>
          <w:rFonts w:ascii="Times New Roman" w:hAnsi="Times New Roman" w:cs="Times New Roman"/>
          <w:sz w:val="24"/>
          <w:szCs w:val="24"/>
        </w:rPr>
        <w:t>Contents</w:t>
      </w:r>
    </w:p>
    <w:p w14:paraId="22C32649" w14:textId="162FA1D6" w:rsidR="00EE0813" w:rsidRPr="00EE0813" w:rsidRDefault="00BD2B3E">
      <w:pPr>
        <w:pStyle w:val="TOC1"/>
        <w:rPr>
          <w:rFonts w:asciiTheme="minorHAnsi" w:eastAsiaTheme="minorEastAsia" w:hAnsiTheme="minorHAnsi" w:cstheme="minorBidi"/>
          <w:sz w:val="24"/>
          <w:szCs w:val="24"/>
        </w:rPr>
      </w:pPr>
      <w:r w:rsidRPr="00EE0813">
        <w:rPr>
          <w:sz w:val="24"/>
          <w:szCs w:val="24"/>
        </w:rPr>
        <w:fldChar w:fldCharType="begin"/>
      </w:r>
      <w:r w:rsidR="00F878D4" w:rsidRPr="00EE0813">
        <w:rPr>
          <w:sz w:val="24"/>
          <w:szCs w:val="24"/>
        </w:rPr>
        <w:instrText xml:space="preserve"> TOC \h \z \t "Heading 1-F,1,Heading 2-F,2,Heading 3-F,3" </w:instrText>
      </w:r>
      <w:r w:rsidRPr="00EE0813">
        <w:rPr>
          <w:sz w:val="24"/>
          <w:szCs w:val="24"/>
        </w:rPr>
        <w:fldChar w:fldCharType="separate"/>
      </w:r>
      <w:hyperlink w:anchor="_Toc487829684" w:history="1">
        <w:r w:rsidR="00EE0813" w:rsidRPr="00EE0813">
          <w:rPr>
            <w:rStyle w:val="Hyperlink"/>
            <w:sz w:val="24"/>
            <w:szCs w:val="24"/>
          </w:rPr>
          <w:t>I.</w:t>
        </w:r>
        <w:r w:rsidR="00EE0813" w:rsidRPr="00EE0813">
          <w:rPr>
            <w:rFonts w:asciiTheme="minorHAnsi" w:eastAsiaTheme="minorEastAsia" w:hAnsiTheme="minorHAnsi" w:cstheme="minorBidi"/>
            <w:sz w:val="24"/>
            <w:szCs w:val="24"/>
          </w:rPr>
          <w:tab/>
        </w:r>
        <w:r w:rsidR="00EE0813" w:rsidRPr="00EE0813">
          <w:rPr>
            <w:rStyle w:val="Hyperlink"/>
            <w:sz w:val="24"/>
            <w:szCs w:val="24"/>
          </w:rPr>
          <w:t>Permit Information</w:t>
        </w:r>
        <w:r w:rsidR="00EE0813" w:rsidRPr="00EE0813">
          <w:rPr>
            <w:webHidden/>
            <w:sz w:val="24"/>
            <w:szCs w:val="24"/>
          </w:rPr>
          <w:tab/>
        </w:r>
        <w:r w:rsidR="00EE0813" w:rsidRPr="00EE0813">
          <w:rPr>
            <w:webHidden/>
            <w:sz w:val="24"/>
            <w:szCs w:val="24"/>
          </w:rPr>
          <w:fldChar w:fldCharType="begin"/>
        </w:r>
        <w:r w:rsidR="00EE0813" w:rsidRPr="00EE0813">
          <w:rPr>
            <w:webHidden/>
            <w:sz w:val="24"/>
            <w:szCs w:val="24"/>
          </w:rPr>
          <w:instrText xml:space="preserve"> PAGEREF _Toc487829684 \h </w:instrText>
        </w:r>
        <w:r w:rsidR="00EE0813" w:rsidRPr="00EE0813">
          <w:rPr>
            <w:webHidden/>
            <w:sz w:val="24"/>
            <w:szCs w:val="24"/>
          </w:rPr>
        </w:r>
        <w:r w:rsidR="00EE0813" w:rsidRPr="00EE0813">
          <w:rPr>
            <w:webHidden/>
            <w:sz w:val="24"/>
            <w:szCs w:val="24"/>
          </w:rPr>
          <w:fldChar w:fldCharType="separate"/>
        </w:r>
        <w:r w:rsidR="000018F2">
          <w:rPr>
            <w:webHidden/>
            <w:sz w:val="24"/>
            <w:szCs w:val="24"/>
          </w:rPr>
          <w:t>F-3</w:t>
        </w:r>
        <w:r w:rsidR="00EE0813" w:rsidRPr="00EE0813">
          <w:rPr>
            <w:webHidden/>
            <w:sz w:val="24"/>
            <w:szCs w:val="24"/>
          </w:rPr>
          <w:fldChar w:fldCharType="end"/>
        </w:r>
      </w:hyperlink>
    </w:p>
    <w:p w14:paraId="33A07F2F" w14:textId="4F450010" w:rsidR="00EE0813" w:rsidRPr="00EE0813" w:rsidRDefault="0013573F">
      <w:pPr>
        <w:pStyle w:val="TOC1"/>
        <w:rPr>
          <w:rFonts w:asciiTheme="minorHAnsi" w:eastAsiaTheme="minorEastAsia" w:hAnsiTheme="minorHAnsi" w:cstheme="minorBidi"/>
          <w:sz w:val="24"/>
          <w:szCs w:val="24"/>
        </w:rPr>
      </w:pPr>
      <w:hyperlink w:anchor="_Toc487829685" w:history="1">
        <w:r w:rsidR="00EE0813" w:rsidRPr="00EE0813">
          <w:rPr>
            <w:rStyle w:val="Hyperlink"/>
            <w:sz w:val="24"/>
            <w:szCs w:val="24"/>
          </w:rPr>
          <w:t>II.</w:t>
        </w:r>
        <w:r w:rsidR="00EE0813" w:rsidRPr="00EE0813">
          <w:rPr>
            <w:rFonts w:asciiTheme="minorHAnsi" w:eastAsiaTheme="minorEastAsia" w:hAnsiTheme="minorHAnsi" w:cstheme="minorBidi"/>
            <w:sz w:val="24"/>
            <w:szCs w:val="24"/>
          </w:rPr>
          <w:tab/>
        </w:r>
        <w:r w:rsidR="00EE0813" w:rsidRPr="00EE0813">
          <w:rPr>
            <w:rStyle w:val="Hyperlink"/>
            <w:sz w:val="24"/>
            <w:szCs w:val="24"/>
          </w:rPr>
          <w:t>Facility Description</w:t>
        </w:r>
        <w:r w:rsidR="00EE0813" w:rsidRPr="00EE0813">
          <w:rPr>
            <w:webHidden/>
            <w:sz w:val="24"/>
            <w:szCs w:val="24"/>
          </w:rPr>
          <w:tab/>
        </w:r>
        <w:r w:rsidR="00EE0813" w:rsidRPr="00EE0813">
          <w:rPr>
            <w:webHidden/>
            <w:sz w:val="24"/>
            <w:szCs w:val="24"/>
          </w:rPr>
          <w:fldChar w:fldCharType="begin"/>
        </w:r>
        <w:r w:rsidR="00EE0813" w:rsidRPr="00EE0813">
          <w:rPr>
            <w:webHidden/>
            <w:sz w:val="24"/>
            <w:szCs w:val="24"/>
          </w:rPr>
          <w:instrText xml:space="preserve"> PAGEREF _Toc487829685 \h </w:instrText>
        </w:r>
        <w:r w:rsidR="00EE0813" w:rsidRPr="00EE0813">
          <w:rPr>
            <w:webHidden/>
            <w:sz w:val="24"/>
            <w:szCs w:val="24"/>
          </w:rPr>
        </w:r>
        <w:r w:rsidR="00EE0813" w:rsidRPr="00EE0813">
          <w:rPr>
            <w:webHidden/>
            <w:sz w:val="24"/>
            <w:szCs w:val="24"/>
          </w:rPr>
          <w:fldChar w:fldCharType="separate"/>
        </w:r>
        <w:r w:rsidR="000018F2">
          <w:rPr>
            <w:webHidden/>
            <w:sz w:val="24"/>
            <w:szCs w:val="24"/>
          </w:rPr>
          <w:t>F-11</w:t>
        </w:r>
        <w:r w:rsidR="00EE0813" w:rsidRPr="00EE0813">
          <w:rPr>
            <w:webHidden/>
            <w:sz w:val="24"/>
            <w:szCs w:val="24"/>
          </w:rPr>
          <w:fldChar w:fldCharType="end"/>
        </w:r>
      </w:hyperlink>
    </w:p>
    <w:p w14:paraId="2F3BFE8C" w14:textId="6FD7A05D" w:rsidR="00EE0813" w:rsidRPr="00EE0813" w:rsidRDefault="0013573F">
      <w:pPr>
        <w:pStyle w:val="TOC2"/>
        <w:rPr>
          <w:rFonts w:asciiTheme="minorHAnsi" w:eastAsiaTheme="minorEastAsia" w:hAnsiTheme="minorHAnsi" w:cstheme="minorBidi"/>
          <w:sz w:val="24"/>
        </w:rPr>
      </w:pPr>
      <w:hyperlink w:anchor="_Toc487829686" w:history="1">
        <w:r w:rsidR="00EE0813" w:rsidRPr="00EE0813">
          <w:rPr>
            <w:rStyle w:val="Hyperlink"/>
            <w:sz w:val="24"/>
          </w:rPr>
          <w:t>A.</w:t>
        </w:r>
        <w:r w:rsidR="00EE0813" w:rsidRPr="00EE0813">
          <w:rPr>
            <w:rFonts w:asciiTheme="minorHAnsi" w:eastAsiaTheme="minorEastAsia" w:hAnsiTheme="minorHAnsi" w:cstheme="minorBidi"/>
            <w:sz w:val="24"/>
          </w:rPr>
          <w:tab/>
        </w:r>
        <w:r w:rsidR="00EE0813" w:rsidRPr="00EE0813">
          <w:rPr>
            <w:rStyle w:val="Hyperlink"/>
            <w:sz w:val="24"/>
          </w:rPr>
          <w:t>Wastewater Treatment</w:t>
        </w:r>
        <w:r w:rsidR="00EE0813" w:rsidRPr="00EE0813">
          <w:rPr>
            <w:webHidden/>
            <w:sz w:val="24"/>
          </w:rPr>
          <w:tab/>
        </w:r>
        <w:r w:rsidR="00EE0813" w:rsidRPr="00EE0813">
          <w:rPr>
            <w:webHidden/>
            <w:sz w:val="24"/>
          </w:rPr>
          <w:fldChar w:fldCharType="begin"/>
        </w:r>
        <w:r w:rsidR="00EE0813" w:rsidRPr="00EE0813">
          <w:rPr>
            <w:webHidden/>
            <w:sz w:val="24"/>
          </w:rPr>
          <w:instrText xml:space="preserve"> PAGEREF _Toc487829686 \h </w:instrText>
        </w:r>
        <w:r w:rsidR="00EE0813" w:rsidRPr="00EE0813">
          <w:rPr>
            <w:webHidden/>
            <w:sz w:val="24"/>
          </w:rPr>
        </w:r>
        <w:r w:rsidR="00EE0813" w:rsidRPr="00EE0813">
          <w:rPr>
            <w:webHidden/>
            <w:sz w:val="24"/>
          </w:rPr>
          <w:fldChar w:fldCharType="separate"/>
        </w:r>
        <w:r w:rsidR="000018F2">
          <w:rPr>
            <w:webHidden/>
            <w:sz w:val="24"/>
          </w:rPr>
          <w:t>F-11</w:t>
        </w:r>
        <w:r w:rsidR="00EE0813" w:rsidRPr="00EE0813">
          <w:rPr>
            <w:webHidden/>
            <w:sz w:val="24"/>
          </w:rPr>
          <w:fldChar w:fldCharType="end"/>
        </w:r>
      </w:hyperlink>
    </w:p>
    <w:p w14:paraId="2BA11DD9" w14:textId="415613CD" w:rsidR="00EE0813" w:rsidRPr="00EE0813" w:rsidRDefault="0013573F">
      <w:pPr>
        <w:pStyle w:val="TOC2"/>
        <w:rPr>
          <w:rFonts w:asciiTheme="minorHAnsi" w:eastAsiaTheme="minorEastAsia" w:hAnsiTheme="minorHAnsi" w:cstheme="minorBidi"/>
          <w:sz w:val="24"/>
        </w:rPr>
      </w:pPr>
      <w:hyperlink w:anchor="_Toc487829687" w:history="1">
        <w:r w:rsidR="00EE0813" w:rsidRPr="00EE0813">
          <w:rPr>
            <w:rStyle w:val="Hyperlink"/>
            <w:bCs/>
            <w:sz w:val="24"/>
          </w:rPr>
          <w:t>B.</w:t>
        </w:r>
        <w:r w:rsidR="00EE0813" w:rsidRPr="00EE0813">
          <w:rPr>
            <w:rFonts w:asciiTheme="minorHAnsi" w:eastAsiaTheme="minorEastAsia" w:hAnsiTheme="minorHAnsi" w:cstheme="minorBidi"/>
            <w:sz w:val="24"/>
          </w:rPr>
          <w:tab/>
        </w:r>
        <w:r w:rsidR="00EE0813" w:rsidRPr="00EE0813">
          <w:rPr>
            <w:rStyle w:val="Hyperlink"/>
            <w:bCs/>
            <w:sz w:val="24"/>
          </w:rPr>
          <w:t>Discharge Point and Receiving Waters</w:t>
        </w:r>
        <w:r w:rsidR="00EE0813" w:rsidRPr="00EE0813">
          <w:rPr>
            <w:webHidden/>
            <w:sz w:val="24"/>
          </w:rPr>
          <w:tab/>
        </w:r>
        <w:r w:rsidR="00EE0813" w:rsidRPr="00EE0813">
          <w:rPr>
            <w:webHidden/>
            <w:sz w:val="24"/>
          </w:rPr>
          <w:fldChar w:fldCharType="begin"/>
        </w:r>
        <w:r w:rsidR="00EE0813" w:rsidRPr="00EE0813">
          <w:rPr>
            <w:webHidden/>
            <w:sz w:val="24"/>
          </w:rPr>
          <w:instrText xml:space="preserve"> PAGEREF _Toc487829687 \h </w:instrText>
        </w:r>
        <w:r w:rsidR="00EE0813" w:rsidRPr="00EE0813">
          <w:rPr>
            <w:webHidden/>
            <w:sz w:val="24"/>
          </w:rPr>
        </w:r>
        <w:r w:rsidR="00EE0813" w:rsidRPr="00EE0813">
          <w:rPr>
            <w:webHidden/>
            <w:sz w:val="24"/>
          </w:rPr>
          <w:fldChar w:fldCharType="separate"/>
        </w:r>
        <w:r w:rsidR="000018F2">
          <w:rPr>
            <w:webHidden/>
            <w:sz w:val="24"/>
          </w:rPr>
          <w:t>F-12</w:t>
        </w:r>
        <w:r w:rsidR="00EE0813" w:rsidRPr="00EE0813">
          <w:rPr>
            <w:webHidden/>
            <w:sz w:val="24"/>
          </w:rPr>
          <w:fldChar w:fldCharType="end"/>
        </w:r>
      </w:hyperlink>
    </w:p>
    <w:p w14:paraId="5F02D144" w14:textId="6E3DDE9D" w:rsidR="00EE0813" w:rsidRPr="00EE0813" w:rsidRDefault="0013573F">
      <w:pPr>
        <w:pStyle w:val="TOC2"/>
        <w:rPr>
          <w:rFonts w:asciiTheme="minorHAnsi" w:eastAsiaTheme="minorEastAsia" w:hAnsiTheme="minorHAnsi" w:cstheme="minorBidi"/>
          <w:sz w:val="24"/>
        </w:rPr>
      </w:pPr>
      <w:hyperlink w:anchor="_Toc487829688" w:history="1">
        <w:r w:rsidR="00EE0813" w:rsidRPr="00EE0813">
          <w:rPr>
            <w:rStyle w:val="Hyperlink"/>
            <w:sz w:val="24"/>
          </w:rPr>
          <w:t>C.</w:t>
        </w:r>
        <w:r w:rsidR="00EE0813" w:rsidRPr="00EE0813">
          <w:rPr>
            <w:rFonts w:asciiTheme="minorHAnsi" w:eastAsiaTheme="minorEastAsia" w:hAnsiTheme="minorHAnsi" w:cstheme="minorBidi"/>
            <w:sz w:val="24"/>
          </w:rPr>
          <w:tab/>
        </w:r>
        <w:r w:rsidR="00EE0813" w:rsidRPr="00EE0813">
          <w:rPr>
            <w:rStyle w:val="Hyperlink"/>
            <w:sz w:val="24"/>
          </w:rPr>
          <w:t>Previous Requirements</w:t>
        </w:r>
        <w:r w:rsidR="00EE0813" w:rsidRPr="00EE0813">
          <w:rPr>
            <w:webHidden/>
            <w:sz w:val="24"/>
          </w:rPr>
          <w:tab/>
        </w:r>
        <w:r w:rsidR="00EE0813" w:rsidRPr="00EE0813">
          <w:rPr>
            <w:webHidden/>
            <w:sz w:val="24"/>
          </w:rPr>
          <w:fldChar w:fldCharType="begin"/>
        </w:r>
        <w:r w:rsidR="00EE0813" w:rsidRPr="00EE0813">
          <w:rPr>
            <w:webHidden/>
            <w:sz w:val="24"/>
          </w:rPr>
          <w:instrText xml:space="preserve"> PAGEREF _Toc487829688 \h </w:instrText>
        </w:r>
        <w:r w:rsidR="00EE0813" w:rsidRPr="00EE0813">
          <w:rPr>
            <w:webHidden/>
            <w:sz w:val="24"/>
          </w:rPr>
        </w:r>
        <w:r w:rsidR="00EE0813" w:rsidRPr="00EE0813">
          <w:rPr>
            <w:webHidden/>
            <w:sz w:val="24"/>
          </w:rPr>
          <w:fldChar w:fldCharType="separate"/>
        </w:r>
        <w:r w:rsidR="000018F2">
          <w:rPr>
            <w:webHidden/>
            <w:sz w:val="24"/>
          </w:rPr>
          <w:t>F-12</w:t>
        </w:r>
        <w:r w:rsidR="00EE0813" w:rsidRPr="00EE0813">
          <w:rPr>
            <w:webHidden/>
            <w:sz w:val="24"/>
          </w:rPr>
          <w:fldChar w:fldCharType="end"/>
        </w:r>
      </w:hyperlink>
    </w:p>
    <w:p w14:paraId="0A2309D4" w14:textId="0CA1475D" w:rsidR="00EE0813" w:rsidRPr="00EE0813" w:rsidRDefault="0013573F">
      <w:pPr>
        <w:pStyle w:val="TOC2"/>
        <w:rPr>
          <w:rFonts w:asciiTheme="minorHAnsi" w:eastAsiaTheme="minorEastAsia" w:hAnsiTheme="minorHAnsi" w:cstheme="minorBidi"/>
          <w:sz w:val="24"/>
        </w:rPr>
      </w:pPr>
      <w:hyperlink w:anchor="_Toc487829689" w:history="1">
        <w:r w:rsidR="00EE0813" w:rsidRPr="00EE0813">
          <w:rPr>
            <w:rStyle w:val="Hyperlink"/>
            <w:sz w:val="24"/>
          </w:rPr>
          <w:t>D.</w:t>
        </w:r>
        <w:r w:rsidR="00EE0813" w:rsidRPr="00EE0813">
          <w:rPr>
            <w:rFonts w:asciiTheme="minorHAnsi" w:eastAsiaTheme="minorEastAsia" w:hAnsiTheme="minorHAnsi" w:cstheme="minorBidi"/>
            <w:sz w:val="24"/>
          </w:rPr>
          <w:tab/>
        </w:r>
        <w:r w:rsidR="00EE0813" w:rsidRPr="00EE0813">
          <w:rPr>
            <w:rStyle w:val="Hyperlink"/>
            <w:sz w:val="24"/>
          </w:rPr>
          <w:t>Compliance Summary</w:t>
        </w:r>
        <w:r w:rsidR="00EE0813" w:rsidRPr="00EE0813">
          <w:rPr>
            <w:webHidden/>
            <w:sz w:val="24"/>
          </w:rPr>
          <w:tab/>
        </w:r>
        <w:r w:rsidR="00EE0813" w:rsidRPr="00EE0813">
          <w:rPr>
            <w:webHidden/>
            <w:sz w:val="24"/>
          </w:rPr>
          <w:fldChar w:fldCharType="begin"/>
        </w:r>
        <w:r w:rsidR="00EE0813" w:rsidRPr="00EE0813">
          <w:rPr>
            <w:webHidden/>
            <w:sz w:val="24"/>
          </w:rPr>
          <w:instrText xml:space="preserve"> PAGEREF _Toc487829689 \h </w:instrText>
        </w:r>
        <w:r w:rsidR="00EE0813" w:rsidRPr="00EE0813">
          <w:rPr>
            <w:webHidden/>
            <w:sz w:val="24"/>
          </w:rPr>
        </w:r>
        <w:r w:rsidR="00EE0813" w:rsidRPr="00EE0813">
          <w:rPr>
            <w:webHidden/>
            <w:sz w:val="24"/>
          </w:rPr>
          <w:fldChar w:fldCharType="separate"/>
        </w:r>
        <w:r w:rsidR="000018F2">
          <w:rPr>
            <w:webHidden/>
            <w:sz w:val="24"/>
          </w:rPr>
          <w:t>F-12</w:t>
        </w:r>
        <w:r w:rsidR="00EE0813" w:rsidRPr="00EE0813">
          <w:rPr>
            <w:webHidden/>
            <w:sz w:val="24"/>
          </w:rPr>
          <w:fldChar w:fldCharType="end"/>
        </w:r>
      </w:hyperlink>
    </w:p>
    <w:p w14:paraId="7D3CC19C" w14:textId="2C2645F1" w:rsidR="00EE0813" w:rsidRPr="00EE0813" w:rsidRDefault="0013573F">
      <w:pPr>
        <w:pStyle w:val="TOC1"/>
        <w:rPr>
          <w:rFonts w:asciiTheme="minorHAnsi" w:eastAsiaTheme="minorEastAsia" w:hAnsiTheme="minorHAnsi" w:cstheme="minorBidi"/>
          <w:sz w:val="24"/>
          <w:szCs w:val="24"/>
        </w:rPr>
      </w:pPr>
      <w:hyperlink w:anchor="_Toc487829690" w:history="1">
        <w:r w:rsidR="00EE0813" w:rsidRPr="00EE0813">
          <w:rPr>
            <w:rStyle w:val="Hyperlink"/>
            <w:sz w:val="24"/>
            <w:szCs w:val="24"/>
          </w:rPr>
          <w:t>III.</w:t>
        </w:r>
        <w:r w:rsidR="00EE0813" w:rsidRPr="00EE0813">
          <w:rPr>
            <w:rFonts w:asciiTheme="minorHAnsi" w:eastAsiaTheme="minorEastAsia" w:hAnsiTheme="minorHAnsi" w:cstheme="minorBidi"/>
            <w:sz w:val="24"/>
            <w:szCs w:val="24"/>
          </w:rPr>
          <w:tab/>
        </w:r>
        <w:r w:rsidR="00EE0813" w:rsidRPr="00EE0813">
          <w:rPr>
            <w:rStyle w:val="Hyperlink"/>
            <w:sz w:val="24"/>
            <w:szCs w:val="24"/>
          </w:rPr>
          <w:t>Applicable Plans, Policies, and Regulations</w:t>
        </w:r>
        <w:r w:rsidR="00EE0813" w:rsidRPr="00EE0813">
          <w:rPr>
            <w:webHidden/>
            <w:sz w:val="24"/>
            <w:szCs w:val="24"/>
          </w:rPr>
          <w:tab/>
        </w:r>
        <w:r w:rsidR="00EE0813" w:rsidRPr="00EE0813">
          <w:rPr>
            <w:webHidden/>
            <w:sz w:val="24"/>
            <w:szCs w:val="24"/>
          </w:rPr>
          <w:fldChar w:fldCharType="begin"/>
        </w:r>
        <w:r w:rsidR="00EE0813" w:rsidRPr="00EE0813">
          <w:rPr>
            <w:webHidden/>
            <w:sz w:val="24"/>
            <w:szCs w:val="24"/>
          </w:rPr>
          <w:instrText xml:space="preserve"> PAGEREF _Toc487829690 \h </w:instrText>
        </w:r>
        <w:r w:rsidR="00EE0813" w:rsidRPr="00EE0813">
          <w:rPr>
            <w:webHidden/>
            <w:sz w:val="24"/>
            <w:szCs w:val="24"/>
          </w:rPr>
        </w:r>
        <w:r w:rsidR="00EE0813" w:rsidRPr="00EE0813">
          <w:rPr>
            <w:webHidden/>
            <w:sz w:val="24"/>
            <w:szCs w:val="24"/>
          </w:rPr>
          <w:fldChar w:fldCharType="separate"/>
        </w:r>
        <w:r w:rsidR="000018F2">
          <w:rPr>
            <w:webHidden/>
            <w:sz w:val="24"/>
            <w:szCs w:val="24"/>
          </w:rPr>
          <w:t>F-14</w:t>
        </w:r>
        <w:r w:rsidR="00EE0813" w:rsidRPr="00EE0813">
          <w:rPr>
            <w:webHidden/>
            <w:sz w:val="24"/>
            <w:szCs w:val="24"/>
          </w:rPr>
          <w:fldChar w:fldCharType="end"/>
        </w:r>
      </w:hyperlink>
    </w:p>
    <w:p w14:paraId="1EDC7556" w14:textId="174E4345" w:rsidR="00EE0813" w:rsidRPr="00EE0813" w:rsidRDefault="0013573F">
      <w:pPr>
        <w:pStyle w:val="TOC1"/>
        <w:rPr>
          <w:rFonts w:asciiTheme="minorHAnsi" w:eastAsiaTheme="minorEastAsia" w:hAnsiTheme="minorHAnsi" w:cstheme="minorBidi"/>
          <w:sz w:val="24"/>
          <w:szCs w:val="24"/>
        </w:rPr>
      </w:pPr>
      <w:hyperlink w:anchor="_Toc487829691" w:history="1">
        <w:r w:rsidR="00EE0813" w:rsidRPr="00EE0813">
          <w:rPr>
            <w:rStyle w:val="Hyperlink"/>
            <w:bCs/>
            <w:sz w:val="24"/>
            <w:szCs w:val="24"/>
          </w:rPr>
          <w:t>IV.</w:t>
        </w:r>
        <w:r w:rsidR="00EE0813" w:rsidRPr="00EE0813">
          <w:rPr>
            <w:rFonts w:asciiTheme="minorHAnsi" w:eastAsiaTheme="minorEastAsia" w:hAnsiTheme="minorHAnsi" w:cstheme="minorBidi"/>
            <w:sz w:val="24"/>
            <w:szCs w:val="24"/>
          </w:rPr>
          <w:tab/>
        </w:r>
        <w:r w:rsidR="00EE0813" w:rsidRPr="00EE0813">
          <w:rPr>
            <w:rStyle w:val="Hyperlink"/>
            <w:bCs/>
            <w:sz w:val="24"/>
            <w:szCs w:val="24"/>
          </w:rPr>
          <w:t>Rationale For Effluent Limitations and Discharge Specifications</w:t>
        </w:r>
        <w:r w:rsidR="00EE0813" w:rsidRPr="00EE0813">
          <w:rPr>
            <w:webHidden/>
            <w:sz w:val="24"/>
            <w:szCs w:val="24"/>
          </w:rPr>
          <w:tab/>
        </w:r>
        <w:r w:rsidR="00EE0813" w:rsidRPr="00EE0813">
          <w:rPr>
            <w:webHidden/>
            <w:sz w:val="24"/>
            <w:szCs w:val="24"/>
          </w:rPr>
          <w:fldChar w:fldCharType="begin"/>
        </w:r>
        <w:r w:rsidR="00EE0813" w:rsidRPr="00EE0813">
          <w:rPr>
            <w:webHidden/>
            <w:sz w:val="24"/>
            <w:szCs w:val="24"/>
          </w:rPr>
          <w:instrText xml:space="preserve"> PAGEREF _Toc487829691 \h </w:instrText>
        </w:r>
        <w:r w:rsidR="00EE0813" w:rsidRPr="00EE0813">
          <w:rPr>
            <w:webHidden/>
            <w:sz w:val="24"/>
            <w:szCs w:val="24"/>
          </w:rPr>
        </w:r>
        <w:r w:rsidR="00EE0813" w:rsidRPr="00EE0813">
          <w:rPr>
            <w:webHidden/>
            <w:sz w:val="24"/>
            <w:szCs w:val="24"/>
          </w:rPr>
          <w:fldChar w:fldCharType="separate"/>
        </w:r>
        <w:r w:rsidR="000018F2">
          <w:rPr>
            <w:webHidden/>
            <w:sz w:val="24"/>
            <w:szCs w:val="24"/>
          </w:rPr>
          <w:t>F-16</w:t>
        </w:r>
        <w:r w:rsidR="00EE0813" w:rsidRPr="00EE0813">
          <w:rPr>
            <w:webHidden/>
            <w:sz w:val="24"/>
            <w:szCs w:val="24"/>
          </w:rPr>
          <w:fldChar w:fldCharType="end"/>
        </w:r>
      </w:hyperlink>
    </w:p>
    <w:p w14:paraId="0A8E1ADE" w14:textId="4609AD89" w:rsidR="00EE0813" w:rsidRPr="00EE0813" w:rsidRDefault="0013573F">
      <w:pPr>
        <w:pStyle w:val="TOC2"/>
        <w:rPr>
          <w:rFonts w:asciiTheme="minorHAnsi" w:eastAsiaTheme="minorEastAsia" w:hAnsiTheme="minorHAnsi" w:cstheme="minorBidi"/>
          <w:sz w:val="24"/>
        </w:rPr>
      </w:pPr>
      <w:hyperlink w:anchor="_Toc487829692" w:history="1">
        <w:r w:rsidR="00EE0813" w:rsidRPr="00EE0813">
          <w:rPr>
            <w:rStyle w:val="Hyperlink"/>
            <w:bCs/>
            <w:sz w:val="24"/>
          </w:rPr>
          <w:t>A.</w:t>
        </w:r>
        <w:r w:rsidR="00EE0813" w:rsidRPr="00EE0813">
          <w:rPr>
            <w:rFonts w:asciiTheme="minorHAnsi" w:eastAsiaTheme="minorEastAsia" w:hAnsiTheme="minorHAnsi" w:cstheme="minorBidi"/>
            <w:sz w:val="24"/>
          </w:rPr>
          <w:tab/>
        </w:r>
        <w:r w:rsidR="00EE0813" w:rsidRPr="00EE0813">
          <w:rPr>
            <w:rStyle w:val="Hyperlink"/>
            <w:bCs/>
            <w:sz w:val="24"/>
          </w:rPr>
          <w:t>Water Quality-Based Effluent Limitations (WQBELs)</w:t>
        </w:r>
        <w:r w:rsidR="00EE0813" w:rsidRPr="00EE0813">
          <w:rPr>
            <w:webHidden/>
            <w:sz w:val="24"/>
          </w:rPr>
          <w:tab/>
        </w:r>
        <w:r w:rsidR="00EE0813" w:rsidRPr="00EE0813">
          <w:rPr>
            <w:webHidden/>
            <w:sz w:val="24"/>
          </w:rPr>
          <w:fldChar w:fldCharType="begin"/>
        </w:r>
        <w:r w:rsidR="00EE0813" w:rsidRPr="00EE0813">
          <w:rPr>
            <w:webHidden/>
            <w:sz w:val="24"/>
          </w:rPr>
          <w:instrText xml:space="preserve"> PAGEREF _Toc487829692 \h </w:instrText>
        </w:r>
        <w:r w:rsidR="00EE0813" w:rsidRPr="00EE0813">
          <w:rPr>
            <w:webHidden/>
            <w:sz w:val="24"/>
          </w:rPr>
        </w:r>
        <w:r w:rsidR="00EE0813" w:rsidRPr="00EE0813">
          <w:rPr>
            <w:webHidden/>
            <w:sz w:val="24"/>
          </w:rPr>
          <w:fldChar w:fldCharType="separate"/>
        </w:r>
        <w:r w:rsidR="000018F2">
          <w:rPr>
            <w:webHidden/>
            <w:sz w:val="24"/>
          </w:rPr>
          <w:t>F-17</w:t>
        </w:r>
        <w:r w:rsidR="00EE0813" w:rsidRPr="00EE0813">
          <w:rPr>
            <w:webHidden/>
            <w:sz w:val="24"/>
          </w:rPr>
          <w:fldChar w:fldCharType="end"/>
        </w:r>
      </w:hyperlink>
    </w:p>
    <w:p w14:paraId="08A97A16" w14:textId="2938E77F" w:rsidR="00EE0813" w:rsidRPr="00EE0813" w:rsidRDefault="0013573F">
      <w:pPr>
        <w:pStyle w:val="TOC3"/>
        <w:rPr>
          <w:rFonts w:asciiTheme="minorHAnsi" w:eastAsiaTheme="minorEastAsia" w:hAnsiTheme="minorHAnsi" w:cstheme="minorBidi"/>
          <w:sz w:val="24"/>
        </w:rPr>
      </w:pPr>
      <w:hyperlink w:anchor="_Toc487829693" w:history="1">
        <w:r w:rsidR="00EE0813" w:rsidRPr="00EE0813">
          <w:rPr>
            <w:rStyle w:val="Hyperlink"/>
            <w:sz w:val="24"/>
          </w:rPr>
          <w:t>1.</w:t>
        </w:r>
        <w:r w:rsidR="00EE0813" w:rsidRPr="00EE0813">
          <w:rPr>
            <w:rFonts w:asciiTheme="minorHAnsi" w:eastAsiaTheme="minorEastAsia" w:hAnsiTheme="minorHAnsi" w:cstheme="minorBidi"/>
            <w:sz w:val="24"/>
          </w:rPr>
          <w:tab/>
        </w:r>
        <w:r w:rsidR="00EE0813" w:rsidRPr="00EE0813">
          <w:rPr>
            <w:rStyle w:val="Hyperlink"/>
            <w:sz w:val="24"/>
          </w:rPr>
          <w:t>Scope and Authority</w:t>
        </w:r>
        <w:r w:rsidR="00EE0813" w:rsidRPr="00EE0813">
          <w:rPr>
            <w:webHidden/>
            <w:sz w:val="24"/>
          </w:rPr>
          <w:tab/>
        </w:r>
        <w:r w:rsidR="00EE0813" w:rsidRPr="00EE0813">
          <w:rPr>
            <w:webHidden/>
            <w:sz w:val="24"/>
          </w:rPr>
          <w:fldChar w:fldCharType="begin"/>
        </w:r>
        <w:r w:rsidR="00EE0813" w:rsidRPr="00EE0813">
          <w:rPr>
            <w:webHidden/>
            <w:sz w:val="24"/>
          </w:rPr>
          <w:instrText xml:space="preserve"> PAGEREF _Toc487829693 \h </w:instrText>
        </w:r>
        <w:r w:rsidR="00EE0813" w:rsidRPr="00EE0813">
          <w:rPr>
            <w:webHidden/>
            <w:sz w:val="24"/>
          </w:rPr>
        </w:r>
        <w:r w:rsidR="00EE0813" w:rsidRPr="00EE0813">
          <w:rPr>
            <w:webHidden/>
            <w:sz w:val="24"/>
          </w:rPr>
          <w:fldChar w:fldCharType="separate"/>
        </w:r>
        <w:r w:rsidR="000018F2">
          <w:rPr>
            <w:webHidden/>
            <w:sz w:val="24"/>
          </w:rPr>
          <w:t>F-17</w:t>
        </w:r>
        <w:r w:rsidR="00EE0813" w:rsidRPr="00EE0813">
          <w:rPr>
            <w:webHidden/>
            <w:sz w:val="24"/>
          </w:rPr>
          <w:fldChar w:fldCharType="end"/>
        </w:r>
      </w:hyperlink>
    </w:p>
    <w:p w14:paraId="68BD63C0" w14:textId="5A86AF34" w:rsidR="00EE0813" w:rsidRPr="00EE0813" w:rsidRDefault="0013573F">
      <w:pPr>
        <w:pStyle w:val="TOC3"/>
        <w:rPr>
          <w:rFonts w:asciiTheme="minorHAnsi" w:eastAsiaTheme="minorEastAsia" w:hAnsiTheme="minorHAnsi" w:cstheme="minorBidi"/>
          <w:sz w:val="24"/>
        </w:rPr>
      </w:pPr>
      <w:hyperlink w:anchor="_Toc487829694" w:history="1">
        <w:r w:rsidR="00EE0813" w:rsidRPr="00EE0813">
          <w:rPr>
            <w:rStyle w:val="Hyperlink"/>
            <w:sz w:val="24"/>
          </w:rPr>
          <w:t>2.</w:t>
        </w:r>
        <w:r w:rsidR="00EE0813" w:rsidRPr="00EE0813">
          <w:rPr>
            <w:rFonts w:asciiTheme="minorHAnsi" w:eastAsiaTheme="minorEastAsia" w:hAnsiTheme="minorHAnsi" w:cstheme="minorBidi"/>
            <w:sz w:val="24"/>
          </w:rPr>
          <w:tab/>
        </w:r>
        <w:r w:rsidR="00EE0813" w:rsidRPr="00EE0813">
          <w:rPr>
            <w:rStyle w:val="Hyperlink"/>
            <w:sz w:val="24"/>
          </w:rPr>
          <w:t>Beneficial Uses and Water Quality Criteria and Objectives</w:t>
        </w:r>
        <w:r w:rsidR="00EE0813" w:rsidRPr="00EE0813">
          <w:rPr>
            <w:webHidden/>
            <w:sz w:val="24"/>
          </w:rPr>
          <w:tab/>
        </w:r>
        <w:r w:rsidR="00EE0813" w:rsidRPr="00EE0813">
          <w:rPr>
            <w:webHidden/>
            <w:sz w:val="24"/>
          </w:rPr>
          <w:fldChar w:fldCharType="begin"/>
        </w:r>
        <w:r w:rsidR="00EE0813" w:rsidRPr="00EE0813">
          <w:rPr>
            <w:webHidden/>
            <w:sz w:val="24"/>
          </w:rPr>
          <w:instrText xml:space="preserve"> PAGEREF _Toc487829694 \h </w:instrText>
        </w:r>
        <w:r w:rsidR="00EE0813" w:rsidRPr="00EE0813">
          <w:rPr>
            <w:webHidden/>
            <w:sz w:val="24"/>
          </w:rPr>
        </w:r>
        <w:r w:rsidR="00EE0813" w:rsidRPr="00EE0813">
          <w:rPr>
            <w:webHidden/>
            <w:sz w:val="24"/>
          </w:rPr>
          <w:fldChar w:fldCharType="separate"/>
        </w:r>
        <w:r w:rsidR="000018F2">
          <w:rPr>
            <w:webHidden/>
            <w:sz w:val="24"/>
          </w:rPr>
          <w:t>F-17</w:t>
        </w:r>
        <w:r w:rsidR="00EE0813" w:rsidRPr="00EE0813">
          <w:rPr>
            <w:webHidden/>
            <w:sz w:val="24"/>
          </w:rPr>
          <w:fldChar w:fldCharType="end"/>
        </w:r>
      </w:hyperlink>
    </w:p>
    <w:p w14:paraId="44A89AB6" w14:textId="0C549D8B" w:rsidR="00EE0813" w:rsidRPr="00EE0813" w:rsidRDefault="0013573F">
      <w:pPr>
        <w:pStyle w:val="TOC3"/>
        <w:rPr>
          <w:rFonts w:asciiTheme="minorHAnsi" w:eastAsiaTheme="minorEastAsia" w:hAnsiTheme="minorHAnsi" w:cstheme="minorBidi"/>
          <w:sz w:val="24"/>
        </w:rPr>
      </w:pPr>
      <w:hyperlink w:anchor="_Toc487829695" w:history="1">
        <w:r w:rsidR="00EE0813" w:rsidRPr="00EE0813">
          <w:rPr>
            <w:rStyle w:val="Hyperlink"/>
            <w:sz w:val="24"/>
          </w:rPr>
          <w:t>3.</w:t>
        </w:r>
        <w:r w:rsidR="00EE0813" w:rsidRPr="00EE0813">
          <w:rPr>
            <w:rFonts w:asciiTheme="minorHAnsi" w:eastAsiaTheme="minorEastAsia" w:hAnsiTheme="minorHAnsi" w:cstheme="minorBidi"/>
            <w:sz w:val="24"/>
          </w:rPr>
          <w:tab/>
        </w:r>
        <w:r w:rsidR="00EE0813" w:rsidRPr="00EE0813">
          <w:rPr>
            <w:rStyle w:val="Hyperlink"/>
            <w:sz w:val="24"/>
          </w:rPr>
          <w:t>Need for WQBELs (Reasonable Potential Analysis)</w:t>
        </w:r>
        <w:r w:rsidR="00EE0813" w:rsidRPr="00EE0813">
          <w:rPr>
            <w:webHidden/>
            <w:sz w:val="24"/>
          </w:rPr>
          <w:tab/>
        </w:r>
        <w:r w:rsidR="00EE0813" w:rsidRPr="00EE0813">
          <w:rPr>
            <w:webHidden/>
            <w:sz w:val="24"/>
          </w:rPr>
          <w:fldChar w:fldCharType="begin"/>
        </w:r>
        <w:r w:rsidR="00EE0813" w:rsidRPr="00EE0813">
          <w:rPr>
            <w:webHidden/>
            <w:sz w:val="24"/>
          </w:rPr>
          <w:instrText xml:space="preserve"> PAGEREF _Toc487829695 \h </w:instrText>
        </w:r>
        <w:r w:rsidR="00EE0813" w:rsidRPr="00EE0813">
          <w:rPr>
            <w:webHidden/>
            <w:sz w:val="24"/>
          </w:rPr>
        </w:r>
        <w:r w:rsidR="00EE0813" w:rsidRPr="00EE0813">
          <w:rPr>
            <w:webHidden/>
            <w:sz w:val="24"/>
          </w:rPr>
          <w:fldChar w:fldCharType="separate"/>
        </w:r>
        <w:r w:rsidR="000018F2">
          <w:rPr>
            <w:webHidden/>
            <w:sz w:val="24"/>
          </w:rPr>
          <w:t>F-17</w:t>
        </w:r>
        <w:r w:rsidR="00EE0813" w:rsidRPr="00EE0813">
          <w:rPr>
            <w:webHidden/>
            <w:sz w:val="24"/>
          </w:rPr>
          <w:fldChar w:fldCharType="end"/>
        </w:r>
      </w:hyperlink>
    </w:p>
    <w:p w14:paraId="1344096B" w14:textId="1551A089" w:rsidR="00EE0813" w:rsidRPr="00EE0813" w:rsidRDefault="0013573F">
      <w:pPr>
        <w:pStyle w:val="TOC3"/>
        <w:rPr>
          <w:rFonts w:asciiTheme="minorHAnsi" w:eastAsiaTheme="minorEastAsia" w:hAnsiTheme="minorHAnsi" w:cstheme="minorBidi"/>
          <w:sz w:val="24"/>
        </w:rPr>
      </w:pPr>
      <w:hyperlink w:anchor="_Toc487829696" w:history="1">
        <w:r w:rsidR="00EE0813" w:rsidRPr="00EE0813">
          <w:rPr>
            <w:rStyle w:val="Hyperlink"/>
            <w:sz w:val="24"/>
          </w:rPr>
          <w:t>4.</w:t>
        </w:r>
        <w:r w:rsidR="00EE0813" w:rsidRPr="00EE0813">
          <w:rPr>
            <w:rFonts w:asciiTheme="minorHAnsi" w:eastAsiaTheme="minorEastAsia" w:hAnsiTheme="minorHAnsi" w:cstheme="minorBidi"/>
            <w:sz w:val="24"/>
          </w:rPr>
          <w:tab/>
        </w:r>
        <w:r w:rsidR="00EE0813" w:rsidRPr="00EE0813">
          <w:rPr>
            <w:rStyle w:val="Hyperlink"/>
            <w:sz w:val="24"/>
          </w:rPr>
          <w:t>WQBEL Calculations</w:t>
        </w:r>
        <w:r w:rsidR="00EE0813" w:rsidRPr="00EE0813">
          <w:rPr>
            <w:webHidden/>
            <w:sz w:val="24"/>
          </w:rPr>
          <w:tab/>
        </w:r>
        <w:r w:rsidR="00EE0813" w:rsidRPr="00EE0813">
          <w:rPr>
            <w:webHidden/>
            <w:sz w:val="24"/>
          </w:rPr>
          <w:fldChar w:fldCharType="begin"/>
        </w:r>
        <w:r w:rsidR="00EE0813" w:rsidRPr="00EE0813">
          <w:rPr>
            <w:webHidden/>
            <w:sz w:val="24"/>
          </w:rPr>
          <w:instrText xml:space="preserve"> PAGEREF _Toc487829696 \h </w:instrText>
        </w:r>
        <w:r w:rsidR="00EE0813" w:rsidRPr="00EE0813">
          <w:rPr>
            <w:webHidden/>
            <w:sz w:val="24"/>
          </w:rPr>
        </w:r>
        <w:r w:rsidR="00EE0813" w:rsidRPr="00EE0813">
          <w:rPr>
            <w:webHidden/>
            <w:sz w:val="24"/>
          </w:rPr>
          <w:fldChar w:fldCharType="separate"/>
        </w:r>
        <w:r w:rsidR="000018F2">
          <w:rPr>
            <w:webHidden/>
            <w:sz w:val="24"/>
          </w:rPr>
          <w:t>F-18</w:t>
        </w:r>
        <w:r w:rsidR="00EE0813" w:rsidRPr="00EE0813">
          <w:rPr>
            <w:webHidden/>
            <w:sz w:val="24"/>
          </w:rPr>
          <w:fldChar w:fldCharType="end"/>
        </w:r>
      </w:hyperlink>
    </w:p>
    <w:p w14:paraId="342A046C" w14:textId="059C8633" w:rsidR="00EE0813" w:rsidRPr="00EE0813" w:rsidRDefault="0013573F">
      <w:pPr>
        <w:pStyle w:val="TOC2"/>
        <w:rPr>
          <w:rFonts w:asciiTheme="minorHAnsi" w:eastAsiaTheme="minorEastAsia" w:hAnsiTheme="minorHAnsi" w:cstheme="minorBidi"/>
          <w:sz w:val="24"/>
        </w:rPr>
      </w:pPr>
      <w:hyperlink w:anchor="_Toc487829697" w:history="1">
        <w:r w:rsidR="00EE0813" w:rsidRPr="00EE0813">
          <w:rPr>
            <w:rStyle w:val="Hyperlink"/>
            <w:sz w:val="24"/>
          </w:rPr>
          <w:t>D.</w:t>
        </w:r>
        <w:r w:rsidR="00EE0813" w:rsidRPr="00EE0813">
          <w:rPr>
            <w:rFonts w:asciiTheme="minorHAnsi" w:eastAsiaTheme="minorEastAsia" w:hAnsiTheme="minorHAnsi" w:cstheme="minorBidi"/>
            <w:sz w:val="24"/>
          </w:rPr>
          <w:tab/>
        </w:r>
        <w:r w:rsidR="00EE0813" w:rsidRPr="00EE0813">
          <w:rPr>
            <w:rStyle w:val="Hyperlink"/>
            <w:sz w:val="24"/>
          </w:rPr>
          <w:t>Discharge Requirement Considerations</w:t>
        </w:r>
        <w:r w:rsidR="00EE0813" w:rsidRPr="00EE0813">
          <w:rPr>
            <w:webHidden/>
            <w:sz w:val="24"/>
          </w:rPr>
          <w:tab/>
        </w:r>
        <w:r w:rsidR="00EE0813" w:rsidRPr="00EE0813">
          <w:rPr>
            <w:webHidden/>
            <w:sz w:val="24"/>
          </w:rPr>
          <w:fldChar w:fldCharType="begin"/>
        </w:r>
        <w:r w:rsidR="00EE0813" w:rsidRPr="00EE0813">
          <w:rPr>
            <w:webHidden/>
            <w:sz w:val="24"/>
          </w:rPr>
          <w:instrText xml:space="preserve"> PAGEREF _Toc487829697 \h </w:instrText>
        </w:r>
        <w:r w:rsidR="00EE0813" w:rsidRPr="00EE0813">
          <w:rPr>
            <w:webHidden/>
            <w:sz w:val="24"/>
          </w:rPr>
        </w:r>
        <w:r w:rsidR="00EE0813" w:rsidRPr="00EE0813">
          <w:rPr>
            <w:webHidden/>
            <w:sz w:val="24"/>
          </w:rPr>
          <w:fldChar w:fldCharType="separate"/>
        </w:r>
        <w:r w:rsidR="000018F2">
          <w:rPr>
            <w:webHidden/>
            <w:sz w:val="24"/>
          </w:rPr>
          <w:t>F-26</w:t>
        </w:r>
        <w:r w:rsidR="00EE0813" w:rsidRPr="00EE0813">
          <w:rPr>
            <w:webHidden/>
            <w:sz w:val="24"/>
          </w:rPr>
          <w:fldChar w:fldCharType="end"/>
        </w:r>
      </w:hyperlink>
    </w:p>
    <w:p w14:paraId="4AF85FB3" w14:textId="25C393BE" w:rsidR="00EE0813" w:rsidRPr="00EE0813" w:rsidRDefault="0013573F">
      <w:pPr>
        <w:pStyle w:val="TOC1"/>
        <w:rPr>
          <w:rFonts w:asciiTheme="minorHAnsi" w:eastAsiaTheme="minorEastAsia" w:hAnsiTheme="minorHAnsi" w:cstheme="minorBidi"/>
          <w:sz w:val="24"/>
          <w:szCs w:val="24"/>
        </w:rPr>
      </w:pPr>
      <w:hyperlink w:anchor="_Toc487829698" w:history="1">
        <w:r w:rsidR="00EE0813" w:rsidRPr="00EE0813">
          <w:rPr>
            <w:rStyle w:val="Hyperlink"/>
            <w:sz w:val="24"/>
            <w:szCs w:val="24"/>
          </w:rPr>
          <w:t>V.</w:t>
        </w:r>
        <w:r w:rsidR="00EE0813" w:rsidRPr="00EE0813">
          <w:rPr>
            <w:rFonts w:asciiTheme="minorHAnsi" w:eastAsiaTheme="minorEastAsia" w:hAnsiTheme="minorHAnsi" w:cstheme="minorBidi"/>
            <w:sz w:val="24"/>
            <w:szCs w:val="24"/>
          </w:rPr>
          <w:tab/>
        </w:r>
        <w:r w:rsidR="00EE0813" w:rsidRPr="00EE0813">
          <w:rPr>
            <w:rStyle w:val="Hyperlink"/>
            <w:sz w:val="24"/>
            <w:szCs w:val="24"/>
          </w:rPr>
          <w:t>Rationale for Receiving Water Limitations</w:t>
        </w:r>
        <w:r w:rsidR="00EE0813" w:rsidRPr="00EE0813">
          <w:rPr>
            <w:webHidden/>
            <w:sz w:val="24"/>
            <w:szCs w:val="24"/>
          </w:rPr>
          <w:tab/>
        </w:r>
        <w:r w:rsidR="00EE0813" w:rsidRPr="00EE0813">
          <w:rPr>
            <w:webHidden/>
            <w:sz w:val="24"/>
            <w:szCs w:val="24"/>
          </w:rPr>
          <w:fldChar w:fldCharType="begin"/>
        </w:r>
        <w:r w:rsidR="00EE0813" w:rsidRPr="00EE0813">
          <w:rPr>
            <w:webHidden/>
            <w:sz w:val="24"/>
            <w:szCs w:val="24"/>
          </w:rPr>
          <w:instrText xml:space="preserve"> PAGEREF _Toc487829698 \h </w:instrText>
        </w:r>
        <w:r w:rsidR="00EE0813" w:rsidRPr="00EE0813">
          <w:rPr>
            <w:webHidden/>
            <w:sz w:val="24"/>
            <w:szCs w:val="24"/>
          </w:rPr>
        </w:r>
        <w:r w:rsidR="00EE0813" w:rsidRPr="00EE0813">
          <w:rPr>
            <w:webHidden/>
            <w:sz w:val="24"/>
            <w:szCs w:val="24"/>
          </w:rPr>
          <w:fldChar w:fldCharType="separate"/>
        </w:r>
        <w:r w:rsidR="000018F2">
          <w:rPr>
            <w:webHidden/>
            <w:sz w:val="24"/>
            <w:szCs w:val="24"/>
          </w:rPr>
          <w:t>F-27</w:t>
        </w:r>
        <w:r w:rsidR="00EE0813" w:rsidRPr="00EE0813">
          <w:rPr>
            <w:webHidden/>
            <w:sz w:val="24"/>
            <w:szCs w:val="24"/>
          </w:rPr>
          <w:fldChar w:fldCharType="end"/>
        </w:r>
      </w:hyperlink>
    </w:p>
    <w:p w14:paraId="357C4645" w14:textId="26BC562D" w:rsidR="00EE0813" w:rsidRPr="00EE0813" w:rsidRDefault="0013573F">
      <w:pPr>
        <w:pStyle w:val="TOC1"/>
        <w:rPr>
          <w:rFonts w:asciiTheme="minorHAnsi" w:eastAsiaTheme="minorEastAsia" w:hAnsiTheme="minorHAnsi" w:cstheme="minorBidi"/>
          <w:sz w:val="24"/>
          <w:szCs w:val="24"/>
        </w:rPr>
      </w:pPr>
      <w:hyperlink w:anchor="_Toc487829699" w:history="1">
        <w:r w:rsidR="00EE0813" w:rsidRPr="00EE0813">
          <w:rPr>
            <w:rStyle w:val="Hyperlink"/>
            <w:sz w:val="24"/>
            <w:szCs w:val="24"/>
          </w:rPr>
          <w:t>VI.</w:t>
        </w:r>
        <w:r w:rsidR="00EE0813" w:rsidRPr="00EE0813">
          <w:rPr>
            <w:rFonts w:asciiTheme="minorHAnsi" w:eastAsiaTheme="minorEastAsia" w:hAnsiTheme="minorHAnsi" w:cstheme="minorBidi"/>
            <w:sz w:val="24"/>
            <w:szCs w:val="24"/>
          </w:rPr>
          <w:tab/>
        </w:r>
        <w:r w:rsidR="00EE0813" w:rsidRPr="00EE0813">
          <w:rPr>
            <w:rStyle w:val="Hyperlink"/>
            <w:sz w:val="24"/>
            <w:szCs w:val="24"/>
          </w:rPr>
          <w:t>Rationale for Provisions</w:t>
        </w:r>
        <w:r w:rsidR="00EE0813" w:rsidRPr="00EE0813">
          <w:rPr>
            <w:webHidden/>
            <w:sz w:val="24"/>
            <w:szCs w:val="24"/>
          </w:rPr>
          <w:tab/>
        </w:r>
        <w:r w:rsidR="00EE0813" w:rsidRPr="00EE0813">
          <w:rPr>
            <w:webHidden/>
            <w:sz w:val="24"/>
            <w:szCs w:val="24"/>
          </w:rPr>
          <w:fldChar w:fldCharType="begin"/>
        </w:r>
        <w:r w:rsidR="00EE0813" w:rsidRPr="00EE0813">
          <w:rPr>
            <w:webHidden/>
            <w:sz w:val="24"/>
            <w:szCs w:val="24"/>
          </w:rPr>
          <w:instrText xml:space="preserve"> PAGEREF _Toc487829699 \h </w:instrText>
        </w:r>
        <w:r w:rsidR="00EE0813" w:rsidRPr="00EE0813">
          <w:rPr>
            <w:webHidden/>
            <w:sz w:val="24"/>
            <w:szCs w:val="24"/>
          </w:rPr>
        </w:r>
        <w:r w:rsidR="00EE0813" w:rsidRPr="00EE0813">
          <w:rPr>
            <w:webHidden/>
            <w:sz w:val="24"/>
            <w:szCs w:val="24"/>
          </w:rPr>
          <w:fldChar w:fldCharType="separate"/>
        </w:r>
        <w:r w:rsidR="000018F2">
          <w:rPr>
            <w:webHidden/>
            <w:sz w:val="24"/>
            <w:szCs w:val="24"/>
          </w:rPr>
          <w:t>F-27</w:t>
        </w:r>
        <w:r w:rsidR="00EE0813" w:rsidRPr="00EE0813">
          <w:rPr>
            <w:webHidden/>
            <w:sz w:val="24"/>
            <w:szCs w:val="24"/>
          </w:rPr>
          <w:fldChar w:fldCharType="end"/>
        </w:r>
      </w:hyperlink>
    </w:p>
    <w:p w14:paraId="7BA0A2A6" w14:textId="0EB3E1D4" w:rsidR="00EE0813" w:rsidRPr="00EE0813" w:rsidRDefault="0013573F">
      <w:pPr>
        <w:pStyle w:val="TOC2"/>
        <w:rPr>
          <w:rFonts w:asciiTheme="minorHAnsi" w:eastAsiaTheme="minorEastAsia" w:hAnsiTheme="minorHAnsi" w:cstheme="minorBidi"/>
          <w:sz w:val="24"/>
        </w:rPr>
      </w:pPr>
      <w:hyperlink w:anchor="_Toc487829700" w:history="1">
        <w:r w:rsidR="00EE0813" w:rsidRPr="00EE0813">
          <w:rPr>
            <w:rStyle w:val="Hyperlink"/>
            <w:sz w:val="24"/>
          </w:rPr>
          <w:t>A.</w:t>
        </w:r>
        <w:r w:rsidR="00EE0813" w:rsidRPr="00EE0813">
          <w:rPr>
            <w:rFonts w:asciiTheme="minorHAnsi" w:eastAsiaTheme="minorEastAsia" w:hAnsiTheme="minorHAnsi" w:cstheme="minorBidi"/>
            <w:sz w:val="24"/>
          </w:rPr>
          <w:tab/>
        </w:r>
        <w:r w:rsidR="00EE0813" w:rsidRPr="00EE0813">
          <w:rPr>
            <w:rStyle w:val="Hyperlink"/>
            <w:sz w:val="24"/>
          </w:rPr>
          <w:t>Standard Provisions</w:t>
        </w:r>
        <w:r w:rsidR="00EE0813" w:rsidRPr="00EE0813">
          <w:rPr>
            <w:webHidden/>
            <w:sz w:val="24"/>
          </w:rPr>
          <w:tab/>
        </w:r>
        <w:r w:rsidR="00EE0813" w:rsidRPr="00EE0813">
          <w:rPr>
            <w:webHidden/>
            <w:sz w:val="24"/>
          </w:rPr>
          <w:fldChar w:fldCharType="begin"/>
        </w:r>
        <w:r w:rsidR="00EE0813" w:rsidRPr="00EE0813">
          <w:rPr>
            <w:webHidden/>
            <w:sz w:val="24"/>
          </w:rPr>
          <w:instrText xml:space="preserve"> PAGEREF _Toc487829700 \h </w:instrText>
        </w:r>
        <w:r w:rsidR="00EE0813" w:rsidRPr="00EE0813">
          <w:rPr>
            <w:webHidden/>
            <w:sz w:val="24"/>
          </w:rPr>
        </w:r>
        <w:r w:rsidR="00EE0813" w:rsidRPr="00EE0813">
          <w:rPr>
            <w:webHidden/>
            <w:sz w:val="24"/>
          </w:rPr>
          <w:fldChar w:fldCharType="separate"/>
        </w:r>
        <w:r w:rsidR="000018F2">
          <w:rPr>
            <w:webHidden/>
            <w:sz w:val="24"/>
          </w:rPr>
          <w:t>F-27</w:t>
        </w:r>
        <w:r w:rsidR="00EE0813" w:rsidRPr="00EE0813">
          <w:rPr>
            <w:webHidden/>
            <w:sz w:val="24"/>
          </w:rPr>
          <w:fldChar w:fldCharType="end"/>
        </w:r>
      </w:hyperlink>
    </w:p>
    <w:p w14:paraId="5C8CB57C" w14:textId="255E0DD6" w:rsidR="00EE0813" w:rsidRPr="00EE0813" w:rsidRDefault="0013573F">
      <w:pPr>
        <w:pStyle w:val="TOC2"/>
        <w:rPr>
          <w:rFonts w:asciiTheme="minorHAnsi" w:eastAsiaTheme="minorEastAsia" w:hAnsiTheme="minorHAnsi" w:cstheme="minorBidi"/>
          <w:sz w:val="24"/>
        </w:rPr>
      </w:pPr>
      <w:hyperlink w:anchor="_Toc487829701" w:history="1">
        <w:r w:rsidR="00EE0813" w:rsidRPr="00EE0813">
          <w:rPr>
            <w:rStyle w:val="Hyperlink"/>
            <w:bCs/>
            <w:sz w:val="24"/>
          </w:rPr>
          <w:t>B.</w:t>
        </w:r>
        <w:r w:rsidR="00EE0813" w:rsidRPr="00EE0813">
          <w:rPr>
            <w:rFonts w:asciiTheme="minorHAnsi" w:eastAsiaTheme="minorEastAsia" w:hAnsiTheme="minorHAnsi" w:cstheme="minorBidi"/>
            <w:sz w:val="24"/>
          </w:rPr>
          <w:tab/>
        </w:r>
        <w:r w:rsidR="00EE0813" w:rsidRPr="00EE0813">
          <w:rPr>
            <w:rStyle w:val="Hyperlink"/>
            <w:bCs/>
            <w:sz w:val="24"/>
          </w:rPr>
          <w:t>Monitoring and Reporting</w:t>
        </w:r>
        <w:r w:rsidR="00EE0813" w:rsidRPr="00EE0813">
          <w:rPr>
            <w:webHidden/>
            <w:sz w:val="24"/>
          </w:rPr>
          <w:tab/>
        </w:r>
        <w:r w:rsidR="00EE0813" w:rsidRPr="00EE0813">
          <w:rPr>
            <w:webHidden/>
            <w:sz w:val="24"/>
          </w:rPr>
          <w:fldChar w:fldCharType="begin"/>
        </w:r>
        <w:r w:rsidR="00EE0813" w:rsidRPr="00EE0813">
          <w:rPr>
            <w:webHidden/>
            <w:sz w:val="24"/>
          </w:rPr>
          <w:instrText xml:space="preserve"> PAGEREF _Toc487829701 \h </w:instrText>
        </w:r>
        <w:r w:rsidR="00EE0813" w:rsidRPr="00EE0813">
          <w:rPr>
            <w:webHidden/>
            <w:sz w:val="24"/>
          </w:rPr>
        </w:r>
        <w:r w:rsidR="00EE0813" w:rsidRPr="00EE0813">
          <w:rPr>
            <w:webHidden/>
            <w:sz w:val="24"/>
          </w:rPr>
          <w:fldChar w:fldCharType="separate"/>
        </w:r>
        <w:r w:rsidR="000018F2">
          <w:rPr>
            <w:webHidden/>
            <w:sz w:val="24"/>
          </w:rPr>
          <w:t>F-27</w:t>
        </w:r>
        <w:r w:rsidR="00EE0813" w:rsidRPr="00EE0813">
          <w:rPr>
            <w:webHidden/>
            <w:sz w:val="24"/>
          </w:rPr>
          <w:fldChar w:fldCharType="end"/>
        </w:r>
      </w:hyperlink>
    </w:p>
    <w:p w14:paraId="1D1B4791" w14:textId="7E599D10" w:rsidR="00EE0813" w:rsidRPr="00EE0813" w:rsidRDefault="0013573F">
      <w:pPr>
        <w:pStyle w:val="TOC2"/>
        <w:rPr>
          <w:rFonts w:asciiTheme="minorHAnsi" w:eastAsiaTheme="minorEastAsia" w:hAnsiTheme="minorHAnsi" w:cstheme="minorBidi"/>
          <w:sz w:val="24"/>
        </w:rPr>
      </w:pPr>
      <w:hyperlink w:anchor="_Toc487829702" w:history="1">
        <w:r w:rsidR="00EE0813" w:rsidRPr="00EE0813">
          <w:rPr>
            <w:rStyle w:val="Hyperlink"/>
            <w:bCs/>
            <w:sz w:val="24"/>
          </w:rPr>
          <w:t>C.</w:t>
        </w:r>
        <w:r w:rsidR="00EE0813" w:rsidRPr="00EE0813">
          <w:rPr>
            <w:rFonts w:asciiTheme="minorHAnsi" w:eastAsiaTheme="minorEastAsia" w:hAnsiTheme="minorHAnsi" w:cstheme="minorBidi"/>
            <w:sz w:val="24"/>
          </w:rPr>
          <w:tab/>
        </w:r>
        <w:r w:rsidR="00EE0813" w:rsidRPr="00EE0813">
          <w:rPr>
            <w:rStyle w:val="Hyperlink"/>
            <w:bCs/>
            <w:sz w:val="24"/>
          </w:rPr>
          <w:t>Special Provisions</w:t>
        </w:r>
        <w:r w:rsidR="00EE0813" w:rsidRPr="00EE0813">
          <w:rPr>
            <w:webHidden/>
            <w:sz w:val="24"/>
          </w:rPr>
          <w:tab/>
        </w:r>
        <w:r w:rsidR="00EE0813" w:rsidRPr="00EE0813">
          <w:rPr>
            <w:webHidden/>
            <w:sz w:val="24"/>
          </w:rPr>
          <w:fldChar w:fldCharType="begin"/>
        </w:r>
        <w:r w:rsidR="00EE0813" w:rsidRPr="00EE0813">
          <w:rPr>
            <w:webHidden/>
            <w:sz w:val="24"/>
          </w:rPr>
          <w:instrText xml:space="preserve"> PAGEREF _Toc487829702 \h </w:instrText>
        </w:r>
        <w:r w:rsidR="00EE0813" w:rsidRPr="00EE0813">
          <w:rPr>
            <w:webHidden/>
            <w:sz w:val="24"/>
          </w:rPr>
        </w:r>
        <w:r w:rsidR="00EE0813" w:rsidRPr="00EE0813">
          <w:rPr>
            <w:webHidden/>
            <w:sz w:val="24"/>
          </w:rPr>
          <w:fldChar w:fldCharType="separate"/>
        </w:r>
        <w:r w:rsidR="000018F2">
          <w:rPr>
            <w:webHidden/>
            <w:sz w:val="24"/>
          </w:rPr>
          <w:t>F-28</w:t>
        </w:r>
        <w:r w:rsidR="00EE0813" w:rsidRPr="00EE0813">
          <w:rPr>
            <w:webHidden/>
            <w:sz w:val="24"/>
          </w:rPr>
          <w:fldChar w:fldCharType="end"/>
        </w:r>
      </w:hyperlink>
    </w:p>
    <w:p w14:paraId="3A954045" w14:textId="4A3EAF61" w:rsidR="00EE0813" w:rsidRPr="00EE0813" w:rsidRDefault="0013573F">
      <w:pPr>
        <w:pStyle w:val="TOC3"/>
        <w:rPr>
          <w:rFonts w:asciiTheme="minorHAnsi" w:eastAsiaTheme="minorEastAsia" w:hAnsiTheme="minorHAnsi" w:cstheme="minorBidi"/>
          <w:sz w:val="24"/>
        </w:rPr>
      </w:pPr>
      <w:hyperlink w:anchor="_Toc487829703" w:history="1">
        <w:r w:rsidR="00EE0813" w:rsidRPr="00EE0813">
          <w:rPr>
            <w:rStyle w:val="Hyperlink"/>
            <w:sz w:val="24"/>
          </w:rPr>
          <w:t>1.</w:t>
        </w:r>
        <w:r w:rsidR="00EE0813" w:rsidRPr="00EE0813">
          <w:rPr>
            <w:rFonts w:asciiTheme="minorHAnsi" w:eastAsiaTheme="minorEastAsia" w:hAnsiTheme="minorHAnsi" w:cstheme="minorBidi"/>
            <w:sz w:val="24"/>
          </w:rPr>
          <w:tab/>
        </w:r>
        <w:r w:rsidR="00EE0813" w:rsidRPr="00EE0813">
          <w:rPr>
            <w:rStyle w:val="Hyperlink"/>
            <w:sz w:val="24"/>
          </w:rPr>
          <w:t>Reopener Provisions</w:t>
        </w:r>
        <w:r w:rsidR="00EE0813" w:rsidRPr="00EE0813">
          <w:rPr>
            <w:webHidden/>
            <w:sz w:val="24"/>
          </w:rPr>
          <w:tab/>
        </w:r>
        <w:r w:rsidR="00EE0813" w:rsidRPr="00EE0813">
          <w:rPr>
            <w:webHidden/>
            <w:sz w:val="24"/>
          </w:rPr>
          <w:fldChar w:fldCharType="begin"/>
        </w:r>
        <w:r w:rsidR="00EE0813" w:rsidRPr="00EE0813">
          <w:rPr>
            <w:webHidden/>
            <w:sz w:val="24"/>
          </w:rPr>
          <w:instrText xml:space="preserve"> PAGEREF _Toc487829703 \h </w:instrText>
        </w:r>
        <w:r w:rsidR="00EE0813" w:rsidRPr="00EE0813">
          <w:rPr>
            <w:webHidden/>
            <w:sz w:val="24"/>
          </w:rPr>
        </w:r>
        <w:r w:rsidR="00EE0813" w:rsidRPr="00EE0813">
          <w:rPr>
            <w:webHidden/>
            <w:sz w:val="24"/>
          </w:rPr>
          <w:fldChar w:fldCharType="separate"/>
        </w:r>
        <w:r w:rsidR="000018F2">
          <w:rPr>
            <w:webHidden/>
            <w:sz w:val="24"/>
          </w:rPr>
          <w:t>F-28</w:t>
        </w:r>
        <w:r w:rsidR="00EE0813" w:rsidRPr="00EE0813">
          <w:rPr>
            <w:webHidden/>
            <w:sz w:val="24"/>
          </w:rPr>
          <w:fldChar w:fldCharType="end"/>
        </w:r>
      </w:hyperlink>
    </w:p>
    <w:p w14:paraId="0ACF728F" w14:textId="3A7048C8" w:rsidR="00EE0813" w:rsidRPr="00EE0813" w:rsidRDefault="0013573F">
      <w:pPr>
        <w:pStyle w:val="TOC3"/>
        <w:rPr>
          <w:rFonts w:asciiTheme="minorHAnsi" w:eastAsiaTheme="minorEastAsia" w:hAnsiTheme="minorHAnsi" w:cstheme="minorBidi"/>
          <w:sz w:val="24"/>
        </w:rPr>
      </w:pPr>
      <w:hyperlink w:anchor="_Toc487829704" w:history="1">
        <w:r w:rsidR="00EE0813" w:rsidRPr="00EE0813">
          <w:rPr>
            <w:rStyle w:val="Hyperlink"/>
            <w:sz w:val="24"/>
          </w:rPr>
          <w:t>2.</w:t>
        </w:r>
        <w:r w:rsidR="00EE0813" w:rsidRPr="00EE0813">
          <w:rPr>
            <w:rFonts w:asciiTheme="minorHAnsi" w:eastAsiaTheme="minorEastAsia" w:hAnsiTheme="minorHAnsi" w:cstheme="minorBidi"/>
            <w:sz w:val="24"/>
          </w:rPr>
          <w:tab/>
        </w:r>
        <w:r w:rsidR="00EE0813" w:rsidRPr="00EE0813">
          <w:rPr>
            <w:rStyle w:val="Hyperlink"/>
            <w:sz w:val="24"/>
          </w:rPr>
          <w:t>Triggers for Additional Mercury Control</w:t>
        </w:r>
        <w:r w:rsidR="00EE0813" w:rsidRPr="00EE0813">
          <w:rPr>
            <w:webHidden/>
            <w:sz w:val="24"/>
          </w:rPr>
          <w:tab/>
        </w:r>
        <w:r w:rsidR="00EE0813" w:rsidRPr="00EE0813">
          <w:rPr>
            <w:webHidden/>
            <w:sz w:val="24"/>
          </w:rPr>
          <w:fldChar w:fldCharType="begin"/>
        </w:r>
        <w:r w:rsidR="00EE0813" w:rsidRPr="00EE0813">
          <w:rPr>
            <w:webHidden/>
            <w:sz w:val="24"/>
          </w:rPr>
          <w:instrText xml:space="preserve"> PAGEREF _Toc487829704 \h </w:instrText>
        </w:r>
        <w:r w:rsidR="00EE0813" w:rsidRPr="00EE0813">
          <w:rPr>
            <w:webHidden/>
            <w:sz w:val="24"/>
          </w:rPr>
        </w:r>
        <w:r w:rsidR="00EE0813" w:rsidRPr="00EE0813">
          <w:rPr>
            <w:webHidden/>
            <w:sz w:val="24"/>
          </w:rPr>
          <w:fldChar w:fldCharType="separate"/>
        </w:r>
        <w:r w:rsidR="000018F2">
          <w:rPr>
            <w:webHidden/>
            <w:sz w:val="24"/>
          </w:rPr>
          <w:t>F-28</w:t>
        </w:r>
        <w:r w:rsidR="00EE0813" w:rsidRPr="00EE0813">
          <w:rPr>
            <w:webHidden/>
            <w:sz w:val="24"/>
          </w:rPr>
          <w:fldChar w:fldCharType="end"/>
        </w:r>
      </w:hyperlink>
    </w:p>
    <w:p w14:paraId="536A831B" w14:textId="08561F5E" w:rsidR="00EE0813" w:rsidRPr="00EE0813" w:rsidRDefault="0013573F">
      <w:pPr>
        <w:pStyle w:val="TOC3"/>
        <w:rPr>
          <w:rFonts w:asciiTheme="minorHAnsi" w:eastAsiaTheme="minorEastAsia" w:hAnsiTheme="minorHAnsi" w:cstheme="minorBidi"/>
          <w:sz w:val="24"/>
        </w:rPr>
      </w:pPr>
      <w:hyperlink w:anchor="_Toc487829705" w:history="1">
        <w:r w:rsidR="00EE0813" w:rsidRPr="00EE0813">
          <w:rPr>
            <w:rStyle w:val="Hyperlink"/>
            <w:sz w:val="24"/>
          </w:rPr>
          <w:t>3.</w:t>
        </w:r>
        <w:r w:rsidR="00EE0813" w:rsidRPr="00EE0813">
          <w:rPr>
            <w:rFonts w:asciiTheme="minorHAnsi" w:eastAsiaTheme="minorEastAsia" w:hAnsiTheme="minorHAnsi" w:cstheme="minorBidi"/>
            <w:sz w:val="24"/>
          </w:rPr>
          <w:tab/>
        </w:r>
        <w:r w:rsidR="00EE0813" w:rsidRPr="00EE0813">
          <w:rPr>
            <w:rStyle w:val="Hyperlink"/>
            <w:sz w:val="24"/>
          </w:rPr>
          <w:t>Mercury and PCBs Source Control Program</w:t>
        </w:r>
        <w:r w:rsidR="00EE0813" w:rsidRPr="00EE0813">
          <w:rPr>
            <w:webHidden/>
            <w:sz w:val="24"/>
          </w:rPr>
          <w:tab/>
        </w:r>
        <w:r w:rsidR="00EE0813" w:rsidRPr="00EE0813">
          <w:rPr>
            <w:webHidden/>
            <w:sz w:val="24"/>
          </w:rPr>
          <w:fldChar w:fldCharType="begin"/>
        </w:r>
        <w:r w:rsidR="00EE0813" w:rsidRPr="00EE0813">
          <w:rPr>
            <w:webHidden/>
            <w:sz w:val="24"/>
          </w:rPr>
          <w:instrText xml:space="preserve"> PAGEREF _Toc487829705 \h </w:instrText>
        </w:r>
        <w:r w:rsidR="00EE0813" w:rsidRPr="00EE0813">
          <w:rPr>
            <w:webHidden/>
            <w:sz w:val="24"/>
          </w:rPr>
        </w:r>
        <w:r w:rsidR="00EE0813" w:rsidRPr="00EE0813">
          <w:rPr>
            <w:webHidden/>
            <w:sz w:val="24"/>
          </w:rPr>
          <w:fldChar w:fldCharType="separate"/>
        </w:r>
        <w:r w:rsidR="000018F2">
          <w:rPr>
            <w:webHidden/>
            <w:sz w:val="24"/>
          </w:rPr>
          <w:t>F-29</w:t>
        </w:r>
        <w:r w:rsidR="00EE0813" w:rsidRPr="00EE0813">
          <w:rPr>
            <w:webHidden/>
            <w:sz w:val="24"/>
          </w:rPr>
          <w:fldChar w:fldCharType="end"/>
        </w:r>
      </w:hyperlink>
    </w:p>
    <w:p w14:paraId="383494A0" w14:textId="08C2BFAB" w:rsidR="00EE0813" w:rsidRPr="00EE0813" w:rsidRDefault="0013573F">
      <w:pPr>
        <w:pStyle w:val="TOC3"/>
        <w:rPr>
          <w:rFonts w:asciiTheme="minorHAnsi" w:eastAsiaTheme="minorEastAsia" w:hAnsiTheme="minorHAnsi" w:cstheme="minorBidi"/>
          <w:sz w:val="24"/>
        </w:rPr>
      </w:pPr>
      <w:hyperlink w:anchor="_Toc487829706" w:history="1">
        <w:r w:rsidR="00EE0813" w:rsidRPr="00EE0813">
          <w:rPr>
            <w:rStyle w:val="Hyperlink"/>
            <w:sz w:val="24"/>
          </w:rPr>
          <w:t>4.</w:t>
        </w:r>
        <w:r w:rsidR="00EE0813" w:rsidRPr="00EE0813">
          <w:rPr>
            <w:rFonts w:asciiTheme="minorHAnsi" w:eastAsiaTheme="minorEastAsia" w:hAnsiTheme="minorHAnsi" w:cstheme="minorBidi"/>
            <w:sz w:val="24"/>
          </w:rPr>
          <w:tab/>
        </w:r>
        <w:r w:rsidR="00EE0813" w:rsidRPr="00EE0813">
          <w:rPr>
            <w:rStyle w:val="Hyperlink"/>
            <w:sz w:val="24"/>
          </w:rPr>
          <w:t>Risk Reduction Programs</w:t>
        </w:r>
        <w:r w:rsidR="00EE0813" w:rsidRPr="00EE0813">
          <w:rPr>
            <w:webHidden/>
            <w:sz w:val="24"/>
          </w:rPr>
          <w:tab/>
        </w:r>
        <w:r w:rsidR="00EE0813" w:rsidRPr="00EE0813">
          <w:rPr>
            <w:webHidden/>
            <w:sz w:val="24"/>
          </w:rPr>
          <w:fldChar w:fldCharType="begin"/>
        </w:r>
        <w:r w:rsidR="00EE0813" w:rsidRPr="00EE0813">
          <w:rPr>
            <w:webHidden/>
            <w:sz w:val="24"/>
          </w:rPr>
          <w:instrText xml:space="preserve"> PAGEREF _Toc487829706 \h </w:instrText>
        </w:r>
        <w:r w:rsidR="00EE0813" w:rsidRPr="00EE0813">
          <w:rPr>
            <w:webHidden/>
            <w:sz w:val="24"/>
          </w:rPr>
        </w:r>
        <w:r w:rsidR="00EE0813" w:rsidRPr="00EE0813">
          <w:rPr>
            <w:webHidden/>
            <w:sz w:val="24"/>
          </w:rPr>
          <w:fldChar w:fldCharType="separate"/>
        </w:r>
        <w:r w:rsidR="000018F2">
          <w:rPr>
            <w:webHidden/>
            <w:sz w:val="24"/>
          </w:rPr>
          <w:t>F-30</w:t>
        </w:r>
        <w:r w:rsidR="00EE0813" w:rsidRPr="00EE0813">
          <w:rPr>
            <w:webHidden/>
            <w:sz w:val="24"/>
          </w:rPr>
          <w:fldChar w:fldCharType="end"/>
        </w:r>
      </w:hyperlink>
    </w:p>
    <w:p w14:paraId="54369497" w14:textId="7F0CD1E2" w:rsidR="00EE0813" w:rsidRPr="00EE0813" w:rsidRDefault="0013573F">
      <w:pPr>
        <w:pStyle w:val="TOC3"/>
        <w:rPr>
          <w:rFonts w:asciiTheme="minorHAnsi" w:eastAsiaTheme="minorEastAsia" w:hAnsiTheme="minorHAnsi" w:cstheme="minorBidi"/>
          <w:sz w:val="24"/>
        </w:rPr>
      </w:pPr>
      <w:hyperlink w:anchor="_Toc487829707" w:history="1">
        <w:r w:rsidR="00EE0813" w:rsidRPr="00EE0813">
          <w:rPr>
            <w:rStyle w:val="Hyperlink"/>
            <w:sz w:val="24"/>
          </w:rPr>
          <w:t>5.</w:t>
        </w:r>
        <w:r w:rsidR="00EE0813" w:rsidRPr="00EE0813">
          <w:rPr>
            <w:rFonts w:asciiTheme="minorHAnsi" w:eastAsiaTheme="minorEastAsia" w:hAnsiTheme="minorHAnsi" w:cstheme="minorBidi"/>
            <w:sz w:val="24"/>
          </w:rPr>
          <w:tab/>
        </w:r>
        <w:r w:rsidR="00EE0813" w:rsidRPr="00EE0813">
          <w:rPr>
            <w:rStyle w:val="Hyperlink"/>
            <w:sz w:val="24"/>
          </w:rPr>
          <w:t>Mercury and PCBs Discharge Adjustments for Recycled Wastewater Use by Industrial Dischargers</w:t>
        </w:r>
        <w:r w:rsidR="00EE0813" w:rsidRPr="00EE0813">
          <w:rPr>
            <w:webHidden/>
            <w:sz w:val="24"/>
          </w:rPr>
          <w:tab/>
        </w:r>
        <w:r w:rsidR="00EE0813" w:rsidRPr="00EE0813">
          <w:rPr>
            <w:webHidden/>
            <w:sz w:val="24"/>
          </w:rPr>
          <w:fldChar w:fldCharType="begin"/>
        </w:r>
        <w:r w:rsidR="00EE0813" w:rsidRPr="00EE0813">
          <w:rPr>
            <w:webHidden/>
            <w:sz w:val="24"/>
          </w:rPr>
          <w:instrText xml:space="preserve"> PAGEREF _Toc487829707 \h </w:instrText>
        </w:r>
        <w:r w:rsidR="00EE0813" w:rsidRPr="00EE0813">
          <w:rPr>
            <w:webHidden/>
            <w:sz w:val="24"/>
          </w:rPr>
        </w:r>
        <w:r w:rsidR="00EE0813" w:rsidRPr="00EE0813">
          <w:rPr>
            <w:webHidden/>
            <w:sz w:val="24"/>
          </w:rPr>
          <w:fldChar w:fldCharType="separate"/>
        </w:r>
        <w:r w:rsidR="000018F2">
          <w:rPr>
            <w:webHidden/>
            <w:sz w:val="24"/>
          </w:rPr>
          <w:t>F-30</w:t>
        </w:r>
        <w:r w:rsidR="00EE0813" w:rsidRPr="00EE0813">
          <w:rPr>
            <w:webHidden/>
            <w:sz w:val="24"/>
          </w:rPr>
          <w:fldChar w:fldCharType="end"/>
        </w:r>
      </w:hyperlink>
    </w:p>
    <w:p w14:paraId="326845E2" w14:textId="71F2B94D" w:rsidR="00EE0813" w:rsidRPr="00EE0813" w:rsidRDefault="0013573F">
      <w:pPr>
        <w:pStyle w:val="TOC3"/>
        <w:rPr>
          <w:rFonts w:asciiTheme="minorHAnsi" w:eastAsiaTheme="minorEastAsia" w:hAnsiTheme="minorHAnsi" w:cstheme="minorBidi"/>
          <w:sz w:val="24"/>
        </w:rPr>
      </w:pPr>
      <w:hyperlink w:anchor="_Toc487829712" w:history="1">
        <w:r w:rsidR="00EE0813" w:rsidRPr="00EE0813">
          <w:rPr>
            <w:rStyle w:val="Hyperlink"/>
            <w:sz w:val="24"/>
          </w:rPr>
          <w:t>6.</w:t>
        </w:r>
        <w:r w:rsidR="00EE0813" w:rsidRPr="00EE0813">
          <w:rPr>
            <w:rFonts w:asciiTheme="minorHAnsi" w:eastAsiaTheme="minorEastAsia" w:hAnsiTheme="minorHAnsi" w:cstheme="minorBidi"/>
            <w:sz w:val="24"/>
          </w:rPr>
          <w:tab/>
        </w:r>
        <w:r w:rsidR="00EE0813" w:rsidRPr="00EE0813">
          <w:rPr>
            <w:rStyle w:val="Hyperlink"/>
            <w:sz w:val="24"/>
          </w:rPr>
          <w:t>PCBs Discharge Adjustment for Urban Stormwater Treatment by Municipal Dischargers</w:t>
        </w:r>
        <w:r w:rsidR="00EE0813" w:rsidRPr="00EE0813">
          <w:rPr>
            <w:webHidden/>
            <w:sz w:val="24"/>
          </w:rPr>
          <w:tab/>
        </w:r>
        <w:r w:rsidR="00EE0813" w:rsidRPr="00EE0813">
          <w:rPr>
            <w:webHidden/>
            <w:sz w:val="24"/>
          </w:rPr>
          <w:fldChar w:fldCharType="begin"/>
        </w:r>
        <w:r w:rsidR="00EE0813" w:rsidRPr="00EE0813">
          <w:rPr>
            <w:webHidden/>
            <w:sz w:val="24"/>
          </w:rPr>
          <w:instrText xml:space="preserve"> PAGEREF _Toc487829712 \h </w:instrText>
        </w:r>
        <w:r w:rsidR="00EE0813" w:rsidRPr="00EE0813">
          <w:rPr>
            <w:webHidden/>
            <w:sz w:val="24"/>
          </w:rPr>
        </w:r>
        <w:r w:rsidR="00EE0813" w:rsidRPr="00EE0813">
          <w:rPr>
            <w:webHidden/>
            <w:sz w:val="24"/>
          </w:rPr>
          <w:fldChar w:fldCharType="separate"/>
        </w:r>
        <w:r w:rsidR="000018F2">
          <w:rPr>
            <w:webHidden/>
            <w:sz w:val="24"/>
          </w:rPr>
          <w:t>F-31</w:t>
        </w:r>
        <w:r w:rsidR="00EE0813" w:rsidRPr="00EE0813">
          <w:rPr>
            <w:webHidden/>
            <w:sz w:val="24"/>
          </w:rPr>
          <w:fldChar w:fldCharType="end"/>
        </w:r>
      </w:hyperlink>
    </w:p>
    <w:p w14:paraId="693B3F09" w14:textId="328D2E83" w:rsidR="00EE0813" w:rsidRPr="00EE0813" w:rsidRDefault="0013573F">
      <w:pPr>
        <w:pStyle w:val="TOC1"/>
        <w:rPr>
          <w:rFonts w:asciiTheme="minorHAnsi" w:eastAsiaTheme="minorEastAsia" w:hAnsiTheme="minorHAnsi" w:cstheme="minorBidi"/>
          <w:sz w:val="24"/>
          <w:szCs w:val="24"/>
        </w:rPr>
      </w:pPr>
      <w:hyperlink w:anchor="_Toc487829716" w:history="1">
        <w:r w:rsidR="00EE0813" w:rsidRPr="00EE0813">
          <w:rPr>
            <w:rStyle w:val="Hyperlink"/>
            <w:sz w:val="24"/>
            <w:szCs w:val="24"/>
          </w:rPr>
          <w:t>VII. Rationale for Monitoring and Reporting Program (MRP)</w:t>
        </w:r>
        <w:r w:rsidR="00EE0813" w:rsidRPr="00EE0813">
          <w:rPr>
            <w:webHidden/>
            <w:sz w:val="24"/>
            <w:szCs w:val="24"/>
          </w:rPr>
          <w:tab/>
        </w:r>
        <w:r w:rsidR="00EE0813" w:rsidRPr="00EE0813">
          <w:rPr>
            <w:webHidden/>
            <w:sz w:val="24"/>
            <w:szCs w:val="24"/>
          </w:rPr>
          <w:fldChar w:fldCharType="begin"/>
        </w:r>
        <w:r w:rsidR="00EE0813" w:rsidRPr="00EE0813">
          <w:rPr>
            <w:webHidden/>
            <w:sz w:val="24"/>
            <w:szCs w:val="24"/>
          </w:rPr>
          <w:instrText xml:space="preserve"> PAGEREF _Toc487829716 \h </w:instrText>
        </w:r>
        <w:r w:rsidR="00EE0813" w:rsidRPr="00EE0813">
          <w:rPr>
            <w:webHidden/>
            <w:sz w:val="24"/>
            <w:szCs w:val="24"/>
          </w:rPr>
        </w:r>
        <w:r w:rsidR="00EE0813" w:rsidRPr="00EE0813">
          <w:rPr>
            <w:webHidden/>
            <w:sz w:val="24"/>
            <w:szCs w:val="24"/>
          </w:rPr>
          <w:fldChar w:fldCharType="separate"/>
        </w:r>
        <w:r w:rsidR="000018F2">
          <w:rPr>
            <w:webHidden/>
            <w:sz w:val="24"/>
            <w:szCs w:val="24"/>
          </w:rPr>
          <w:t>F-31</w:t>
        </w:r>
        <w:r w:rsidR="00EE0813" w:rsidRPr="00EE0813">
          <w:rPr>
            <w:webHidden/>
            <w:sz w:val="24"/>
            <w:szCs w:val="24"/>
          </w:rPr>
          <w:fldChar w:fldCharType="end"/>
        </w:r>
      </w:hyperlink>
    </w:p>
    <w:p w14:paraId="20EE2E9D" w14:textId="6FBD4360" w:rsidR="00EE0813" w:rsidRPr="00EE0813" w:rsidRDefault="0013573F">
      <w:pPr>
        <w:pStyle w:val="TOC1"/>
        <w:rPr>
          <w:rFonts w:asciiTheme="minorHAnsi" w:eastAsiaTheme="minorEastAsia" w:hAnsiTheme="minorHAnsi" w:cstheme="minorBidi"/>
          <w:sz w:val="24"/>
          <w:szCs w:val="24"/>
        </w:rPr>
      </w:pPr>
      <w:hyperlink w:anchor="_Toc487829717" w:history="1">
        <w:r w:rsidR="00EE0813" w:rsidRPr="00EE0813">
          <w:rPr>
            <w:rStyle w:val="Hyperlink"/>
            <w:sz w:val="24"/>
            <w:szCs w:val="24"/>
          </w:rPr>
          <w:t>VIII. Public Participation</w:t>
        </w:r>
        <w:r w:rsidR="00EE0813" w:rsidRPr="00EE0813">
          <w:rPr>
            <w:webHidden/>
            <w:sz w:val="24"/>
            <w:szCs w:val="24"/>
          </w:rPr>
          <w:tab/>
        </w:r>
        <w:r w:rsidR="00EE0813" w:rsidRPr="00EE0813">
          <w:rPr>
            <w:webHidden/>
            <w:sz w:val="24"/>
            <w:szCs w:val="24"/>
          </w:rPr>
          <w:fldChar w:fldCharType="begin"/>
        </w:r>
        <w:r w:rsidR="00EE0813" w:rsidRPr="00EE0813">
          <w:rPr>
            <w:webHidden/>
            <w:sz w:val="24"/>
            <w:szCs w:val="24"/>
          </w:rPr>
          <w:instrText xml:space="preserve"> PAGEREF _Toc487829717 \h </w:instrText>
        </w:r>
        <w:r w:rsidR="00EE0813" w:rsidRPr="00EE0813">
          <w:rPr>
            <w:webHidden/>
            <w:sz w:val="24"/>
            <w:szCs w:val="24"/>
          </w:rPr>
        </w:r>
        <w:r w:rsidR="00EE0813" w:rsidRPr="00EE0813">
          <w:rPr>
            <w:webHidden/>
            <w:sz w:val="24"/>
            <w:szCs w:val="24"/>
          </w:rPr>
          <w:fldChar w:fldCharType="separate"/>
        </w:r>
        <w:r w:rsidR="000018F2">
          <w:rPr>
            <w:webHidden/>
            <w:sz w:val="24"/>
            <w:szCs w:val="24"/>
          </w:rPr>
          <w:t>F-32</w:t>
        </w:r>
        <w:r w:rsidR="00EE0813" w:rsidRPr="00EE0813">
          <w:rPr>
            <w:webHidden/>
            <w:sz w:val="24"/>
            <w:szCs w:val="24"/>
          </w:rPr>
          <w:fldChar w:fldCharType="end"/>
        </w:r>
      </w:hyperlink>
    </w:p>
    <w:p w14:paraId="40CF3813" w14:textId="3976EF32" w:rsidR="00F878D4" w:rsidRPr="00570B42" w:rsidRDefault="00BD2B3E" w:rsidP="00FE3262">
      <w:pPr>
        <w:tabs>
          <w:tab w:val="right" w:leader="dot" w:pos="10080"/>
        </w:tabs>
        <w:rPr>
          <w:sz w:val="24"/>
          <w:szCs w:val="24"/>
        </w:rPr>
      </w:pPr>
      <w:r w:rsidRPr="00EE0813">
        <w:rPr>
          <w:sz w:val="24"/>
          <w:szCs w:val="24"/>
        </w:rPr>
        <w:fldChar w:fldCharType="end"/>
      </w:r>
    </w:p>
    <w:p w14:paraId="68A6F7A2" w14:textId="77777777" w:rsidR="00CE6A4D" w:rsidRPr="00570B42" w:rsidRDefault="00CE6A4D">
      <w:pPr>
        <w:rPr>
          <w:b/>
          <w:bCs/>
          <w:kern w:val="28"/>
          <w:sz w:val="24"/>
          <w:szCs w:val="24"/>
        </w:rPr>
      </w:pPr>
      <w:bookmarkStart w:id="167" w:name="_Toc117327942"/>
      <w:r w:rsidRPr="00570B42">
        <w:rPr>
          <w:sz w:val="24"/>
          <w:szCs w:val="24"/>
        </w:rPr>
        <w:br w:type="page"/>
      </w:r>
    </w:p>
    <w:p w14:paraId="6876EDAC" w14:textId="77777777" w:rsidR="00F878D4" w:rsidRPr="00570B42" w:rsidRDefault="00F878D4">
      <w:pPr>
        <w:pStyle w:val="Title"/>
        <w:rPr>
          <w:rFonts w:ascii="Times New Roman" w:hAnsi="Times New Roman"/>
          <w:sz w:val="24"/>
          <w:szCs w:val="24"/>
        </w:rPr>
      </w:pPr>
      <w:r w:rsidRPr="00570B42">
        <w:rPr>
          <w:rFonts w:ascii="Times New Roman" w:hAnsi="Times New Roman"/>
          <w:sz w:val="24"/>
          <w:szCs w:val="24"/>
        </w:rPr>
        <w:lastRenderedPageBreak/>
        <w:t>Tables</w:t>
      </w:r>
      <w:bookmarkEnd w:id="167"/>
    </w:p>
    <w:p w14:paraId="2E9B4E02" w14:textId="35EAB64F" w:rsidR="00EE0813" w:rsidRPr="00EE0813" w:rsidRDefault="003528E2">
      <w:pPr>
        <w:pStyle w:val="TableofFigures"/>
        <w:tabs>
          <w:tab w:val="right" w:leader="dot" w:pos="10070"/>
        </w:tabs>
        <w:rPr>
          <w:rFonts w:eastAsiaTheme="minorEastAsia"/>
          <w:noProof/>
          <w:sz w:val="24"/>
        </w:rPr>
      </w:pPr>
      <w:r w:rsidRPr="00EE0813">
        <w:rPr>
          <w:sz w:val="24"/>
        </w:rPr>
        <w:fldChar w:fldCharType="begin"/>
      </w:r>
      <w:r w:rsidRPr="00EE0813">
        <w:rPr>
          <w:sz w:val="24"/>
        </w:rPr>
        <w:instrText xml:space="preserve"> TOC \h \z \t "Table Header1F,1" \c "Figure" </w:instrText>
      </w:r>
      <w:r w:rsidRPr="00EE0813">
        <w:rPr>
          <w:sz w:val="24"/>
        </w:rPr>
        <w:fldChar w:fldCharType="separate"/>
      </w:r>
      <w:hyperlink w:anchor="_Toc487829731" w:history="1">
        <w:r w:rsidR="00EE0813" w:rsidRPr="00EE0813">
          <w:rPr>
            <w:rStyle w:val="Hyperlink"/>
            <w:noProof/>
            <w:sz w:val="24"/>
          </w:rPr>
          <w:t>Table F-1A</w:t>
        </w:r>
        <w:r w:rsidR="00EE0813" w:rsidRPr="00EE0813">
          <w:rPr>
            <w:rStyle w:val="Hyperlink"/>
            <w:noProof/>
            <w:sz w:val="24"/>
            <w:lang w:val="en-CA"/>
          </w:rPr>
          <w:t>. Municipal Facility Information</w:t>
        </w:r>
        <w:r w:rsidR="00EE0813" w:rsidRPr="00EE0813">
          <w:rPr>
            <w:noProof/>
            <w:webHidden/>
            <w:sz w:val="24"/>
          </w:rPr>
          <w:tab/>
        </w:r>
        <w:r w:rsidR="00EE0813" w:rsidRPr="00EE0813">
          <w:rPr>
            <w:noProof/>
            <w:webHidden/>
            <w:sz w:val="24"/>
          </w:rPr>
          <w:fldChar w:fldCharType="begin"/>
        </w:r>
        <w:r w:rsidR="00EE0813" w:rsidRPr="00EE0813">
          <w:rPr>
            <w:noProof/>
            <w:webHidden/>
            <w:sz w:val="24"/>
          </w:rPr>
          <w:instrText xml:space="preserve"> PAGEREF _Toc487829731 \h </w:instrText>
        </w:r>
        <w:r w:rsidR="00EE0813" w:rsidRPr="00EE0813">
          <w:rPr>
            <w:noProof/>
            <w:webHidden/>
            <w:sz w:val="24"/>
          </w:rPr>
        </w:r>
        <w:r w:rsidR="00EE0813" w:rsidRPr="00EE0813">
          <w:rPr>
            <w:noProof/>
            <w:webHidden/>
            <w:sz w:val="24"/>
          </w:rPr>
          <w:fldChar w:fldCharType="separate"/>
        </w:r>
        <w:r w:rsidR="000018F2">
          <w:rPr>
            <w:noProof/>
            <w:webHidden/>
            <w:sz w:val="24"/>
          </w:rPr>
          <w:t>F-3</w:t>
        </w:r>
        <w:r w:rsidR="00EE0813" w:rsidRPr="00EE0813">
          <w:rPr>
            <w:noProof/>
            <w:webHidden/>
            <w:sz w:val="24"/>
          </w:rPr>
          <w:fldChar w:fldCharType="end"/>
        </w:r>
      </w:hyperlink>
    </w:p>
    <w:p w14:paraId="170C70CE" w14:textId="333D3A07" w:rsidR="00EE0813" w:rsidRPr="00EE0813" w:rsidRDefault="0013573F">
      <w:pPr>
        <w:pStyle w:val="TableofFigures"/>
        <w:tabs>
          <w:tab w:val="right" w:leader="dot" w:pos="10070"/>
        </w:tabs>
        <w:rPr>
          <w:rFonts w:eastAsiaTheme="minorEastAsia"/>
          <w:noProof/>
          <w:sz w:val="24"/>
        </w:rPr>
      </w:pPr>
      <w:hyperlink w:anchor="_Toc487829732" w:history="1">
        <w:r w:rsidR="00EE0813" w:rsidRPr="00EE0813">
          <w:rPr>
            <w:rStyle w:val="Hyperlink"/>
            <w:noProof/>
            <w:sz w:val="24"/>
          </w:rPr>
          <w:t>Table F-1B</w:t>
        </w:r>
        <w:r w:rsidR="00EE0813" w:rsidRPr="00EE0813">
          <w:rPr>
            <w:rStyle w:val="Hyperlink"/>
            <w:noProof/>
            <w:sz w:val="24"/>
            <w:lang w:val="en-CA"/>
          </w:rPr>
          <w:t>. Industrial Facility Information</w:t>
        </w:r>
        <w:r w:rsidR="00EE0813" w:rsidRPr="00EE0813">
          <w:rPr>
            <w:noProof/>
            <w:webHidden/>
            <w:sz w:val="24"/>
          </w:rPr>
          <w:tab/>
        </w:r>
        <w:r w:rsidR="00EE0813" w:rsidRPr="00EE0813">
          <w:rPr>
            <w:noProof/>
            <w:webHidden/>
            <w:sz w:val="24"/>
          </w:rPr>
          <w:fldChar w:fldCharType="begin"/>
        </w:r>
        <w:r w:rsidR="00EE0813" w:rsidRPr="00EE0813">
          <w:rPr>
            <w:noProof/>
            <w:webHidden/>
            <w:sz w:val="24"/>
          </w:rPr>
          <w:instrText xml:space="preserve"> PAGEREF _Toc487829732 \h </w:instrText>
        </w:r>
        <w:r w:rsidR="00EE0813" w:rsidRPr="00EE0813">
          <w:rPr>
            <w:noProof/>
            <w:webHidden/>
            <w:sz w:val="24"/>
          </w:rPr>
        </w:r>
        <w:r w:rsidR="00EE0813" w:rsidRPr="00EE0813">
          <w:rPr>
            <w:noProof/>
            <w:webHidden/>
            <w:sz w:val="24"/>
          </w:rPr>
          <w:fldChar w:fldCharType="separate"/>
        </w:r>
        <w:r w:rsidR="000018F2">
          <w:rPr>
            <w:noProof/>
            <w:webHidden/>
            <w:sz w:val="24"/>
          </w:rPr>
          <w:t>F-6</w:t>
        </w:r>
        <w:r w:rsidR="00EE0813" w:rsidRPr="00EE0813">
          <w:rPr>
            <w:noProof/>
            <w:webHidden/>
            <w:sz w:val="24"/>
          </w:rPr>
          <w:fldChar w:fldCharType="end"/>
        </w:r>
      </w:hyperlink>
    </w:p>
    <w:p w14:paraId="53504CA7" w14:textId="188FCCC1" w:rsidR="00EE0813" w:rsidRPr="00EE0813" w:rsidRDefault="0013573F">
      <w:pPr>
        <w:pStyle w:val="TableofFigures"/>
        <w:tabs>
          <w:tab w:val="right" w:leader="dot" w:pos="10070"/>
        </w:tabs>
        <w:rPr>
          <w:rFonts w:eastAsiaTheme="minorEastAsia"/>
          <w:noProof/>
          <w:sz w:val="24"/>
        </w:rPr>
      </w:pPr>
      <w:hyperlink w:anchor="_Toc487829733" w:history="1">
        <w:r w:rsidR="00EE0813" w:rsidRPr="00EE0813">
          <w:rPr>
            <w:rStyle w:val="Hyperlink"/>
            <w:noProof/>
            <w:sz w:val="24"/>
          </w:rPr>
          <w:t>Table F-2A</w:t>
        </w:r>
        <w:r w:rsidR="00EE0813" w:rsidRPr="00EE0813">
          <w:rPr>
            <w:rStyle w:val="Hyperlink"/>
            <w:noProof/>
            <w:sz w:val="24"/>
            <w:lang w:val="en-CA"/>
          </w:rPr>
          <w:t>. Additional Municipal Facility Information</w:t>
        </w:r>
        <w:r w:rsidR="00EE0813" w:rsidRPr="00EE0813">
          <w:rPr>
            <w:noProof/>
            <w:webHidden/>
            <w:sz w:val="24"/>
          </w:rPr>
          <w:tab/>
        </w:r>
        <w:r w:rsidR="00EE0813" w:rsidRPr="00EE0813">
          <w:rPr>
            <w:noProof/>
            <w:webHidden/>
            <w:sz w:val="24"/>
          </w:rPr>
          <w:fldChar w:fldCharType="begin"/>
        </w:r>
        <w:r w:rsidR="00EE0813" w:rsidRPr="00EE0813">
          <w:rPr>
            <w:noProof/>
            <w:webHidden/>
            <w:sz w:val="24"/>
          </w:rPr>
          <w:instrText xml:space="preserve"> PAGEREF _Toc487829733 \h </w:instrText>
        </w:r>
        <w:r w:rsidR="00EE0813" w:rsidRPr="00EE0813">
          <w:rPr>
            <w:noProof/>
            <w:webHidden/>
            <w:sz w:val="24"/>
          </w:rPr>
        </w:r>
        <w:r w:rsidR="00EE0813" w:rsidRPr="00EE0813">
          <w:rPr>
            <w:noProof/>
            <w:webHidden/>
            <w:sz w:val="24"/>
          </w:rPr>
          <w:fldChar w:fldCharType="separate"/>
        </w:r>
        <w:r w:rsidR="000018F2">
          <w:rPr>
            <w:noProof/>
            <w:webHidden/>
            <w:sz w:val="24"/>
          </w:rPr>
          <w:t>F-7</w:t>
        </w:r>
        <w:r w:rsidR="00EE0813" w:rsidRPr="00EE0813">
          <w:rPr>
            <w:noProof/>
            <w:webHidden/>
            <w:sz w:val="24"/>
          </w:rPr>
          <w:fldChar w:fldCharType="end"/>
        </w:r>
      </w:hyperlink>
    </w:p>
    <w:p w14:paraId="4A9976E3" w14:textId="601290F4" w:rsidR="00EE0813" w:rsidRPr="00EE0813" w:rsidRDefault="0013573F">
      <w:pPr>
        <w:pStyle w:val="TableofFigures"/>
        <w:tabs>
          <w:tab w:val="right" w:leader="dot" w:pos="10070"/>
        </w:tabs>
        <w:rPr>
          <w:rFonts w:eastAsiaTheme="minorEastAsia"/>
          <w:noProof/>
          <w:sz w:val="24"/>
        </w:rPr>
      </w:pPr>
      <w:hyperlink w:anchor="_Toc487829734" w:history="1">
        <w:r w:rsidR="00EE0813" w:rsidRPr="00EE0813">
          <w:rPr>
            <w:rStyle w:val="Hyperlink"/>
            <w:noProof/>
            <w:sz w:val="24"/>
          </w:rPr>
          <w:t>Table F-2B</w:t>
        </w:r>
        <w:r w:rsidR="00EE0813" w:rsidRPr="00EE0813">
          <w:rPr>
            <w:rStyle w:val="Hyperlink"/>
            <w:noProof/>
            <w:sz w:val="24"/>
            <w:lang w:val="en-CA"/>
          </w:rPr>
          <w:t>. Additional Industrial Facility Information</w:t>
        </w:r>
        <w:r w:rsidR="00EE0813" w:rsidRPr="00EE0813">
          <w:rPr>
            <w:noProof/>
            <w:webHidden/>
            <w:sz w:val="24"/>
          </w:rPr>
          <w:tab/>
        </w:r>
        <w:r w:rsidR="00EE0813" w:rsidRPr="00EE0813">
          <w:rPr>
            <w:noProof/>
            <w:webHidden/>
            <w:sz w:val="24"/>
          </w:rPr>
          <w:fldChar w:fldCharType="begin"/>
        </w:r>
        <w:r w:rsidR="00EE0813" w:rsidRPr="00EE0813">
          <w:rPr>
            <w:noProof/>
            <w:webHidden/>
            <w:sz w:val="24"/>
          </w:rPr>
          <w:instrText xml:space="preserve"> PAGEREF _Toc487829734 \h </w:instrText>
        </w:r>
        <w:r w:rsidR="00EE0813" w:rsidRPr="00EE0813">
          <w:rPr>
            <w:noProof/>
            <w:webHidden/>
            <w:sz w:val="24"/>
          </w:rPr>
        </w:r>
        <w:r w:rsidR="00EE0813" w:rsidRPr="00EE0813">
          <w:rPr>
            <w:noProof/>
            <w:webHidden/>
            <w:sz w:val="24"/>
          </w:rPr>
          <w:fldChar w:fldCharType="separate"/>
        </w:r>
        <w:r w:rsidR="000018F2">
          <w:rPr>
            <w:noProof/>
            <w:webHidden/>
            <w:sz w:val="24"/>
          </w:rPr>
          <w:t>F-10</w:t>
        </w:r>
        <w:r w:rsidR="00EE0813" w:rsidRPr="00EE0813">
          <w:rPr>
            <w:noProof/>
            <w:webHidden/>
            <w:sz w:val="24"/>
          </w:rPr>
          <w:fldChar w:fldCharType="end"/>
        </w:r>
      </w:hyperlink>
    </w:p>
    <w:p w14:paraId="7C72C298" w14:textId="39EF0A6C" w:rsidR="00EE0813" w:rsidRPr="00EE0813" w:rsidRDefault="0013573F">
      <w:pPr>
        <w:pStyle w:val="TableofFigures"/>
        <w:tabs>
          <w:tab w:val="right" w:leader="dot" w:pos="10070"/>
        </w:tabs>
        <w:rPr>
          <w:rFonts w:eastAsiaTheme="minorEastAsia"/>
          <w:noProof/>
          <w:sz w:val="24"/>
        </w:rPr>
      </w:pPr>
      <w:hyperlink w:anchor="_Toc487829735" w:history="1">
        <w:r w:rsidR="00EE0813" w:rsidRPr="00EE0813">
          <w:rPr>
            <w:rStyle w:val="Hyperlink"/>
            <w:noProof/>
            <w:sz w:val="24"/>
          </w:rPr>
          <w:t>Table F-3. Beneficial Uses</w:t>
        </w:r>
        <w:r w:rsidR="00EE0813" w:rsidRPr="00EE0813">
          <w:rPr>
            <w:noProof/>
            <w:webHidden/>
            <w:sz w:val="24"/>
          </w:rPr>
          <w:tab/>
        </w:r>
        <w:r w:rsidR="00EE0813" w:rsidRPr="00EE0813">
          <w:rPr>
            <w:noProof/>
            <w:webHidden/>
            <w:sz w:val="24"/>
          </w:rPr>
          <w:fldChar w:fldCharType="begin"/>
        </w:r>
        <w:r w:rsidR="00EE0813" w:rsidRPr="00EE0813">
          <w:rPr>
            <w:noProof/>
            <w:webHidden/>
            <w:sz w:val="24"/>
          </w:rPr>
          <w:instrText xml:space="preserve"> PAGEREF _Toc487829735 \h </w:instrText>
        </w:r>
        <w:r w:rsidR="00EE0813" w:rsidRPr="00EE0813">
          <w:rPr>
            <w:noProof/>
            <w:webHidden/>
            <w:sz w:val="24"/>
          </w:rPr>
        </w:r>
        <w:r w:rsidR="00EE0813" w:rsidRPr="00EE0813">
          <w:rPr>
            <w:noProof/>
            <w:webHidden/>
            <w:sz w:val="24"/>
          </w:rPr>
          <w:fldChar w:fldCharType="separate"/>
        </w:r>
        <w:r w:rsidR="000018F2">
          <w:rPr>
            <w:noProof/>
            <w:webHidden/>
            <w:sz w:val="24"/>
          </w:rPr>
          <w:t>F-15</w:t>
        </w:r>
        <w:r w:rsidR="00EE0813" w:rsidRPr="00EE0813">
          <w:rPr>
            <w:noProof/>
            <w:webHidden/>
            <w:sz w:val="24"/>
          </w:rPr>
          <w:fldChar w:fldCharType="end"/>
        </w:r>
      </w:hyperlink>
    </w:p>
    <w:p w14:paraId="59A04325" w14:textId="478C843B" w:rsidR="00EE0813" w:rsidRPr="00EE0813" w:rsidRDefault="0013573F">
      <w:pPr>
        <w:pStyle w:val="TableofFigures"/>
        <w:tabs>
          <w:tab w:val="right" w:leader="dot" w:pos="10070"/>
        </w:tabs>
        <w:rPr>
          <w:rFonts w:eastAsiaTheme="minorEastAsia"/>
          <w:noProof/>
          <w:sz w:val="24"/>
        </w:rPr>
      </w:pPr>
      <w:hyperlink w:anchor="_Toc487829736" w:history="1">
        <w:r w:rsidR="00EE0813" w:rsidRPr="00EE0813">
          <w:rPr>
            <w:rStyle w:val="Hyperlink"/>
            <w:noProof/>
            <w:sz w:val="24"/>
          </w:rPr>
          <w:t>Table F-4. Mass Emission Allocations for Municipal Dischargers</w:t>
        </w:r>
        <w:r w:rsidR="00EE0813" w:rsidRPr="00EE0813">
          <w:rPr>
            <w:noProof/>
            <w:webHidden/>
            <w:sz w:val="24"/>
          </w:rPr>
          <w:tab/>
        </w:r>
        <w:r w:rsidR="00EE0813" w:rsidRPr="00EE0813">
          <w:rPr>
            <w:noProof/>
            <w:webHidden/>
            <w:sz w:val="24"/>
          </w:rPr>
          <w:fldChar w:fldCharType="begin"/>
        </w:r>
        <w:r w:rsidR="00EE0813" w:rsidRPr="00EE0813">
          <w:rPr>
            <w:noProof/>
            <w:webHidden/>
            <w:sz w:val="24"/>
          </w:rPr>
          <w:instrText xml:space="preserve"> PAGEREF _Toc487829736 \h </w:instrText>
        </w:r>
        <w:r w:rsidR="00EE0813" w:rsidRPr="00EE0813">
          <w:rPr>
            <w:noProof/>
            <w:webHidden/>
            <w:sz w:val="24"/>
          </w:rPr>
        </w:r>
        <w:r w:rsidR="00EE0813" w:rsidRPr="00EE0813">
          <w:rPr>
            <w:noProof/>
            <w:webHidden/>
            <w:sz w:val="24"/>
          </w:rPr>
          <w:fldChar w:fldCharType="separate"/>
        </w:r>
        <w:r w:rsidR="000018F2">
          <w:rPr>
            <w:noProof/>
            <w:webHidden/>
            <w:sz w:val="24"/>
          </w:rPr>
          <w:t>F-18</w:t>
        </w:r>
        <w:r w:rsidR="00EE0813" w:rsidRPr="00EE0813">
          <w:rPr>
            <w:noProof/>
            <w:webHidden/>
            <w:sz w:val="24"/>
          </w:rPr>
          <w:fldChar w:fldCharType="end"/>
        </w:r>
      </w:hyperlink>
    </w:p>
    <w:p w14:paraId="743CBB14" w14:textId="148DFB7D" w:rsidR="00EE0813" w:rsidRPr="00EE0813" w:rsidRDefault="0013573F">
      <w:pPr>
        <w:pStyle w:val="TableofFigures"/>
        <w:tabs>
          <w:tab w:val="right" w:leader="dot" w:pos="10070"/>
        </w:tabs>
        <w:rPr>
          <w:rFonts w:eastAsiaTheme="minorEastAsia"/>
          <w:noProof/>
          <w:sz w:val="24"/>
        </w:rPr>
      </w:pPr>
      <w:hyperlink w:anchor="_Toc487829737" w:history="1">
        <w:r w:rsidR="00EE0813" w:rsidRPr="00EE0813">
          <w:rPr>
            <w:rStyle w:val="Hyperlink"/>
            <w:noProof/>
            <w:sz w:val="24"/>
          </w:rPr>
          <w:t>Table F-5. Mass Emission Allocations for Industrial Dischargers</w:t>
        </w:r>
        <w:r w:rsidR="00EE0813" w:rsidRPr="00EE0813">
          <w:rPr>
            <w:noProof/>
            <w:webHidden/>
            <w:sz w:val="24"/>
          </w:rPr>
          <w:tab/>
        </w:r>
        <w:r w:rsidR="00EE0813" w:rsidRPr="00EE0813">
          <w:rPr>
            <w:noProof/>
            <w:webHidden/>
            <w:sz w:val="24"/>
          </w:rPr>
          <w:fldChar w:fldCharType="begin"/>
        </w:r>
        <w:r w:rsidR="00EE0813" w:rsidRPr="00EE0813">
          <w:rPr>
            <w:noProof/>
            <w:webHidden/>
            <w:sz w:val="24"/>
          </w:rPr>
          <w:instrText xml:space="preserve"> PAGEREF _Toc487829737 \h </w:instrText>
        </w:r>
        <w:r w:rsidR="00EE0813" w:rsidRPr="00EE0813">
          <w:rPr>
            <w:noProof/>
            <w:webHidden/>
            <w:sz w:val="24"/>
          </w:rPr>
        </w:r>
        <w:r w:rsidR="00EE0813" w:rsidRPr="00EE0813">
          <w:rPr>
            <w:noProof/>
            <w:webHidden/>
            <w:sz w:val="24"/>
          </w:rPr>
          <w:fldChar w:fldCharType="separate"/>
        </w:r>
        <w:r w:rsidR="000018F2">
          <w:rPr>
            <w:noProof/>
            <w:webHidden/>
            <w:sz w:val="24"/>
          </w:rPr>
          <w:t>F-19</w:t>
        </w:r>
        <w:r w:rsidR="00EE0813" w:rsidRPr="00EE0813">
          <w:rPr>
            <w:noProof/>
            <w:webHidden/>
            <w:sz w:val="24"/>
          </w:rPr>
          <w:fldChar w:fldCharType="end"/>
        </w:r>
      </w:hyperlink>
    </w:p>
    <w:p w14:paraId="58E1E9E5" w14:textId="74B9741D" w:rsidR="00EE0813" w:rsidRPr="00EE0813" w:rsidRDefault="0013573F">
      <w:pPr>
        <w:pStyle w:val="TableofFigures"/>
        <w:tabs>
          <w:tab w:val="right" w:leader="dot" w:pos="10070"/>
        </w:tabs>
        <w:rPr>
          <w:rFonts w:eastAsiaTheme="minorEastAsia"/>
          <w:noProof/>
          <w:sz w:val="24"/>
        </w:rPr>
      </w:pPr>
      <w:hyperlink w:anchor="_Toc487829738" w:history="1">
        <w:r w:rsidR="00EE0813" w:rsidRPr="00EE0813">
          <w:rPr>
            <w:rStyle w:val="Hyperlink"/>
            <w:noProof/>
            <w:sz w:val="24"/>
          </w:rPr>
          <w:t>Table F-6. Concentration-based Effluent Limitations for Municipal Dischargers</w:t>
        </w:r>
        <w:r w:rsidR="00EE0813" w:rsidRPr="00EE0813">
          <w:rPr>
            <w:noProof/>
            <w:webHidden/>
            <w:sz w:val="24"/>
          </w:rPr>
          <w:tab/>
        </w:r>
        <w:r w:rsidR="00EE0813" w:rsidRPr="00EE0813">
          <w:rPr>
            <w:noProof/>
            <w:webHidden/>
            <w:sz w:val="24"/>
          </w:rPr>
          <w:fldChar w:fldCharType="begin"/>
        </w:r>
        <w:r w:rsidR="00EE0813" w:rsidRPr="00EE0813">
          <w:rPr>
            <w:noProof/>
            <w:webHidden/>
            <w:sz w:val="24"/>
          </w:rPr>
          <w:instrText xml:space="preserve"> PAGEREF _Toc487829738 \h </w:instrText>
        </w:r>
        <w:r w:rsidR="00EE0813" w:rsidRPr="00EE0813">
          <w:rPr>
            <w:noProof/>
            <w:webHidden/>
            <w:sz w:val="24"/>
          </w:rPr>
        </w:r>
        <w:r w:rsidR="00EE0813" w:rsidRPr="00EE0813">
          <w:rPr>
            <w:noProof/>
            <w:webHidden/>
            <w:sz w:val="24"/>
          </w:rPr>
          <w:fldChar w:fldCharType="separate"/>
        </w:r>
        <w:r w:rsidR="000018F2">
          <w:rPr>
            <w:noProof/>
            <w:webHidden/>
            <w:sz w:val="24"/>
          </w:rPr>
          <w:t>F-22</w:t>
        </w:r>
        <w:r w:rsidR="00EE0813" w:rsidRPr="00EE0813">
          <w:rPr>
            <w:noProof/>
            <w:webHidden/>
            <w:sz w:val="24"/>
          </w:rPr>
          <w:fldChar w:fldCharType="end"/>
        </w:r>
      </w:hyperlink>
    </w:p>
    <w:p w14:paraId="43742B1C" w14:textId="248C1F59" w:rsidR="00F878D4" w:rsidRPr="00570B42" w:rsidRDefault="003528E2" w:rsidP="003528E2">
      <w:pPr>
        <w:pStyle w:val="AttachmentHeading"/>
        <w:rPr>
          <w:rFonts w:ascii="Times New Roman" w:hAnsi="Times New Roman"/>
          <w:szCs w:val="24"/>
        </w:rPr>
      </w:pPr>
      <w:r w:rsidRPr="00EE0813">
        <w:rPr>
          <w:rFonts w:ascii="Times New Roman" w:hAnsi="Times New Roman"/>
          <w:szCs w:val="24"/>
        </w:rPr>
        <w:fldChar w:fldCharType="end"/>
      </w:r>
      <w:r w:rsidR="00F878D4" w:rsidRPr="00570B42">
        <w:rPr>
          <w:rFonts w:ascii="Times New Roman" w:hAnsi="Times New Roman"/>
          <w:color w:val="00B0F0"/>
          <w:szCs w:val="24"/>
        </w:rPr>
        <w:br w:type="page"/>
      </w:r>
      <w:bookmarkStart w:id="168" w:name="_Toc125277988"/>
      <w:bookmarkStart w:id="169" w:name="_Toc125275526"/>
      <w:r w:rsidR="00F878D4" w:rsidRPr="00570B42">
        <w:rPr>
          <w:rFonts w:ascii="Times New Roman" w:hAnsi="Times New Roman"/>
          <w:szCs w:val="24"/>
        </w:rPr>
        <w:lastRenderedPageBreak/>
        <w:t>ATTACHMENT F – FACT SHEET</w:t>
      </w:r>
      <w:bookmarkStart w:id="170" w:name="_Toc85803984"/>
      <w:bookmarkStart w:id="171" w:name="_Toc92870842"/>
      <w:bookmarkStart w:id="172" w:name="_Toc125358874"/>
      <w:bookmarkEnd w:id="168"/>
      <w:bookmarkEnd w:id="169"/>
    </w:p>
    <w:p w14:paraId="5AA6BA98" w14:textId="77777777" w:rsidR="00D34786" w:rsidRPr="00570B42" w:rsidRDefault="00C11FF7" w:rsidP="00D34786">
      <w:pPr>
        <w:pStyle w:val="Paratext"/>
      </w:pPr>
      <w:r w:rsidRPr="00570B42">
        <w:t>T</w:t>
      </w:r>
      <w:r w:rsidR="00D34786" w:rsidRPr="00570B42">
        <w:t xml:space="preserve">his Fact Sheet includes the legal requirements and technical rationale that serve as the basis for the requirements of this </w:t>
      </w:r>
      <w:r w:rsidR="0005714F" w:rsidRPr="00570B42">
        <w:t>Order</w:t>
      </w:r>
      <w:r w:rsidR="00D34786" w:rsidRPr="00570B42">
        <w:t>.</w:t>
      </w:r>
      <w:r w:rsidR="00ED701C" w:rsidRPr="00570B42">
        <w:rPr>
          <w:rFonts w:cs="Arial"/>
        </w:rPr>
        <w:t xml:space="preserve"> As described in section I</w:t>
      </w:r>
      <w:r w:rsidR="00340838" w:rsidRPr="00570B42">
        <w:rPr>
          <w:rFonts w:cs="Arial"/>
        </w:rPr>
        <w:t>I.B</w:t>
      </w:r>
      <w:r w:rsidR="00ED701C" w:rsidRPr="00570B42">
        <w:rPr>
          <w:rFonts w:cs="Arial"/>
        </w:rPr>
        <w:t xml:space="preserve"> of the </w:t>
      </w:r>
      <w:r w:rsidR="0005714F" w:rsidRPr="00570B42">
        <w:rPr>
          <w:rFonts w:cs="Arial"/>
        </w:rPr>
        <w:t>Order</w:t>
      </w:r>
      <w:r w:rsidR="00ED701C" w:rsidRPr="00570B42">
        <w:rPr>
          <w:rFonts w:cs="Arial"/>
        </w:rPr>
        <w:t xml:space="preserve">, the Regional Water Board incorporates this Fact Sheet as findings supporting the issuance of the </w:t>
      </w:r>
      <w:r w:rsidR="0005714F" w:rsidRPr="00570B42">
        <w:rPr>
          <w:rFonts w:cs="Arial"/>
        </w:rPr>
        <w:t>Order</w:t>
      </w:r>
      <w:r w:rsidR="00ED701C" w:rsidRPr="00570B42">
        <w:rPr>
          <w:rFonts w:cs="Arial"/>
        </w:rPr>
        <w:t>.</w:t>
      </w:r>
    </w:p>
    <w:p w14:paraId="495148DD" w14:textId="77777777" w:rsidR="00D34786" w:rsidRPr="00570B42" w:rsidRDefault="00D34786" w:rsidP="00D34786">
      <w:pPr>
        <w:pStyle w:val="Heading1-F"/>
        <w:rPr>
          <w:rFonts w:ascii="Times New Roman" w:hAnsi="Times New Roman"/>
          <w:sz w:val="24"/>
        </w:rPr>
      </w:pPr>
      <w:bookmarkStart w:id="173" w:name="_Toc85803939"/>
      <w:bookmarkStart w:id="174" w:name="_Toc87088830"/>
      <w:bookmarkStart w:id="175" w:name="_Toc92870792"/>
      <w:bookmarkStart w:id="176" w:name="_Toc125358796"/>
      <w:bookmarkStart w:id="177" w:name="_Toc140484488"/>
      <w:bookmarkStart w:id="178" w:name="_Toc338152906"/>
      <w:bookmarkStart w:id="179" w:name="_Toc340137632"/>
      <w:bookmarkStart w:id="180" w:name="_Toc487829684"/>
      <w:r w:rsidRPr="00570B42">
        <w:rPr>
          <w:rFonts w:ascii="Times New Roman" w:hAnsi="Times New Roman"/>
          <w:sz w:val="24"/>
        </w:rPr>
        <w:t>I.</w:t>
      </w:r>
      <w:r w:rsidRPr="00570B42">
        <w:rPr>
          <w:rFonts w:ascii="Times New Roman" w:hAnsi="Times New Roman"/>
          <w:sz w:val="24"/>
        </w:rPr>
        <w:tab/>
        <w:t>Permit Information</w:t>
      </w:r>
      <w:bookmarkEnd w:id="173"/>
      <w:bookmarkEnd w:id="174"/>
      <w:bookmarkEnd w:id="175"/>
      <w:bookmarkEnd w:id="176"/>
      <w:bookmarkEnd w:id="177"/>
      <w:bookmarkEnd w:id="178"/>
      <w:bookmarkEnd w:id="179"/>
      <w:bookmarkEnd w:id="180"/>
    </w:p>
    <w:p w14:paraId="4E65127D" w14:textId="0D113B0D" w:rsidR="00D34786" w:rsidRPr="00570B42" w:rsidRDefault="00D34786" w:rsidP="00943772">
      <w:pPr>
        <w:pStyle w:val="paratextindented"/>
        <w:spacing w:after="120"/>
        <w:rPr>
          <w:rFonts w:ascii="Times New Roman" w:hAnsi="Times New Roman" w:cs="Times New Roman"/>
          <w:szCs w:val="24"/>
          <w:lang w:val="en-CA"/>
        </w:rPr>
      </w:pPr>
      <w:r w:rsidRPr="00570B42">
        <w:rPr>
          <w:rFonts w:ascii="Times New Roman" w:hAnsi="Times New Roman" w:cs="Times New Roman"/>
          <w:szCs w:val="24"/>
          <w:lang w:val="en-CA"/>
        </w:rPr>
        <w:t xml:space="preserve">The following table summarizes administrative information related to the </w:t>
      </w:r>
      <w:r w:rsidR="009201E0">
        <w:rPr>
          <w:rFonts w:ascii="Times New Roman" w:hAnsi="Times New Roman" w:cs="Times New Roman"/>
          <w:szCs w:val="24"/>
          <w:lang w:val="en-CA"/>
        </w:rPr>
        <w:t>Dischargers’ facilities</w:t>
      </w:r>
      <w:r w:rsidR="00BC5E9A" w:rsidRPr="00570B42">
        <w:rPr>
          <w:rFonts w:ascii="Times New Roman" w:hAnsi="Times New Roman" w:cs="Times New Roman"/>
          <w:szCs w:val="24"/>
          <w:lang w:val="en-CA"/>
        </w:rPr>
        <w:t>:</w:t>
      </w:r>
    </w:p>
    <w:p w14:paraId="40D11AFB" w14:textId="1422D8CB" w:rsidR="007F4001" w:rsidRPr="00BA0D4D" w:rsidRDefault="00BA0D4D" w:rsidP="00BA0D4D">
      <w:pPr>
        <w:pStyle w:val="TableHeader1F"/>
        <w:keepNext/>
        <w:jc w:val="center"/>
        <w:rPr>
          <w:rFonts w:ascii="Times New Roman" w:hAnsi="Times New Roman" w:cs="Times New Roman"/>
          <w:sz w:val="24"/>
          <w:szCs w:val="24"/>
          <w:lang w:val="en-CA"/>
        </w:rPr>
      </w:pPr>
      <w:bookmarkStart w:id="181" w:name="_Toc454982940"/>
      <w:bookmarkStart w:id="182" w:name="_Toc487829731"/>
      <w:r w:rsidRPr="00570B42">
        <w:rPr>
          <w:rFonts w:ascii="Times New Roman" w:hAnsi="Times New Roman" w:cs="Times New Roman"/>
          <w:sz w:val="24"/>
          <w:szCs w:val="24"/>
        </w:rPr>
        <w:t>Table F-1</w:t>
      </w:r>
      <w:r w:rsidR="00837B1F">
        <w:rPr>
          <w:rFonts w:ascii="Times New Roman" w:hAnsi="Times New Roman" w:cs="Times New Roman"/>
          <w:sz w:val="24"/>
          <w:szCs w:val="24"/>
        </w:rPr>
        <w:t>A</w:t>
      </w:r>
      <w:r w:rsidRPr="00570B42">
        <w:rPr>
          <w:rFonts w:ascii="Times New Roman" w:hAnsi="Times New Roman" w:cs="Times New Roman"/>
          <w:sz w:val="24"/>
          <w:szCs w:val="24"/>
          <w:lang w:val="en-CA"/>
        </w:rPr>
        <w:t xml:space="preserve">. </w:t>
      </w:r>
      <w:r w:rsidR="00837B1F">
        <w:rPr>
          <w:rFonts w:ascii="Times New Roman" w:hAnsi="Times New Roman" w:cs="Times New Roman"/>
          <w:sz w:val="24"/>
          <w:szCs w:val="24"/>
          <w:lang w:val="en-CA"/>
        </w:rPr>
        <w:t xml:space="preserve">Municipal </w:t>
      </w:r>
      <w:r w:rsidRPr="00570B42">
        <w:rPr>
          <w:rFonts w:ascii="Times New Roman" w:hAnsi="Times New Roman" w:cs="Times New Roman"/>
          <w:sz w:val="24"/>
          <w:szCs w:val="24"/>
          <w:lang w:val="en-CA"/>
        </w:rPr>
        <w:t>Facility Information</w:t>
      </w:r>
      <w:bookmarkEnd w:id="181"/>
      <w:bookmarkEnd w:id="182"/>
    </w:p>
    <w:tbl>
      <w:tblPr>
        <w:tblW w:w="10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75"/>
        <w:gridCol w:w="2286"/>
        <w:gridCol w:w="2244"/>
        <w:gridCol w:w="1440"/>
        <w:gridCol w:w="1329"/>
      </w:tblGrid>
      <w:tr w:rsidR="007F4001" w:rsidRPr="007F4001" w14:paraId="58648B59" w14:textId="77777777" w:rsidTr="008B7CDF">
        <w:trPr>
          <w:cantSplit/>
          <w:tblHeader/>
        </w:trPr>
        <w:tc>
          <w:tcPr>
            <w:tcW w:w="3375" w:type="dxa"/>
            <w:tcBorders>
              <w:top w:val="single" w:sz="12" w:space="0" w:color="auto"/>
              <w:left w:val="single" w:sz="12" w:space="0" w:color="auto"/>
              <w:bottom w:val="single" w:sz="12" w:space="0" w:color="auto"/>
            </w:tcBorders>
            <w:shd w:val="clear" w:color="auto" w:fill="auto"/>
            <w:vAlign w:val="center"/>
          </w:tcPr>
          <w:p w14:paraId="3104F935" w14:textId="77777777" w:rsidR="007F4001" w:rsidRPr="007F4001" w:rsidRDefault="007F4001" w:rsidP="00BA0D4D">
            <w:pPr>
              <w:keepNext/>
              <w:jc w:val="center"/>
              <w:rPr>
                <w:b/>
                <w:color w:val="000000"/>
              </w:rPr>
            </w:pPr>
            <w:r w:rsidRPr="007F4001">
              <w:rPr>
                <w:b/>
                <w:color w:val="000000"/>
              </w:rPr>
              <w:t>Discharger</w:t>
            </w:r>
          </w:p>
        </w:tc>
        <w:tc>
          <w:tcPr>
            <w:tcW w:w="2286" w:type="dxa"/>
            <w:tcBorders>
              <w:top w:val="single" w:sz="12" w:space="0" w:color="auto"/>
              <w:bottom w:val="single" w:sz="12" w:space="0" w:color="auto"/>
            </w:tcBorders>
            <w:shd w:val="clear" w:color="auto" w:fill="auto"/>
            <w:vAlign w:val="center"/>
          </w:tcPr>
          <w:p w14:paraId="26D940EB" w14:textId="77777777" w:rsidR="007F4001" w:rsidRPr="007F4001" w:rsidRDefault="007F4001" w:rsidP="00BA0D4D">
            <w:pPr>
              <w:keepNext/>
              <w:jc w:val="center"/>
              <w:rPr>
                <w:b/>
                <w:color w:val="000000"/>
              </w:rPr>
            </w:pPr>
            <w:r w:rsidRPr="007F4001">
              <w:rPr>
                <w:b/>
                <w:color w:val="000000"/>
                <w:lang w:val="fr-FR"/>
              </w:rPr>
              <w:t>Facility Contact,</w:t>
            </w:r>
            <w:r w:rsidRPr="007F4001">
              <w:rPr>
                <w:b/>
                <w:color w:val="000000"/>
              </w:rPr>
              <w:t xml:space="preserve"> Title</w:t>
            </w:r>
            <w:r w:rsidRPr="007F4001">
              <w:rPr>
                <w:b/>
                <w:color w:val="000000"/>
                <w:lang w:val="fr-FR"/>
              </w:rPr>
              <w:t>,        and Phone</w:t>
            </w:r>
          </w:p>
        </w:tc>
        <w:tc>
          <w:tcPr>
            <w:tcW w:w="2244" w:type="dxa"/>
            <w:tcBorders>
              <w:top w:val="single" w:sz="12" w:space="0" w:color="auto"/>
              <w:bottom w:val="single" w:sz="12" w:space="0" w:color="auto"/>
              <w:right w:val="single" w:sz="4" w:space="0" w:color="auto"/>
            </w:tcBorders>
            <w:shd w:val="clear" w:color="auto" w:fill="auto"/>
            <w:vAlign w:val="center"/>
          </w:tcPr>
          <w:p w14:paraId="779C48F7" w14:textId="77777777" w:rsidR="007F4001" w:rsidRPr="007F4001" w:rsidRDefault="007F4001" w:rsidP="00BA0D4D">
            <w:pPr>
              <w:keepNext/>
              <w:jc w:val="center"/>
              <w:rPr>
                <w:b/>
                <w:color w:val="000000"/>
              </w:rPr>
            </w:pPr>
            <w:r w:rsidRPr="007F4001">
              <w:rPr>
                <w:b/>
                <w:color w:val="000000"/>
                <w:lang w:val="fr-FR"/>
              </w:rPr>
              <w:t>Mailing</w:t>
            </w:r>
            <w:r w:rsidRPr="007F4001">
              <w:rPr>
                <w:b/>
                <w:color w:val="000000"/>
              </w:rPr>
              <w:t xml:space="preserve"> Address</w:t>
            </w:r>
          </w:p>
        </w:tc>
        <w:tc>
          <w:tcPr>
            <w:tcW w:w="1440" w:type="dxa"/>
            <w:tcBorders>
              <w:top w:val="single" w:sz="12" w:space="0" w:color="auto"/>
              <w:bottom w:val="single" w:sz="12" w:space="0" w:color="auto"/>
              <w:right w:val="single" w:sz="4" w:space="0" w:color="auto"/>
            </w:tcBorders>
            <w:shd w:val="clear" w:color="auto" w:fill="auto"/>
            <w:vAlign w:val="center"/>
          </w:tcPr>
          <w:p w14:paraId="41A82484" w14:textId="77777777" w:rsidR="007F4001" w:rsidRPr="007F4001" w:rsidRDefault="007F4001" w:rsidP="00BA0D4D">
            <w:pPr>
              <w:keepNext/>
              <w:jc w:val="center"/>
              <w:rPr>
                <w:b/>
                <w:color w:val="000000"/>
              </w:rPr>
            </w:pPr>
            <w:r w:rsidRPr="007F4001">
              <w:rPr>
                <w:b/>
                <w:color w:val="000000"/>
              </w:rPr>
              <w:t>Effluent Description</w:t>
            </w:r>
          </w:p>
        </w:tc>
        <w:tc>
          <w:tcPr>
            <w:tcW w:w="1329" w:type="dxa"/>
            <w:tcBorders>
              <w:top w:val="single" w:sz="12" w:space="0" w:color="auto"/>
              <w:left w:val="single" w:sz="4" w:space="0" w:color="auto"/>
              <w:bottom w:val="single" w:sz="12" w:space="0" w:color="auto"/>
              <w:right w:val="single" w:sz="12" w:space="0" w:color="auto"/>
            </w:tcBorders>
            <w:shd w:val="clear" w:color="auto" w:fill="auto"/>
          </w:tcPr>
          <w:p w14:paraId="6A8DAE4C" w14:textId="3BE2EE0F" w:rsidR="007F4001" w:rsidRPr="007F4001" w:rsidRDefault="00CD4194" w:rsidP="00BA0D4D">
            <w:pPr>
              <w:keepNext/>
              <w:jc w:val="center"/>
              <w:rPr>
                <w:b/>
                <w:color w:val="000000"/>
              </w:rPr>
            </w:pPr>
            <w:r>
              <w:rPr>
                <w:b/>
                <w:color w:val="000000"/>
              </w:rPr>
              <w:t>Facility Design Flow (MGD</w:t>
            </w:r>
            <w:r w:rsidR="007F4001" w:rsidRPr="007F4001">
              <w:rPr>
                <w:b/>
                <w:color w:val="000000"/>
              </w:rPr>
              <w:t>)</w:t>
            </w:r>
          </w:p>
        </w:tc>
      </w:tr>
      <w:tr w:rsidR="007F4001" w:rsidRPr="007F4001" w14:paraId="325DC142" w14:textId="77777777" w:rsidTr="008B7CDF">
        <w:trPr>
          <w:cantSplit/>
        </w:trPr>
        <w:tc>
          <w:tcPr>
            <w:tcW w:w="3375" w:type="dxa"/>
            <w:tcBorders>
              <w:top w:val="single" w:sz="12" w:space="0" w:color="auto"/>
              <w:left w:val="single" w:sz="12" w:space="0" w:color="auto"/>
            </w:tcBorders>
            <w:shd w:val="clear" w:color="auto" w:fill="auto"/>
            <w:vAlign w:val="center"/>
          </w:tcPr>
          <w:p w14:paraId="2442CB32" w14:textId="77777777" w:rsidR="007F4001" w:rsidRPr="007F4001" w:rsidRDefault="007F4001" w:rsidP="007F4001">
            <w:r w:rsidRPr="007F4001">
              <w:t>American Canyon, City of</w:t>
            </w:r>
          </w:p>
        </w:tc>
        <w:tc>
          <w:tcPr>
            <w:tcW w:w="2286" w:type="dxa"/>
            <w:tcBorders>
              <w:top w:val="single" w:sz="12" w:space="0" w:color="auto"/>
            </w:tcBorders>
            <w:shd w:val="clear" w:color="auto" w:fill="auto"/>
            <w:vAlign w:val="center"/>
          </w:tcPr>
          <w:p w14:paraId="317A0C4A" w14:textId="05AA9E46" w:rsidR="007F4001" w:rsidRPr="00403E66" w:rsidRDefault="007F4001" w:rsidP="008B7CDF">
            <w:r w:rsidRPr="00403E66">
              <w:t>Stacey Ambrose</w:t>
            </w:r>
            <w:r w:rsidR="008B7CDF" w:rsidRPr="00403E66">
              <w:t>,</w:t>
            </w:r>
          </w:p>
          <w:p w14:paraId="32364588" w14:textId="5C027D4B" w:rsidR="007F4001" w:rsidRPr="00403E66" w:rsidRDefault="007F4001" w:rsidP="008B7CDF">
            <w:r w:rsidRPr="00403E66">
              <w:t>Environmental Services Manager</w:t>
            </w:r>
          </w:p>
          <w:p w14:paraId="6716334B" w14:textId="297108F3" w:rsidR="007F4001" w:rsidRPr="00403E66" w:rsidRDefault="007F4001" w:rsidP="008B7CDF">
            <w:r w:rsidRPr="00403E66">
              <w:t>(707) 647-4542</w:t>
            </w:r>
          </w:p>
        </w:tc>
        <w:tc>
          <w:tcPr>
            <w:tcW w:w="2244" w:type="dxa"/>
            <w:tcBorders>
              <w:top w:val="single" w:sz="12" w:space="0" w:color="auto"/>
              <w:right w:val="single" w:sz="4" w:space="0" w:color="auto"/>
            </w:tcBorders>
            <w:shd w:val="clear" w:color="auto" w:fill="auto"/>
            <w:vAlign w:val="center"/>
          </w:tcPr>
          <w:p w14:paraId="4416DB36" w14:textId="77777777" w:rsidR="007F4001" w:rsidRPr="005465D4" w:rsidRDefault="007F4001" w:rsidP="008B7CDF">
            <w:r w:rsidRPr="005465D4">
              <w:t>151 Mezzetta Court</w:t>
            </w:r>
          </w:p>
          <w:p w14:paraId="3BE47D16" w14:textId="77777777" w:rsidR="007F4001" w:rsidRPr="005465D4" w:rsidRDefault="007F4001" w:rsidP="008B7CDF">
            <w:r w:rsidRPr="005465D4">
              <w:t>American Canyon, CA 94503</w:t>
            </w:r>
          </w:p>
          <w:p w14:paraId="59BAA99F" w14:textId="479F7FFF" w:rsidR="007F4001" w:rsidRPr="007F4001" w:rsidRDefault="007F4001" w:rsidP="008B7CDF">
            <w:r w:rsidRPr="005465D4">
              <w:t>Napa County</w:t>
            </w:r>
          </w:p>
        </w:tc>
        <w:tc>
          <w:tcPr>
            <w:tcW w:w="1440" w:type="dxa"/>
            <w:tcBorders>
              <w:top w:val="single" w:sz="12" w:space="0" w:color="auto"/>
              <w:right w:val="single" w:sz="4" w:space="0" w:color="auto"/>
            </w:tcBorders>
            <w:shd w:val="clear" w:color="auto" w:fill="auto"/>
            <w:vAlign w:val="center"/>
          </w:tcPr>
          <w:p w14:paraId="690A2FBF" w14:textId="77777777" w:rsidR="007F4001" w:rsidRPr="007F4001" w:rsidRDefault="007F4001" w:rsidP="007F4001">
            <w:pPr>
              <w:jc w:val="center"/>
            </w:pPr>
            <w:r w:rsidRPr="007F4001">
              <w:t>Advanced Secondary</w:t>
            </w:r>
          </w:p>
        </w:tc>
        <w:tc>
          <w:tcPr>
            <w:tcW w:w="1329" w:type="dxa"/>
            <w:tcBorders>
              <w:top w:val="single" w:sz="12" w:space="0" w:color="auto"/>
              <w:left w:val="single" w:sz="4" w:space="0" w:color="auto"/>
              <w:right w:val="single" w:sz="12" w:space="0" w:color="auto"/>
            </w:tcBorders>
            <w:shd w:val="clear" w:color="auto" w:fill="auto"/>
            <w:vAlign w:val="center"/>
          </w:tcPr>
          <w:p w14:paraId="46D69D4F" w14:textId="77777777" w:rsidR="007F4001" w:rsidRPr="007F4001" w:rsidRDefault="007F4001" w:rsidP="007F4001">
            <w:pPr>
              <w:jc w:val="center"/>
            </w:pPr>
            <w:r w:rsidRPr="007F4001">
              <w:t>2.5</w:t>
            </w:r>
          </w:p>
        </w:tc>
      </w:tr>
      <w:tr w:rsidR="007F4001" w:rsidRPr="007F4001" w14:paraId="7A308ECD" w14:textId="77777777" w:rsidTr="008B7CDF">
        <w:trPr>
          <w:cantSplit/>
        </w:trPr>
        <w:tc>
          <w:tcPr>
            <w:tcW w:w="3375" w:type="dxa"/>
            <w:tcBorders>
              <w:left w:val="single" w:sz="12" w:space="0" w:color="auto"/>
            </w:tcBorders>
            <w:shd w:val="clear" w:color="auto" w:fill="auto"/>
            <w:vAlign w:val="center"/>
          </w:tcPr>
          <w:p w14:paraId="51CBC77C" w14:textId="77777777" w:rsidR="007F4001" w:rsidRPr="007F4001" w:rsidRDefault="007F4001" w:rsidP="007F4001">
            <w:pPr>
              <w:tabs>
                <w:tab w:val="left" w:pos="459"/>
              </w:tabs>
              <w:rPr>
                <w:rFonts w:eastAsia="Arial Unicode MS"/>
              </w:rPr>
            </w:pPr>
            <w:r w:rsidRPr="007F4001">
              <w:t>Benicia, City of</w:t>
            </w:r>
          </w:p>
        </w:tc>
        <w:tc>
          <w:tcPr>
            <w:tcW w:w="2286" w:type="dxa"/>
            <w:shd w:val="clear" w:color="auto" w:fill="auto"/>
            <w:vAlign w:val="center"/>
          </w:tcPr>
          <w:p w14:paraId="11B0B6F8" w14:textId="3BC25E7B" w:rsidR="007F4001" w:rsidRPr="00403E66" w:rsidRDefault="008B7CDF" w:rsidP="007F4001">
            <w:r w:rsidRPr="00403E66">
              <w:t>Jeff Gregory,</w:t>
            </w:r>
            <w:r w:rsidR="007F4001" w:rsidRPr="00403E66">
              <w:t xml:space="preserve"> </w:t>
            </w:r>
            <w:r w:rsidRPr="00403E66">
              <w:t xml:space="preserve">Wastewater Treatment Plant </w:t>
            </w:r>
            <w:r w:rsidR="007F4001" w:rsidRPr="00403E66">
              <w:t>Superintendent</w:t>
            </w:r>
          </w:p>
          <w:p w14:paraId="4367F02E" w14:textId="25E3B16C" w:rsidR="007F4001" w:rsidRPr="00403E66" w:rsidRDefault="007F4001" w:rsidP="008B7CDF">
            <w:r w:rsidRPr="00403E66">
              <w:t>(707)</w:t>
            </w:r>
            <w:r w:rsidR="008B7CDF" w:rsidRPr="00403E66">
              <w:t xml:space="preserve"> </w:t>
            </w:r>
            <w:r w:rsidRPr="00403E66">
              <w:t>746-4</w:t>
            </w:r>
            <w:r w:rsidR="008B7CDF" w:rsidRPr="00403E66">
              <w:t>790</w:t>
            </w:r>
          </w:p>
        </w:tc>
        <w:tc>
          <w:tcPr>
            <w:tcW w:w="2244" w:type="dxa"/>
            <w:tcBorders>
              <w:right w:val="single" w:sz="4" w:space="0" w:color="auto"/>
            </w:tcBorders>
            <w:shd w:val="clear" w:color="auto" w:fill="auto"/>
            <w:vAlign w:val="center"/>
          </w:tcPr>
          <w:p w14:paraId="463B26BC" w14:textId="77777777" w:rsidR="00A02268" w:rsidRPr="005465D4" w:rsidRDefault="00A02268" w:rsidP="00A02268">
            <w:r w:rsidRPr="005465D4">
              <w:t>614 East Fifth Street</w:t>
            </w:r>
          </w:p>
          <w:p w14:paraId="6649DE06" w14:textId="77777777" w:rsidR="00A02268" w:rsidRPr="005465D4" w:rsidRDefault="00A02268" w:rsidP="00A02268">
            <w:r w:rsidRPr="005465D4">
              <w:t>Benicia, CA 94510</w:t>
            </w:r>
          </w:p>
          <w:p w14:paraId="0575F55F" w14:textId="3AD78351" w:rsidR="007F4001" w:rsidRPr="007F4001" w:rsidRDefault="00A02268" w:rsidP="00A02268">
            <w:r w:rsidRPr="005465D4">
              <w:t>Solano County</w:t>
            </w:r>
          </w:p>
        </w:tc>
        <w:tc>
          <w:tcPr>
            <w:tcW w:w="1440" w:type="dxa"/>
            <w:tcBorders>
              <w:right w:val="single" w:sz="4" w:space="0" w:color="auto"/>
            </w:tcBorders>
            <w:shd w:val="clear" w:color="auto" w:fill="auto"/>
            <w:vAlign w:val="center"/>
          </w:tcPr>
          <w:p w14:paraId="1952FD21" w14:textId="77777777" w:rsidR="007F4001" w:rsidRPr="007F4001" w:rsidRDefault="007F4001" w:rsidP="007F4001">
            <w:pPr>
              <w:jc w:val="center"/>
            </w:pPr>
            <w:r w:rsidRPr="007F4001">
              <w:t>Secondary</w:t>
            </w:r>
          </w:p>
        </w:tc>
        <w:tc>
          <w:tcPr>
            <w:tcW w:w="1329" w:type="dxa"/>
            <w:tcBorders>
              <w:left w:val="single" w:sz="4" w:space="0" w:color="auto"/>
              <w:right w:val="single" w:sz="12" w:space="0" w:color="auto"/>
            </w:tcBorders>
            <w:shd w:val="clear" w:color="auto" w:fill="auto"/>
            <w:vAlign w:val="center"/>
          </w:tcPr>
          <w:p w14:paraId="1FC596A2" w14:textId="77777777" w:rsidR="007F4001" w:rsidRPr="007F4001" w:rsidRDefault="007F4001" w:rsidP="007F4001">
            <w:pPr>
              <w:jc w:val="center"/>
            </w:pPr>
            <w:r w:rsidRPr="007F4001">
              <w:t>4.5</w:t>
            </w:r>
          </w:p>
        </w:tc>
      </w:tr>
      <w:tr w:rsidR="007F4001" w:rsidRPr="007F4001" w14:paraId="30481CE9" w14:textId="77777777" w:rsidTr="008B7CDF">
        <w:trPr>
          <w:cantSplit/>
        </w:trPr>
        <w:tc>
          <w:tcPr>
            <w:tcW w:w="3375" w:type="dxa"/>
            <w:tcBorders>
              <w:left w:val="single" w:sz="12" w:space="0" w:color="auto"/>
            </w:tcBorders>
            <w:shd w:val="clear" w:color="auto" w:fill="auto"/>
            <w:vAlign w:val="center"/>
          </w:tcPr>
          <w:p w14:paraId="33E35964" w14:textId="77777777" w:rsidR="007F4001" w:rsidRPr="007F4001" w:rsidRDefault="007F4001" w:rsidP="007F4001">
            <w:pPr>
              <w:rPr>
                <w:rFonts w:eastAsia="Arial Unicode MS"/>
              </w:rPr>
            </w:pPr>
            <w:r w:rsidRPr="007F4001">
              <w:t>Burlingame, City of</w:t>
            </w:r>
          </w:p>
        </w:tc>
        <w:tc>
          <w:tcPr>
            <w:tcW w:w="2286" w:type="dxa"/>
            <w:shd w:val="clear" w:color="auto" w:fill="auto"/>
            <w:vAlign w:val="center"/>
          </w:tcPr>
          <w:p w14:paraId="33E9222D" w14:textId="2E606D22" w:rsidR="007F4001" w:rsidRPr="00403E66" w:rsidRDefault="008B7CDF" w:rsidP="007F4001">
            <w:r w:rsidRPr="00403E66">
              <w:t>Manuel Molina,</w:t>
            </w:r>
          </w:p>
          <w:p w14:paraId="11D0F1D1" w14:textId="70019181" w:rsidR="007F4001" w:rsidRPr="00403E66" w:rsidRDefault="007F4001" w:rsidP="007F4001">
            <w:r w:rsidRPr="00403E66">
              <w:t>P</w:t>
            </w:r>
            <w:r w:rsidR="008B7CDF" w:rsidRPr="00403E66">
              <w:t>roject</w:t>
            </w:r>
            <w:r w:rsidRPr="00403E66">
              <w:t xml:space="preserve"> Manager</w:t>
            </w:r>
          </w:p>
          <w:p w14:paraId="17D98DC2" w14:textId="5421C09A" w:rsidR="007F4001" w:rsidRPr="00403E66" w:rsidRDefault="007F4001" w:rsidP="007F4001">
            <w:r w:rsidRPr="00403E66">
              <w:t>(650)</w:t>
            </w:r>
            <w:r w:rsidR="008B7CDF" w:rsidRPr="00403E66">
              <w:t xml:space="preserve"> </w:t>
            </w:r>
            <w:r w:rsidRPr="00403E66">
              <w:t>342-3727</w:t>
            </w:r>
          </w:p>
        </w:tc>
        <w:tc>
          <w:tcPr>
            <w:tcW w:w="2244" w:type="dxa"/>
            <w:tcBorders>
              <w:right w:val="single" w:sz="4" w:space="0" w:color="auto"/>
            </w:tcBorders>
            <w:shd w:val="clear" w:color="auto" w:fill="auto"/>
            <w:vAlign w:val="center"/>
          </w:tcPr>
          <w:p w14:paraId="0084D661" w14:textId="77777777" w:rsidR="007F4001" w:rsidRDefault="007F4001" w:rsidP="007F4001">
            <w:r w:rsidRPr="007F4001">
              <w:t>501 Primrose Burlingame, CA 94010</w:t>
            </w:r>
          </w:p>
          <w:p w14:paraId="1020131C" w14:textId="17107092" w:rsidR="00EE4AAF" w:rsidRPr="007F4001" w:rsidRDefault="00EE4AAF" w:rsidP="007F4001">
            <w:r>
              <w:t>San Mateo County</w:t>
            </w:r>
          </w:p>
        </w:tc>
        <w:tc>
          <w:tcPr>
            <w:tcW w:w="1440" w:type="dxa"/>
            <w:tcBorders>
              <w:right w:val="single" w:sz="4" w:space="0" w:color="auto"/>
            </w:tcBorders>
            <w:shd w:val="clear" w:color="auto" w:fill="auto"/>
            <w:vAlign w:val="center"/>
          </w:tcPr>
          <w:p w14:paraId="3989E586" w14:textId="77777777" w:rsidR="007F4001" w:rsidRPr="007F4001" w:rsidRDefault="007F4001" w:rsidP="007F4001">
            <w:pPr>
              <w:jc w:val="center"/>
            </w:pPr>
            <w:r w:rsidRPr="007F4001">
              <w:t>Secondary</w:t>
            </w:r>
          </w:p>
        </w:tc>
        <w:tc>
          <w:tcPr>
            <w:tcW w:w="1329" w:type="dxa"/>
            <w:tcBorders>
              <w:left w:val="single" w:sz="4" w:space="0" w:color="auto"/>
              <w:right w:val="single" w:sz="12" w:space="0" w:color="auto"/>
            </w:tcBorders>
            <w:shd w:val="clear" w:color="auto" w:fill="auto"/>
            <w:vAlign w:val="center"/>
          </w:tcPr>
          <w:p w14:paraId="7A37230A" w14:textId="77777777" w:rsidR="007F4001" w:rsidRPr="007F4001" w:rsidRDefault="007F4001" w:rsidP="007F4001">
            <w:pPr>
              <w:jc w:val="center"/>
            </w:pPr>
            <w:r w:rsidRPr="007F4001">
              <w:t>5.5</w:t>
            </w:r>
          </w:p>
        </w:tc>
      </w:tr>
      <w:tr w:rsidR="007F4001" w:rsidRPr="007F4001" w14:paraId="7FE751C6" w14:textId="77777777" w:rsidTr="008B7CDF">
        <w:trPr>
          <w:cantSplit/>
        </w:trPr>
        <w:tc>
          <w:tcPr>
            <w:tcW w:w="3375" w:type="dxa"/>
            <w:tcBorders>
              <w:left w:val="single" w:sz="12" w:space="0" w:color="auto"/>
            </w:tcBorders>
            <w:shd w:val="clear" w:color="auto" w:fill="auto"/>
            <w:vAlign w:val="center"/>
          </w:tcPr>
          <w:p w14:paraId="5989EE3C" w14:textId="77777777" w:rsidR="007F4001" w:rsidRPr="007F4001" w:rsidRDefault="007F4001" w:rsidP="007F4001">
            <w:pPr>
              <w:rPr>
                <w:rFonts w:eastAsia="Arial Unicode MS"/>
              </w:rPr>
            </w:pPr>
            <w:r w:rsidRPr="007F4001">
              <w:t>Calistoga, City of</w:t>
            </w:r>
          </w:p>
        </w:tc>
        <w:tc>
          <w:tcPr>
            <w:tcW w:w="2286" w:type="dxa"/>
            <w:shd w:val="clear" w:color="auto" w:fill="auto"/>
            <w:vAlign w:val="center"/>
          </w:tcPr>
          <w:p w14:paraId="1B855A9A" w14:textId="7C91B81B" w:rsidR="007F4001" w:rsidRPr="00403E66" w:rsidRDefault="00D81F5B" w:rsidP="007F4001">
            <w:r w:rsidRPr="00403E66">
              <w:t>Mike Kirn</w:t>
            </w:r>
          </w:p>
          <w:p w14:paraId="65F18183" w14:textId="06CD17D0" w:rsidR="007F4001" w:rsidRPr="00403E66" w:rsidRDefault="00D81F5B" w:rsidP="007F4001">
            <w:r w:rsidRPr="00403E66">
              <w:t>Public Works Director</w:t>
            </w:r>
          </w:p>
          <w:p w14:paraId="7D0267F0" w14:textId="3DAE00EB" w:rsidR="007F4001" w:rsidRPr="00403E66" w:rsidRDefault="007F4001" w:rsidP="00D81F5B">
            <w:r w:rsidRPr="00403E66">
              <w:t xml:space="preserve"> (707) 942-28</w:t>
            </w:r>
            <w:r w:rsidR="00D81F5B" w:rsidRPr="00403E66">
              <w:t>28</w:t>
            </w:r>
          </w:p>
        </w:tc>
        <w:tc>
          <w:tcPr>
            <w:tcW w:w="2244" w:type="dxa"/>
            <w:tcBorders>
              <w:right w:val="single" w:sz="4" w:space="0" w:color="auto"/>
            </w:tcBorders>
            <w:shd w:val="clear" w:color="auto" w:fill="auto"/>
            <w:vAlign w:val="center"/>
          </w:tcPr>
          <w:p w14:paraId="6C363FC8" w14:textId="77777777" w:rsidR="007F4001" w:rsidRDefault="007F4001" w:rsidP="007F4001">
            <w:r w:rsidRPr="007F4001">
              <w:t>414 Washington Street Calistoga, CA 94515</w:t>
            </w:r>
          </w:p>
          <w:p w14:paraId="605A4ADC" w14:textId="40548708" w:rsidR="00EE4AAF" w:rsidRPr="007F4001" w:rsidRDefault="00EE4AAF" w:rsidP="007F4001">
            <w:r>
              <w:t>Napa County</w:t>
            </w:r>
          </w:p>
        </w:tc>
        <w:tc>
          <w:tcPr>
            <w:tcW w:w="1440" w:type="dxa"/>
            <w:tcBorders>
              <w:right w:val="single" w:sz="4" w:space="0" w:color="auto"/>
            </w:tcBorders>
            <w:shd w:val="clear" w:color="auto" w:fill="auto"/>
            <w:vAlign w:val="center"/>
          </w:tcPr>
          <w:p w14:paraId="02F6D0B0" w14:textId="77777777" w:rsidR="007F4001" w:rsidRPr="007F4001" w:rsidRDefault="007F4001" w:rsidP="007F4001">
            <w:pPr>
              <w:jc w:val="center"/>
            </w:pPr>
            <w:r w:rsidRPr="007F4001">
              <w:t>Secondary</w:t>
            </w:r>
          </w:p>
        </w:tc>
        <w:tc>
          <w:tcPr>
            <w:tcW w:w="1329" w:type="dxa"/>
            <w:tcBorders>
              <w:left w:val="single" w:sz="4" w:space="0" w:color="auto"/>
              <w:right w:val="single" w:sz="12" w:space="0" w:color="auto"/>
            </w:tcBorders>
            <w:shd w:val="clear" w:color="auto" w:fill="auto"/>
            <w:vAlign w:val="center"/>
          </w:tcPr>
          <w:p w14:paraId="51B09F97" w14:textId="77777777" w:rsidR="007F4001" w:rsidRPr="007F4001" w:rsidRDefault="007F4001" w:rsidP="007F4001">
            <w:pPr>
              <w:jc w:val="center"/>
            </w:pPr>
            <w:r w:rsidRPr="007F4001">
              <w:t>0.84</w:t>
            </w:r>
          </w:p>
        </w:tc>
      </w:tr>
      <w:tr w:rsidR="007F4001" w:rsidRPr="007F4001" w14:paraId="7B8D529A" w14:textId="77777777" w:rsidTr="008B7CDF">
        <w:trPr>
          <w:cantSplit/>
        </w:trPr>
        <w:tc>
          <w:tcPr>
            <w:tcW w:w="3375" w:type="dxa"/>
            <w:tcBorders>
              <w:left w:val="single" w:sz="12" w:space="0" w:color="auto"/>
            </w:tcBorders>
            <w:shd w:val="clear" w:color="auto" w:fill="auto"/>
            <w:vAlign w:val="center"/>
          </w:tcPr>
          <w:p w14:paraId="68391BAD" w14:textId="77777777" w:rsidR="007F4001" w:rsidRPr="007F4001" w:rsidRDefault="007F4001" w:rsidP="007F4001">
            <w:pPr>
              <w:rPr>
                <w:rFonts w:eastAsia="Arial Unicode MS"/>
              </w:rPr>
            </w:pPr>
            <w:r w:rsidRPr="007F4001">
              <w:t>Central Contra Costa Sanitary District</w:t>
            </w:r>
          </w:p>
        </w:tc>
        <w:tc>
          <w:tcPr>
            <w:tcW w:w="2286" w:type="dxa"/>
            <w:shd w:val="clear" w:color="auto" w:fill="auto"/>
            <w:vAlign w:val="center"/>
          </w:tcPr>
          <w:p w14:paraId="71E7BAB3" w14:textId="48A3A227" w:rsidR="007F4001" w:rsidRPr="00403E66" w:rsidRDefault="00493552" w:rsidP="007F4001">
            <w:r w:rsidRPr="00403E66">
              <w:t>Ann K. Sasaki</w:t>
            </w:r>
          </w:p>
          <w:p w14:paraId="61F252B8" w14:textId="313DBDD2" w:rsidR="007F4001" w:rsidRPr="00403E66" w:rsidRDefault="00493552" w:rsidP="007F4001">
            <w:r w:rsidRPr="00403E66">
              <w:t>Deputy General Manager</w:t>
            </w:r>
          </w:p>
          <w:p w14:paraId="285C5A0D" w14:textId="77777777" w:rsidR="007F4001" w:rsidRPr="00403E66" w:rsidRDefault="007F4001" w:rsidP="007F4001">
            <w:r w:rsidRPr="00403E66">
              <w:t>(925) 228-9500</w:t>
            </w:r>
          </w:p>
        </w:tc>
        <w:tc>
          <w:tcPr>
            <w:tcW w:w="2244" w:type="dxa"/>
            <w:tcBorders>
              <w:right w:val="single" w:sz="4" w:space="0" w:color="auto"/>
            </w:tcBorders>
            <w:shd w:val="clear" w:color="auto" w:fill="auto"/>
            <w:vAlign w:val="center"/>
          </w:tcPr>
          <w:p w14:paraId="71BD01E1" w14:textId="77777777" w:rsidR="00493552" w:rsidRPr="005465D4" w:rsidRDefault="00493552" w:rsidP="00493552">
            <w:r w:rsidRPr="005465D4">
              <w:t xml:space="preserve">5019 Imhoff Place </w:t>
            </w:r>
          </w:p>
          <w:p w14:paraId="7AFE18FC" w14:textId="77777777" w:rsidR="00493552" w:rsidRPr="005465D4" w:rsidRDefault="00493552" w:rsidP="00493552">
            <w:r w:rsidRPr="005465D4">
              <w:t>Martinez, CA 94553</w:t>
            </w:r>
          </w:p>
          <w:p w14:paraId="79F76C33" w14:textId="01116C51" w:rsidR="007F4001" w:rsidRPr="007F4001" w:rsidRDefault="00493552" w:rsidP="00493552">
            <w:r w:rsidRPr="005465D4">
              <w:t>Contra Costa County</w:t>
            </w:r>
          </w:p>
        </w:tc>
        <w:tc>
          <w:tcPr>
            <w:tcW w:w="1440" w:type="dxa"/>
            <w:tcBorders>
              <w:right w:val="single" w:sz="4" w:space="0" w:color="auto"/>
            </w:tcBorders>
            <w:shd w:val="clear" w:color="auto" w:fill="auto"/>
            <w:vAlign w:val="center"/>
          </w:tcPr>
          <w:p w14:paraId="23FEEBAC" w14:textId="77777777" w:rsidR="007F4001" w:rsidRPr="007F4001" w:rsidRDefault="007F4001" w:rsidP="007F4001">
            <w:pPr>
              <w:jc w:val="center"/>
            </w:pPr>
            <w:r w:rsidRPr="007F4001">
              <w:t>Secondary</w:t>
            </w:r>
          </w:p>
        </w:tc>
        <w:tc>
          <w:tcPr>
            <w:tcW w:w="1329" w:type="dxa"/>
            <w:tcBorders>
              <w:left w:val="single" w:sz="4" w:space="0" w:color="auto"/>
              <w:right w:val="single" w:sz="12" w:space="0" w:color="auto"/>
            </w:tcBorders>
            <w:shd w:val="clear" w:color="auto" w:fill="auto"/>
            <w:vAlign w:val="center"/>
          </w:tcPr>
          <w:p w14:paraId="05A3E4CD" w14:textId="77777777" w:rsidR="007F4001" w:rsidRPr="007F4001" w:rsidRDefault="007F4001" w:rsidP="007F4001">
            <w:pPr>
              <w:jc w:val="center"/>
            </w:pPr>
            <w:r w:rsidRPr="007F4001">
              <w:t>53.8</w:t>
            </w:r>
          </w:p>
        </w:tc>
      </w:tr>
      <w:tr w:rsidR="007F4001" w:rsidRPr="007F4001" w14:paraId="1EEEC516" w14:textId="77777777" w:rsidTr="008B7CDF">
        <w:trPr>
          <w:cantSplit/>
        </w:trPr>
        <w:tc>
          <w:tcPr>
            <w:tcW w:w="3375" w:type="dxa"/>
            <w:tcBorders>
              <w:left w:val="single" w:sz="12" w:space="0" w:color="auto"/>
            </w:tcBorders>
            <w:shd w:val="clear" w:color="auto" w:fill="auto"/>
            <w:vAlign w:val="center"/>
          </w:tcPr>
          <w:p w14:paraId="77A6DEBE" w14:textId="77777777" w:rsidR="007F4001" w:rsidRPr="007F4001" w:rsidRDefault="007F4001" w:rsidP="007F4001">
            <w:pPr>
              <w:rPr>
                <w:rFonts w:eastAsia="Arial Unicode MS"/>
              </w:rPr>
            </w:pPr>
            <w:r w:rsidRPr="007F4001">
              <w:t>Central Marin Sanitation Agency</w:t>
            </w:r>
          </w:p>
        </w:tc>
        <w:tc>
          <w:tcPr>
            <w:tcW w:w="2286" w:type="dxa"/>
            <w:shd w:val="clear" w:color="auto" w:fill="auto"/>
            <w:vAlign w:val="center"/>
          </w:tcPr>
          <w:p w14:paraId="58631113" w14:textId="77777777" w:rsidR="00493552" w:rsidRPr="00403E66" w:rsidRDefault="00493552" w:rsidP="00493552">
            <w:r w:rsidRPr="00403E66">
              <w:t>Jason Dow,</w:t>
            </w:r>
            <w:r w:rsidR="007F4001" w:rsidRPr="00403E66">
              <w:t xml:space="preserve"> </w:t>
            </w:r>
            <w:r w:rsidRPr="00403E66">
              <w:t>General Manager</w:t>
            </w:r>
            <w:r w:rsidR="007F4001" w:rsidRPr="00403E66">
              <w:t xml:space="preserve"> </w:t>
            </w:r>
          </w:p>
          <w:p w14:paraId="57BC2884" w14:textId="6712D430" w:rsidR="007F4001" w:rsidRPr="00403E66" w:rsidRDefault="007F4001" w:rsidP="00493552">
            <w:r w:rsidRPr="00403E66">
              <w:t>(415) 459-1455</w:t>
            </w:r>
          </w:p>
        </w:tc>
        <w:tc>
          <w:tcPr>
            <w:tcW w:w="2244" w:type="dxa"/>
            <w:tcBorders>
              <w:right w:val="single" w:sz="4" w:space="0" w:color="auto"/>
            </w:tcBorders>
            <w:shd w:val="clear" w:color="auto" w:fill="auto"/>
            <w:vAlign w:val="center"/>
          </w:tcPr>
          <w:p w14:paraId="044201D8" w14:textId="77777777" w:rsidR="00493552" w:rsidRPr="005465D4" w:rsidRDefault="00493552" w:rsidP="00493552">
            <w:r w:rsidRPr="005465D4">
              <w:t>1301 Andersen Drive</w:t>
            </w:r>
          </w:p>
          <w:p w14:paraId="734D626E" w14:textId="77777777" w:rsidR="00493552" w:rsidRPr="005465D4" w:rsidRDefault="00493552" w:rsidP="00493552">
            <w:r w:rsidRPr="005465D4">
              <w:t>San Rafael, CA 94901</w:t>
            </w:r>
          </w:p>
          <w:p w14:paraId="686B35C7" w14:textId="7AC6012E" w:rsidR="007F4001" w:rsidRPr="007F4001" w:rsidRDefault="00493552" w:rsidP="00493552">
            <w:r w:rsidRPr="005465D4">
              <w:t>Marin County</w:t>
            </w:r>
          </w:p>
        </w:tc>
        <w:tc>
          <w:tcPr>
            <w:tcW w:w="1440" w:type="dxa"/>
            <w:tcBorders>
              <w:right w:val="single" w:sz="4" w:space="0" w:color="auto"/>
            </w:tcBorders>
            <w:shd w:val="clear" w:color="auto" w:fill="auto"/>
            <w:vAlign w:val="center"/>
          </w:tcPr>
          <w:p w14:paraId="73FB0DB9" w14:textId="77777777" w:rsidR="007F4001" w:rsidRPr="007F4001" w:rsidRDefault="007F4001" w:rsidP="007F4001">
            <w:pPr>
              <w:jc w:val="center"/>
            </w:pPr>
            <w:r w:rsidRPr="007F4001">
              <w:t>Secondary</w:t>
            </w:r>
          </w:p>
        </w:tc>
        <w:tc>
          <w:tcPr>
            <w:tcW w:w="1329" w:type="dxa"/>
            <w:tcBorders>
              <w:left w:val="single" w:sz="4" w:space="0" w:color="auto"/>
              <w:right w:val="single" w:sz="12" w:space="0" w:color="auto"/>
            </w:tcBorders>
            <w:shd w:val="clear" w:color="auto" w:fill="auto"/>
            <w:vAlign w:val="center"/>
          </w:tcPr>
          <w:p w14:paraId="014A6AC5" w14:textId="77777777" w:rsidR="007F4001" w:rsidRPr="007F4001" w:rsidRDefault="007F4001" w:rsidP="007F4001">
            <w:pPr>
              <w:jc w:val="center"/>
            </w:pPr>
            <w:r w:rsidRPr="007F4001">
              <w:t>10</w:t>
            </w:r>
          </w:p>
        </w:tc>
      </w:tr>
      <w:tr w:rsidR="007F4001" w:rsidRPr="007F4001" w14:paraId="5BC1C6FF" w14:textId="77777777" w:rsidTr="008B7CDF">
        <w:trPr>
          <w:cantSplit/>
        </w:trPr>
        <w:tc>
          <w:tcPr>
            <w:tcW w:w="3375" w:type="dxa"/>
            <w:tcBorders>
              <w:left w:val="single" w:sz="12" w:space="0" w:color="auto"/>
            </w:tcBorders>
            <w:shd w:val="clear" w:color="auto" w:fill="auto"/>
            <w:vAlign w:val="center"/>
          </w:tcPr>
          <w:p w14:paraId="490B9557" w14:textId="47D1EAE3" w:rsidR="007F4001" w:rsidRPr="007F4001" w:rsidRDefault="007F4001" w:rsidP="007F4001">
            <w:r w:rsidRPr="007F4001">
              <w:t>Crockett Community Services District, Port Costa</w:t>
            </w:r>
            <w:r w:rsidR="006A638B">
              <w:t xml:space="preserve"> Sanitary Department </w:t>
            </w:r>
          </w:p>
        </w:tc>
        <w:tc>
          <w:tcPr>
            <w:tcW w:w="2286" w:type="dxa"/>
            <w:shd w:val="clear" w:color="auto" w:fill="auto"/>
            <w:vAlign w:val="center"/>
          </w:tcPr>
          <w:p w14:paraId="5C6D005C" w14:textId="1A439E98" w:rsidR="007F4001" w:rsidRPr="00403E66" w:rsidRDefault="00403E66" w:rsidP="007F4001">
            <w:r>
              <w:t>James Barnhill</w:t>
            </w:r>
            <w:r w:rsidR="00C40619" w:rsidRPr="00403E66">
              <w:t>,</w:t>
            </w:r>
          </w:p>
          <w:p w14:paraId="5CB3B22C" w14:textId="124F28CE" w:rsidR="007F4001" w:rsidRPr="00403E66" w:rsidRDefault="00403E66" w:rsidP="007F4001">
            <w:r>
              <w:t>Sanitary Department Manager</w:t>
            </w:r>
          </w:p>
          <w:p w14:paraId="152183B9" w14:textId="47E25609" w:rsidR="007F4001" w:rsidRPr="00403E66" w:rsidRDefault="007F4001" w:rsidP="007F4001">
            <w:r w:rsidRPr="00403E66">
              <w:t>(510) 787-2992</w:t>
            </w:r>
          </w:p>
        </w:tc>
        <w:tc>
          <w:tcPr>
            <w:tcW w:w="2244" w:type="dxa"/>
            <w:tcBorders>
              <w:right w:val="single" w:sz="4" w:space="0" w:color="auto"/>
            </w:tcBorders>
            <w:shd w:val="clear" w:color="auto" w:fill="auto"/>
            <w:vAlign w:val="center"/>
          </w:tcPr>
          <w:p w14:paraId="5D97506A" w14:textId="77777777" w:rsidR="007F4001" w:rsidRPr="007F4001" w:rsidRDefault="007F4001" w:rsidP="007F4001">
            <w:r w:rsidRPr="007F4001">
              <w:t xml:space="preserve">P.O. Box 578 </w:t>
            </w:r>
          </w:p>
          <w:p w14:paraId="2E5E4F3B" w14:textId="77777777" w:rsidR="007F4001" w:rsidRDefault="007F4001" w:rsidP="007F4001">
            <w:r w:rsidRPr="007F4001">
              <w:t xml:space="preserve">Crockett, CA 94525 </w:t>
            </w:r>
          </w:p>
          <w:p w14:paraId="10F4C887" w14:textId="4B3357AA" w:rsidR="00EE4AAF" w:rsidRPr="007F4001" w:rsidRDefault="00EE4AAF" w:rsidP="007F4001">
            <w:r>
              <w:t>Contra Costa County</w:t>
            </w:r>
          </w:p>
        </w:tc>
        <w:tc>
          <w:tcPr>
            <w:tcW w:w="1440" w:type="dxa"/>
            <w:tcBorders>
              <w:right w:val="single" w:sz="4" w:space="0" w:color="auto"/>
            </w:tcBorders>
            <w:shd w:val="clear" w:color="auto" w:fill="auto"/>
            <w:vAlign w:val="center"/>
          </w:tcPr>
          <w:p w14:paraId="19BDAA9A" w14:textId="77777777" w:rsidR="007F4001" w:rsidRPr="007F4001" w:rsidRDefault="007F4001" w:rsidP="007F4001">
            <w:pPr>
              <w:jc w:val="center"/>
            </w:pPr>
            <w:r w:rsidRPr="007F4001">
              <w:t>Secondary</w:t>
            </w:r>
          </w:p>
        </w:tc>
        <w:tc>
          <w:tcPr>
            <w:tcW w:w="1329" w:type="dxa"/>
            <w:tcBorders>
              <w:left w:val="single" w:sz="4" w:space="0" w:color="auto"/>
              <w:right w:val="single" w:sz="12" w:space="0" w:color="auto"/>
            </w:tcBorders>
            <w:shd w:val="clear" w:color="auto" w:fill="auto"/>
            <w:vAlign w:val="center"/>
          </w:tcPr>
          <w:p w14:paraId="1C469B55" w14:textId="77777777" w:rsidR="007F4001" w:rsidRPr="007F4001" w:rsidRDefault="007F4001" w:rsidP="007F4001">
            <w:pPr>
              <w:jc w:val="center"/>
            </w:pPr>
            <w:r w:rsidRPr="007F4001">
              <w:t>0.033</w:t>
            </w:r>
          </w:p>
        </w:tc>
      </w:tr>
      <w:tr w:rsidR="007F4001" w:rsidRPr="007F4001" w14:paraId="53A0DB07" w14:textId="77777777" w:rsidTr="008B7CDF">
        <w:trPr>
          <w:cantSplit/>
        </w:trPr>
        <w:tc>
          <w:tcPr>
            <w:tcW w:w="3375" w:type="dxa"/>
            <w:tcBorders>
              <w:left w:val="single" w:sz="12" w:space="0" w:color="auto"/>
            </w:tcBorders>
            <w:shd w:val="clear" w:color="auto" w:fill="auto"/>
            <w:vAlign w:val="center"/>
          </w:tcPr>
          <w:p w14:paraId="33FC0A8A" w14:textId="77777777" w:rsidR="007F4001" w:rsidRPr="007F4001" w:rsidRDefault="007F4001" w:rsidP="007F4001">
            <w:pPr>
              <w:rPr>
                <w:rFonts w:eastAsia="Arial Unicode MS"/>
              </w:rPr>
            </w:pPr>
            <w:r w:rsidRPr="007F4001">
              <w:t>Delta Diablo Sanitation District</w:t>
            </w:r>
          </w:p>
        </w:tc>
        <w:tc>
          <w:tcPr>
            <w:tcW w:w="2286" w:type="dxa"/>
            <w:shd w:val="clear" w:color="auto" w:fill="auto"/>
            <w:vAlign w:val="center"/>
          </w:tcPr>
          <w:p w14:paraId="672D2B2B" w14:textId="5E0F313E" w:rsidR="007F4001" w:rsidRPr="00403E66" w:rsidRDefault="007F4001" w:rsidP="007F4001">
            <w:r w:rsidRPr="00403E66">
              <w:t>Gary W. Darling</w:t>
            </w:r>
            <w:r w:rsidR="00723324" w:rsidRPr="00403E66">
              <w:t>,</w:t>
            </w:r>
            <w:r w:rsidRPr="00403E66">
              <w:t xml:space="preserve"> General Manager </w:t>
            </w:r>
          </w:p>
          <w:p w14:paraId="4ADE050F" w14:textId="77777777" w:rsidR="007F4001" w:rsidRPr="00403E66" w:rsidRDefault="007F4001" w:rsidP="007F4001">
            <w:r w:rsidRPr="00403E66">
              <w:t xml:space="preserve">(925) 756-1920 </w:t>
            </w:r>
          </w:p>
        </w:tc>
        <w:tc>
          <w:tcPr>
            <w:tcW w:w="2244" w:type="dxa"/>
            <w:tcBorders>
              <w:right w:val="single" w:sz="4" w:space="0" w:color="auto"/>
            </w:tcBorders>
            <w:shd w:val="clear" w:color="auto" w:fill="auto"/>
            <w:vAlign w:val="center"/>
          </w:tcPr>
          <w:p w14:paraId="6CF83187" w14:textId="77777777" w:rsidR="00723324" w:rsidRPr="005465D4" w:rsidRDefault="00723324" w:rsidP="00723324">
            <w:r w:rsidRPr="005465D4">
              <w:t>2500 Pittsburg-Antioch Highway</w:t>
            </w:r>
            <w:r w:rsidRPr="005465D4">
              <w:br/>
              <w:t>Antioch, CA 94509</w:t>
            </w:r>
          </w:p>
          <w:p w14:paraId="4274F4A1" w14:textId="0890ED0D" w:rsidR="007F4001" w:rsidRPr="007F4001" w:rsidRDefault="00723324" w:rsidP="00723324">
            <w:r w:rsidRPr="005465D4">
              <w:t>Contra Costa County</w:t>
            </w:r>
          </w:p>
        </w:tc>
        <w:tc>
          <w:tcPr>
            <w:tcW w:w="1440" w:type="dxa"/>
            <w:tcBorders>
              <w:right w:val="single" w:sz="4" w:space="0" w:color="auto"/>
            </w:tcBorders>
            <w:shd w:val="clear" w:color="auto" w:fill="auto"/>
            <w:vAlign w:val="center"/>
          </w:tcPr>
          <w:p w14:paraId="1BD998B6" w14:textId="77777777" w:rsidR="007F4001" w:rsidRPr="007F4001" w:rsidRDefault="007F4001" w:rsidP="007F4001">
            <w:pPr>
              <w:jc w:val="center"/>
            </w:pPr>
            <w:r w:rsidRPr="007F4001">
              <w:t>Secondary</w:t>
            </w:r>
          </w:p>
        </w:tc>
        <w:tc>
          <w:tcPr>
            <w:tcW w:w="1329" w:type="dxa"/>
            <w:tcBorders>
              <w:left w:val="single" w:sz="4" w:space="0" w:color="auto"/>
              <w:right w:val="single" w:sz="12" w:space="0" w:color="auto"/>
            </w:tcBorders>
            <w:shd w:val="clear" w:color="auto" w:fill="auto"/>
            <w:vAlign w:val="center"/>
          </w:tcPr>
          <w:p w14:paraId="05C437E4" w14:textId="411AB78C" w:rsidR="007F4001" w:rsidRPr="007F4001" w:rsidRDefault="00FA0721" w:rsidP="007F4001">
            <w:pPr>
              <w:jc w:val="center"/>
            </w:pPr>
            <w:r>
              <w:t>19</w:t>
            </w:r>
            <w:r w:rsidR="007F4001" w:rsidRPr="007F4001">
              <w:t>.5</w:t>
            </w:r>
          </w:p>
        </w:tc>
      </w:tr>
      <w:tr w:rsidR="007F4001" w:rsidRPr="007F4001" w14:paraId="3C999C09" w14:textId="77777777" w:rsidTr="008B7CDF">
        <w:trPr>
          <w:cantSplit/>
        </w:trPr>
        <w:tc>
          <w:tcPr>
            <w:tcW w:w="3375" w:type="dxa"/>
            <w:tcBorders>
              <w:left w:val="single" w:sz="12" w:space="0" w:color="auto"/>
            </w:tcBorders>
            <w:shd w:val="clear" w:color="auto" w:fill="auto"/>
            <w:vAlign w:val="center"/>
          </w:tcPr>
          <w:p w14:paraId="4F13449A" w14:textId="73DC8609" w:rsidR="007F4001" w:rsidRPr="007F4001" w:rsidRDefault="007F4001" w:rsidP="007F4001">
            <w:r w:rsidRPr="007F4001">
              <w:t>East Bay Dischargers Authority</w:t>
            </w:r>
          </w:p>
        </w:tc>
        <w:tc>
          <w:tcPr>
            <w:tcW w:w="2286" w:type="dxa"/>
            <w:vMerge w:val="restart"/>
            <w:shd w:val="clear" w:color="auto" w:fill="auto"/>
            <w:vAlign w:val="center"/>
          </w:tcPr>
          <w:p w14:paraId="313B9ECA" w14:textId="6AB27C38" w:rsidR="007F4001" w:rsidRPr="00403E66" w:rsidRDefault="007F4001" w:rsidP="007F4001">
            <w:r w:rsidRPr="00403E66">
              <w:t>Michael S. Connor</w:t>
            </w:r>
            <w:r w:rsidR="00B31E50" w:rsidRPr="00403E66">
              <w:t>,</w:t>
            </w:r>
            <w:r w:rsidRPr="00403E66">
              <w:t xml:space="preserve"> General Manager (510) 278-5910</w:t>
            </w:r>
          </w:p>
        </w:tc>
        <w:tc>
          <w:tcPr>
            <w:tcW w:w="2244" w:type="dxa"/>
            <w:vMerge w:val="restart"/>
            <w:tcBorders>
              <w:right w:val="single" w:sz="4" w:space="0" w:color="auto"/>
            </w:tcBorders>
            <w:shd w:val="clear" w:color="auto" w:fill="auto"/>
            <w:vAlign w:val="center"/>
          </w:tcPr>
          <w:p w14:paraId="1C26FEA3" w14:textId="77777777" w:rsidR="007F4001" w:rsidRDefault="007F4001" w:rsidP="007F4001">
            <w:r w:rsidRPr="007F4001">
              <w:t>2651 Grant Avenue San Lorenzo, CA  94580</w:t>
            </w:r>
          </w:p>
          <w:p w14:paraId="574772DD" w14:textId="4957B31E" w:rsidR="00EE4AAF" w:rsidRPr="007F4001" w:rsidRDefault="00EE4AAF" w:rsidP="007F4001">
            <w:r>
              <w:t>Alameda County</w:t>
            </w:r>
          </w:p>
        </w:tc>
        <w:tc>
          <w:tcPr>
            <w:tcW w:w="1440" w:type="dxa"/>
            <w:vMerge w:val="restart"/>
            <w:tcBorders>
              <w:right w:val="single" w:sz="4" w:space="0" w:color="auto"/>
            </w:tcBorders>
            <w:shd w:val="clear" w:color="auto" w:fill="auto"/>
            <w:vAlign w:val="center"/>
          </w:tcPr>
          <w:p w14:paraId="6B0E6D10" w14:textId="77777777" w:rsidR="007F4001" w:rsidRPr="007F4001" w:rsidRDefault="007F4001" w:rsidP="007F4001">
            <w:pPr>
              <w:jc w:val="center"/>
            </w:pPr>
            <w:r w:rsidRPr="007F4001">
              <w:t>Secondary</w:t>
            </w:r>
          </w:p>
        </w:tc>
        <w:tc>
          <w:tcPr>
            <w:tcW w:w="1329" w:type="dxa"/>
            <w:vMerge w:val="restart"/>
            <w:tcBorders>
              <w:left w:val="single" w:sz="4" w:space="0" w:color="auto"/>
              <w:right w:val="single" w:sz="12" w:space="0" w:color="auto"/>
            </w:tcBorders>
            <w:shd w:val="clear" w:color="auto" w:fill="auto"/>
            <w:vAlign w:val="center"/>
          </w:tcPr>
          <w:p w14:paraId="237AE46B" w14:textId="77777777" w:rsidR="007F4001" w:rsidRPr="007F4001" w:rsidRDefault="007F4001" w:rsidP="007F4001">
            <w:pPr>
              <w:jc w:val="center"/>
            </w:pPr>
            <w:r w:rsidRPr="007F4001">
              <w:t>107.8</w:t>
            </w:r>
          </w:p>
        </w:tc>
      </w:tr>
      <w:tr w:rsidR="007F4001" w:rsidRPr="007F4001" w14:paraId="388F4320" w14:textId="77777777" w:rsidTr="008B7CDF">
        <w:trPr>
          <w:cantSplit/>
        </w:trPr>
        <w:tc>
          <w:tcPr>
            <w:tcW w:w="3375" w:type="dxa"/>
            <w:tcBorders>
              <w:left w:val="single" w:sz="12" w:space="0" w:color="auto"/>
            </w:tcBorders>
            <w:shd w:val="clear" w:color="auto" w:fill="auto"/>
            <w:vAlign w:val="center"/>
          </w:tcPr>
          <w:p w14:paraId="6C03E3D4" w14:textId="3A3CF905" w:rsidR="007F4001" w:rsidRPr="007F4001" w:rsidRDefault="00D30BDA" w:rsidP="007F4001">
            <w:pPr>
              <w:ind w:left="270"/>
            </w:pPr>
            <w:r>
              <w:t>City of Hayward</w:t>
            </w:r>
          </w:p>
        </w:tc>
        <w:tc>
          <w:tcPr>
            <w:tcW w:w="2286" w:type="dxa"/>
            <w:vMerge/>
            <w:shd w:val="clear" w:color="auto" w:fill="auto"/>
            <w:vAlign w:val="center"/>
          </w:tcPr>
          <w:p w14:paraId="6C481EB2" w14:textId="77777777" w:rsidR="007F4001" w:rsidRPr="00403E66" w:rsidRDefault="007F4001" w:rsidP="007F4001"/>
        </w:tc>
        <w:tc>
          <w:tcPr>
            <w:tcW w:w="2244" w:type="dxa"/>
            <w:vMerge/>
            <w:tcBorders>
              <w:right w:val="single" w:sz="4" w:space="0" w:color="auto"/>
            </w:tcBorders>
            <w:shd w:val="clear" w:color="auto" w:fill="auto"/>
            <w:vAlign w:val="center"/>
          </w:tcPr>
          <w:p w14:paraId="25CE750C" w14:textId="77777777" w:rsidR="007F4001" w:rsidRPr="007F4001" w:rsidRDefault="007F4001" w:rsidP="007F4001">
            <w:pPr>
              <w:rPr>
                <w:highlight w:val="yellow"/>
              </w:rPr>
            </w:pPr>
          </w:p>
        </w:tc>
        <w:tc>
          <w:tcPr>
            <w:tcW w:w="1440" w:type="dxa"/>
            <w:vMerge/>
            <w:tcBorders>
              <w:right w:val="single" w:sz="4" w:space="0" w:color="auto"/>
            </w:tcBorders>
            <w:shd w:val="clear" w:color="auto" w:fill="auto"/>
            <w:vAlign w:val="center"/>
          </w:tcPr>
          <w:p w14:paraId="7C6D13DD" w14:textId="77777777" w:rsidR="007F4001" w:rsidRPr="007F4001" w:rsidRDefault="007F4001" w:rsidP="007F4001">
            <w:pPr>
              <w:jc w:val="center"/>
            </w:pPr>
          </w:p>
        </w:tc>
        <w:tc>
          <w:tcPr>
            <w:tcW w:w="1329" w:type="dxa"/>
            <w:vMerge/>
            <w:tcBorders>
              <w:left w:val="single" w:sz="4" w:space="0" w:color="auto"/>
              <w:right w:val="single" w:sz="12" w:space="0" w:color="auto"/>
            </w:tcBorders>
            <w:shd w:val="clear" w:color="auto" w:fill="auto"/>
            <w:vAlign w:val="center"/>
          </w:tcPr>
          <w:p w14:paraId="7FA00290" w14:textId="77777777" w:rsidR="007F4001" w:rsidRPr="007F4001" w:rsidRDefault="007F4001" w:rsidP="007F4001">
            <w:pPr>
              <w:jc w:val="center"/>
            </w:pPr>
          </w:p>
        </w:tc>
      </w:tr>
      <w:tr w:rsidR="007F4001" w:rsidRPr="007F4001" w14:paraId="56DDBF0B" w14:textId="77777777" w:rsidTr="008B7CDF">
        <w:trPr>
          <w:cantSplit/>
        </w:trPr>
        <w:tc>
          <w:tcPr>
            <w:tcW w:w="3375" w:type="dxa"/>
            <w:tcBorders>
              <w:left w:val="single" w:sz="12" w:space="0" w:color="auto"/>
            </w:tcBorders>
            <w:shd w:val="clear" w:color="auto" w:fill="auto"/>
            <w:vAlign w:val="center"/>
          </w:tcPr>
          <w:p w14:paraId="6B0F035B" w14:textId="368362A0" w:rsidR="007F4001" w:rsidRPr="007F4001" w:rsidRDefault="00D30BDA" w:rsidP="007F4001">
            <w:pPr>
              <w:ind w:left="270"/>
            </w:pPr>
            <w:r>
              <w:t>City of San Leandro</w:t>
            </w:r>
          </w:p>
        </w:tc>
        <w:tc>
          <w:tcPr>
            <w:tcW w:w="2286" w:type="dxa"/>
            <w:vMerge/>
            <w:shd w:val="clear" w:color="auto" w:fill="auto"/>
            <w:vAlign w:val="center"/>
          </w:tcPr>
          <w:p w14:paraId="3A00A701" w14:textId="77777777" w:rsidR="007F4001" w:rsidRPr="00403E66" w:rsidRDefault="007F4001" w:rsidP="007F4001"/>
        </w:tc>
        <w:tc>
          <w:tcPr>
            <w:tcW w:w="2244" w:type="dxa"/>
            <w:vMerge/>
            <w:tcBorders>
              <w:right w:val="single" w:sz="4" w:space="0" w:color="auto"/>
            </w:tcBorders>
            <w:shd w:val="clear" w:color="auto" w:fill="auto"/>
            <w:vAlign w:val="center"/>
          </w:tcPr>
          <w:p w14:paraId="4613AF66" w14:textId="77777777" w:rsidR="007F4001" w:rsidRPr="007F4001" w:rsidRDefault="007F4001" w:rsidP="007F4001">
            <w:pPr>
              <w:rPr>
                <w:highlight w:val="yellow"/>
              </w:rPr>
            </w:pPr>
          </w:p>
        </w:tc>
        <w:tc>
          <w:tcPr>
            <w:tcW w:w="1440" w:type="dxa"/>
            <w:vMerge/>
            <w:tcBorders>
              <w:right w:val="single" w:sz="4" w:space="0" w:color="auto"/>
            </w:tcBorders>
            <w:shd w:val="clear" w:color="auto" w:fill="auto"/>
            <w:vAlign w:val="center"/>
          </w:tcPr>
          <w:p w14:paraId="7C3CB451" w14:textId="77777777" w:rsidR="007F4001" w:rsidRPr="007F4001" w:rsidRDefault="007F4001" w:rsidP="007F4001">
            <w:pPr>
              <w:jc w:val="center"/>
            </w:pPr>
          </w:p>
        </w:tc>
        <w:tc>
          <w:tcPr>
            <w:tcW w:w="1329" w:type="dxa"/>
            <w:vMerge/>
            <w:tcBorders>
              <w:left w:val="single" w:sz="4" w:space="0" w:color="auto"/>
              <w:right w:val="single" w:sz="12" w:space="0" w:color="auto"/>
            </w:tcBorders>
            <w:shd w:val="clear" w:color="auto" w:fill="auto"/>
            <w:vAlign w:val="center"/>
          </w:tcPr>
          <w:p w14:paraId="3FDE8694" w14:textId="77777777" w:rsidR="007F4001" w:rsidRPr="007F4001" w:rsidRDefault="007F4001" w:rsidP="007F4001">
            <w:pPr>
              <w:jc w:val="center"/>
            </w:pPr>
          </w:p>
        </w:tc>
      </w:tr>
      <w:tr w:rsidR="007F4001" w:rsidRPr="007F4001" w14:paraId="3CC547D8" w14:textId="77777777" w:rsidTr="008B7CDF">
        <w:trPr>
          <w:cantSplit/>
        </w:trPr>
        <w:tc>
          <w:tcPr>
            <w:tcW w:w="3375" w:type="dxa"/>
            <w:tcBorders>
              <w:left w:val="single" w:sz="12" w:space="0" w:color="auto"/>
            </w:tcBorders>
            <w:shd w:val="clear" w:color="auto" w:fill="auto"/>
            <w:vAlign w:val="center"/>
          </w:tcPr>
          <w:p w14:paraId="13F6FCB0" w14:textId="0192123E" w:rsidR="007F4001" w:rsidRPr="007F4001" w:rsidRDefault="00D30BDA" w:rsidP="00D30BDA">
            <w:pPr>
              <w:ind w:left="270"/>
            </w:pPr>
            <w:r>
              <w:t xml:space="preserve">Oro Loma and </w:t>
            </w:r>
            <w:r w:rsidR="007F4001" w:rsidRPr="007F4001">
              <w:t xml:space="preserve">Castro Valley Sanitary Districts </w:t>
            </w:r>
          </w:p>
        </w:tc>
        <w:tc>
          <w:tcPr>
            <w:tcW w:w="2286" w:type="dxa"/>
            <w:vMerge/>
            <w:shd w:val="clear" w:color="auto" w:fill="auto"/>
            <w:vAlign w:val="center"/>
          </w:tcPr>
          <w:p w14:paraId="0548B0CD" w14:textId="77777777" w:rsidR="007F4001" w:rsidRPr="00403E66" w:rsidRDefault="007F4001" w:rsidP="007F4001"/>
        </w:tc>
        <w:tc>
          <w:tcPr>
            <w:tcW w:w="2244" w:type="dxa"/>
            <w:vMerge/>
            <w:tcBorders>
              <w:right w:val="single" w:sz="4" w:space="0" w:color="auto"/>
            </w:tcBorders>
            <w:shd w:val="clear" w:color="auto" w:fill="auto"/>
            <w:vAlign w:val="center"/>
          </w:tcPr>
          <w:p w14:paraId="50B3592D" w14:textId="77777777" w:rsidR="007F4001" w:rsidRPr="007F4001" w:rsidRDefault="007F4001" w:rsidP="007F4001"/>
        </w:tc>
        <w:tc>
          <w:tcPr>
            <w:tcW w:w="1440" w:type="dxa"/>
            <w:vMerge/>
            <w:tcBorders>
              <w:right w:val="single" w:sz="4" w:space="0" w:color="auto"/>
            </w:tcBorders>
            <w:shd w:val="clear" w:color="auto" w:fill="auto"/>
            <w:vAlign w:val="center"/>
          </w:tcPr>
          <w:p w14:paraId="0B70EFBD" w14:textId="77777777" w:rsidR="007F4001" w:rsidRPr="007F4001" w:rsidRDefault="007F4001" w:rsidP="007F4001">
            <w:pPr>
              <w:jc w:val="center"/>
            </w:pPr>
          </w:p>
        </w:tc>
        <w:tc>
          <w:tcPr>
            <w:tcW w:w="1329" w:type="dxa"/>
            <w:vMerge/>
            <w:tcBorders>
              <w:left w:val="single" w:sz="4" w:space="0" w:color="auto"/>
              <w:right w:val="single" w:sz="12" w:space="0" w:color="auto"/>
            </w:tcBorders>
            <w:shd w:val="clear" w:color="auto" w:fill="auto"/>
            <w:vAlign w:val="center"/>
          </w:tcPr>
          <w:p w14:paraId="06A9D7B7" w14:textId="77777777" w:rsidR="007F4001" w:rsidRPr="007F4001" w:rsidRDefault="007F4001" w:rsidP="007F4001">
            <w:pPr>
              <w:jc w:val="center"/>
            </w:pPr>
          </w:p>
        </w:tc>
      </w:tr>
      <w:tr w:rsidR="007F4001" w:rsidRPr="007F4001" w14:paraId="6D8344F0" w14:textId="77777777" w:rsidTr="008B7CDF">
        <w:trPr>
          <w:cantSplit/>
        </w:trPr>
        <w:tc>
          <w:tcPr>
            <w:tcW w:w="3375" w:type="dxa"/>
            <w:tcBorders>
              <w:left w:val="single" w:sz="12" w:space="0" w:color="auto"/>
            </w:tcBorders>
            <w:shd w:val="clear" w:color="auto" w:fill="auto"/>
            <w:vAlign w:val="center"/>
          </w:tcPr>
          <w:p w14:paraId="7762046E" w14:textId="3E66A50B" w:rsidR="007F4001" w:rsidRPr="007F4001" w:rsidRDefault="00D30BDA" w:rsidP="007F4001">
            <w:pPr>
              <w:ind w:left="270"/>
            </w:pPr>
            <w:r>
              <w:t>Union Sanitary District</w:t>
            </w:r>
          </w:p>
        </w:tc>
        <w:tc>
          <w:tcPr>
            <w:tcW w:w="2286" w:type="dxa"/>
            <w:vMerge/>
            <w:shd w:val="clear" w:color="auto" w:fill="auto"/>
            <w:vAlign w:val="center"/>
          </w:tcPr>
          <w:p w14:paraId="0650DD6F" w14:textId="77777777" w:rsidR="007F4001" w:rsidRPr="00403E66" w:rsidRDefault="007F4001" w:rsidP="007F4001"/>
        </w:tc>
        <w:tc>
          <w:tcPr>
            <w:tcW w:w="2244" w:type="dxa"/>
            <w:vMerge/>
            <w:tcBorders>
              <w:right w:val="single" w:sz="4" w:space="0" w:color="auto"/>
            </w:tcBorders>
            <w:shd w:val="clear" w:color="auto" w:fill="auto"/>
            <w:vAlign w:val="center"/>
          </w:tcPr>
          <w:p w14:paraId="674BAD55" w14:textId="77777777" w:rsidR="007F4001" w:rsidRPr="007F4001" w:rsidRDefault="007F4001" w:rsidP="007F4001"/>
        </w:tc>
        <w:tc>
          <w:tcPr>
            <w:tcW w:w="1440" w:type="dxa"/>
            <w:vMerge/>
            <w:tcBorders>
              <w:right w:val="single" w:sz="4" w:space="0" w:color="auto"/>
            </w:tcBorders>
            <w:shd w:val="clear" w:color="auto" w:fill="auto"/>
            <w:vAlign w:val="center"/>
          </w:tcPr>
          <w:p w14:paraId="5D45970E" w14:textId="77777777" w:rsidR="007F4001" w:rsidRPr="007F4001" w:rsidRDefault="007F4001" w:rsidP="007F4001">
            <w:pPr>
              <w:jc w:val="center"/>
            </w:pPr>
          </w:p>
        </w:tc>
        <w:tc>
          <w:tcPr>
            <w:tcW w:w="1329" w:type="dxa"/>
            <w:vMerge/>
            <w:tcBorders>
              <w:left w:val="single" w:sz="4" w:space="0" w:color="auto"/>
              <w:right w:val="single" w:sz="12" w:space="0" w:color="auto"/>
            </w:tcBorders>
            <w:shd w:val="clear" w:color="auto" w:fill="auto"/>
            <w:vAlign w:val="center"/>
          </w:tcPr>
          <w:p w14:paraId="51C0D39E" w14:textId="77777777" w:rsidR="007F4001" w:rsidRPr="007F4001" w:rsidRDefault="007F4001" w:rsidP="007F4001">
            <w:pPr>
              <w:jc w:val="center"/>
            </w:pPr>
          </w:p>
        </w:tc>
      </w:tr>
      <w:tr w:rsidR="007F4001" w:rsidRPr="007F4001" w14:paraId="4915625F" w14:textId="77777777" w:rsidTr="008B7CDF">
        <w:trPr>
          <w:cantSplit/>
        </w:trPr>
        <w:tc>
          <w:tcPr>
            <w:tcW w:w="3375" w:type="dxa"/>
            <w:tcBorders>
              <w:left w:val="single" w:sz="12" w:space="0" w:color="auto"/>
            </w:tcBorders>
            <w:shd w:val="clear" w:color="auto" w:fill="auto"/>
            <w:vAlign w:val="center"/>
          </w:tcPr>
          <w:p w14:paraId="5FF8A4A5" w14:textId="5343D929" w:rsidR="007F4001" w:rsidRPr="007F4001" w:rsidRDefault="007F4001" w:rsidP="00D30BDA">
            <w:pPr>
              <w:ind w:left="270"/>
            </w:pPr>
            <w:r w:rsidRPr="007F4001">
              <w:t xml:space="preserve">Livermore-Amador Valley </w:t>
            </w:r>
            <w:r w:rsidR="00D30BDA">
              <w:t>Water Management Agency</w:t>
            </w:r>
          </w:p>
        </w:tc>
        <w:tc>
          <w:tcPr>
            <w:tcW w:w="2286" w:type="dxa"/>
            <w:vMerge/>
            <w:shd w:val="clear" w:color="auto" w:fill="auto"/>
            <w:vAlign w:val="center"/>
          </w:tcPr>
          <w:p w14:paraId="60D138B6" w14:textId="77777777" w:rsidR="007F4001" w:rsidRPr="00403E66" w:rsidRDefault="007F4001" w:rsidP="007F4001"/>
        </w:tc>
        <w:tc>
          <w:tcPr>
            <w:tcW w:w="2244" w:type="dxa"/>
            <w:vMerge/>
            <w:tcBorders>
              <w:right w:val="single" w:sz="4" w:space="0" w:color="auto"/>
            </w:tcBorders>
            <w:shd w:val="clear" w:color="auto" w:fill="auto"/>
            <w:vAlign w:val="center"/>
          </w:tcPr>
          <w:p w14:paraId="55799819" w14:textId="77777777" w:rsidR="007F4001" w:rsidRPr="007F4001" w:rsidRDefault="007F4001" w:rsidP="007F4001"/>
        </w:tc>
        <w:tc>
          <w:tcPr>
            <w:tcW w:w="1440" w:type="dxa"/>
            <w:vMerge/>
            <w:tcBorders>
              <w:right w:val="single" w:sz="4" w:space="0" w:color="auto"/>
            </w:tcBorders>
            <w:shd w:val="clear" w:color="auto" w:fill="auto"/>
            <w:vAlign w:val="center"/>
          </w:tcPr>
          <w:p w14:paraId="34CCEC32" w14:textId="77777777" w:rsidR="007F4001" w:rsidRPr="007F4001" w:rsidRDefault="007F4001" w:rsidP="007F4001">
            <w:pPr>
              <w:jc w:val="center"/>
            </w:pPr>
          </w:p>
        </w:tc>
        <w:tc>
          <w:tcPr>
            <w:tcW w:w="1329" w:type="dxa"/>
            <w:vMerge/>
            <w:tcBorders>
              <w:left w:val="single" w:sz="4" w:space="0" w:color="auto"/>
              <w:right w:val="single" w:sz="12" w:space="0" w:color="auto"/>
            </w:tcBorders>
            <w:shd w:val="clear" w:color="auto" w:fill="auto"/>
            <w:vAlign w:val="center"/>
          </w:tcPr>
          <w:p w14:paraId="348E1055" w14:textId="77777777" w:rsidR="007F4001" w:rsidRPr="007F4001" w:rsidRDefault="007F4001" w:rsidP="007F4001">
            <w:pPr>
              <w:jc w:val="center"/>
            </w:pPr>
          </w:p>
        </w:tc>
      </w:tr>
      <w:tr w:rsidR="007F4001" w:rsidRPr="007F4001" w14:paraId="4D440741" w14:textId="77777777" w:rsidTr="008B7CDF">
        <w:trPr>
          <w:cantSplit/>
        </w:trPr>
        <w:tc>
          <w:tcPr>
            <w:tcW w:w="3375" w:type="dxa"/>
            <w:tcBorders>
              <w:left w:val="single" w:sz="12" w:space="0" w:color="auto"/>
            </w:tcBorders>
            <w:shd w:val="clear" w:color="auto" w:fill="auto"/>
            <w:vAlign w:val="center"/>
          </w:tcPr>
          <w:p w14:paraId="546BBA04" w14:textId="11B266D1" w:rsidR="007F4001" w:rsidRPr="007F4001" w:rsidRDefault="007F4001" w:rsidP="00D30BDA">
            <w:pPr>
              <w:ind w:left="270"/>
            </w:pPr>
            <w:r w:rsidRPr="007F4001">
              <w:t xml:space="preserve">Dublin San Ramon Services District </w:t>
            </w:r>
          </w:p>
        </w:tc>
        <w:tc>
          <w:tcPr>
            <w:tcW w:w="2286" w:type="dxa"/>
            <w:vMerge/>
            <w:shd w:val="clear" w:color="auto" w:fill="auto"/>
            <w:vAlign w:val="center"/>
          </w:tcPr>
          <w:p w14:paraId="43CC0DAF" w14:textId="77777777" w:rsidR="007F4001" w:rsidRPr="00403E66" w:rsidRDefault="007F4001" w:rsidP="007F4001"/>
        </w:tc>
        <w:tc>
          <w:tcPr>
            <w:tcW w:w="2244" w:type="dxa"/>
            <w:vMerge/>
            <w:tcBorders>
              <w:right w:val="single" w:sz="4" w:space="0" w:color="auto"/>
            </w:tcBorders>
            <w:shd w:val="clear" w:color="auto" w:fill="auto"/>
            <w:vAlign w:val="center"/>
          </w:tcPr>
          <w:p w14:paraId="0635D170" w14:textId="77777777" w:rsidR="007F4001" w:rsidRPr="007F4001" w:rsidRDefault="007F4001" w:rsidP="007F4001"/>
        </w:tc>
        <w:tc>
          <w:tcPr>
            <w:tcW w:w="1440" w:type="dxa"/>
            <w:vMerge/>
            <w:tcBorders>
              <w:right w:val="single" w:sz="4" w:space="0" w:color="auto"/>
            </w:tcBorders>
            <w:shd w:val="clear" w:color="auto" w:fill="auto"/>
            <w:vAlign w:val="center"/>
          </w:tcPr>
          <w:p w14:paraId="59B06783" w14:textId="77777777" w:rsidR="007F4001" w:rsidRPr="007F4001" w:rsidRDefault="007F4001" w:rsidP="007F4001">
            <w:pPr>
              <w:jc w:val="center"/>
            </w:pPr>
          </w:p>
        </w:tc>
        <w:tc>
          <w:tcPr>
            <w:tcW w:w="1329" w:type="dxa"/>
            <w:vMerge/>
            <w:tcBorders>
              <w:left w:val="single" w:sz="4" w:space="0" w:color="auto"/>
              <w:right w:val="single" w:sz="12" w:space="0" w:color="auto"/>
            </w:tcBorders>
            <w:shd w:val="clear" w:color="auto" w:fill="auto"/>
            <w:vAlign w:val="center"/>
          </w:tcPr>
          <w:p w14:paraId="5F8004C6" w14:textId="77777777" w:rsidR="007F4001" w:rsidRPr="007F4001" w:rsidRDefault="007F4001" w:rsidP="007F4001">
            <w:pPr>
              <w:jc w:val="center"/>
            </w:pPr>
          </w:p>
        </w:tc>
      </w:tr>
      <w:tr w:rsidR="007F4001" w:rsidRPr="007F4001" w14:paraId="3C569849" w14:textId="77777777" w:rsidTr="008B7CDF">
        <w:trPr>
          <w:cantSplit/>
        </w:trPr>
        <w:tc>
          <w:tcPr>
            <w:tcW w:w="3375" w:type="dxa"/>
            <w:tcBorders>
              <w:left w:val="single" w:sz="12" w:space="0" w:color="auto"/>
            </w:tcBorders>
            <w:shd w:val="clear" w:color="auto" w:fill="auto"/>
            <w:vAlign w:val="center"/>
          </w:tcPr>
          <w:p w14:paraId="45D734F6" w14:textId="2F4DC235" w:rsidR="007F4001" w:rsidRPr="007F4001" w:rsidRDefault="007F4001" w:rsidP="00D30BDA">
            <w:pPr>
              <w:ind w:left="270"/>
            </w:pPr>
            <w:r w:rsidRPr="007F4001">
              <w:t xml:space="preserve">City of Livermore </w:t>
            </w:r>
          </w:p>
        </w:tc>
        <w:tc>
          <w:tcPr>
            <w:tcW w:w="2286" w:type="dxa"/>
            <w:vMerge/>
            <w:shd w:val="clear" w:color="auto" w:fill="auto"/>
            <w:vAlign w:val="center"/>
          </w:tcPr>
          <w:p w14:paraId="6C178DDE" w14:textId="77777777" w:rsidR="007F4001" w:rsidRPr="00403E66" w:rsidRDefault="007F4001" w:rsidP="007F4001"/>
        </w:tc>
        <w:tc>
          <w:tcPr>
            <w:tcW w:w="2244" w:type="dxa"/>
            <w:vMerge/>
            <w:tcBorders>
              <w:right w:val="single" w:sz="4" w:space="0" w:color="auto"/>
            </w:tcBorders>
            <w:shd w:val="clear" w:color="auto" w:fill="auto"/>
            <w:vAlign w:val="center"/>
          </w:tcPr>
          <w:p w14:paraId="5EAA68F2" w14:textId="77777777" w:rsidR="007F4001" w:rsidRPr="007F4001" w:rsidRDefault="007F4001" w:rsidP="007F4001"/>
        </w:tc>
        <w:tc>
          <w:tcPr>
            <w:tcW w:w="1440" w:type="dxa"/>
            <w:vMerge/>
            <w:tcBorders>
              <w:right w:val="single" w:sz="4" w:space="0" w:color="auto"/>
            </w:tcBorders>
            <w:shd w:val="clear" w:color="auto" w:fill="auto"/>
            <w:vAlign w:val="center"/>
          </w:tcPr>
          <w:p w14:paraId="4A88E9F3" w14:textId="77777777" w:rsidR="007F4001" w:rsidRPr="007F4001" w:rsidRDefault="007F4001" w:rsidP="007F4001">
            <w:pPr>
              <w:jc w:val="center"/>
            </w:pPr>
          </w:p>
        </w:tc>
        <w:tc>
          <w:tcPr>
            <w:tcW w:w="1329" w:type="dxa"/>
            <w:vMerge/>
            <w:tcBorders>
              <w:left w:val="single" w:sz="4" w:space="0" w:color="auto"/>
              <w:right w:val="single" w:sz="12" w:space="0" w:color="auto"/>
            </w:tcBorders>
            <w:shd w:val="clear" w:color="auto" w:fill="auto"/>
            <w:vAlign w:val="center"/>
          </w:tcPr>
          <w:p w14:paraId="0183E78C" w14:textId="77777777" w:rsidR="007F4001" w:rsidRPr="007F4001" w:rsidRDefault="007F4001" w:rsidP="007F4001">
            <w:pPr>
              <w:jc w:val="center"/>
            </w:pPr>
          </w:p>
        </w:tc>
      </w:tr>
      <w:tr w:rsidR="007F4001" w:rsidRPr="007F4001" w14:paraId="3F7B4A18" w14:textId="77777777" w:rsidTr="008B7CDF">
        <w:trPr>
          <w:cantSplit/>
        </w:trPr>
        <w:tc>
          <w:tcPr>
            <w:tcW w:w="3375" w:type="dxa"/>
            <w:tcBorders>
              <w:left w:val="single" w:sz="12" w:space="0" w:color="auto"/>
            </w:tcBorders>
            <w:shd w:val="clear" w:color="auto" w:fill="auto"/>
            <w:vAlign w:val="center"/>
          </w:tcPr>
          <w:p w14:paraId="3257B065" w14:textId="2D2FEE8D" w:rsidR="007F4001" w:rsidRPr="00EC61FA" w:rsidRDefault="007F4001" w:rsidP="00623F3B">
            <w:r w:rsidRPr="007F4001">
              <w:lastRenderedPageBreak/>
              <w:t>East Bay Municipal Utility District</w:t>
            </w:r>
          </w:p>
        </w:tc>
        <w:tc>
          <w:tcPr>
            <w:tcW w:w="2286" w:type="dxa"/>
            <w:shd w:val="clear" w:color="auto" w:fill="auto"/>
            <w:vAlign w:val="center"/>
          </w:tcPr>
          <w:p w14:paraId="2BC29A04" w14:textId="3BFB56E1" w:rsidR="007F4001" w:rsidRPr="00403E66" w:rsidRDefault="006A638B" w:rsidP="007F4001">
            <w:r w:rsidRPr="00403E66">
              <w:t>Chris Dembiczak, Senior Environmental Health &amp; Safety Specialist</w:t>
            </w:r>
          </w:p>
          <w:p w14:paraId="639B57F4" w14:textId="6864C89D" w:rsidR="007F4001" w:rsidRPr="00403E66" w:rsidRDefault="00EE4AAF" w:rsidP="006A638B">
            <w:r w:rsidRPr="00403E66">
              <w:t xml:space="preserve">(510) </w:t>
            </w:r>
            <w:r w:rsidR="007F4001" w:rsidRPr="00403E66">
              <w:t>287-</w:t>
            </w:r>
            <w:r w:rsidR="006A638B" w:rsidRPr="00403E66">
              <w:t>0509</w:t>
            </w:r>
          </w:p>
        </w:tc>
        <w:tc>
          <w:tcPr>
            <w:tcW w:w="2244" w:type="dxa"/>
            <w:tcBorders>
              <w:right w:val="single" w:sz="4" w:space="0" w:color="auto"/>
            </w:tcBorders>
            <w:shd w:val="clear" w:color="auto" w:fill="auto"/>
            <w:vAlign w:val="center"/>
          </w:tcPr>
          <w:p w14:paraId="598A16F0" w14:textId="77777777" w:rsidR="007F4001" w:rsidRPr="007F4001" w:rsidRDefault="007F4001" w:rsidP="007F4001">
            <w:r w:rsidRPr="007F4001">
              <w:t xml:space="preserve">P.O. Box 24055 Oakland, CA </w:t>
            </w:r>
          </w:p>
          <w:p w14:paraId="1AEC7E5D" w14:textId="77777777" w:rsidR="007F4001" w:rsidRDefault="007F4001" w:rsidP="007F4001">
            <w:r w:rsidRPr="007F4001">
              <w:t xml:space="preserve">94623-1055 </w:t>
            </w:r>
          </w:p>
          <w:p w14:paraId="219ED33A" w14:textId="3C501427" w:rsidR="00EE4AAF" w:rsidRPr="007F4001" w:rsidRDefault="00EE4AAF" w:rsidP="007F4001">
            <w:r>
              <w:t>Alameda County</w:t>
            </w:r>
          </w:p>
        </w:tc>
        <w:tc>
          <w:tcPr>
            <w:tcW w:w="1440" w:type="dxa"/>
            <w:tcBorders>
              <w:right w:val="single" w:sz="4" w:space="0" w:color="auto"/>
            </w:tcBorders>
            <w:shd w:val="clear" w:color="auto" w:fill="auto"/>
            <w:vAlign w:val="center"/>
          </w:tcPr>
          <w:p w14:paraId="651A09F8" w14:textId="77777777" w:rsidR="007F4001" w:rsidRPr="007F4001" w:rsidRDefault="007F4001" w:rsidP="007F4001">
            <w:pPr>
              <w:jc w:val="center"/>
            </w:pPr>
            <w:r w:rsidRPr="007F4001">
              <w:t>Secondary</w:t>
            </w:r>
          </w:p>
        </w:tc>
        <w:tc>
          <w:tcPr>
            <w:tcW w:w="1329" w:type="dxa"/>
            <w:tcBorders>
              <w:left w:val="single" w:sz="4" w:space="0" w:color="auto"/>
              <w:right w:val="single" w:sz="12" w:space="0" w:color="auto"/>
            </w:tcBorders>
            <w:shd w:val="clear" w:color="auto" w:fill="auto"/>
            <w:vAlign w:val="center"/>
          </w:tcPr>
          <w:p w14:paraId="32FD6E40" w14:textId="77777777" w:rsidR="007F4001" w:rsidRPr="007F4001" w:rsidRDefault="007F4001" w:rsidP="007F4001">
            <w:pPr>
              <w:jc w:val="center"/>
            </w:pPr>
            <w:r w:rsidRPr="007F4001">
              <w:t>120</w:t>
            </w:r>
          </w:p>
        </w:tc>
      </w:tr>
      <w:tr w:rsidR="007F4001" w:rsidRPr="007F4001" w14:paraId="5C9EFB4F" w14:textId="77777777" w:rsidTr="008B7CDF">
        <w:trPr>
          <w:cantSplit/>
        </w:trPr>
        <w:tc>
          <w:tcPr>
            <w:tcW w:w="3375" w:type="dxa"/>
            <w:tcBorders>
              <w:left w:val="single" w:sz="12" w:space="0" w:color="auto"/>
            </w:tcBorders>
            <w:shd w:val="clear" w:color="auto" w:fill="auto"/>
            <w:vAlign w:val="center"/>
          </w:tcPr>
          <w:p w14:paraId="77D64113" w14:textId="77777777" w:rsidR="007F4001" w:rsidRPr="007F4001" w:rsidRDefault="007F4001" w:rsidP="007F4001">
            <w:pPr>
              <w:rPr>
                <w:rFonts w:eastAsia="Arial Unicode MS"/>
              </w:rPr>
            </w:pPr>
            <w:r w:rsidRPr="007F4001">
              <w:t>Fairfield-Suisun Sewer District</w:t>
            </w:r>
          </w:p>
        </w:tc>
        <w:tc>
          <w:tcPr>
            <w:tcW w:w="2286" w:type="dxa"/>
            <w:shd w:val="clear" w:color="auto" w:fill="auto"/>
            <w:vAlign w:val="center"/>
          </w:tcPr>
          <w:p w14:paraId="718B653E" w14:textId="015F4A45" w:rsidR="007F4001" w:rsidRPr="00403E66" w:rsidRDefault="00BC0305" w:rsidP="007F4001">
            <w:r w:rsidRPr="00403E66">
              <w:t>Gregory G. Baatrup,</w:t>
            </w:r>
          </w:p>
          <w:p w14:paraId="0BB7F8BB" w14:textId="77777777" w:rsidR="007F4001" w:rsidRPr="00403E66" w:rsidRDefault="007F4001" w:rsidP="007F4001">
            <w:r w:rsidRPr="00403E66">
              <w:t>General Manager</w:t>
            </w:r>
          </w:p>
          <w:p w14:paraId="2BCDE57E" w14:textId="4E896538" w:rsidR="007F4001" w:rsidRPr="00403E66" w:rsidRDefault="007F4001" w:rsidP="00BC0305">
            <w:r w:rsidRPr="00403E66">
              <w:t>(707) 42</w:t>
            </w:r>
            <w:r w:rsidR="00BC0305" w:rsidRPr="00403E66">
              <w:t>8-9162</w:t>
            </w:r>
          </w:p>
        </w:tc>
        <w:tc>
          <w:tcPr>
            <w:tcW w:w="2244" w:type="dxa"/>
            <w:tcBorders>
              <w:right w:val="single" w:sz="4" w:space="0" w:color="auto"/>
            </w:tcBorders>
            <w:shd w:val="clear" w:color="auto" w:fill="auto"/>
            <w:vAlign w:val="center"/>
          </w:tcPr>
          <w:p w14:paraId="3CCFE65B" w14:textId="77777777" w:rsidR="00BC0305" w:rsidRPr="005465D4" w:rsidRDefault="00BC0305" w:rsidP="00BC0305">
            <w:r w:rsidRPr="005465D4">
              <w:t>1010 Chadbourne Road</w:t>
            </w:r>
          </w:p>
          <w:p w14:paraId="0EC50CA0" w14:textId="77777777" w:rsidR="00BC0305" w:rsidRPr="005465D4" w:rsidRDefault="00BC0305" w:rsidP="00BC0305">
            <w:r w:rsidRPr="005465D4">
              <w:t>Fairfield, CA 94534</w:t>
            </w:r>
          </w:p>
          <w:p w14:paraId="14E9D829" w14:textId="38820841" w:rsidR="007F4001" w:rsidRPr="007F4001" w:rsidRDefault="00BC0305" w:rsidP="00BC0305">
            <w:r w:rsidRPr="005465D4">
              <w:t>Solano County</w:t>
            </w:r>
          </w:p>
        </w:tc>
        <w:tc>
          <w:tcPr>
            <w:tcW w:w="1440" w:type="dxa"/>
            <w:tcBorders>
              <w:right w:val="single" w:sz="4" w:space="0" w:color="auto"/>
            </w:tcBorders>
            <w:shd w:val="clear" w:color="auto" w:fill="auto"/>
            <w:vAlign w:val="center"/>
          </w:tcPr>
          <w:p w14:paraId="6A165803" w14:textId="77777777" w:rsidR="007F4001" w:rsidRPr="007F4001" w:rsidRDefault="007F4001" w:rsidP="007F4001">
            <w:pPr>
              <w:jc w:val="center"/>
            </w:pPr>
            <w:r w:rsidRPr="007F4001">
              <w:t>Advanced Secondary</w:t>
            </w:r>
          </w:p>
        </w:tc>
        <w:tc>
          <w:tcPr>
            <w:tcW w:w="1329" w:type="dxa"/>
            <w:tcBorders>
              <w:left w:val="single" w:sz="4" w:space="0" w:color="auto"/>
              <w:right w:val="single" w:sz="12" w:space="0" w:color="auto"/>
            </w:tcBorders>
            <w:shd w:val="clear" w:color="auto" w:fill="auto"/>
            <w:vAlign w:val="center"/>
          </w:tcPr>
          <w:p w14:paraId="763B50FD" w14:textId="77777777" w:rsidR="007F4001" w:rsidRPr="007F4001" w:rsidRDefault="007F4001" w:rsidP="007F4001">
            <w:pPr>
              <w:jc w:val="center"/>
            </w:pPr>
            <w:r w:rsidRPr="007F4001">
              <w:t>17.5</w:t>
            </w:r>
          </w:p>
        </w:tc>
      </w:tr>
      <w:tr w:rsidR="007F4001" w:rsidRPr="007F4001" w14:paraId="3B5F7484" w14:textId="77777777" w:rsidTr="008B7CDF">
        <w:trPr>
          <w:cantSplit/>
        </w:trPr>
        <w:tc>
          <w:tcPr>
            <w:tcW w:w="3375" w:type="dxa"/>
            <w:tcBorders>
              <w:left w:val="single" w:sz="12" w:space="0" w:color="auto"/>
            </w:tcBorders>
            <w:shd w:val="clear" w:color="auto" w:fill="auto"/>
            <w:vAlign w:val="center"/>
          </w:tcPr>
          <w:p w14:paraId="5A1BFA36" w14:textId="77777777" w:rsidR="007F4001" w:rsidRPr="007F4001" w:rsidRDefault="007F4001" w:rsidP="007F4001">
            <w:pPr>
              <w:tabs>
                <w:tab w:val="left" w:pos="459"/>
              </w:tabs>
              <w:rPr>
                <w:rFonts w:eastAsia="Arial Unicode MS"/>
              </w:rPr>
            </w:pPr>
            <w:r w:rsidRPr="007F4001">
              <w:t>Las Gallinas Valley Sanitary District</w:t>
            </w:r>
          </w:p>
        </w:tc>
        <w:tc>
          <w:tcPr>
            <w:tcW w:w="2286" w:type="dxa"/>
            <w:shd w:val="clear" w:color="auto" w:fill="auto"/>
            <w:vAlign w:val="center"/>
          </w:tcPr>
          <w:p w14:paraId="7E5AD4C3" w14:textId="19D6FFB3" w:rsidR="007F4001" w:rsidRPr="00403E66" w:rsidRDefault="007F4001" w:rsidP="007F4001">
            <w:r w:rsidRPr="00403E66">
              <w:t>Mark Williams</w:t>
            </w:r>
            <w:r w:rsidR="00F12009" w:rsidRPr="00403E66">
              <w:t>,</w:t>
            </w:r>
          </w:p>
          <w:p w14:paraId="7DA1334C" w14:textId="77777777" w:rsidR="007F4001" w:rsidRPr="00403E66" w:rsidRDefault="007F4001" w:rsidP="007F4001">
            <w:r w:rsidRPr="00403E66">
              <w:t>District Manager</w:t>
            </w:r>
          </w:p>
          <w:p w14:paraId="2C39F18F" w14:textId="77777777" w:rsidR="007F4001" w:rsidRPr="00403E66" w:rsidRDefault="007F4001" w:rsidP="007F4001">
            <w:r w:rsidRPr="00403E66">
              <w:t>(415) 472-1734</w:t>
            </w:r>
          </w:p>
        </w:tc>
        <w:tc>
          <w:tcPr>
            <w:tcW w:w="2244" w:type="dxa"/>
            <w:tcBorders>
              <w:right w:val="single" w:sz="4" w:space="0" w:color="auto"/>
            </w:tcBorders>
            <w:shd w:val="clear" w:color="auto" w:fill="auto"/>
            <w:vAlign w:val="center"/>
          </w:tcPr>
          <w:p w14:paraId="432B45A3" w14:textId="77777777" w:rsidR="00EE4AAF" w:rsidRPr="005465D4" w:rsidRDefault="00EE4AAF" w:rsidP="00EE4AAF">
            <w:r w:rsidRPr="005465D4">
              <w:t>300 Smith Ranch Road</w:t>
            </w:r>
          </w:p>
          <w:p w14:paraId="6E1B440C" w14:textId="77777777" w:rsidR="00EE4AAF" w:rsidRPr="005465D4" w:rsidRDefault="00EE4AAF" w:rsidP="00EE4AAF">
            <w:r w:rsidRPr="005465D4">
              <w:t>San Rafael, CA 94903</w:t>
            </w:r>
          </w:p>
          <w:p w14:paraId="579D9437" w14:textId="270E654A" w:rsidR="00EE4AAF" w:rsidRPr="007F4001" w:rsidRDefault="00EE4AAF" w:rsidP="00EE4AAF">
            <w:r w:rsidRPr="005465D4">
              <w:t>Marin County</w:t>
            </w:r>
          </w:p>
        </w:tc>
        <w:tc>
          <w:tcPr>
            <w:tcW w:w="1440" w:type="dxa"/>
            <w:tcBorders>
              <w:right w:val="single" w:sz="4" w:space="0" w:color="auto"/>
            </w:tcBorders>
            <w:shd w:val="clear" w:color="auto" w:fill="auto"/>
            <w:vAlign w:val="center"/>
          </w:tcPr>
          <w:p w14:paraId="534BEDCD" w14:textId="77777777" w:rsidR="007F4001" w:rsidRPr="007F4001" w:rsidRDefault="007F4001" w:rsidP="007F4001">
            <w:pPr>
              <w:jc w:val="center"/>
            </w:pPr>
            <w:r w:rsidRPr="007F4001">
              <w:t>Secondary</w:t>
            </w:r>
          </w:p>
        </w:tc>
        <w:tc>
          <w:tcPr>
            <w:tcW w:w="1329" w:type="dxa"/>
            <w:tcBorders>
              <w:left w:val="single" w:sz="4" w:space="0" w:color="auto"/>
              <w:right w:val="single" w:sz="12" w:space="0" w:color="auto"/>
            </w:tcBorders>
            <w:shd w:val="clear" w:color="auto" w:fill="auto"/>
            <w:vAlign w:val="center"/>
          </w:tcPr>
          <w:p w14:paraId="22EEB9ED" w14:textId="77777777" w:rsidR="007F4001" w:rsidRPr="007F4001" w:rsidRDefault="007F4001" w:rsidP="007F4001">
            <w:pPr>
              <w:jc w:val="center"/>
            </w:pPr>
            <w:r w:rsidRPr="007F4001">
              <w:t>2.92</w:t>
            </w:r>
          </w:p>
        </w:tc>
      </w:tr>
      <w:tr w:rsidR="007F4001" w:rsidRPr="007F4001" w14:paraId="150048F6" w14:textId="77777777" w:rsidTr="008B7CDF">
        <w:trPr>
          <w:cantSplit/>
        </w:trPr>
        <w:tc>
          <w:tcPr>
            <w:tcW w:w="3375" w:type="dxa"/>
            <w:tcBorders>
              <w:left w:val="single" w:sz="12" w:space="0" w:color="auto"/>
            </w:tcBorders>
            <w:shd w:val="clear" w:color="auto" w:fill="auto"/>
            <w:vAlign w:val="center"/>
          </w:tcPr>
          <w:p w14:paraId="5805C75D" w14:textId="77777777" w:rsidR="007F4001" w:rsidRPr="007F4001" w:rsidRDefault="007F4001" w:rsidP="007F4001">
            <w:r w:rsidRPr="007F4001">
              <w:t xml:space="preserve">Marin County (Paradise Cove), Sanitary District No. 5 of </w:t>
            </w:r>
          </w:p>
        </w:tc>
        <w:tc>
          <w:tcPr>
            <w:tcW w:w="2286" w:type="dxa"/>
            <w:shd w:val="clear" w:color="auto" w:fill="auto"/>
            <w:vAlign w:val="center"/>
          </w:tcPr>
          <w:p w14:paraId="70BE2BB3" w14:textId="77777777" w:rsidR="007F4001" w:rsidRPr="007F4001" w:rsidRDefault="007F4001" w:rsidP="007F4001">
            <w:r w:rsidRPr="007F4001">
              <w:t>Tony Rubio</w:t>
            </w:r>
          </w:p>
          <w:p w14:paraId="4A9F67F7" w14:textId="77777777" w:rsidR="007F4001" w:rsidRPr="007F4001" w:rsidRDefault="007F4001" w:rsidP="007F4001">
            <w:r w:rsidRPr="007F4001">
              <w:t>Chief Plant Operator</w:t>
            </w:r>
          </w:p>
          <w:p w14:paraId="606444F9" w14:textId="77777777" w:rsidR="007F4001" w:rsidRPr="007F4001" w:rsidRDefault="007F4001" w:rsidP="007F4001">
            <w:r w:rsidRPr="007F4001">
              <w:t>(415) 435-1501</w:t>
            </w:r>
          </w:p>
        </w:tc>
        <w:tc>
          <w:tcPr>
            <w:tcW w:w="2244" w:type="dxa"/>
            <w:tcBorders>
              <w:right w:val="single" w:sz="4" w:space="0" w:color="auto"/>
            </w:tcBorders>
            <w:shd w:val="clear" w:color="auto" w:fill="auto"/>
            <w:vAlign w:val="center"/>
          </w:tcPr>
          <w:p w14:paraId="01B6E0EC" w14:textId="77777777" w:rsidR="007F4001" w:rsidRPr="007F4001" w:rsidRDefault="007F4001" w:rsidP="007F4001">
            <w:r w:rsidRPr="007F4001">
              <w:t>P.O. Box 227</w:t>
            </w:r>
          </w:p>
          <w:p w14:paraId="6F94F152" w14:textId="77777777" w:rsidR="007F4001" w:rsidRDefault="007F4001" w:rsidP="007F4001">
            <w:r w:rsidRPr="007F4001">
              <w:t>Tiburon, CA 94920</w:t>
            </w:r>
          </w:p>
          <w:p w14:paraId="5FDF76C1" w14:textId="08C5F6A0" w:rsidR="00044292" w:rsidRPr="007F4001" w:rsidRDefault="00044292" w:rsidP="007F4001">
            <w:r>
              <w:t>Marin County</w:t>
            </w:r>
          </w:p>
        </w:tc>
        <w:tc>
          <w:tcPr>
            <w:tcW w:w="1440" w:type="dxa"/>
            <w:tcBorders>
              <w:right w:val="single" w:sz="4" w:space="0" w:color="auto"/>
            </w:tcBorders>
            <w:shd w:val="clear" w:color="auto" w:fill="auto"/>
            <w:vAlign w:val="center"/>
          </w:tcPr>
          <w:p w14:paraId="1ADBACB9" w14:textId="77777777" w:rsidR="007F4001" w:rsidRPr="007F4001" w:rsidRDefault="007F4001" w:rsidP="007F4001">
            <w:pPr>
              <w:jc w:val="center"/>
            </w:pPr>
            <w:r w:rsidRPr="007F4001">
              <w:t>Secondary</w:t>
            </w:r>
          </w:p>
        </w:tc>
        <w:tc>
          <w:tcPr>
            <w:tcW w:w="1329" w:type="dxa"/>
            <w:tcBorders>
              <w:left w:val="single" w:sz="4" w:space="0" w:color="auto"/>
              <w:right w:val="single" w:sz="12" w:space="0" w:color="auto"/>
            </w:tcBorders>
            <w:shd w:val="clear" w:color="auto" w:fill="auto"/>
            <w:vAlign w:val="center"/>
          </w:tcPr>
          <w:p w14:paraId="787E012E" w14:textId="1BA6FAE7" w:rsidR="007F4001" w:rsidRPr="007F4001" w:rsidRDefault="007F4001" w:rsidP="007F4001">
            <w:pPr>
              <w:jc w:val="center"/>
            </w:pPr>
            <w:r w:rsidRPr="007F4001">
              <w:t>0.0</w:t>
            </w:r>
            <w:r w:rsidR="00044292">
              <w:t>4</w:t>
            </w:r>
          </w:p>
        </w:tc>
      </w:tr>
      <w:tr w:rsidR="007F4001" w:rsidRPr="007F4001" w14:paraId="469E2066" w14:textId="77777777" w:rsidTr="008B7CDF">
        <w:trPr>
          <w:cantSplit/>
        </w:trPr>
        <w:tc>
          <w:tcPr>
            <w:tcW w:w="3375" w:type="dxa"/>
            <w:tcBorders>
              <w:left w:val="single" w:sz="12" w:space="0" w:color="auto"/>
            </w:tcBorders>
            <w:shd w:val="clear" w:color="auto" w:fill="auto"/>
            <w:vAlign w:val="center"/>
          </w:tcPr>
          <w:p w14:paraId="46FBB399" w14:textId="77777777" w:rsidR="007F4001" w:rsidRPr="007F4001" w:rsidRDefault="007F4001" w:rsidP="007F4001">
            <w:pPr>
              <w:rPr>
                <w:rFonts w:eastAsia="Arial Unicode MS"/>
              </w:rPr>
            </w:pPr>
            <w:r w:rsidRPr="007F4001">
              <w:t>Marin County (Tiburon), Sanitary District No. 5 of</w:t>
            </w:r>
          </w:p>
        </w:tc>
        <w:tc>
          <w:tcPr>
            <w:tcW w:w="2286" w:type="dxa"/>
            <w:shd w:val="clear" w:color="auto" w:fill="auto"/>
            <w:vAlign w:val="center"/>
          </w:tcPr>
          <w:p w14:paraId="4125D132" w14:textId="77777777" w:rsidR="007F4001" w:rsidRPr="007F4001" w:rsidRDefault="007F4001" w:rsidP="007F4001">
            <w:r w:rsidRPr="007F4001">
              <w:t>Tony Rubio</w:t>
            </w:r>
          </w:p>
          <w:p w14:paraId="62D7321F" w14:textId="77777777" w:rsidR="007F4001" w:rsidRPr="007F4001" w:rsidRDefault="007F4001" w:rsidP="007F4001">
            <w:r w:rsidRPr="007F4001">
              <w:t>Chief Plant Operator</w:t>
            </w:r>
          </w:p>
          <w:p w14:paraId="74AAA99F" w14:textId="77777777" w:rsidR="007F4001" w:rsidRPr="007F4001" w:rsidRDefault="007F4001" w:rsidP="007F4001">
            <w:r w:rsidRPr="007F4001">
              <w:t>(415) 435-1501</w:t>
            </w:r>
          </w:p>
        </w:tc>
        <w:tc>
          <w:tcPr>
            <w:tcW w:w="2244" w:type="dxa"/>
            <w:tcBorders>
              <w:right w:val="single" w:sz="4" w:space="0" w:color="auto"/>
            </w:tcBorders>
            <w:shd w:val="clear" w:color="auto" w:fill="auto"/>
            <w:vAlign w:val="center"/>
          </w:tcPr>
          <w:p w14:paraId="7A765301" w14:textId="77777777" w:rsidR="007F4001" w:rsidRDefault="007F4001" w:rsidP="007F4001">
            <w:r w:rsidRPr="007F4001">
              <w:t>2001 Paradise Drive Tiburon, CA 94920</w:t>
            </w:r>
          </w:p>
          <w:p w14:paraId="523A3B36" w14:textId="0B12510E" w:rsidR="00044292" w:rsidRPr="007F4001" w:rsidRDefault="00044292" w:rsidP="007F4001">
            <w:r>
              <w:t>Marin County</w:t>
            </w:r>
          </w:p>
        </w:tc>
        <w:tc>
          <w:tcPr>
            <w:tcW w:w="1440" w:type="dxa"/>
            <w:tcBorders>
              <w:right w:val="single" w:sz="4" w:space="0" w:color="auto"/>
            </w:tcBorders>
            <w:shd w:val="clear" w:color="auto" w:fill="auto"/>
            <w:vAlign w:val="center"/>
          </w:tcPr>
          <w:p w14:paraId="1EFE699A" w14:textId="77777777" w:rsidR="007F4001" w:rsidRPr="007F4001" w:rsidRDefault="007F4001" w:rsidP="007F4001">
            <w:pPr>
              <w:jc w:val="center"/>
            </w:pPr>
            <w:r w:rsidRPr="007F4001">
              <w:t>Secondary</w:t>
            </w:r>
          </w:p>
        </w:tc>
        <w:tc>
          <w:tcPr>
            <w:tcW w:w="1329" w:type="dxa"/>
            <w:tcBorders>
              <w:left w:val="single" w:sz="4" w:space="0" w:color="auto"/>
              <w:right w:val="single" w:sz="12" w:space="0" w:color="auto"/>
            </w:tcBorders>
            <w:shd w:val="clear" w:color="auto" w:fill="auto"/>
            <w:vAlign w:val="center"/>
          </w:tcPr>
          <w:p w14:paraId="2125EA66" w14:textId="77777777" w:rsidR="007F4001" w:rsidRPr="007F4001" w:rsidRDefault="007F4001" w:rsidP="007F4001">
            <w:pPr>
              <w:jc w:val="center"/>
            </w:pPr>
            <w:r w:rsidRPr="007F4001">
              <w:t>0.98</w:t>
            </w:r>
          </w:p>
        </w:tc>
      </w:tr>
      <w:tr w:rsidR="007F4001" w:rsidRPr="007F4001" w14:paraId="1F785494" w14:textId="77777777" w:rsidTr="008B7CDF">
        <w:trPr>
          <w:cantSplit/>
        </w:trPr>
        <w:tc>
          <w:tcPr>
            <w:tcW w:w="3375" w:type="dxa"/>
            <w:tcBorders>
              <w:left w:val="single" w:sz="12" w:space="0" w:color="auto"/>
            </w:tcBorders>
            <w:shd w:val="clear" w:color="auto" w:fill="auto"/>
            <w:vAlign w:val="center"/>
          </w:tcPr>
          <w:p w14:paraId="3B4DBEA0" w14:textId="77777777" w:rsidR="007F4001" w:rsidRPr="007F4001" w:rsidRDefault="007F4001" w:rsidP="007F4001">
            <w:pPr>
              <w:rPr>
                <w:rFonts w:eastAsia="Arial Unicode MS"/>
              </w:rPr>
            </w:pPr>
            <w:r w:rsidRPr="007F4001">
              <w:t>Millbrae, City of</w:t>
            </w:r>
          </w:p>
        </w:tc>
        <w:tc>
          <w:tcPr>
            <w:tcW w:w="2286" w:type="dxa"/>
            <w:shd w:val="clear" w:color="auto" w:fill="auto"/>
            <w:vAlign w:val="center"/>
          </w:tcPr>
          <w:p w14:paraId="3096C43C" w14:textId="666FFD22" w:rsidR="007F4001" w:rsidRPr="00403E66" w:rsidRDefault="00F12009" w:rsidP="007F4001">
            <w:r w:rsidRPr="00403E66">
              <w:t>Daniel Mount</w:t>
            </w:r>
            <w:r w:rsidR="005A7439" w:rsidRPr="00403E66">
              <w:t>,</w:t>
            </w:r>
          </w:p>
          <w:p w14:paraId="22F30FE9" w14:textId="77777777" w:rsidR="007F4001" w:rsidRPr="00403E66" w:rsidRDefault="007F4001" w:rsidP="007F4001">
            <w:r w:rsidRPr="00403E66">
              <w:t>Superintendent</w:t>
            </w:r>
          </w:p>
          <w:p w14:paraId="61B61683" w14:textId="77777777" w:rsidR="007F4001" w:rsidRPr="00403E66" w:rsidRDefault="007F4001" w:rsidP="007F4001">
            <w:r w:rsidRPr="00403E66">
              <w:t>(650) 259-2388</w:t>
            </w:r>
          </w:p>
        </w:tc>
        <w:tc>
          <w:tcPr>
            <w:tcW w:w="2244" w:type="dxa"/>
            <w:tcBorders>
              <w:right w:val="single" w:sz="4" w:space="0" w:color="auto"/>
            </w:tcBorders>
            <w:shd w:val="clear" w:color="auto" w:fill="auto"/>
            <w:vAlign w:val="center"/>
          </w:tcPr>
          <w:p w14:paraId="2B255554" w14:textId="77777777" w:rsidR="007F4001" w:rsidRDefault="007F4001" w:rsidP="007F4001">
            <w:r w:rsidRPr="007F4001">
              <w:t>621 Magnolia Avenue Millbrae, CA 94030</w:t>
            </w:r>
          </w:p>
          <w:p w14:paraId="218A9AA0" w14:textId="526D4AE7" w:rsidR="00044292" w:rsidRPr="007F4001" w:rsidRDefault="00044292" w:rsidP="007F4001">
            <w:r>
              <w:t>San Mateo County</w:t>
            </w:r>
          </w:p>
        </w:tc>
        <w:tc>
          <w:tcPr>
            <w:tcW w:w="1440" w:type="dxa"/>
            <w:tcBorders>
              <w:right w:val="single" w:sz="4" w:space="0" w:color="auto"/>
            </w:tcBorders>
            <w:shd w:val="clear" w:color="auto" w:fill="auto"/>
            <w:vAlign w:val="center"/>
          </w:tcPr>
          <w:p w14:paraId="5D5AA957" w14:textId="77777777" w:rsidR="007F4001" w:rsidRPr="007F4001" w:rsidRDefault="007F4001" w:rsidP="007F4001">
            <w:pPr>
              <w:jc w:val="center"/>
            </w:pPr>
            <w:r w:rsidRPr="007F4001">
              <w:t>Secondary</w:t>
            </w:r>
          </w:p>
        </w:tc>
        <w:tc>
          <w:tcPr>
            <w:tcW w:w="1329" w:type="dxa"/>
            <w:tcBorders>
              <w:left w:val="single" w:sz="4" w:space="0" w:color="auto"/>
              <w:right w:val="single" w:sz="12" w:space="0" w:color="auto"/>
            </w:tcBorders>
            <w:shd w:val="clear" w:color="auto" w:fill="auto"/>
            <w:vAlign w:val="center"/>
          </w:tcPr>
          <w:p w14:paraId="7A1F57CD" w14:textId="21148800" w:rsidR="007F4001" w:rsidRPr="007F4001" w:rsidRDefault="007F4001" w:rsidP="007F4001">
            <w:pPr>
              <w:jc w:val="center"/>
            </w:pPr>
            <w:r w:rsidRPr="007F4001">
              <w:t>3</w:t>
            </w:r>
            <w:r w:rsidR="00F12009">
              <w:t>.0</w:t>
            </w:r>
          </w:p>
        </w:tc>
      </w:tr>
      <w:tr w:rsidR="007F4001" w:rsidRPr="007F4001" w14:paraId="38E0CEB9" w14:textId="77777777" w:rsidTr="008B7CDF">
        <w:trPr>
          <w:cantSplit/>
        </w:trPr>
        <w:tc>
          <w:tcPr>
            <w:tcW w:w="3375" w:type="dxa"/>
            <w:tcBorders>
              <w:left w:val="single" w:sz="12" w:space="0" w:color="auto"/>
            </w:tcBorders>
            <w:shd w:val="clear" w:color="auto" w:fill="auto"/>
            <w:vAlign w:val="center"/>
          </w:tcPr>
          <w:p w14:paraId="6651640A" w14:textId="77777777" w:rsidR="007F4001" w:rsidRPr="007F4001" w:rsidRDefault="007F4001" w:rsidP="007F4001">
            <w:pPr>
              <w:rPr>
                <w:rFonts w:eastAsia="Arial Unicode MS"/>
              </w:rPr>
            </w:pPr>
            <w:r w:rsidRPr="007F4001">
              <w:t>Mt. View Sanitary District</w:t>
            </w:r>
          </w:p>
        </w:tc>
        <w:tc>
          <w:tcPr>
            <w:tcW w:w="2286" w:type="dxa"/>
            <w:shd w:val="clear" w:color="auto" w:fill="auto"/>
            <w:vAlign w:val="center"/>
          </w:tcPr>
          <w:p w14:paraId="5B77CF43" w14:textId="392F8ABD" w:rsidR="007F4001" w:rsidRPr="00403E66" w:rsidRDefault="005A7439" w:rsidP="007F4001">
            <w:r w:rsidRPr="00403E66">
              <w:t>Neal Allen,</w:t>
            </w:r>
          </w:p>
          <w:p w14:paraId="1E57324E" w14:textId="265996F1" w:rsidR="007F4001" w:rsidRPr="00403E66" w:rsidRDefault="007F4001" w:rsidP="007F4001">
            <w:r w:rsidRPr="00403E66">
              <w:t>District Manager</w:t>
            </w:r>
          </w:p>
          <w:p w14:paraId="1231A292" w14:textId="77777777" w:rsidR="007F4001" w:rsidRPr="00403E66" w:rsidRDefault="007F4001" w:rsidP="007F4001">
            <w:r w:rsidRPr="00403E66">
              <w:t>(925) 228-5635 ext. 32</w:t>
            </w:r>
          </w:p>
        </w:tc>
        <w:tc>
          <w:tcPr>
            <w:tcW w:w="2244" w:type="dxa"/>
            <w:tcBorders>
              <w:right w:val="single" w:sz="4" w:space="0" w:color="auto"/>
            </w:tcBorders>
            <w:shd w:val="clear" w:color="auto" w:fill="auto"/>
            <w:vAlign w:val="center"/>
          </w:tcPr>
          <w:p w14:paraId="30D80EE9" w14:textId="77777777" w:rsidR="007F4001" w:rsidRDefault="007F4001" w:rsidP="007F4001">
            <w:r w:rsidRPr="007F4001">
              <w:t>P. O. Box 2757 Martinez, CA  94553</w:t>
            </w:r>
          </w:p>
          <w:p w14:paraId="1536726A" w14:textId="2C680F34" w:rsidR="00044292" w:rsidRPr="007F4001" w:rsidRDefault="00044292" w:rsidP="007F4001">
            <w:r>
              <w:t>Contra Costa County</w:t>
            </w:r>
          </w:p>
        </w:tc>
        <w:tc>
          <w:tcPr>
            <w:tcW w:w="1440" w:type="dxa"/>
            <w:tcBorders>
              <w:right w:val="single" w:sz="4" w:space="0" w:color="auto"/>
            </w:tcBorders>
            <w:shd w:val="clear" w:color="auto" w:fill="auto"/>
            <w:vAlign w:val="center"/>
          </w:tcPr>
          <w:p w14:paraId="64D008E6" w14:textId="77777777" w:rsidR="007F4001" w:rsidRPr="007F4001" w:rsidRDefault="007F4001" w:rsidP="007F4001">
            <w:pPr>
              <w:jc w:val="center"/>
            </w:pPr>
            <w:r w:rsidRPr="007F4001">
              <w:t>Advanced Secondary</w:t>
            </w:r>
          </w:p>
        </w:tc>
        <w:tc>
          <w:tcPr>
            <w:tcW w:w="1329" w:type="dxa"/>
            <w:tcBorders>
              <w:left w:val="single" w:sz="4" w:space="0" w:color="auto"/>
              <w:right w:val="single" w:sz="12" w:space="0" w:color="auto"/>
            </w:tcBorders>
            <w:shd w:val="clear" w:color="auto" w:fill="auto"/>
            <w:vAlign w:val="center"/>
          </w:tcPr>
          <w:p w14:paraId="1BF248D5" w14:textId="77777777" w:rsidR="007F4001" w:rsidRPr="007F4001" w:rsidRDefault="007F4001" w:rsidP="007F4001">
            <w:pPr>
              <w:jc w:val="center"/>
            </w:pPr>
            <w:r w:rsidRPr="007F4001">
              <w:t>3.2</w:t>
            </w:r>
          </w:p>
        </w:tc>
      </w:tr>
      <w:tr w:rsidR="007F4001" w:rsidRPr="007F4001" w14:paraId="11C15388" w14:textId="77777777" w:rsidTr="008B7CDF">
        <w:trPr>
          <w:cantSplit/>
        </w:trPr>
        <w:tc>
          <w:tcPr>
            <w:tcW w:w="3375" w:type="dxa"/>
            <w:tcBorders>
              <w:left w:val="single" w:sz="12" w:space="0" w:color="auto"/>
            </w:tcBorders>
            <w:shd w:val="clear" w:color="auto" w:fill="auto"/>
            <w:vAlign w:val="center"/>
          </w:tcPr>
          <w:p w14:paraId="236763A7" w14:textId="77777777" w:rsidR="007F4001" w:rsidRPr="007F4001" w:rsidRDefault="007F4001" w:rsidP="007F4001">
            <w:pPr>
              <w:rPr>
                <w:rFonts w:eastAsia="Arial Unicode MS"/>
              </w:rPr>
            </w:pPr>
            <w:r w:rsidRPr="007F4001">
              <w:t>Napa Sanitation District</w:t>
            </w:r>
          </w:p>
        </w:tc>
        <w:tc>
          <w:tcPr>
            <w:tcW w:w="2286" w:type="dxa"/>
            <w:shd w:val="clear" w:color="auto" w:fill="auto"/>
            <w:vAlign w:val="center"/>
          </w:tcPr>
          <w:p w14:paraId="5066CC58" w14:textId="5F9189AE" w:rsidR="007F4001" w:rsidRPr="00403E66" w:rsidRDefault="007F4001" w:rsidP="007F4001">
            <w:r w:rsidRPr="00403E66">
              <w:t>Tim Healy</w:t>
            </w:r>
            <w:r w:rsidR="005A7439" w:rsidRPr="00403E66">
              <w:t>,</w:t>
            </w:r>
          </w:p>
          <w:p w14:paraId="12BA1B2C" w14:textId="77777777" w:rsidR="007F4001" w:rsidRPr="00403E66" w:rsidRDefault="007F4001" w:rsidP="007F4001">
            <w:r w:rsidRPr="00403E66">
              <w:t>General Manager</w:t>
            </w:r>
          </w:p>
          <w:p w14:paraId="08B11A3D" w14:textId="77777777" w:rsidR="007F4001" w:rsidRPr="00403E66" w:rsidRDefault="007F4001" w:rsidP="007F4001">
            <w:r w:rsidRPr="00403E66">
              <w:t>(707) 258-6000</w:t>
            </w:r>
          </w:p>
        </w:tc>
        <w:tc>
          <w:tcPr>
            <w:tcW w:w="2244" w:type="dxa"/>
            <w:tcBorders>
              <w:right w:val="single" w:sz="4" w:space="0" w:color="auto"/>
            </w:tcBorders>
            <w:shd w:val="clear" w:color="auto" w:fill="auto"/>
            <w:vAlign w:val="center"/>
          </w:tcPr>
          <w:p w14:paraId="0D4852EE" w14:textId="77777777" w:rsidR="007F4001" w:rsidRPr="007F4001" w:rsidRDefault="007F4001" w:rsidP="007F4001">
            <w:r w:rsidRPr="007F4001">
              <w:t>P.O. Box 2480</w:t>
            </w:r>
          </w:p>
          <w:p w14:paraId="64D89082" w14:textId="77777777" w:rsidR="007F4001" w:rsidRDefault="007F4001" w:rsidP="007F4001">
            <w:r w:rsidRPr="007F4001">
              <w:t>Napa, CA 94558</w:t>
            </w:r>
          </w:p>
          <w:p w14:paraId="2AA233DA" w14:textId="601F3ADB" w:rsidR="00044292" w:rsidRPr="007F4001" w:rsidRDefault="00044292" w:rsidP="007F4001">
            <w:r>
              <w:t>Napa County</w:t>
            </w:r>
          </w:p>
        </w:tc>
        <w:tc>
          <w:tcPr>
            <w:tcW w:w="1440" w:type="dxa"/>
            <w:tcBorders>
              <w:right w:val="single" w:sz="4" w:space="0" w:color="auto"/>
            </w:tcBorders>
            <w:shd w:val="clear" w:color="auto" w:fill="auto"/>
            <w:vAlign w:val="center"/>
          </w:tcPr>
          <w:p w14:paraId="2BABFF4C" w14:textId="77777777" w:rsidR="007F4001" w:rsidRPr="007F4001" w:rsidRDefault="007F4001" w:rsidP="007F4001">
            <w:pPr>
              <w:jc w:val="center"/>
            </w:pPr>
            <w:r w:rsidRPr="007F4001">
              <w:t>Secondary</w:t>
            </w:r>
          </w:p>
        </w:tc>
        <w:tc>
          <w:tcPr>
            <w:tcW w:w="1329" w:type="dxa"/>
            <w:tcBorders>
              <w:left w:val="single" w:sz="4" w:space="0" w:color="auto"/>
              <w:right w:val="single" w:sz="12" w:space="0" w:color="auto"/>
            </w:tcBorders>
            <w:shd w:val="clear" w:color="auto" w:fill="auto"/>
            <w:vAlign w:val="center"/>
          </w:tcPr>
          <w:p w14:paraId="006DDCEE" w14:textId="77777777" w:rsidR="007F4001" w:rsidRPr="007F4001" w:rsidRDefault="007F4001" w:rsidP="007F4001">
            <w:pPr>
              <w:jc w:val="center"/>
            </w:pPr>
            <w:r w:rsidRPr="007F4001">
              <w:t>15.4</w:t>
            </w:r>
          </w:p>
        </w:tc>
      </w:tr>
      <w:tr w:rsidR="007F4001" w:rsidRPr="007F4001" w14:paraId="130403A6" w14:textId="77777777" w:rsidTr="008B7CDF">
        <w:trPr>
          <w:cantSplit/>
        </w:trPr>
        <w:tc>
          <w:tcPr>
            <w:tcW w:w="3375" w:type="dxa"/>
            <w:tcBorders>
              <w:left w:val="single" w:sz="12" w:space="0" w:color="auto"/>
            </w:tcBorders>
            <w:shd w:val="clear" w:color="auto" w:fill="auto"/>
            <w:vAlign w:val="center"/>
          </w:tcPr>
          <w:p w14:paraId="40AE3D4F" w14:textId="77777777" w:rsidR="007F4001" w:rsidRPr="007F4001" w:rsidRDefault="007F4001" w:rsidP="007F4001">
            <w:pPr>
              <w:rPr>
                <w:rFonts w:eastAsia="Arial Unicode MS"/>
              </w:rPr>
            </w:pPr>
            <w:r w:rsidRPr="007F4001">
              <w:t>Novato Sanitary District</w:t>
            </w:r>
          </w:p>
        </w:tc>
        <w:tc>
          <w:tcPr>
            <w:tcW w:w="2286" w:type="dxa"/>
            <w:shd w:val="clear" w:color="auto" w:fill="auto"/>
            <w:vAlign w:val="center"/>
          </w:tcPr>
          <w:p w14:paraId="7772C7D1" w14:textId="1C0881F8" w:rsidR="007F4001" w:rsidRPr="00403E66" w:rsidRDefault="005A7439" w:rsidP="007F4001">
            <w:r w:rsidRPr="00403E66">
              <w:t>Sandeep Karkal,</w:t>
            </w:r>
          </w:p>
          <w:p w14:paraId="2C4CB0DE" w14:textId="77777777" w:rsidR="005A7439" w:rsidRPr="00403E66" w:rsidRDefault="007F4001" w:rsidP="005A7439">
            <w:r w:rsidRPr="00403E66">
              <w:t xml:space="preserve">Manager-Engineer </w:t>
            </w:r>
          </w:p>
          <w:p w14:paraId="0968836E" w14:textId="43BBA6B1" w:rsidR="007F4001" w:rsidRPr="00403E66" w:rsidRDefault="007F4001" w:rsidP="005A7439">
            <w:r w:rsidRPr="00403E66">
              <w:t>(</w:t>
            </w:r>
            <w:r w:rsidR="005A7439" w:rsidRPr="00403E66">
              <w:t>415</w:t>
            </w:r>
            <w:r w:rsidRPr="00403E66">
              <w:t>-</w:t>
            </w:r>
            <w:r w:rsidR="005A7439" w:rsidRPr="00403E66">
              <w:t>892-1694</w:t>
            </w:r>
          </w:p>
        </w:tc>
        <w:tc>
          <w:tcPr>
            <w:tcW w:w="2244" w:type="dxa"/>
            <w:tcBorders>
              <w:right w:val="single" w:sz="4" w:space="0" w:color="auto"/>
            </w:tcBorders>
            <w:shd w:val="clear" w:color="auto" w:fill="auto"/>
            <w:vAlign w:val="center"/>
          </w:tcPr>
          <w:p w14:paraId="0986D906" w14:textId="77777777" w:rsidR="007F4001" w:rsidRPr="007F4001" w:rsidRDefault="007F4001" w:rsidP="007F4001">
            <w:r w:rsidRPr="007F4001">
              <w:t>500 Davidson Street</w:t>
            </w:r>
          </w:p>
          <w:p w14:paraId="6978DBDC" w14:textId="77777777" w:rsidR="007F4001" w:rsidRDefault="007F4001" w:rsidP="007F4001">
            <w:r w:rsidRPr="007F4001">
              <w:t xml:space="preserve">Novato, CA 94945 </w:t>
            </w:r>
          </w:p>
          <w:p w14:paraId="1540684A" w14:textId="33180EFF" w:rsidR="00044292" w:rsidRPr="007F4001" w:rsidRDefault="00044292" w:rsidP="007F4001">
            <w:r>
              <w:t>Marin County</w:t>
            </w:r>
          </w:p>
        </w:tc>
        <w:tc>
          <w:tcPr>
            <w:tcW w:w="1440" w:type="dxa"/>
            <w:tcBorders>
              <w:right w:val="single" w:sz="4" w:space="0" w:color="auto"/>
            </w:tcBorders>
            <w:shd w:val="clear" w:color="auto" w:fill="auto"/>
            <w:vAlign w:val="center"/>
          </w:tcPr>
          <w:p w14:paraId="62ED9FB2" w14:textId="77777777" w:rsidR="007F4001" w:rsidRPr="007F4001" w:rsidRDefault="007F4001" w:rsidP="007F4001">
            <w:pPr>
              <w:jc w:val="center"/>
            </w:pPr>
            <w:r w:rsidRPr="007F4001">
              <w:t>Secondary</w:t>
            </w:r>
          </w:p>
        </w:tc>
        <w:tc>
          <w:tcPr>
            <w:tcW w:w="1329" w:type="dxa"/>
            <w:tcBorders>
              <w:left w:val="single" w:sz="4" w:space="0" w:color="auto"/>
              <w:right w:val="single" w:sz="12" w:space="0" w:color="auto"/>
            </w:tcBorders>
            <w:shd w:val="clear" w:color="auto" w:fill="auto"/>
            <w:vAlign w:val="center"/>
          </w:tcPr>
          <w:p w14:paraId="51144E13" w14:textId="62352F54" w:rsidR="007F4001" w:rsidRPr="007F4001" w:rsidRDefault="005A7439" w:rsidP="007F4001">
            <w:pPr>
              <w:jc w:val="center"/>
            </w:pPr>
            <w:r>
              <w:t>7.0</w:t>
            </w:r>
          </w:p>
        </w:tc>
      </w:tr>
      <w:tr w:rsidR="007F4001" w:rsidRPr="007F4001" w14:paraId="5E5589AA" w14:textId="77777777" w:rsidTr="008B7CDF">
        <w:trPr>
          <w:cantSplit/>
        </w:trPr>
        <w:tc>
          <w:tcPr>
            <w:tcW w:w="3375" w:type="dxa"/>
            <w:tcBorders>
              <w:left w:val="single" w:sz="12" w:space="0" w:color="auto"/>
            </w:tcBorders>
            <w:shd w:val="clear" w:color="auto" w:fill="auto"/>
            <w:vAlign w:val="center"/>
          </w:tcPr>
          <w:p w14:paraId="1C0CBB7E" w14:textId="77777777" w:rsidR="007F4001" w:rsidRPr="007F4001" w:rsidRDefault="007F4001" w:rsidP="007F4001">
            <w:pPr>
              <w:rPr>
                <w:rFonts w:eastAsia="Arial Unicode MS"/>
              </w:rPr>
            </w:pPr>
            <w:r w:rsidRPr="007F4001">
              <w:t>Palo Alto, City of</w:t>
            </w:r>
          </w:p>
        </w:tc>
        <w:tc>
          <w:tcPr>
            <w:tcW w:w="2286" w:type="dxa"/>
            <w:shd w:val="clear" w:color="auto" w:fill="auto"/>
            <w:vAlign w:val="center"/>
          </w:tcPr>
          <w:p w14:paraId="2F818F7D" w14:textId="182A8FE1" w:rsidR="007F4001" w:rsidRPr="00403E66" w:rsidRDefault="007F4001" w:rsidP="007F4001">
            <w:r w:rsidRPr="00403E66">
              <w:t>James Allen</w:t>
            </w:r>
            <w:r w:rsidR="00F00D09" w:rsidRPr="00403E66">
              <w:t>,</w:t>
            </w:r>
          </w:p>
          <w:p w14:paraId="3E2598A1" w14:textId="77777777" w:rsidR="00F00D09" w:rsidRPr="00403E66" w:rsidRDefault="00F00D09" w:rsidP="007F4001">
            <w:r w:rsidRPr="00403E66">
              <w:t>Plant</w:t>
            </w:r>
            <w:r w:rsidR="007F4001" w:rsidRPr="00403E66">
              <w:t xml:space="preserve"> Manager </w:t>
            </w:r>
          </w:p>
          <w:p w14:paraId="186A8987" w14:textId="04A1617D" w:rsidR="007F4001" w:rsidRPr="00403E66" w:rsidRDefault="007F4001" w:rsidP="007F4001">
            <w:r w:rsidRPr="00403E66">
              <w:t>(650) 329-2243</w:t>
            </w:r>
          </w:p>
        </w:tc>
        <w:tc>
          <w:tcPr>
            <w:tcW w:w="2244" w:type="dxa"/>
            <w:tcBorders>
              <w:right w:val="single" w:sz="4" w:space="0" w:color="auto"/>
            </w:tcBorders>
            <w:shd w:val="clear" w:color="auto" w:fill="auto"/>
            <w:vAlign w:val="center"/>
          </w:tcPr>
          <w:p w14:paraId="4A2AAEB9" w14:textId="77777777" w:rsidR="007F4001" w:rsidRPr="007F4001" w:rsidRDefault="007F4001" w:rsidP="007F4001">
            <w:r w:rsidRPr="007F4001">
              <w:t xml:space="preserve">2501 Embarcadero Way, </w:t>
            </w:r>
          </w:p>
          <w:p w14:paraId="6635AC32" w14:textId="77777777" w:rsidR="007F4001" w:rsidRDefault="007F4001" w:rsidP="007F4001">
            <w:r w:rsidRPr="007F4001">
              <w:t>Palo Alto, CA 94303</w:t>
            </w:r>
          </w:p>
          <w:p w14:paraId="627DCF43" w14:textId="0B5A62AF" w:rsidR="00044292" w:rsidRPr="007F4001" w:rsidRDefault="00044292" w:rsidP="007F4001">
            <w:r>
              <w:t>Santa Clara County</w:t>
            </w:r>
          </w:p>
        </w:tc>
        <w:tc>
          <w:tcPr>
            <w:tcW w:w="1440" w:type="dxa"/>
            <w:tcBorders>
              <w:right w:val="single" w:sz="4" w:space="0" w:color="auto"/>
            </w:tcBorders>
            <w:shd w:val="clear" w:color="auto" w:fill="auto"/>
            <w:vAlign w:val="center"/>
          </w:tcPr>
          <w:p w14:paraId="0F85384D" w14:textId="77777777" w:rsidR="007F4001" w:rsidRPr="007F4001" w:rsidRDefault="007F4001" w:rsidP="007F4001">
            <w:pPr>
              <w:jc w:val="center"/>
            </w:pPr>
            <w:r w:rsidRPr="007F4001">
              <w:t>Advanced Secondary</w:t>
            </w:r>
          </w:p>
        </w:tc>
        <w:tc>
          <w:tcPr>
            <w:tcW w:w="1329" w:type="dxa"/>
            <w:tcBorders>
              <w:left w:val="single" w:sz="4" w:space="0" w:color="auto"/>
              <w:right w:val="single" w:sz="12" w:space="0" w:color="auto"/>
            </w:tcBorders>
            <w:shd w:val="clear" w:color="auto" w:fill="auto"/>
            <w:vAlign w:val="center"/>
          </w:tcPr>
          <w:p w14:paraId="04CD983A" w14:textId="77777777" w:rsidR="007F4001" w:rsidRPr="007F4001" w:rsidRDefault="007F4001" w:rsidP="007F4001">
            <w:pPr>
              <w:jc w:val="center"/>
            </w:pPr>
            <w:r w:rsidRPr="007F4001">
              <w:t>39</w:t>
            </w:r>
          </w:p>
        </w:tc>
      </w:tr>
      <w:tr w:rsidR="007F4001" w:rsidRPr="007F4001" w14:paraId="15859D3C" w14:textId="77777777" w:rsidTr="008B7CDF">
        <w:trPr>
          <w:cantSplit/>
        </w:trPr>
        <w:tc>
          <w:tcPr>
            <w:tcW w:w="3375" w:type="dxa"/>
            <w:tcBorders>
              <w:left w:val="single" w:sz="12" w:space="0" w:color="auto"/>
            </w:tcBorders>
            <w:shd w:val="clear" w:color="auto" w:fill="auto"/>
            <w:vAlign w:val="center"/>
          </w:tcPr>
          <w:p w14:paraId="128F1920" w14:textId="77777777" w:rsidR="007F4001" w:rsidRPr="007F4001" w:rsidRDefault="007F4001" w:rsidP="007F4001">
            <w:pPr>
              <w:rPr>
                <w:rFonts w:eastAsia="Arial Unicode MS"/>
              </w:rPr>
            </w:pPr>
            <w:r w:rsidRPr="007F4001">
              <w:t>Petaluma, City of</w:t>
            </w:r>
          </w:p>
        </w:tc>
        <w:tc>
          <w:tcPr>
            <w:tcW w:w="2286" w:type="dxa"/>
            <w:shd w:val="clear" w:color="auto" w:fill="auto"/>
            <w:vAlign w:val="center"/>
          </w:tcPr>
          <w:p w14:paraId="16C3965A" w14:textId="31B2FE2B" w:rsidR="007F4001" w:rsidRPr="00403E66" w:rsidRDefault="007F4001" w:rsidP="007F4001">
            <w:r w:rsidRPr="00403E66">
              <w:t>Matthew Pierce</w:t>
            </w:r>
            <w:r w:rsidR="00B31E50" w:rsidRPr="00403E66">
              <w:t>,</w:t>
            </w:r>
          </w:p>
          <w:p w14:paraId="686BB73C" w14:textId="77777777" w:rsidR="007F4001" w:rsidRPr="00403E66" w:rsidRDefault="007F4001" w:rsidP="007F4001">
            <w:r w:rsidRPr="00403E66">
              <w:t>Operations Supervisor</w:t>
            </w:r>
          </w:p>
          <w:p w14:paraId="07617003" w14:textId="77777777" w:rsidR="007F4001" w:rsidRPr="00403E66" w:rsidRDefault="007F4001" w:rsidP="007F4001">
            <w:r w:rsidRPr="00403E66">
              <w:t>(707) 776-3777</w:t>
            </w:r>
          </w:p>
        </w:tc>
        <w:tc>
          <w:tcPr>
            <w:tcW w:w="2244" w:type="dxa"/>
            <w:tcBorders>
              <w:right w:val="single" w:sz="4" w:space="0" w:color="auto"/>
            </w:tcBorders>
            <w:shd w:val="clear" w:color="auto" w:fill="auto"/>
            <w:vAlign w:val="center"/>
          </w:tcPr>
          <w:p w14:paraId="4012D631" w14:textId="77777777" w:rsidR="007F4001" w:rsidRPr="007F4001" w:rsidRDefault="007F4001" w:rsidP="007F4001">
            <w:r w:rsidRPr="007F4001">
              <w:t>202 N. McDowell Blvd.</w:t>
            </w:r>
          </w:p>
          <w:p w14:paraId="6E86E4DA" w14:textId="77777777" w:rsidR="007F4001" w:rsidRDefault="007F4001" w:rsidP="007F4001">
            <w:r w:rsidRPr="007F4001">
              <w:t>Petaluma, CA 94954</w:t>
            </w:r>
          </w:p>
          <w:p w14:paraId="2DAFEAFF" w14:textId="3BF90A9C" w:rsidR="00044292" w:rsidRPr="007F4001" w:rsidRDefault="00044292" w:rsidP="007F4001">
            <w:r>
              <w:t>Sonoma County</w:t>
            </w:r>
          </w:p>
        </w:tc>
        <w:tc>
          <w:tcPr>
            <w:tcW w:w="1440" w:type="dxa"/>
            <w:tcBorders>
              <w:right w:val="single" w:sz="4" w:space="0" w:color="auto"/>
            </w:tcBorders>
            <w:shd w:val="clear" w:color="auto" w:fill="auto"/>
            <w:vAlign w:val="center"/>
          </w:tcPr>
          <w:p w14:paraId="50D70044" w14:textId="77777777" w:rsidR="007F4001" w:rsidRPr="007F4001" w:rsidRDefault="007F4001" w:rsidP="007F4001">
            <w:pPr>
              <w:jc w:val="center"/>
            </w:pPr>
            <w:r w:rsidRPr="007F4001">
              <w:t>Secondary</w:t>
            </w:r>
          </w:p>
        </w:tc>
        <w:tc>
          <w:tcPr>
            <w:tcW w:w="1329" w:type="dxa"/>
            <w:tcBorders>
              <w:left w:val="single" w:sz="4" w:space="0" w:color="auto"/>
              <w:right w:val="single" w:sz="12" w:space="0" w:color="auto"/>
            </w:tcBorders>
            <w:shd w:val="clear" w:color="auto" w:fill="auto"/>
            <w:vAlign w:val="center"/>
          </w:tcPr>
          <w:p w14:paraId="6332236B" w14:textId="0682C420" w:rsidR="007F4001" w:rsidRPr="007F4001" w:rsidRDefault="000A5A7C" w:rsidP="007F4001">
            <w:pPr>
              <w:jc w:val="center"/>
            </w:pPr>
            <w:r>
              <w:t>6.7</w:t>
            </w:r>
          </w:p>
        </w:tc>
      </w:tr>
      <w:tr w:rsidR="007F4001" w:rsidRPr="007F4001" w14:paraId="2AAED0CA" w14:textId="77777777" w:rsidTr="008B7CDF">
        <w:trPr>
          <w:cantSplit/>
        </w:trPr>
        <w:tc>
          <w:tcPr>
            <w:tcW w:w="3375" w:type="dxa"/>
            <w:tcBorders>
              <w:left w:val="single" w:sz="12" w:space="0" w:color="auto"/>
            </w:tcBorders>
            <w:shd w:val="clear" w:color="auto" w:fill="auto"/>
            <w:vAlign w:val="center"/>
          </w:tcPr>
          <w:p w14:paraId="41EDC6B6" w14:textId="77777777" w:rsidR="007F4001" w:rsidRPr="007F4001" w:rsidRDefault="007F4001" w:rsidP="007F4001">
            <w:pPr>
              <w:rPr>
                <w:rFonts w:eastAsia="Arial Unicode MS"/>
              </w:rPr>
            </w:pPr>
            <w:r w:rsidRPr="007F4001">
              <w:t>Pinole, City of</w:t>
            </w:r>
          </w:p>
        </w:tc>
        <w:tc>
          <w:tcPr>
            <w:tcW w:w="2286" w:type="dxa"/>
            <w:shd w:val="clear" w:color="auto" w:fill="auto"/>
            <w:vAlign w:val="center"/>
          </w:tcPr>
          <w:p w14:paraId="59ED0BA2" w14:textId="7D565E12" w:rsidR="007F4001" w:rsidRPr="00403E66" w:rsidRDefault="007F4001" w:rsidP="007F4001">
            <w:r w:rsidRPr="00403E66">
              <w:t>Ron Tobey</w:t>
            </w:r>
            <w:r w:rsidR="00B31E50" w:rsidRPr="00403E66">
              <w:t>,</w:t>
            </w:r>
          </w:p>
          <w:p w14:paraId="75E425AF" w14:textId="77777777" w:rsidR="007F4001" w:rsidRPr="00403E66" w:rsidRDefault="007F4001" w:rsidP="007F4001">
            <w:r w:rsidRPr="00403E66">
              <w:t>Plant Manager</w:t>
            </w:r>
          </w:p>
          <w:p w14:paraId="4C8690A0" w14:textId="77777777" w:rsidR="007F4001" w:rsidRPr="00403E66" w:rsidRDefault="007F4001" w:rsidP="007F4001">
            <w:r w:rsidRPr="00403E66">
              <w:t>(510) 724-8963</w:t>
            </w:r>
          </w:p>
        </w:tc>
        <w:tc>
          <w:tcPr>
            <w:tcW w:w="2244" w:type="dxa"/>
            <w:tcBorders>
              <w:right w:val="single" w:sz="4" w:space="0" w:color="auto"/>
            </w:tcBorders>
            <w:shd w:val="clear" w:color="auto" w:fill="auto"/>
            <w:vAlign w:val="center"/>
          </w:tcPr>
          <w:p w14:paraId="1D84BC16" w14:textId="77777777" w:rsidR="007F4001" w:rsidRDefault="007F4001" w:rsidP="007F4001">
            <w:r w:rsidRPr="007F4001">
              <w:t>2131 Pear Street, Pinole, CA 94564</w:t>
            </w:r>
          </w:p>
          <w:p w14:paraId="6167333F" w14:textId="523620B7" w:rsidR="00044292" w:rsidRPr="007F4001" w:rsidRDefault="00044292" w:rsidP="007F4001">
            <w:r>
              <w:t>Contra Costa County</w:t>
            </w:r>
          </w:p>
        </w:tc>
        <w:tc>
          <w:tcPr>
            <w:tcW w:w="1440" w:type="dxa"/>
            <w:tcBorders>
              <w:right w:val="single" w:sz="4" w:space="0" w:color="auto"/>
            </w:tcBorders>
            <w:shd w:val="clear" w:color="auto" w:fill="auto"/>
            <w:vAlign w:val="center"/>
          </w:tcPr>
          <w:p w14:paraId="4F25F205" w14:textId="77777777" w:rsidR="007F4001" w:rsidRPr="007F4001" w:rsidRDefault="007F4001" w:rsidP="007F4001">
            <w:pPr>
              <w:jc w:val="center"/>
            </w:pPr>
            <w:r w:rsidRPr="007F4001">
              <w:t>Secondary</w:t>
            </w:r>
          </w:p>
        </w:tc>
        <w:tc>
          <w:tcPr>
            <w:tcW w:w="1329" w:type="dxa"/>
            <w:tcBorders>
              <w:left w:val="single" w:sz="4" w:space="0" w:color="auto"/>
              <w:right w:val="single" w:sz="12" w:space="0" w:color="auto"/>
            </w:tcBorders>
            <w:shd w:val="clear" w:color="auto" w:fill="auto"/>
            <w:vAlign w:val="center"/>
          </w:tcPr>
          <w:p w14:paraId="7DC28680" w14:textId="77777777" w:rsidR="007F4001" w:rsidRPr="007F4001" w:rsidRDefault="007F4001" w:rsidP="007F4001">
            <w:pPr>
              <w:jc w:val="center"/>
            </w:pPr>
            <w:r w:rsidRPr="007F4001">
              <w:t>4.06</w:t>
            </w:r>
          </w:p>
        </w:tc>
      </w:tr>
      <w:tr w:rsidR="007F4001" w:rsidRPr="007F4001" w14:paraId="11D97D45" w14:textId="77777777" w:rsidTr="008B7CDF">
        <w:trPr>
          <w:cantSplit/>
        </w:trPr>
        <w:tc>
          <w:tcPr>
            <w:tcW w:w="3375" w:type="dxa"/>
            <w:tcBorders>
              <w:left w:val="single" w:sz="12" w:space="0" w:color="auto"/>
            </w:tcBorders>
            <w:shd w:val="clear" w:color="auto" w:fill="auto"/>
            <w:vAlign w:val="center"/>
          </w:tcPr>
          <w:p w14:paraId="0F8CABA1" w14:textId="77777777" w:rsidR="007F4001" w:rsidRPr="007F4001" w:rsidRDefault="007F4001" w:rsidP="007F4001">
            <w:pPr>
              <w:tabs>
                <w:tab w:val="left" w:pos="459"/>
              </w:tabs>
              <w:rPr>
                <w:rFonts w:eastAsia="Arial Unicode MS"/>
              </w:rPr>
            </w:pPr>
            <w:r w:rsidRPr="007F4001">
              <w:t>Rodeo Sanitary District</w:t>
            </w:r>
          </w:p>
        </w:tc>
        <w:tc>
          <w:tcPr>
            <w:tcW w:w="2286" w:type="dxa"/>
            <w:shd w:val="clear" w:color="auto" w:fill="auto"/>
            <w:vAlign w:val="center"/>
          </w:tcPr>
          <w:p w14:paraId="53FDC51B" w14:textId="77777777" w:rsidR="00C12B24" w:rsidRPr="00403E66" w:rsidRDefault="00C12B24" w:rsidP="00C12B24">
            <w:r w:rsidRPr="00403E66">
              <w:t>Steven S. Beall,</w:t>
            </w:r>
          </w:p>
          <w:p w14:paraId="290B4321" w14:textId="77777777" w:rsidR="00C12B24" w:rsidRPr="00403E66" w:rsidRDefault="00C12B24" w:rsidP="00C12B24">
            <w:r w:rsidRPr="00403E66">
              <w:t xml:space="preserve">District </w:t>
            </w:r>
            <w:r w:rsidR="007F4001" w:rsidRPr="00403E66">
              <w:t xml:space="preserve">Manager </w:t>
            </w:r>
          </w:p>
          <w:p w14:paraId="22A0F597" w14:textId="3AF8A80D" w:rsidR="007F4001" w:rsidRPr="00403E66" w:rsidRDefault="00C12B24" w:rsidP="00C12B24">
            <w:r w:rsidRPr="00403E66">
              <w:t xml:space="preserve">(510) </w:t>
            </w:r>
            <w:r w:rsidR="007F4001" w:rsidRPr="00403E66">
              <w:t>799-2970</w:t>
            </w:r>
          </w:p>
        </w:tc>
        <w:tc>
          <w:tcPr>
            <w:tcW w:w="2244" w:type="dxa"/>
            <w:tcBorders>
              <w:right w:val="single" w:sz="4" w:space="0" w:color="auto"/>
            </w:tcBorders>
            <w:shd w:val="clear" w:color="auto" w:fill="auto"/>
            <w:vAlign w:val="center"/>
          </w:tcPr>
          <w:p w14:paraId="185C8409" w14:textId="77777777" w:rsidR="00C12B24" w:rsidRPr="005465D4" w:rsidRDefault="00C12B24" w:rsidP="00C12B24">
            <w:r w:rsidRPr="005465D4">
              <w:t>800 San Pablo Avenue</w:t>
            </w:r>
          </w:p>
          <w:p w14:paraId="304216B3" w14:textId="77777777" w:rsidR="00C12B24" w:rsidRPr="005465D4" w:rsidRDefault="00C12B24" w:rsidP="00C12B24">
            <w:r w:rsidRPr="005465D4">
              <w:t>Rodeo, CA 94572</w:t>
            </w:r>
          </w:p>
          <w:p w14:paraId="13FA5AE1" w14:textId="726DAB2A" w:rsidR="007F4001" w:rsidRPr="007F4001" w:rsidRDefault="00C12B24" w:rsidP="00C12B24">
            <w:r w:rsidRPr="005465D4">
              <w:t>Contra Costa County</w:t>
            </w:r>
          </w:p>
        </w:tc>
        <w:tc>
          <w:tcPr>
            <w:tcW w:w="1440" w:type="dxa"/>
            <w:tcBorders>
              <w:right w:val="single" w:sz="4" w:space="0" w:color="auto"/>
            </w:tcBorders>
            <w:shd w:val="clear" w:color="auto" w:fill="auto"/>
            <w:vAlign w:val="center"/>
          </w:tcPr>
          <w:p w14:paraId="067D25FC" w14:textId="77777777" w:rsidR="007F4001" w:rsidRPr="007F4001" w:rsidRDefault="007F4001" w:rsidP="007F4001">
            <w:pPr>
              <w:jc w:val="center"/>
            </w:pPr>
            <w:r w:rsidRPr="007F4001">
              <w:t>Secondary</w:t>
            </w:r>
          </w:p>
        </w:tc>
        <w:tc>
          <w:tcPr>
            <w:tcW w:w="1329" w:type="dxa"/>
            <w:tcBorders>
              <w:left w:val="single" w:sz="4" w:space="0" w:color="auto"/>
              <w:right w:val="single" w:sz="12" w:space="0" w:color="auto"/>
            </w:tcBorders>
            <w:shd w:val="clear" w:color="auto" w:fill="auto"/>
            <w:vAlign w:val="center"/>
          </w:tcPr>
          <w:p w14:paraId="0A26E986" w14:textId="77777777" w:rsidR="007F4001" w:rsidRPr="007F4001" w:rsidRDefault="007F4001" w:rsidP="007F4001">
            <w:pPr>
              <w:jc w:val="center"/>
            </w:pPr>
            <w:r w:rsidRPr="007F4001">
              <w:t>1.14</w:t>
            </w:r>
          </w:p>
        </w:tc>
      </w:tr>
      <w:tr w:rsidR="007F4001" w:rsidRPr="007F4001" w14:paraId="6553884D" w14:textId="77777777" w:rsidTr="008B7CDF">
        <w:trPr>
          <w:cantSplit/>
        </w:trPr>
        <w:tc>
          <w:tcPr>
            <w:tcW w:w="3375" w:type="dxa"/>
            <w:tcBorders>
              <w:left w:val="single" w:sz="12" w:space="0" w:color="auto"/>
            </w:tcBorders>
            <w:shd w:val="clear" w:color="auto" w:fill="auto"/>
            <w:vAlign w:val="center"/>
          </w:tcPr>
          <w:p w14:paraId="5FA76D65" w14:textId="77777777" w:rsidR="007F4001" w:rsidRPr="007F4001" w:rsidRDefault="007F4001" w:rsidP="007F4001">
            <w:pPr>
              <w:rPr>
                <w:rFonts w:eastAsia="Arial Unicode MS"/>
              </w:rPr>
            </w:pPr>
            <w:r w:rsidRPr="007F4001">
              <w:t>Saint Helena, City of</w:t>
            </w:r>
          </w:p>
        </w:tc>
        <w:tc>
          <w:tcPr>
            <w:tcW w:w="2286" w:type="dxa"/>
            <w:shd w:val="clear" w:color="auto" w:fill="auto"/>
            <w:vAlign w:val="center"/>
          </w:tcPr>
          <w:p w14:paraId="351CB7C6" w14:textId="1417C1B2" w:rsidR="007F4001" w:rsidRPr="00403E66" w:rsidRDefault="00967FC8" w:rsidP="007F4001">
            <w:r w:rsidRPr="00403E66">
              <w:t>Steven Palmer,</w:t>
            </w:r>
          </w:p>
          <w:p w14:paraId="29C2F8FA" w14:textId="24AF1304" w:rsidR="007F4001" w:rsidRPr="00403E66" w:rsidRDefault="00967FC8" w:rsidP="007F4001">
            <w:r w:rsidRPr="00403E66">
              <w:t>Public Works Director</w:t>
            </w:r>
          </w:p>
          <w:p w14:paraId="36E193EC" w14:textId="5B417DEB" w:rsidR="007F4001" w:rsidRPr="00403E66" w:rsidRDefault="00967FC8" w:rsidP="00967FC8">
            <w:r w:rsidRPr="00403E66">
              <w:t>(707) 967</w:t>
            </w:r>
            <w:r w:rsidR="007F4001" w:rsidRPr="00403E66">
              <w:t>-27</w:t>
            </w:r>
            <w:r w:rsidRPr="00403E66">
              <w:t>92</w:t>
            </w:r>
          </w:p>
        </w:tc>
        <w:tc>
          <w:tcPr>
            <w:tcW w:w="2244" w:type="dxa"/>
            <w:tcBorders>
              <w:right w:val="single" w:sz="4" w:space="0" w:color="auto"/>
            </w:tcBorders>
            <w:shd w:val="clear" w:color="auto" w:fill="auto"/>
            <w:vAlign w:val="center"/>
          </w:tcPr>
          <w:p w14:paraId="06F4925D" w14:textId="77777777" w:rsidR="007F4001" w:rsidRPr="007F4001" w:rsidRDefault="007F4001" w:rsidP="007F4001">
            <w:r w:rsidRPr="007F4001">
              <w:t>1480 Main Street</w:t>
            </w:r>
          </w:p>
          <w:p w14:paraId="51F084D1" w14:textId="77777777" w:rsidR="007F4001" w:rsidRDefault="007F4001" w:rsidP="007F4001">
            <w:r w:rsidRPr="007F4001">
              <w:t>St. Helena, CA 94574</w:t>
            </w:r>
          </w:p>
          <w:p w14:paraId="6F9FB427" w14:textId="623E4541" w:rsidR="00044292" w:rsidRPr="007F4001" w:rsidRDefault="00044292" w:rsidP="007F4001">
            <w:r>
              <w:t>Napa County</w:t>
            </w:r>
          </w:p>
        </w:tc>
        <w:tc>
          <w:tcPr>
            <w:tcW w:w="1440" w:type="dxa"/>
            <w:tcBorders>
              <w:right w:val="single" w:sz="4" w:space="0" w:color="auto"/>
            </w:tcBorders>
            <w:shd w:val="clear" w:color="auto" w:fill="auto"/>
            <w:vAlign w:val="center"/>
          </w:tcPr>
          <w:p w14:paraId="5CCF291D" w14:textId="77777777" w:rsidR="007F4001" w:rsidRPr="007F4001" w:rsidRDefault="007F4001" w:rsidP="007F4001">
            <w:pPr>
              <w:jc w:val="center"/>
            </w:pPr>
            <w:r w:rsidRPr="007F4001">
              <w:t>Secondary</w:t>
            </w:r>
          </w:p>
        </w:tc>
        <w:tc>
          <w:tcPr>
            <w:tcW w:w="1329" w:type="dxa"/>
            <w:tcBorders>
              <w:left w:val="single" w:sz="4" w:space="0" w:color="auto"/>
              <w:right w:val="single" w:sz="12" w:space="0" w:color="auto"/>
            </w:tcBorders>
            <w:shd w:val="clear" w:color="auto" w:fill="auto"/>
            <w:vAlign w:val="center"/>
          </w:tcPr>
          <w:p w14:paraId="12691B93" w14:textId="5FD91CE3" w:rsidR="007F4001" w:rsidRPr="007F4001" w:rsidRDefault="00967FC8" w:rsidP="007F4001">
            <w:pPr>
              <w:jc w:val="center"/>
            </w:pPr>
            <w:r>
              <w:t>0.</w:t>
            </w:r>
            <w:r w:rsidR="007F4001" w:rsidRPr="007F4001">
              <w:t>5</w:t>
            </w:r>
          </w:p>
        </w:tc>
      </w:tr>
      <w:tr w:rsidR="007F4001" w:rsidRPr="007F4001" w14:paraId="28F7FC14" w14:textId="77777777" w:rsidTr="008B7CDF">
        <w:trPr>
          <w:cantSplit/>
        </w:trPr>
        <w:tc>
          <w:tcPr>
            <w:tcW w:w="3375" w:type="dxa"/>
            <w:tcBorders>
              <w:left w:val="single" w:sz="12" w:space="0" w:color="auto"/>
            </w:tcBorders>
            <w:shd w:val="clear" w:color="auto" w:fill="auto"/>
            <w:vAlign w:val="center"/>
          </w:tcPr>
          <w:p w14:paraId="50A0F120" w14:textId="39ADA080" w:rsidR="007F4001" w:rsidRPr="007F4001" w:rsidRDefault="00E06065" w:rsidP="00DC5B2D">
            <w:pPr>
              <w:rPr>
                <w:rFonts w:eastAsia="Arial Unicode MS"/>
              </w:rPr>
            </w:pPr>
            <w:r w:rsidRPr="005465D4">
              <w:t>San Francisco</w:t>
            </w:r>
            <w:r w:rsidR="00DC5B2D">
              <w:t xml:space="preserve"> (San Francisco International Airport)</w:t>
            </w:r>
            <w:r w:rsidRPr="005465D4">
              <w:t>, City and County of</w:t>
            </w:r>
          </w:p>
        </w:tc>
        <w:tc>
          <w:tcPr>
            <w:tcW w:w="2286" w:type="dxa"/>
            <w:shd w:val="clear" w:color="auto" w:fill="auto"/>
            <w:vAlign w:val="center"/>
          </w:tcPr>
          <w:p w14:paraId="7FB720BC" w14:textId="753AD3E5" w:rsidR="007F4001" w:rsidRPr="00403E66" w:rsidRDefault="00E06065" w:rsidP="007F4001">
            <w:r w:rsidRPr="00403E66">
              <w:t>Peter Acton</w:t>
            </w:r>
            <w:r w:rsidR="00044292" w:rsidRPr="00403E66">
              <w:t>,</w:t>
            </w:r>
          </w:p>
          <w:p w14:paraId="705E9AB3" w14:textId="70266BE6" w:rsidR="00A42145" w:rsidRPr="00403E66" w:rsidRDefault="00A42145" w:rsidP="007F4001">
            <w:r w:rsidRPr="00403E66">
              <w:t>Director of Facilities</w:t>
            </w:r>
          </w:p>
          <w:p w14:paraId="2F6FBBA4" w14:textId="265F21C8" w:rsidR="007F4001" w:rsidRPr="00403E66" w:rsidRDefault="007F4001" w:rsidP="00A42145">
            <w:r w:rsidRPr="00403E66">
              <w:t>(650)</w:t>
            </w:r>
            <w:r w:rsidR="00A42145" w:rsidRPr="00403E66">
              <w:t xml:space="preserve"> </w:t>
            </w:r>
            <w:r w:rsidRPr="00403E66">
              <w:t>821-</w:t>
            </w:r>
            <w:r w:rsidR="00A42145" w:rsidRPr="00403E66">
              <w:t>5400</w:t>
            </w:r>
          </w:p>
        </w:tc>
        <w:tc>
          <w:tcPr>
            <w:tcW w:w="2244" w:type="dxa"/>
            <w:tcBorders>
              <w:right w:val="single" w:sz="4" w:space="0" w:color="auto"/>
            </w:tcBorders>
            <w:shd w:val="clear" w:color="auto" w:fill="auto"/>
            <w:vAlign w:val="center"/>
          </w:tcPr>
          <w:p w14:paraId="6C7E596B" w14:textId="77777777" w:rsidR="007F4001" w:rsidRPr="007F4001" w:rsidRDefault="007F4001" w:rsidP="007F4001">
            <w:r w:rsidRPr="007F4001">
              <w:t>P.O. Box 8097</w:t>
            </w:r>
          </w:p>
          <w:p w14:paraId="6E0DE58C" w14:textId="77777777" w:rsidR="007F4001" w:rsidRDefault="007F4001" w:rsidP="007F4001">
            <w:r w:rsidRPr="007F4001">
              <w:t>San Francisco, CA 94128</w:t>
            </w:r>
          </w:p>
          <w:p w14:paraId="46394BB7" w14:textId="7987C014" w:rsidR="00044292" w:rsidRPr="007F4001" w:rsidRDefault="00044292" w:rsidP="007F4001">
            <w:r>
              <w:t>San Mateo County</w:t>
            </w:r>
          </w:p>
        </w:tc>
        <w:tc>
          <w:tcPr>
            <w:tcW w:w="1440" w:type="dxa"/>
            <w:tcBorders>
              <w:right w:val="single" w:sz="4" w:space="0" w:color="auto"/>
            </w:tcBorders>
            <w:shd w:val="clear" w:color="auto" w:fill="auto"/>
            <w:vAlign w:val="center"/>
          </w:tcPr>
          <w:p w14:paraId="1F1A9069" w14:textId="77777777" w:rsidR="007F4001" w:rsidRPr="007F4001" w:rsidRDefault="007F4001" w:rsidP="007F4001">
            <w:pPr>
              <w:jc w:val="center"/>
            </w:pPr>
            <w:r w:rsidRPr="007F4001">
              <w:t>Secondary</w:t>
            </w:r>
          </w:p>
        </w:tc>
        <w:tc>
          <w:tcPr>
            <w:tcW w:w="1329" w:type="dxa"/>
            <w:tcBorders>
              <w:left w:val="single" w:sz="4" w:space="0" w:color="auto"/>
              <w:right w:val="single" w:sz="12" w:space="0" w:color="auto"/>
            </w:tcBorders>
            <w:shd w:val="clear" w:color="auto" w:fill="auto"/>
            <w:vAlign w:val="center"/>
          </w:tcPr>
          <w:p w14:paraId="5922D952" w14:textId="77777777" w:rsidR="007F4001" w:rsidRPr="007F4001" w:rsidRDefault="007F4001" w:rsidP="007F4001">
            <w:pPr>
              <w:jc w:val="center"/>
            </w:pPr>
            <w:r w:rsidRPr="007F4001">
              <w:t>2.2</w:t>
            </w:r>
          </w:p>
        </w:tc>
      </w:tr>
      <w:tr w:rsidR="007F4001" w:rsidRPr="007F4001" w14:paraId="639CE886" w14:textId="77777777" w:rsidTr="003535AF">
        <w:trPr>
          <w:cantSplit/>
        </w:trPr>
        <w:tc>
          <w:tcPr>
            <w:tcW w:w="3375" w:type="dxa"/>
            <w:tcBorders>
              <w:left w:val="single" w:sz="12" w:space="0" w:color="auto"/>
            </w:tcBorders>
            <w:shd w:val="clear" w:color="auto" w:fill="auto"/>
            <w:vAlign w:val="center"/>
          </w:tcPr>
          <w:p w14:paraId="4C8E4436" w14:textId="77777777" w:rsidR="007F4001" w:rsidRPr="007F4001" w:rsidRDefault="007F4001" w:rsidP="007F4001">
            <w:pPr>
              <w:rPr>
                <w:rFonts w:eastAsia="Arial Unicode MS"/>
              </w:rPr>
            </w:pPr>
            <w:r w:rsidRPr="007F4001">
              <w:t>San Francisco (Southeast Plant), City and County of</w:t>
            </w:r>
          </w:p>
        </w:tc>
        <w:tc>
          <w:tcPr>
            <w:tcW w:w="2286" w:type="dxa"/>
            <w:shd w:val="clear" w:color="auto" w:fill="auto"/>
            <w:vAlign w:val="center"/>
          </w:tcPr>
          <w:p w14:paraId="735236C6" w14:textId="58AB169F" w:rsidR="00FF48C5" w:rsidRDefault="00FF48C5" w:rsidP="003535AF">
            <w:r>
              <w:t>Mark A. Harris</w:t>
            </w:r>
            <w:r w:rsidR="00977769">
              <w:t>,</w:t>
            </w:r>
          </w:p>
          <w:p w14:paraId="08DBA742" w14:textId="4336735E" w:rsidR="007F4001" w:rsidRPr="007F4001" w:rsidRDefault="00FF48C5" w:rsidP="003535AF">
            <w:r>
              <w:t>Operations Superintendent</w:t>
            </w:r>
          </w:p>
          <w:p w14:paraId="6DAC4812" w14:textId="7E63ED25" w:rsidR="007F4001" w:rsidRPr="007F4001" w:rsidRDefault="007F4001" w:rsidP="00FF48C5">
            <w:r w:rsidRPr="007F4001">
              <w:t>(415)</w:t>
            </w:r>
            <w:r w:rsidR="00FF48C5">
              <w:t xml:space="preserve"> 920</w:t>
            </w:r>
            <w:r w:rsidRPr="007F4001">
              <w:t>-</w:t>
            </w:r>
            <w:r w:rsidR="00FF48C5">
              <w:t>4923</w:t>
            </w:r>
          </w:p>
        </w:tc>
        <w:tc>
          <w:tcPr>
            <w:tcW w:w="2244" w:type="dxa"/>
            <w:tcBorders>
              <w:right w:val="single" w:sz="4" w:space="0" w:color="auto"/>
            </w:tcBorders>
            <w:shd w:val="clear" w:color="auto" w:fill="auto"/>
            <w:vAlign w:val="center"/>
          </w:tcPr>
          <w:p w14:paraId="0555C41E" w14:textId="77777777" w:rsidR="007F4001" w:rsidRPr="007F4001" w:rsidRDefault="007F4001" w:rsidP="007F4001">
            <w:r w:rsidRPr="007F4001">
              <w:t>1155 Market St.,</w:t>
            </w:r>
          </w:p>
          <w:p w14:paraId="465163D4" w14:textId="77777777" w:rsidR="007F4001" w:rsidRPr="007F4001" w:rsidRDefault="007F4001" w:rsidP="007F4001">
            <w:r w:rsidRPr="007F4001">
              <w:t xml:space="preserve">11th Floor </w:t>
            </w:r>
          </w:p>
          <w:p w14:paraId="1CC50619" w14:textId="77777777" w:rsidR="007F4001" w:rsidRDefault="007F4001" w:rsidP="007F4001">
            <w:r w:rsidRPr="007F4001">
              <w:t>San Francisco, CA 94103</w:t>
            </w:r>
          </w:p>
          <w:p w14:paraId="3B6F86F2" w14:textId="0D6783E2" w:rsidR="00044292" w:rsidRPr="007F4001" w:rsidRDefault="004A6403" w:rsidP="007F4001">
            <w:r>
              <w:t>San</w:t>
            </w:r>
            <w:r w:rsidR="00044292">
              <w:t xml:space="preserve"> Francisco County</w:t>
            </w:r>
          </w:p>
        </w:tc>
        <w:tc>
          <w:tcPr>
            <w:tcW w:w="1440" w:type="dxa"/>
            <w:tcBorders>
              <w:right w:val="single" w:sz="4" w:space="0" w:color="auto"/>
            </w:tcBorders>
            <w:shd w:val="clear" w:color="auto" w:fill="auto"/>
            <w:vAlign w:val="center"/>
          </w:tcPr>
          <w:p w14:paraId="4098BDF7" w14:textId="77777777" w:rsidR="007F4001" w:rsidRPr="007F4001" w:rsidRDefault="007F4001" w:rsidP="007F4001">
            <w:pPr>
              <w:jc w:val="center"/>
            </w:pPr>
            <w:r w:rsidRPr="007F4001">
              <w:t>Secondary</w:t>
            </w:r>
          </w:p>
        </w:tc>
        <w:tc>
          <w:tcPr>
            <w:tcW w:w="1329" w:type="dxa"/>
            <w:tcBorders>
              <w:left w:val="single" w:sz="4" w:space="0" w:color="auto"/>
              <w:right w:val="single" w:sz="12" w:space="0" w:color="auto"/>
            </w:tcBorders>
            <w:shd w:val="clear" w:color="auto" w:fill="auto"/>
            <w:vAlign w:val="center"/>
          </w:tcPr>
          <w:p w14:paraId="3EBC9495" w14:textId="1CB2D627" w:rsidR="007F4001" w:rsidRPr="007F4001" w:rsidRDefault="00C33286" w:rsidP="007F4001">
            <w:pPr>
              <w:jc w:val="center"/>
            </w:pPr>
            <w:r>
              <w:t>85.4</w:t>
            </w:r>
          </w:p>
        </w:tc>
      </w:tr>
      <w:tr w:rsidR="007F4001" w:rsidRPr="007F4001" w14:paraId="296716DE" w14:textId="77777777" w:rsidTr="008B7CDF">
        <w:trPr>
          <w:cantSplit/>
        </w:trPr>
        <w:tc>
          <w:tcPr>
            <w:tcW w:w="3375" w:type="dxa"/>
            <w:tcBorders>
              <w:left w:val="single" w:sz="12" w:space="0" w:color="auto"/>
            </w:tcBorders>
            <w:shd w:val="clear" w:color="auto" w:fill="auto"/>
            <w:vAlign w:val="center"/>
          </w:tcPr>
          <w:p w14:paraId="15915910" w14:textId="6CF43FD7" w:rsidR="007F4001" w:rsidRPr="007F4001" w:rsidRDefault="004A6403" w:rsidP="007F4001">
            <w:pPr>
              <w:tabs>
                <w:tab w:val="left" w:pos="459"/>
              </w:tabs>
              <w:rPr>
                <w:rFonts w:eastAsia="Arial Unicode MS"/>
              </w:rPr>
            </w:pPr>
            <w:r>
              <w:lastRenderedPageBreak/>
              <w:t>San Jose and</w:t>
            </w:r>
            <w:r w:rsidR="00977769">
              <w:t xml:space="preserve"> </w:t>
            </w:r>
            <w:r w:rsidR="007F4001" w:rsidRPr="007F4001">
              <w:t>Santa Clara, Cities of</w:t>
            </w:r>
          </w:p>
        </w:tc>
        <w:tc>
          <w:tcPr>
            <w:tcW w:w="2286" w:type="dxa"/>
            <w:shd w:val="clear" w:color="auto" w:fill="auto"/>
            <w:vAlign w:val="center"/>
          </w:tcPr>
          <w:p w14:paraId="0412825F" w14:textId="4E2C7978" w:rsidR="007F4001" w:rsidRPr="00403E66" w:rsidRDefault="007F4001" w:rsidP="007F4001">
            <w:r w:rsidRPr="00403E66">
              <w:t>James Ervin</w:t>
            </w:r>
            <w:r w:rsidR="00977769" w:rsidRPr="00403E66">
              <w:t>,</w:t>
            </w:r>
          </w:p>
          <w:p w14:paraId="55203BE5" w14:textId="2911866A" w:rsidR="007F4001" w:rsidRPr="00403E66" w:rsidRDefault="007F4001" w:rsidP="007F4001">
            <w:r w:rsidRPr="00403E66">
              <w:t>Environmental Compliance Officer</w:t>
            </w:r>
          </w:p>
          <w:p w14:paraId="50A6A1AC" w14:textId="77777777" w:rsidR="007F4001" w:rsidRPr="00403E66" w:rsidRDefault="007F4001" w:rsidP="007F4001">
            <w:r w:rsidRPr="00403E66">
              <w:t>(408) 945-5124</w:t>
            </w:r>
          </w:p>
        </w:tc>
        <w:tc>
          <w:tcPr>
            <w:tcW w:w="2244" w:type="dxa"/>
            <w:tcBorders>
              <w:right w:val="single" w:sz="4" w:space="0" w:color="auto"/>
            </w:tcBorders>
            <w:shd w:val="clear" w:color="auto" w:fill="auto"/>
            <w:vAlign w:val="center"/>
          </w:tcPr>
          <w:p w14:paraId="44220253" w14:textId="77777777" w:rsidR="007F4001" w:rsidRDefault="007F4001" w:rsidP="007F4001">
            <w:r w:rsidRPr="007F4001">
              <w:t>700 Los Esteros Road San Jose, CA 95134</w:t>
            </w:r>
          </w:p>
          <w:p w14:paraId="23952964" w14:textId="763EA21C" w:rsidR="004A6403" w:rsidRPr="007F4001" w:rsidRDefault="004A6403" w:rsidP="007F4001">
            <w:r>
              <w:t>Santa Clara County</w:t>
            </w:r>
          </w:p>
        </w:tc>
        <w:tc>
          <w:tcPr>
            <w:tcW w:w="1440" w:type="dxa"/>
            <w:tcBorders>
              <w:right w:val="single" w:sz="4" w:space="0" w:color="auto"/>
            </w:tcBorders>
            <w:shd w:val="clear" w:color="auto" w:fill="auto"/>
            <w:vAlign w:val="center"/>
          </w:tcPr>
          <w:p w14:paraId="2C619601" w14:textId="77777777" w:rsidR="007F4001" w:rsidRPr="007F4001" w:rsidRDefault="007F4001" w:rsidP="007F4001">
            <w:pPr>
              <w:jc w:val="center"/>
            </w:pPr>
            <w:r w:rsidRPr="007F4001">
              <w:t>Advanced Secondary</w:t>
            </w:r>
          </w:p>
        </w:tc>
        <w:tc>
          <w:tcPr>
            <w:tcW w:w="1329" w:type="dxa"/>
            <w:tcBorders>
              <w:left w:val="single" w:sz="4" w:space="0" w:color="auto"/>
              <w:right w:val="single" w:sz="12" w:space="0" w:color="auto"/>
            </w:tcBorders>
            <w:shd w:val="clear" w:color="auto" w:fill="auto"/>
            <w:vAlign w:val="center"/>
          </w:tcPr>
          <w:p w14:paraId="36C47270" w14:textId="77777777" w:rsidR="007F4001" w:rsidRPr="007F4001" w:rsidRDefault="007F4001" w:rsidP="007F4001">
            <w:pPr>
              <w:jc w:val="center"/>
            </w:pPr>
            <w:r w:rsidRPr="007F4001">
              <w:t>167</w:t>
            </w:r>
          </w:p>
        </w:tc>
      </w:tr>
      <w:tr w:rsidR="007F4001" w:rsidRPr="007F4001" w14:paraId="65C9E4A1" w14:textId="77777777" w:rsidTr="008B7CDF">
        <w:trPr>
          <w:cantSplit/>
        </w:trPr>
        <w:tc>
          <w:tcPr>
            <w:tcW w:w="3375" w:type="dxa"/>
            <w:tcBorders>
              <w:left w:val="single" w:sz="12" w:space="0" w:color="auto"/>
            </w:tcBorders>
            <w:shd w:val="clear" w:color="auto" w:fill="auto"/>
            <w:vAlign w:val="center"/>
          </w:tcPr>
          <w:p w14:paraId="72E516DD" w14:textId="77777777" w:rsidR="007F4001" w:rsidRPr="007F4001" w:rsidRDefault="007F4001" w:rsidP="007F4001">
            <w:pPr>
              <w:rPr>
                <w:rFonts w:eastAsia="Arial Unicode MS"/>
              </w:rPr>
            </w:pPr>
            <w:r w:rsidRPr="007F4001">
              <w:t>San Mateo, City of</w:t>
            </w:r>
          </w:p>
        </w:tc>
        <w:tc>
          <w:tcPr>
            <w:tcW w:w="2286" w:type="dxa"/>
            <w:shd w:val="clear" w:color="auto" w:fill="auto"/>
            <w:vAlign w:val="center"/>
          </w:tcPr>
          <w:p w14:paraId="15622E4C" w14:textId="07F53461" w:rsidR="007F4001" w:rsidRPr="00403E66" w:rsidRDefault="00977769" w:rsidP="007F4001">
            <w:r w:rsidRPr="00403E66">
              <w:t>Jan Guy,</w:t>
            </w:r>
          </w:p>
          <w:p w14:paraId="64C8FE42" w14:textId="410368BF" w:rsidR="00977769" w:rsidRPr="00403E66" w:rsidRDefault="00977769" w:rsidP="007F4001">
            <w:r w:rsidRPr="00403E66">
              <w:t>Chief Plant Operator</w:t>
            </w:r>
          </w:p>
          <w:p w14:paraId="7296D2B4" w14:textId="7DD4E604" w:rsidR="007F4001" w:rsidRPr="00403E66" w:rsidRDefault="007F4001" w:rsidP="00977769">
            <w:r w:rsidRPr="00403E66">
              <w:t>(650) 522-738</w:t>
            </w:r>
            <w:r w:rsidR="00977769" w:rsidRPr="00403E66">
              <w:t>6</w:t>
            </w:r>
          </w:p>
        </w:tc>
        <w:tc>
          <w:tcPr>
            <w:tcW w:w="2244" w:type="dxa"/>
            <w:tcBorders>
              <w:right w:val="single" w:sz="4" w:space="0" w:color="auto"/>
            </w:tcBorders>
            <w:shd w:val="clear" w:color="auto" w:fill="auto"/>
            <w:vAlign w:val="center"/>
          </w:tcPr>
          <w:p w14:paraId="1F1E2CF8" w14:textId="77777777" w:rsidR="007F4001" w:rsidRPr="007F4001" w:rsidRDefault="007F4001" w:rsidP="007F4001">
            <w:r w:rsidRPr="007F4001">
              <w:t>330 West 20</w:t>
            </w:r>
            <w:r w:rsidRPr="007F4001">
              <w:rPr>
                <w:vertAlign w:val="superscript"/>
              </w:rPr>
              <w:t>th</w:t>
            </w:r>
            <w:r w:rsidRPr="007F4001">
              <w:t xml:space="preserve"> Avenue</w:t>
            </w:r>
          </w:p>
          <w:p w14:paraId="63AFD705" w14:textId="77777777" w:rsidR="007F4001" w:rsidRPr="007F4001" w:rsidRDefault="007F4001" w:rsidP="007F4001">
            <w:r w:rsidRPr="007F4001">
              <w:t>San Mateo, CA 94403</w:t>
            </w:r>
          </w:p>
        </w:tc>
        <w:tc>
          <w:tcPr>
            <w:tcW w:w="1440" w:type="dxa"/>
            <w:tcBorders>
              <w:right w:val="single" w:sz="4" w:space="0" w:color="auto"/>
            </w:tcBorders>
            <w:shd w:val="clear" w:color="auto" w:fill="auto"/>
            <w:vAlign w:val="center"/>
          </w:tcPr>
          <w:p w14:paraId="6BD8CC1B" w14:textId="77777777" w:rsidR="007F4001" w:rsidRPr="007F4001" w:rsidRDefault="007F4001" w:rsidP="007F4001">
            <w:pPr>
              <w:jc w:val="center"/>
            </w:pPr>
            <w:r w:rsidRPr="007F4001">
              <w:t>Secondary</w:t>
            </w:r>
          </w:p>
        </w:tc>
        <w:tc>
          <w:tcPr>
            <w:tcW w:w="1329" w:type="dxa"/>
            <w:tcBorders>
              <w:left w:val="single" w:sz="4" w:space="0" w:color="auto"/>
              <w:right w:val="single" w:sz="12" w:space="0" w:color="auto"/>
            </w:tcBorders>
            <w:shd w:val="clear" w:color="auto" w:fill="auto"/>
            <w:vAlign w:val="center"/>
          </w:tcPr>
          <w:p w14:paraId="771B1A39" w14:textId="77777777" w:rsidR="007F4001" w:rsidRPr="007F4001" w:rsidRDefault="007F4001" w:rsidP="007F4001">
            <w:pPr>
              <w:jc w:val="center"/>
            </w:pPr>
            <w:r w:rsidRPr="007F4001">
              <w:t>15.7</w:t>
            </w:r>
          </w:p>
        </w:tc>
      </w:tr>
      <w:tr w:rsidR="008D5B0F" w:rsidRPr="007F4001" w14:paraId="73DA4635" w14:textId="77777777" w:rsidTr="008B7CDF">
        <w:trPr>
          <w:cantSplit/>
        </w:trPr>
        <w:tc>
          <w:tcPr>
            <w:tcW w:w="3375" w:type="dxa"/>
            <w:tcBorders>
              <w:left w:val="single" w:sz="12" w:space="0" w:color="auto"/>
            </w:tcBorders>
            <w:shd w:val="clear" w:color="auto" w:fill="auto"/>
            <w:vAlign w:val="center"/>
          </w:tcPr>
          <w:p w14:paraId="0D54F24C" w14:textId="77777777" w:rsidR="008D5B0F" w:rsidRPr="007F4001" w:rsidRDefault="008D5B0F" w:rsidP="008D5B0F">
            <w:pPr>
              <w:rPr>
                <w:rFonts w:eastAsia="Arial Unicode MS"/>
              </w:rPr>
            </w:pPr>
            <w:r w:rsidRPr="007F4001">
              <w:t>Sausalito-Marin City Sanitary District</w:t>
            </w:r>
          </w:p>
        </w:tc>
        <w:tc>
          <w:tcPr>
            <w:tcW w:w="2286" w:type="dxa"/>
            <w:shd w:val="clear" w:color="auto" w:fill="auto"/>
            <w:vAlign w:val="center"/>
          </w:tcPr>
          <w:p w14:paraId="0EE0001D" w14:textId="458D727A" w:rsidR="008D5B0F" w:rsidRPr="00403E66" w:rsidRDefault="008D5B0F" w:rsidP="008D5B0F">
            <w:r w:rsidRPr="00403E66">
              <w:t>Omar Arias-Montez</w:t>
            </w:r>
            <w:r w:rsidR="00071D64" w:rsidRPr="00403E66">
              <w:t>,</w:t>
            </w:r>
          </w:p>
          <w:p w14:paraId="71A71020" w14:textId="77777777" w:rsidR="008D5B0F" w:rsidRPr="00403E66" w:rsidRDefault="008D5B0F" w:rsidP="008D5B0F">
            <w:r w:rsidRPr="00403E66">
              <w:t>General Manager</w:t>
            </w:r>
          </w:p>
          <w:p w14:paraId="42711C58" w14:textId="12438B9C" w:rsidR="008D5B0F" w:rsidRPr="00403E66" w:rsidRDefault="00EA43A5" w:rsidP="00EA43A5">
            <w:r w:rsidRPr="00403E66">
              <w:t xml:space="preserve"> (415) 331</w:t>
            </w:r>
            <w:r w:rsidR="008D5B0F" w:rsidRPr="00403E66">
              <w:t>-</w:t>
            </w:r>
            <w:r w:rsidRPr="00403E66">
              <w:t>4716</w:t>
            </w:r>
          </w:p>
        </w:tc>
        <w:tc>
          <w:tcPr>
            <w:tcW w:w="2244" w:type="dxa"/>
            <w:tcBorders>
              <w:right w:val="single" w:sz="4" w:space="0" w:color="auto"/>
            </w:tcBorders>
            <w:shd w:val="clear" w:color="auto" w:fill="auto"/>
            <w:vAlign w:val="center"/>
          </w:tcPr>
          <w:p w14:paraId="76554136" w14:textId="77777777" w:rsidR="008D5B0F" w:rsidRPr="005465D4" w:rsidRDefault="008D5B0F" w:rsidP="008D5B0F">
            <w:r>
              <w:t>1 East Road</w:t>
            </w:r>
          </w:p>
          <w:p w14:paraId="3FB3AFA6" w14:textId="77777777" w:rsidR="008D5B0F" w:rsidRPr="005465D4" w:rsidRDefault="008D5B0F" w:rsidP="008D5B0F">
            <w:r w:rsidRPr="005465D4">
              <w:t>Sausalito, CA 94965</w:t>
            </w:r>
          </w:p>
          <w:p w14:paraId="4D3A1BDD" w14:textId="6B665708" w:rsidR="008D5B0F" w:rsidRPr="007F4001" w:rsidRDefault="008D5B0F" w:rsidP="008D5B0F">
            <w:r w:rsidRPr="005465D4">
              <w:t>Marin County</w:t>
            </w:r>
          </w:p>
        </w:tc>
        <w:tc>
          <w:tcPr>
            <w:tcW w:w="1440" w:type="dxa"/>
            <w:tcBorders>
              <w:right w:val="single" w:sz="4" w:space="0" w:color="auto"/>
            </w:tcBorders>
            <w:shd w:val="clear" w:color="auto" w:fill="auto"/>
            <w:vAlign w:val="center"/>
          </w:tcPr>
          <w:p w14:paraId="494BB896" w14:textId="77777777" w:rsidR="008D5B0F" w:rsidRPr="007F4001" w:rsidRDefault="008D5B0F" w:rsidP="008D5B0F">
            <w:pPr>
              <w:jc w:val="center"/>
            </w:pPr>
            <w:r w:rsidRPr="007F4001">
              <w:t>Secondary</w:t>
            </w:r>
          </w:p>
        </w:tc>
        <w:tc>
          <w:tcPr>
            <w:tcW w:w="1329" w:type="dxa"/>
            <w:tcBorders>
              <w:left w:val="single" w:sz="4" w:space="0" w:color="auto"/>
              <w:right w:val="single" w:sz="12" w:space="0" w:color="auto"/>
            </w:tcBorders>
            <w:shd w:val="clear" w:color="auto" w:fill="auto"/>
            <w:vAlign w:val="center"/>
          </w:tcPr>
          <w:p w14:paraId="78F54162" w14:textId="77777777" w:rsidR="008D5B0F" w:rsidRPr="007F4001" w:rsidRDefault="008D5B0F" w:rsidP="008D5B0F">
            <w:pPr>
              <w:jc w:val="center"/>
            </w:pPr>
            <w:r w:rsidRPr="007F4001">
              <w:t>1.8</w:t>
            </w:r>
          </w:p>
        </w:tc>
      </w:tr>
      <w:tr w:rsidR="008D5B0F" w:rsidRPr="007F4001" w14:paraId="06F650DA" w14:textId="77777777" w:rsidTr="008B7CDF">
        <w:trPr>
          <w:cantSplit/>
        </w:trPr>
        <w:tc>
          <w:tcPr>
            <w:tcW w:w="3375" w:type="dxa"/>
            <w:tcBorders>
              <w:left w:val="single" w:sz="12" w:space="0" w:color="auto"/>
            </w:tcBorders>
            <w:shd w:val="clear" w:color="auto" w:fill="auto"/>
            <w:vAlign w:val="center"/>
          </w:tcPr>
          <w:p w14:paraId="17C457F7" w14:textId="77777777" w:rsidR="008D5B0F" w:rsidRPr="007F4001" w:rsidRDefault="008D5B0F" w:rsidP="008D5B0F">
            <w:pPr>
              <w:tabs>
                <w:tab w:val="left" w:pos="459"/>
              </w:tabs>
              <w:rPr>
                <w:rFonts w:eastAsia="Arial Unicode MS"/>
              </w:rPr>
            </w:pPr>
            <w:r w:rsidRPr="007F4001">
              <w:t>Sewerage Agency of Southern Marin</w:t>
            </w:r>
          </w:p>
        </w:tc>
        <w:tc>
          <w:tcPr>
            <w:tcW w:w="2286" w:type="dxa"/>
            <w:shd w:val="clear" w:color="auto" w:fill="auto"/>
            <w:vAlign w:val="center"/>
          </w:tcPr>
          <w:p w14:paraId="626F6A2E" w14:textId="1152BE3E" w:rsidR="008D5B0F" w:rsidRPr="00403E66" w:rsidRDefault="00EC75EE" w:rsidP="008D5B0F">
            <w:r w:rsidRPr="00403E66">
              <w:t>Mark Grushayev</w:t>
            </w:r>
            <w:r w:rsidR="00071D64" w:rsidRPr="00403E66">
              <w:t>,</w:t>
            </w:r>
          </w:p>
          <w:p w14:paraId="6749638A" w14:textId="7F0C2F70" w:rsidR="008D5B0F" w:rsidRPr="00403E66" w:rsidRDefault="00EC75EE" w:rsidP="008D5B0F">
            <w:r w:rsidRPr="00403E66">
              <w:t xml:space="preserve">General </w:t>
            </w:r>
            <w:r w:rsidR="008D5B0F" w:rsidRPr="00403E66">
              <w:t>Manager</w:t>
            </w:r>
          </w:p>
          <w:p w14:paraId="057C9681" w14:textId="5042E872" w:rsidR="008D5B0F" w:rsidRPr="00403E66" w:rsidRDefault="00EC75EE" w:rsidP="00EC75EE">
            <w:r w:rsidRPr="00403E66">
              <w:t>(415) 384</w:t>
            </w:r>
            <w:r w:rsidR="008D5B0F" w:rsidRPr="00403E66">
              <w:t>-</w:t>
            </w:r>
            <w:r w:rsidRPr="00403E66">
              <w:t>4825</w:t>
            </w:r>
          </w:p>
        </w:tc>
        <w:tc>
          <w:tcPr>
            <w:tcW w:w="2244" w:type="dxa"/>
            <w:tcBorders>
              <w:right w:val="single" w:sz="4" w:space="0" w:color="auto"/>
            </w:tcBorders>
            <w:shd w:val="clear" w:color="auto" w:fill="auto"/>
            <w:vAlign w:val="center"/>
          </w:tcPr>
          <w:p w14:paraId="5AE689EC" w14:textId="77777777" w:rsidR="008D5B0F" w:rsidRDefault="008D5B0F" w:rsidP="008D5B0F">
            <w:r w:rsidRPr="007F4001">
              <w:t>26 Corte Madera Ave. Mill Valley, CA 94941</w:t>
            </w:r>
          </w:p>
          <w:p w14:paraId="17A67F86" w14:textId="2601D13B" w:rsidR="000E046F" w:rsidRPr="007F4001" w:rsidRDefault="000E046F" w:rsidP="008D5B0F">
            <w:r>
              <w:t>Marin County</w:t>
            </w:r>
          </w:p>
        </w:tc>
        <w:tc>
          <w:tcPr>
            <w:tcW w:w="1440" w:type="dxa"/>
            <w:tcBorders>
              <w:right w:val="single" w:sz="4" w:space="0" w:color="auto"/>
            </w:tcBorders>
            <w:shd w:val="clear" w:color="auto" w:fill="auto"/>
            <w:vAlign w:val="center"/>
          </w:tcPr>
          <w:p w14:paraId="6976F50B" w14:textId="77777777" w:rsidR="008D5B0F" w:rsidRPr="007F4001" w:rsidRDefault="008D5B0F" w:rsidP="008D5B0F">
            <w:pPr>
              <w:jc w:val="center"/>
            </w:pPr>
            <w:r w:rsidRPr="007F4001">
              <w:t>Secondary</w:t>
            </w:r>
          </w:p>
        </w:tc>
        <w:tc>
          <w:tcPr>
            <w:tcW w:w="1329" w:type="dxa"/>
            <w:tcBorders>
              <w:left w:val="single" w:sz="4" w:space="0" w:color="auto"/>
              <w:right w:val="single" w:sz="12" w:space="0" w:color="auto"/>
            </w:tcBorders>
            <w:shd w:val="clear" w:color="auto" w:fill="auto"/>
            <w:vAlign w:val="center"/>
          </w:tcPr>
          <w:p w14:paraId="13A39E23" w14:textId="77777777" w:rsidR="008D5B0F" w:rsidRPr="007F4001" w:rsidRDefault="008D5B0F" w:rsidP="008D5B0F">
            <w:pPr>
              <w:jc w:val="center"/>
            </w:pPr>
            <w:r w:rsidRPr="007F4001">
              <w:t>3.6</w:t>
            </w:r>
          </w:p>
        </w:tc>
      </w:tr>
      <w:tr w:rsidR="00631CBF" w:rsidRPr="007F4001" w14:paraId="3A5536CD" w14:textId="77777777" w:rsidTr="008B7CDF">
        <w:trPr>
          <w:cantSplit/>
        </w:trPr>
        <w:tc>
          <w:tcPr>
            <w:tcW w:w="3375" w:type="dxa"/>
            <w:tcBorders>
              <w:left w:val="single" w:sz="12" w:space="0" w:color="auto"/>
            </w:tcBorders>
            <w:shd w:val="clear" w:color="auto" w:fill="auto"/>
            <w:vAlign w:val="center"/>
          </w:tcPr>
          <w:p w14:paraId="73E83BCE" w14:textId="69352AB8" w:rsidR="00631CBF" w:rsidRPr="007F4001" w:rsidRDefault="00631CBF" w:rsidP="00631CBF">
            <w:r>
              <w:t>Silicon Valley Clean Water</w:t>
            </w:r>
          </w:p>
        </w:tc>
        <w:tc>
          <w:tcPr>
            <w:tcW w:w="2286" w:type="dxa"/>
            <w:shd w:val="clear" w:color="auto" w:fill="auto"/>
            <w:vAlign w:val="center"/>
          </w:tcPr>
          <w:p w14:paraId="37B4CD08" w14:textId="0604664B" w:rsidR="00631CBF" w:rsidRPr="00403E66" w:rsidRDefault="00C72635" w:rsidP="00631CBF">
            <w:r w:rsidRPr="00403E66">
              <w:t>Daniel Child,</w:t>
            </w:r>
          </w:p>
          <w:p w14:paraId="2E2A6CDF" w14:textId="2BC6F5E0" w:rsidR="00631CBF" w:rsidRPr="00403E66" w:rsidRDefault="00C72635" w:rsidP="00631CBF">
            <w:r w:rsidRPr="00403E66">
              <w:t>General Manager</w:t>
            </w:r>
          </w:p>
          <w:p w14:paraId="2F4B310B" w14:textId="2C9F6CFF" w:rsidR="00631CBF" w:rsidRPr="00403E66" w:rsidRDefault="00631CBF" w:rsidP="00631CBF">
            <w:r w:rsidRPr="00403E66">
              <w:t>(650) 591-7121</w:t>
            </w:r>
          </w:p>
        </w:tc>
        <w:tc>
          <w:tcPr>
            <w:tcW w:w="2244" w:type="dxa"/>
            <w:tcBorders>
              <w:right w:val="single" w:sz="4" w:space="0" w:color="auto"/>
            </w:tcBorders>
            <w:shd w:val="clear" w:color="auto" w:fill="auto"/>
            <w:vAlign w:val="center"/>
          </w:tcPr>
          <w:p w14:paraId="7B253F23" w14:textId="77777777" w:rsidR="00631CBF" w:rsidRPr="005465D4" w:rsidRDefault="00631CBF" w:rsidP="00631CBF">
            <w:r w:rsidRPr="005465D4">
              <w:t>1400 Radio Road</w:t>
            </w:r>
          </w:p>
          <w:p w14:paraId="5EF40D03" w14:textId="77777777" w:rsidR="00631CBF" w:rsidRPr="005465D4" w:rsidRDefault="00631CBF" w:rsidP="00631CBF">
            <w:r w:rsidRPr="005465D4">
              <w:t>Redwood City, CA 94065</w:t>
            </w:r>
          </w:p>
          <w:p w14:paraId="72A5395A" w14:textId="53A40A20" w:rsidR="00631CBF" w:rsidRPr="007F4001" w:rsidRDefault="00631CBF" w:rsidP="00631CBF">
            <w:r w:rsidRPr="005465D4">
              <w:t>San Mateo County</w:t>
            </w:r>
          </w:p>
        </w:tc>
        <w:tc>
          <w:tcPr>
            <w:tcW w:w="1440" w:type="dxa"/>
            <w:tcBorders>
              <w:right w:val="single" w:sz="4" w:space="0" w:color="auto"/>
            </w:tcBorders>
            <w:shd w:val="clear" w:color="auto" w:fill="auto"/>
            <w:vAlign w:val="center"/>
          </w:tcPr>
          <w:p w14:paraId="4796210A" w14:textId="572545E4" w:rsidR="00631CBF" w:rsidRPr="007F4001" w:rsidRDefault="00631CBF" w:rsidP="00631CBF">
            <w:pPr>
              <w:jc w:val="center"/>
            </w:pPr>
            <w:r w:rsidRPr="007F4001">
              <w:t>Secondary</w:t>
            </w:r>
          </w:p>
        </w:tc>
        <w:tc>
          <w:tcPr>
            <w:tcW w:w="1329" w:type="dxa"/>
            <w:tcBorders>
              <w:left w:val="single" w:sz="4" w:space="0" w:color="auto"/>
              <w:right w:val="single" w:sz="12" w:space="0" w:color="auto"/>
            </w:tcBorders>
            <w:shd w:val="clear" w:color="auto" w:fill="auto"/>
            <w:vAlign w:val="center"/>
          </w:tcPr>
          <w:p w14:paraId="657E5379" w14:textId="4BF7149E" w:rsidR="00631CBF" w:rsidRPr="007F4001" w:rsidRDefault="00631CBF" w:rsidP="00631CBF">
            <w:pPr>
              <w:jc w:val="center"/>
            </w:pPr>
            <w:r w:rsidRPr="007F4001">
              <w:t>29</w:t>
            </w:r>
          </w:p>
        </w:tc>
      </w:tr>
      <w:tr w:rsidR="00631CBF" w:rsidRPr="007F4001" w14:paraId="6FD3E754" w14:textId="77777777" w:rsidTr="008B7CDF">
        <w:trPr>
          <w:cantSplit/>
        </w:trPr>
        <w:tc>
          <w:tcPr>
            <w:tcW w:w="3375" w:type="dxa"/>
            <w:tcBorders>
              <w:left w:val="single" w:sz="12" w:space="0" w:color="auto"/>
            </w:tcBorders>
            <w:shd w:val="clear" w:color="auto" w:fill="auto"/>
            <w:vAlign w:val="center"/>
          </w:tcPr>
          <w:p w14:paraId="32886E26" w14:textId="6C85065A" w:rsidR="00631CBF" w:rsidRPr="007F4001" w:rsidRDefault="00631CBF" w:rsidP="00631CBF">
            <w:pPr>
              <w:rPr>
                <w:rFonts w:eastAsia="Arial Unicode MS"/>
              </w:rPr>
            </w:pPr>
            <w:r w:rsidRPr="007F4001">
              <w:t>Sono</w:t>
            </w:r>
            <w:r>
              <w:t>ma Valley County Sanitation</w:t>
            </w:r>
            <w:r w:rsidRPr="007F4001">
              <w:t xml:space="preserve"> District</w:t>
            </w:r>
          </w:p>
        </w:tc>
        <w:tc>
          <w:tcPr>
            <w:tcW w:w="2286" w:type="dxa"/>
            <w:shd w:val="clear" w:color="auto" w:fill="auto"/>
            <w:vAlign w:val="center"/>
          </w:tcPr>
          <w:p w14:paraId="36F66F10" w14:textId="7097A47F" w:rsidR="00631CBF" w:rsidRPr="00403E66" w:rsidRDefault="00631CBF" w:rsidP="00631CBF">
            <w:r w:rsidRPr="00403E66">
              <w:t>Pam Jeane,</w:t>
            </w:r>
          </w:p>
          <w:p w14:paraId="270F88B0" w14:textId="25E9ACB1" w:rsidR="00631CBF" w:rsidRPr="00403E66" w:rsidRDefault="00631CBF" w:rsidP="00631CBF">
            <w:r w:rsidRPr="00403E66">
              <w:t>Assistant General Manager</w:t>
            </w:r>
          </w:p>
          <w:p w14:paraId="19FB938B" w14:textId="16213933" w:rsidR="00631CBF" w:rsidRPr="00403E66" w:rsidRDefault="00631CBF" w:rsidP="00631CBF">
            <w:r w:rsidRPr="00403E66">
              <w:t>(707) 521-1864</w:t>
            </w:r>
          </w:p>
        </w:tc>
        <w:tc>
          <w:tcPr>
            <w:tcW w:w="2244" w:type="dxa"/>
            <w:tcBorders>
              <w:right w:val="single" w:sz="4" w:space="0" w:color="auto"/>
            </w:tcBorders>
            <w:shd w:val="clear" w:color="auto" w:fill="auto"/>
            <w:vAlign w:val="center"/>
          </w:tcPr>
          <w:p w14:paraId="6357F989" w14:textId="77777777" w:rsidR="00631CBF" w:rsidRPr="007F4001" w:rsidRDefault="00631CBF" w:rsidP="00631CBF">
            <w:r w:rsidRPr="007F4001">
              <w:t>Sonoma County Water Agency</w:t>
            </w:r>
          </w:p>
          <w:p w14:paraId="410CE5E5" w14:textId="77777777" w:rsidR="00631CBF" w:rsidRPr="007F4001" w:rsidRDefault="00631CBF" w:rsidP="00631CBF">
            <w:r w:rsidRPr="007F4001">
              <w:t>404 Aviation Blvd.</w:t>
            </w:r>
          </w:p>
          <w:p w14:paraId="26DC55F7" w14:textId="77777777" w:rsidR="00631CBF" w:rsidRPr="007F4001" w:rsidRDefault="00631CBF" w:rsidP="00631CBF">
            <w:r w:rsidRPr="007F4001">
              <w:t>Santa Rosa, CA 95403</w:t>
            </w:r>
          </w:p>
        </w:tc>
        <w:tc>
          <w:tcPr>
            <w:tcW w:w="1440" w:type="dxa"/>
            <w:tcBorders>
              <w:right w:val="single" w:sz="4" w:space="0" w:color="auto"/>
            </w:tcBorders>
            <w:shd w:val="clear" w:color="auto" w:fill="auto"/>
            <w:vAlign w:val="center"/>
          </w:tcPr>
          <w:p w14:paraId="6DDA9B0D" w14:textId="77777777" w:rsidR="00631CBF" w:rsidRPr="007F4001" w:rsidRDefault="00631CBF" w:rsidP="00631CBF">
            <w:pPr>
              <w:jc w:val="center"/>
            </w:pPr>
            <w:r w:rsidRPr="007F4001">
              <w:t>Secondary</w:t>
            </w:r>
          </w:p>
        </w:tc>
        <w:tc>
          <w:tcPr>
            <w:tcW w:w="1329" w:type="dxa"/>
            <w:tcBorders>
              <w:left w:val="single" w:sz="4" w:space="0" w:color="auto"/>
              <w:right w:val="single" w:sz="12" w:space="0" w:color="auto"/>
            </w:tcBorders>
            <w:shd w:val="clear" w:color="auto" w:fill="auto"/>
            <w:vAlign w:val="center"/>
          </w:tcPr>
          <w:p w14:paraId="767B3602" w14:textId="416C62BF" w:rsidR="00631CBF" w:rsidRPr="007F4001" w:rsidRDefault="00631CBF" w:rsidP="00631CBF">
            <w:pPr>
              <w:jc w:val="center"/>
            </w:pPr>
            <w:r w:rsidRPr="007F4001">
              <w:t>3</w:t>
            </w:r>
            <w:r>
              <w:t>.0</w:t>
            </w:r>
          </w:p>
        </w:tc>
      </w:tr>
      <w:tr w:rsidR="00631CBF" w:rsidRPr="007F4001" w14:paraId="3A179C92" w14:textId="77777777" w:rsidTr="008B7CDF">
        <w:trPr>
          <w:cantSplit/>
        </w:trPr>
        <w:tc>
          <w:tcPr>
            <w:tcW w:w="3375" w:type="dxa"/>
            <w:tcBorders>
              <w:left w:val="single" w:sz="12" w:space="0" w:color="auto"/>
            </w:tcBorders>
            <w:shd w:val="clear" w:color="auto" w:fill="auto"/>
            <w:vAlign w:val="center"/>
          </w:tcPr>
          <w:p w14:paraId="0F0596CB" w14:textId="77777777" w:rsidR="00631CBF" w:rsidRPr="007F4001" w:rsidRDefault="00631CBF" w:rsidP="00631CBF">
            <w:pPr>
              <w:rPr>
                <w:rFonts w:eastAsia="Arial Unicode MS"/>
              </w:rPr>
            </w:pPr>
            <w:r w:rsidRPr="007F4001">
              <w:t>South San Francisco and San Bruno, Cities of</w:t>
            </w:r>
          </w:p>
        </w:tc>
        <w:tc>
          <w:tcPr>
            <w:tcW w:w="2286" w:type="dxa"/>
            <w:shd w:val="clear" w:color="auto" w:fill="auto"/>
            <w:vAlign w:val="center"/>
          </w:tcPr>
          <w:p w14:paraId="6476926E" w14:textId="5994785D" w:rsidR="00631CBF" w:rsidRPr="00403E66" w:rsidRDefault="00631CBF" w:rsidP="00631CBF">
            <w:r w:rsidRPr="00403E66">
              <w:t>Brian Schumacker</w:t>
            </w:r>
            <w:r w:rsidR="00EF0EF6" w:rsidRPr="00403E66">
              <w:t>,</w:t>
            </w:r>
          </w:p>
          <w:p w14:paraId="33DC7801" w14:textId="77777777" w:rsidR="00631CBF" w:rsidRPr="00403E66" w:rsidRDefault="00631CBF" w:rsidP="00631CBF">
            <w:r w:rsidRPr="00403E66">
              <w:t>Plant Superintendent</w:t>
            </w:r>
          </w:p>
          <w:p w14:paraId="2BF48360" w14:textId="77777777" w:rsidR="00631CBF" w:rsidRPr="00403E66" w:rsidRDefault="00631CBF" w:rsidP="00631CBF">
            <w:r w:rsidRPr="00403E66">
              <w:t>(650) 877-8555</w:t>
            </w:r>
          </w:p>
        </w:tc>
        <w:tc>
          <w:tcPr>
            <w:tcW w:w="2244" w:type="dxa"/>
            <w:tcBorders>
              <w:right w:val="single" w:sz="4" w:space="0" w:color="auto"/>
            </w:tcBorders>
            <w:shd w:val="clear" w:color="auto" w:fill="auto"/>
            <w:vAlign w:val="center"/>
          </w:tcPr>
          <w:p w14:paraId="35BD84B7" w14:textId="77777777" w:rsidR="005A1886" w:rsidRPr="005465D4" w:rsidRDefault="005A1886" w:rsidP="005A1886">
            <w:r w:rsidRPr="005465D4">
              <w:t>195 Belle Air Road</w:t>
            </w:r>
          </w:p>
          <w:p w14:paraId="4299373F" w14:textId="77777777" w:rsidR="005A1886" w:rsidRPr="005465D4" w:rsidRDefault="005A1886" w:rsidP="005A1886">
            <w:r w:rsidRPr="005465D4">
              <w:t>South San Francisco, CA 94080</w:t>
            </w:r>
          </w:p>
          <w:p w14:paraId="5E60B883" w14:textId="0AE952C4" w:rsidR="00631CBF" w:rsidRPr="007F4001" w:rsidRDefault="005A1886" w:rsidP="005A1886">
            <w:r w:rsidRPr="005465D4">
              <w:t>San Mateo County</w:t>
            </w:r>
          </w:p>
        </w:tc>
        <w:tc>
          <w:tcPr>
            <w:tcW w:w="1440" w:type="dxa"/>
            <w:tcBorders>
              <w:right w:val="single" w:sz="4" w:space="0" w:color="auto"/>
            </w:tcBorders>
            <w:shd w:val="clear" w:color="auto" w:fill="auto"/>
            <w:vAlign w:val="center"/>
          </w:tcPr>
          <w:p w14:paraId="3F937419" w14:textId="77777777" w:rsidR="00631CBF" w:rsidRPr="007F4001" w:rsidRDefault="00631CBF" w:rsidP="00631CBF">
            <w:pPr>
              <w:jc w:val="center"/>
            </w:pPr>
            <w:r w:rsidRPr="007F4001">
              <w:t>Secondary</w:t>
            </w:r>
          </w:p>
        </w:tc>
        <w:tc>
          <w:tcPr>
            <w:tcW w:w="1329" w:type="dxa"/>
            <w:tcBorders>
              <w:left w:val="single" w:sz="4" w:space="0" w:color="auto"/>
              <w:right w:val="single" w:sz="12" w:space="0" w:color="auto"/>
            </w:tcBorders>
            <w:shd w:val="clear" w:color="auto" w:fill="auto"/>
            <w:vAlign w:val="center"/>
          </w:tcPr>
          <w:p w14:paraId="16D9BC40" w14:textId="77777777" w:rsidR="00631CBF" w:rsidRPr="007F4001" w:rsidRDefault="00631CBF" w:rsidP="00631CBF">
            <w:pPr>
              <w:jc w:val="center"/>
            </w:pPr>
            <w:r w:rsidRPr="007F4001">
              <w:t>13</w:t>
            </w:r>
          </w:p>
        </w:tc>
      </w:tr>
      <w:tr w:rsidR="00631CBF" w:rsidRPr="007F4001" w14:paraId="6997AAA7" w14:textId="77777777" w:rsidTr="008B7CDF">
        <w:trPr>
          <w:cantSplit/>
        </w:trPr>
        <w:tc>
          <w:tcPr>
            <w:tcW w:w="3375" w:type="dxa"/>
            <w:tcBorders>
              <w:left w:val="single" w:sz="12" w:space="0" w:color="auto"/>
            </w:tcBorders>
            <w:shd w:val="clear" w:color="auto" w:fill="auto"/>
            <w:vAlign w:val="center"/>
          </w:tcPr>
          <w:p w14:paraId="36DE6528" w14:textId="77777777" w:rsidR="00631CBF" w:rsidRPr="007F4001" w:rsidRDefault="00631CBF" w:rsidP="00631CBF">
            <w:pPr>
              <w:tabs>
                <w:tab w:val="left" w:pos="459"/>
              </w:tabs>
              <w:rPr>
                <w:rFonts w:eastAsia="Arial Unicode MS"/>
              </w:rPr>
            </w:pPr>
            <w:r w:rsidRPr="007F4001">
              <w:t>Sunnyvale, City of</w:t>
            </w:r>
          </w:p>
        </w:tc>
        <w:tc>
          <w:tcPr>
            <w:tcW w:w="2286" w:type="dxa"/>
            <w:shd w:val="clear" w:color="auto" w:fill="auto"/>
            <w:vAlign w:val="center"/>
          </w:tcPr>
          <w:p w14:paraId="0CDB7A63" w14:textId="4AF54B06" w:rsidR="00631CBF" w:rsidRPr="00403E66" w:rsidRDefault="00660003" w:rsidP="00631CBF">
            <w:r w:rsidRPr="00403E66">
              <w:t>Bhavani Yerrapotu</w:t>
            </w:r>
          </w:p>
          <w:p w14:paraId="5AF2ED0C" w14:textId="092E97BB" w:rsidR="00631CBF" w:rsidRPr="00403E66" w:rsidRDefault="00660003" w:rsidP="00631CBF">
            <w:r w:rsidRPr="00403E66">
              <w:t xml:space="preserve">WPCP </w:t>
            </w:r>
            <w:r w:rsidR="00631CBF" w:rsidRPr="00403E66">
              <w:t>Division Manager</w:t>
            </w:r>
          </w:p>
          <w:p w14:paraId="347CD155" w14:textId="73E38860" w:rsidR="00631CBF" w:rsidRPr="00403E66" w:rsidRDefault="00631CBF" w:rsidP="00660003">
            <w:r w:rsidRPr="00403E66">
              <w:t>(408) 730-7</w:t>
            </w:r>
            <w:r w:rsidR="00660003" w:rsidRPr="00403E66">
              <w:t>268</w:t>
            </w:r>
          </w:p>
        </w:tc>
        <w:tc>
          <w:tcPr>
            <w:tcW w:w="2244" w:type="dxa"/>
            <w:tcBorders>
              <w:right w:val="single" w:sz="4" w:space="0" w:color="auto"/>
            </w:tcBorders>
            <w:shd w:val="clear" w:color="auto" w:fill="auto"/>
            <w:vAlign w:val="center"/>
          </w:tcPr>
          <w:p w14:paraId="337779E7" w14:textId="77777777" w:rsidR="00631CBF" w:rsidRPr="007F4001" w:rsidRDefault="00631CBF" w:rsidP="00631CBF">
            <w:r w:rsidRPr="007F4001">
              <w:t>Sunnyvale Water Pollution Control Plant P.O. Box 3707 Sunnyvale, CA</w:t>
            </w:r>
          </w:p>
          <w:p w14:paraId="098C6C76" w14:textId="77777777" w:rsidR="00631CBF" w:rsidRPr="007F4001" w:rsidRDefault="00631CBF" w:rsidP="00631CBF">
            <w:r w:rsidRPr="007F4001">
              <w:t xml:space="preserve">94088-3707 </w:t>
            </w:r>
          </w:p>
        </w:tc>
        <w:tc>
          <w:tcPr>
            <w:tcW w:w="1440" w:type="dxa"/>
            <w:tcBorders>
              <w:right w:val="single" w:sz="4" w:space="0" w:color="auto"/>
            </w:tcBorders>
            <w:shd w:val="clear" w:color="auto" w:fill="auto"/>
            <w:vAlign w:val="center"/>
          </w:tcPr>
          <w:p w14:paraId="6B29A0AA" w14:textId="77777777" w:rsidR="00631CBF" w:rsidRPr="007F4001" w:rsidRDefault="00631CBF" w:rsidP="00631CBF">
            <w:pPr>
              <w:jc w:val="center"/>
            </w:pPr>
            <w:r w:rsidRPr="007F4001">
              <w:t>Advanced Secondary</w:t>
            </w:r>
          </w:p>
        </w:tc>
        <w:tc>
          <w:tcPr>
            <w:tcW w:w="1329" w:type="dxa"/>
            <w:tcBorders>
              <w:left w:val="single" w:sz="4" w:space="0" w:color="auto"/>
              <w:right w:val="single" w:sz="12" w:space="0" w:color="auto"/>
            </w:tcBorders>
            <w:shd w:val="clear" w:color="auto" w:fill="auto"/>
            <w:vAlign w:val="center"/>
          </w:tcPr>
          <w:p w14:paraId="370583A2" w14:textId="77777777" w:rsidR="00631CBF" w:rsidRPr="007F4001" w:rsidRDefault="00631CBF" w:rsidP="00631CBF">
            <w:pPr>
              <w:jc w:val="center"/>
            </w:pPr>
            <w:r w:rsidRPr="007F4001">
              <w:t>29.5</w:t>
            </w:r>
          </w:p>
        </w:tc>
      </w:tr>
      <w:tr w:rsidR="00631CBF" w:rsidRPr="007F4001" w14:paraId="4DD97B95" w14:textId="77777777" w:rsidTr="00EF0EF6">
        <w:trPr>
          <w:cantSplit/>
        </w:trPr>
        <w:tc>
          <w:tcPr>
            <w:tcW w:w="3375" w:type="dxa"/>
            <w:tcBorders>
              <w:left w:val="single" w:sz="12" w:space="0" w:color="auto"/>
            </w:tcBorders>
            <w:shd w:val="clear" w:color="auto" w:fill="auto"/>
            <w:vAlign w:val="center"/>
          </w:tcPr>
          <w:p w14:paraId="7A7AA979" w14:textId="4FAA9D59" w:rsidR="00631CBF" w:rsidRPr="007F4001" w:rsidRDefault="00EF6641" w:rsidP="00631CBF">
            <w:r>
              <w:t>U</w:t>
            </w:r>
            <w:r w:rsidR="00CD1FD9">
              <w:t>.</w:t>
            </w:r>
            <w:r>
              <w:t>S</w:t>
            </w:r>
            <w:r w:rsidR="00CD1FD9">
              <w:t>.</w:t>
            </w:r>
            <w:r>
              <w:t xml:space="preserve"> Department of Navy (</w:t>
            </w:r>
            <w:r w:rsidR="00631CBF" w:rsidRPr="007F4001">
              <w:t>Treasure Island</w:t>
            </w:r>
            <w:r>
              <w:t>)</w:t>
            </w:r>
          </w:p>
        </w:tc>
        <w:tc>
          <w:tcPr>
            <w:tcW w:w="2286" w:type="dxa"/>
            <w:shd w:val="clear" w:color="auto" w:fill="auto"/>
            <w:vAlign w:val="center"/>
          </w:tcPr>
          <w:p w14:paraId="4EC47ADF" w14:textId="77777777" w:rsidR="00631CBF" w:rsidRPr="00403E66" w:rsidRDefault="00631CBF" w:rsidP="00EF0EF6">
            <w:r w:rsidRPr="00403E66">
              <w:t>Patricia A. McFadden</w:t>
            </w:r>
          </w:p>
          <w:p w14:paraId="62AA96D9" w14:textId="32BF802B" w:rsidR="00631CBF" w:rsidRPr="00403E66" w:rsidRDefault="00EF0EF6" w:rsidP="00EF0EF6">
            <w:r w:rsidRPr="00403E66">
              <w:t>Base Operations Manager</w:t>
            </w:r>
          </w:p>
          <w:p w14:paraId="4569FADE" w14:textId="77777777" w:rsidR="00631CBF" w:rsidRPr="00403E66" w:rsidRDefault="00631CBF" w:rsidP="00EF0EF6">
            <w:r w:rsidRPr="00403E66">
              <w:t>San Francisco Bay Area</w:t>
            </w:r>
          </w:p>
          <w:p w14:paraId="0DC9F00B" w14:textId="77777777" w:rsidR="00631CBF" w:rsidRPr="00403E66" w:rsidRDefault="00631CBF" w:rsidP="00EF0EF6">
            <w:r w:rsidRPr="00403E66">
              <w:t>(415) 743-4720</w:t>
            </w:r>
          </w:p>
        </w:tc>
        <w:tc>
          <w:tcPr>
            <w:tcW w:w="2244" w:type="dxa"/>
            <w:tcBorders>
              <w:right w:val="single" w:sz="4" w:space="0" w:color="auto"/>
            </w:tcBorders>
            <w:shd w:val="clear" w:color="auto" w:fill="auto"/>
          </w:tcPr>
          <w:p w14:paraId="088B2CAE" w14:textId="4F327D72" w:rsidR="00631CBF" w:rsidRPr="007F4001" w:rsidRDefault="00D5592A" w:rsidP="00631CBF">
            <w:r>
              <w:t>1 Avenue of the Palms,</w:t>
            </w:r>
            <w:r w:rsidR="00631CBF" w:rsidRPr="007F4001">
              <w:t xml:space="preserve"> Suite 161</w:t>
            </w:r>
          </w:p>
          <w:p w14:paraId="5E3DB4D3" w14:textId="75F31FA4" w:rsidR="00631CBF" w:rsidRPr="007F4001" w:rsidRDefault="00631CBF" w:rsidP="00631CBF">
            <w:r w:rsidRPr="007F4001">
              <w:t xml:space="preserve">San Francisco, CA </w:t>
            </w:r>
          </w:p>
          <w:p w14:paraId="30737EB4" w14:textId="77777777" w:rsidR="00631CBF" w:rsidRDefault="00631CBF" w:rsidP="00D5592A">
            <w:r w:rsidRPr="007F4001">
              <w:t>94130</w:t>
            </w:r>
          </w:p>
          <w:p w14:paraId="004EE38A" w14:textId="645E8B18" w:rsidR="00D5592A" w:rsidRPr="007F4001" w:rsidRDefault="00D5592A" w:rsidP="00D5592A">
            <w:r>
              <w:t>San Francisco County</w:t>
            </w:r>
          </w:p>
        </w:tc>
        <w:tc>
          <w:tcPr>
            <w:tcW w:w="1440" w:type="dxa"/>
            <w:tcBorders>
              <w:right w:val="single" w:sz="4" w:space="0" w:color="auto"/>
            </w:tcBorders>
            <w:shd w:val="clear" w:color="auto" w:fill="auto"/>
            <w:vAlign w:val="center"/>
          </w:tcPr>
          <w:p w14:paraId="6D7BD349" w14:textId="77777777" w:rsidR="00631CBF" w:rsidRPr="007F4001" w:rsidRDefault="00631CBF" w:rsidP="00631CBF">
            <w:pPr>
              <w:jc w:val="center"/>
            </w:pPr>
            <w:r w:rsidRPr="007F4001">
              <w:t>Secondary</w:t>
            </w:r>
          </w:p>
        </w:tc>
        <w:tc>
          <w:tcPr>
            <w:tcW w:w="1329" w:type="dxa"/>
            <w:tcBorders>
              <w:left w:val="single" w:sz="4" w:space="0" w:color="auto"/>
              <w:right w:val="single" w:sz="12" w:space="0" w:color="auto"/>
            </w:tcBorders>
            <w:shd w:val="clear" w:color="auto" w:fill="auto"/>
            <w:vAlign w:val="center"/>
          </w:tcPr>
          <w:p w14:paraId="42659387" w14:textId="69A58F6D" w:rsidR="00631CBF" w:rsidRPr="007F4001" w:rsidRDefault="00631CBF" w:rsidP="00631CBF">
            <w:pPr>
              <w:jc w:val="center"/>
            </w:pPr>
            <w:r w:rsidRPr="007F4001">
              <w:t>2</w:t>
            </w:r>
            <w:r w:rsidR="004A39A9">
              <w:t>.0</w:t>
            </w:r>
          </w:p>
        </w:tc>
      </w:tr>
      <w:tr w:rsidR="00631CBF" w:rsidRPr="007F4001" w14:paraId="7276C65E" w14:textId="77777777" w:rsidTr="008B7CDF">
        <w:trPr>
          <w:cantSplit/>
        </w:trPr>
        <w:tc>
          <w:tcPr>
            <w:tcW w:w="3375" w:type="dxa"/>
            <w:tcBorders>
              <w:left w:val="single" w:sz="12" w:space="0" w:color="auto"/>
            </w:tcBorders>
            <w:shd w:val="clear" w:color="auto" w:fill="auto"/>
            <w:vAlign w:val="center"/>
          </w:tcPr>
          <w:p w14:paraId="2B66DF4B" w14:textId="77777777" w:rsidR="00631CBF" w:rsidRPr="007F4001" w:rsidRDefault="00631CBF" w:rsidP="00631CBF">
            <w:pPr>
              <w:rPr>
                <w:rFonts w:eastAsia="Arial Unicode MS"/>
              </w:rPr>
            </w:pPr>
            <w:r w:rsidRPr="007F4001">
              <w:t>Vallejo Sanitation and Flood Control District</w:t>
            </w:r>
          </w:p>
        </w:tc>
        <w:tc>
          <w:tcPr>
            <w:tcW w:w="2286" w:type="dxa"/>
            <w:shd w:val="clear" w:color="auto" w:fill="auto"/>
            <w:vAlign w:val="center"/>
          </w:tcPr>
          <w:p w14:paraId="249103C2" w14:textId="00A3EC0C" w:rsidR="00631CBF" w:rsidRPr="00403E66" w:rsidRDefault="0057527E" w:rsidP="00631CBF">
            <w:r w:rsidRPr="00403E66">
              <w:t>Melissa Morton</w:t>
            </w:r>
          </w:p>
          <w:p w14:paraId="6A49F633" w14:textId="77777777" w:rsidR="00631CBF" w:rsidRPr="00403E66" w:rsidRDefault="00631CBF" w:rsidP="00631CBF">
            <w:r w:rsidRPr="00403E66">
              <w:t>District Manager</w:t>
            </w:r>
          </w:p>
          <w:p w14:paraId="327702BB" w14:textId="1E61D233" w:rsidR="00631CBF" w:rsidRPr="00403E66" w:rsidRDefault="00631CBF" w:rsidP="0057527E">
            <w:r w:rsidRPr="00403E66">
              <w:t xml:space="preserve">(707) 644-8949 </w:t>
            </w:r>
          </w:p>
        </w:tc>
        <w:tc>
          <w:tcPr>
            <w:tcW w:w="2244" w:type="dxa"/>
            <w:tcBorders>
              <w:right w:val="single" w:sz="4" w:space="0" w:color="auto"/>
            </w:tcBorders>
            <w:shd w:val="clear" w:color="auto" w:fill="auto"/>
            <w:vAlign w:val="center"/>
          </w:tcPr>
          <w:p w14:paraId="66218B64" w14:textId="77777777" w:rsidR="004A39A9" w:rsidRDefault="004A39A9" w:rsidP="004A39A9">
            <w:r>
              <w:t>450 Ryder Street</w:t>
            </w:r>
          </w:p>
          <w:p w14:paraId="2FED66C7" w14:textId="77777777" w:rsidR="004A39A9" w:rsidRDefault="004A39A9" w:rsidP="004A39A9">
            <w:r>
              <w:t>Vallejo, CA 94590</w:t>
            </w:r>
          </w:p>
          <w:p w14:paraId="1AB0919C" w14:textId="418CA5E7" w:rsidR="00631CBF" w:rsidRPr="007F4001" w:rsidRDefault="004A39A9" w:rsidP="004A39A9">
            <w:r>
              <w:t>Solano County</w:t>
            </w:r>
          </w:p>
        </w:tc>
        <w:tc>
          <w:tcPr>
            <w:tcW w:w="1440" w:type="dxa"/>
            <w:tcBorders>
              <w:right w:val="single" w:sz="4" w:space="0" w:color="auto"/>
            </w:tcBorders>
            <w:shd w:val="clear" w:color="auto" w:fill="auto"/>
            <w:vAlign w:val="center"/>
          </w:tcPr>
          <w:p w14:paraId="02CEC0B4" w14:textId="77777777" w:rsidR="00631CBF" w:rsidRPr="007F4001" w:rsidRDefault="00631CBF" w:rsidP="00631CBF">
            <w:pPr>
              <w:jc w:val="center"/>
            </w:pPr>
            <w:r w:rsidRPr="007F4001">
              <w:t>Secondary</w:t>
            </w:r>
          </w:p>
        </w:tc>
        <w:tc>
          <w:tcPr>
            <w:tcW w:w="1329" w:type="dxa"/>
            <w:tcBorders>
              <w:left w:val="single" w:sz="4" w:space="0" w:color="auto"/>
              <w:right w:val="single" w:sz="12" w:space="0" w:color="auto"/>
            </w:tcBorders>
            <w:shd w:val="clear" w:color="auto" w:fill="auto"/>
            <w:vAlign w:val="center"/>
          </w:tcPr>
          <w:p w14:paraId="50C36140" w14:textId="77777777" w:rsidR="00631CBF" w:rsidRPr="007F4001" w:rsidRDefault="00631CBF" w:rsidP="00631CBF">
            <w:pPr>
              <w:jc w:val="center"/>
            </w:pPr>
            <w:r w:rsidRPr="007F4001">
              <w:t>15.5</w:t>
            </w:r>
          </w:p>
        </w:tc>
      </w:tr>
      <w:tr w:rsidR="00631CBF" w:rsidRPr="007F4001" w14:paraId="31049EEF" w14:textId="77777777" w:rsidTr="008B7CDF">
        <w:trPr>
          <w:cantSplit/>
        </w:trPr>
        <w:tc>
          <w:tcPr>
            <w:tcW w:w="3375" w:type="dxa"/>
            <w:tcBorders>
              <w:left w:val="single" w:sz="12" w:space="0" w:color="auto"/>
            </w:tcBorders>
            <w:shd w:val="clear" w:color="auto" w:fill="auto"/>
            <w:vAlign w:val="center"/>
          </w:tcPr>
          <w:p w14:paraId="723AA975" w14:textId="77777777" w:rsidR="00AA4D8D" w:rsidRPr="000072C3" w:rsidRDefault="00AA4D8D" w:rsidP="00AA4D8D">
            <w:pPr>
              <w:pStyle w:val="blankspacesaftertables"/>
              <w:rPr>
                <w:sz w:val="20"/>
              </w:rPr>
            </w:pPr>
            <w:r w:rsidRPr="000072C3">
              <w:rPr>
                <w:sz w:val="20"/>
              </w:rPr>
              <w:t xml:space="preserve">West County Agency; West County Wastewater District;  </w:t>
            </w:r>
          </w:p>
          <w:p w14:paraId="51A4E721" w14:textId="4F83E9A9" w:rsidR="00631CBF" w:rsidRPr="007F4001" w:rsidRDefault="00AA4D8D" w:rsidP="00AA4D8D">
            <w:pPr>
              <w:rPr>
                <w:rFonts w:eastAsia="Arial Unicode MS"/>
                <w:bCs/>
                <w:szCs w:val="22"/>
              </w:rPr>
            </w:pPr>
            <w:r w:rsidRPr="000072C3">
              <w:t>City of Richmond ; and Richmond Municipal Sewer District No. 1</w:t>
            </w:r>
          </w:p>
        </w:tc>
        <w:tc>
          <w:tcPr>
            <w:tcW w:w="2286" w:type="dxa"/>
            <w:shd w:val="clear" w:color="auto" w:fill="auto"/>
            <w:vAlign w:val="center"/>
          </w:tcPr>
          <w:p w14:paraId="3E52E639" w14:textId="77777777" w:rsidR="000C48DD" w:rsidRPr="00403E66" w:rsidRDefault="000C48DD" w:rsidP="000C48DD">
            <w:r w:rsidRPr="00403E66">
              <w:t>Brian E. Hill</w:t>
            </w:r>
            <w:r w:rsidR="00631CBF" w:rsidRPr="00403E66">
              <w:t xml:space="preserve">, </w:t>
            </w:r>
          </w:p>
          <w:p w14:paraId="4E7D6BE3" w14:textId="64DB3623" w:rsidR="000C48DD" w:rsidRPr="00403E66" w:rsidRDefault="001F67F6" w:rsidP="000C48DD">
            <w:r w:rsidRPr="00403E66">
              <w:t>Water Quality</w:t>
            </w:r>
            <w:r w:rsidR="00F658F7" w:rsidRPr="00403E66">
              <w:t xml:space="preserve"> </w:t>
            </w:r>
            <w:r w:rsidR="00631CBF" w:rsidRPr="00403E66">
              <w:t xml:space="preserve">Manager </w:t>
            </w:r>
          </w:p>
          <w:p w14:paraId="3E43B4E1" w14:textId="6541280C" w:rsidR="00631CBF" w:rsidRPr="00403E66" w:rsidRDefault="000C48DD" w:rsidP="000C48DD">
            <w:r w:rsidRPr="00403E66">
              <w:t>510-237</w:t>
            </w:r>
            <w:r w:rsidR="00631CBF" w:rsidRPr="00403E66">
              <w:t>-6</w:t>
            </w:r>
            <w:r w:rsidRPr="00403E66">
              <w:t>693</w:t>
            </w:r>
          </w:p>
        </w:tc>
        <w:tc>
          <w:tcPr>
            <w:tcW w:w="2244" w:type="dxa"/>
            <w:tcBorders>
              <w:right w:val="single" w:sz="4" w:space="0" w:color="auto"/>
            </w:tcBorders>
            <w:shd w:val="clear" w:color="auto" w:fill="auto"/>
            <w:vAlign w:val="center"/>
          </w:tcPr>
          <w:p w14:paraId="467EF80D" w14:textId="77777777" w:rsidR="00631CBF" w:rsidRPr="007F4001" w:rsidRDefault="00631CBF" w:rsidP="00631CBF">
            <w:r w:rsidRPr="007F4001">
              <w:t>2910 Hilltop Drive</w:t>
            </w:r>
          </w:p>
          <w:p w14:paraId="0FFEDC2C" w14:textId="77777777" w:rsidR="00631CBF" w:rsidRPr="007F4001" w:rsidRDefault="00631CBF" w:rsidP="00631CBF">
            <w:r w:rsidRPr="007F4001">
              <w:t>Richmond, CA</w:t>
            </w:r>
          </w:p>
          <w:p w14:paraId="52FE5103" w14:textId="77777777" w:rsidR="00631CBF" w:rsidRDefault="00631CBF" w:rsidP="00631CBF">
            <w:r w:rsidRPr="007F4001">
              <w:t>94806</w:t>
            </w:r>
          </w:p>
          <w:p w14:paraId="3F514878" w14:textId="46D9EC77" w:rsidR="00891BF4" w:rsidRPr="007F4001" w:rsidRDefault="00891BF4" w:rsidP="00631CBF">
            <w:r>
              <w:t>Contra Costa County</w:t>
            </w:r>
          </w:p>
        </w:tc>
        <w:tc>
          <w:tcPr>
            <w:tcW w:w="1440" w:type="dxa"/>
            <w:tcBorders>
              <w:right w:val="single" w:sz="4" w:space="0" w:color="auto"/>
            </w:tcBorders>
            <w:shd w:val="clear" w:color="auto" w:fill="auto"/>
            <w:vAlign w:val="center"/>
          </w:tcPr>
          <w:p w14:paraId="2C55FE2F" w14:textId="77777777" w:rsidR="00631CBF" w:rsidRPr="007F4001" w:rsidRDefault="00631CBF" w:rsidP="00631CBF">
            <w:pPr>
              <w:jc w:val="center"/>
            </w:pPr>
            <w:r w:rsidRPr="007F4001">
              <w:t>Secondary</w:t>
            </w:r>
          </w:p>
        </w:tc>
        <w:tc>
          <w:tcPr>
            <w:tcW w:w="1329" w:type="dxa"/>
            <w:tcBorders>
              <w:left w:val="single" w:sz="4" w:space="0" w:color="auto"/>
              <w:right w:val="single" w:sz="12" w:space="0" w:color="auto"/>
            </w:tcBorders>
            <w:shd w:val="clear" w:color="auto" w:fill="auto"/>
            <w:vAlign w:val="center"/>
          </w:tcPr>
          <w:p w14:paraId="7A051BB3" w14:textId="77777777" w:rsidR="00631CBF" w:rsidRPr="007F4001" w:rsidRDefault="00631CBF" w:rsidP="00631CBF">
            <w:pPr>
              <w:jc w:val="center"/>
            </w:pPr>
            <w:r w:rsidRPr="007F4001">
              <w:t>28.5</w:t>
            </w:r>
          </w:p>
        </w:tc>
      </w:tr>
      <w:tr w:rsidR="00631CBF" w:rsidRPr="007F4001" w14:paraId="4AC00150" w14:textId="77777777" w:rsidTr="008B7CDF">
        <w:trPr>
          <w:cantSplit/>
        </w:trPr>
        <w:tc>
          <w:tcPr>
            <w:tcW w:w="3375" w:type="dxa"/>
            <w:tcBorders>
              <w:left w:val="single" w:sz="12" w:space="0" w:color="auto"/>
              <w:bottom w:val="single" w:sz="12" w:space="0" w:color="auto"/>
            </w:tcBorders>
            <w:shd w:val="clear" w:color="auto" w:fill="auto"/>
            <w:vAlign w:val="center"/>
          </w:tcPr>
          <w:p w14:paraId="195208E0" w14:textId="77777777" w:rsidR="00631CBF" w:rsidRPr="007F4001" w:rsidRDefault="00631CBF" w:rsidP="00631CBF">
            <w:pPr>
              <w:rPr>
                <w:rFonts w:eastAsia="Arial Unicode MS"/>
              </w:rPr>
            </w:pPr>
            <w:r w:rsidRPr="007F4001">
              <w:t>Yountville, Town of</w:t>
            </w:r>
          </w:p>
        </w:tc>
        <w:tc>
          <w:tcPr>
            <w:tcW w:w="2286" w:type="dxa"/>
            <w:tcBorders>
              <w:bottom w:val="single" w:sz="12" w:space="0" w:color="auto"/>
            </w:tcBorders>
            <w:shd w:val="clear" w:color="auto" w:fill="auto"/>
            <w:vAlign w:val="center"/>
          </w:tcPr>
          <w:p w14:paraId="7B2B28E0" w14:textId="77777777" w:rsidR="00631CBF" w:rsidRPr="00403E66" w:rsidRDefault="00631CBF" w:rsidP="00631CBF">
            <w:r w:rsidRPr="00403E66">
              <w:t>Donald Moore</w:t>
            </w:r>
          </w:p>
          <w:p w14:paraId="41CC1FB9" w14:textId="77777777" w:rsidR="00631CBF" w:rsidRPr="00403E66" w:rsidRDefault="00631CBF" w:rsidP="00631CBF">
            <w:r w:rsidRPr="00403E66">
              <w:t>Wastewater System Supervisor</w:t>
            </w:r>
          </w:p>
          <w:p w14:paraId="4EE9C9E8" w14:textId="77777777" w:rsidR="00631CBF" w:rsidRPr="00403E66" w:rsidRDefault="00631CBF" w:rsidP="00631CBF">
            <w:r w:rsidRPr="00403E66">
              <w:t>(707) 944-2988</w:t>
            </w:r>
          </w:p>
        </w:tc>
        <w:tc>
          <w:tcPr>
            <w:tcW w:w="2244" w:type="dxa"/>
            <w:tcBorders>
              <w:bottom w:val="single" w:sz="12" w:space="0" w:color="auto"/>
              <w:right w:val="single" w:sz="4" w:space="0" w:color="auto"/>
            </w:tcBorders>
            <w:shd w:val="clear" w:color="auto" w:fill="auto"/>
            <w:vAlign w:val="center"/>
          </w:tcPr>
          <w:p w14:paraId="79F3B0FB" w14:textId="77777777" w:rsidR="00631CBF" w:rsidRPr="007F4001" w:rsidRDefault="00631CBF" w:rsidP="00631CBF">
            <w:r w:rsidRPr="007F4001">
              <w:t>6550 Yount Street</w:t>
            </w:r>
          </w:p>
          <w:p w14:paraId="36BBDBEC" w14:textId="77777777" w:rsidR="00631CBF" w:rsidRDefault="00631CBF" w:rsidP="00631CBF">
            <w:r w:rsidRPr="007F4001">
              <w:t>Yountville, CA 94599</w:t>
            </w:r>
          </w:p>
          <w:p w14:paraId="14D97603" w14:textId="2943EBA9" w:rsidR="00891BF4" w:rsidRPr="007F4001" w:rsidRDefault="00891BF4" w:rsidP="00631CBF">
            <w:r>
              <w:t>Napa County</w:t>
            </w:r>
          </w:p>
        </w:tc>
        <w:tc>
          <w:tcPr>
            <w:tcW w:w="1440" w:type="dxa"/>
            <w:tcBorders>
              <w:bottom w:val="single" w:sz="12" w:space="0" w:color="auto"/>
              <w:right w:val="single" w:sz="4" w:space="0" w:color="auto"/>
            </w:tcBorders>
            <w:shd w:val="clear" w:color="auto" w:fill="auto"/>
            <w:vAlign w:val="center"/>
          </w:tcPr>
          <w:p w14:paraId="7591090F" w14:textId="77777777" w:rsidR="00631CBF" w:rsidRPr="007F4001" w:rsidRDefault="00631CBF" w:rsidP="00631CBF">
            <w:pPr>
              <w:jc w:val="center"/>
            </w:pPr>
            <w:r w:rsidRPr="007F4001">
              <w:t>Secondary</w:t>
            </w:r>
          </w:p>
        </w:tc>
        <w:tc>
          <w:tcPr>
            <w:tcW w:w="1329" w:type="dxa"/>
            <w:tcBorders>
              <w:left w:val="single" w:sz="4" w:space="0" w:color="auto"/>
              <w:bottom w:val="single" w:sz="12" w:space="0" w:color="auto"/>
              <w:right w:val="single" w:sz="12" w:space="0" w:color="auto"/>
            </w:tcBorders>
            <w:shd w:val="clear" w:color="auto" w:fill="auto"/>
            <w:vAlign w:val="center"/>
          </w:tcPr>
          <w:p w14:paraId="58157896" w14:textId="77777777" w:rsidR="00631CBF" w:rsidRPr="007F4001" w:rsidRDefault="00631CBF" w:rsidP="00631CBF">
            <w:pPr>
              <w:jc w:val="center"/>
            </w:pPr>
            <w:r w:rsidRPr="007F4001">
              <w:t>0.55</w:t>
            </w:r>
          </w:p>
        </w:tc>
      </w:tr>
    </w:tbl>
    <w:p w14:paraId="42FF2657" w14:textId="042B568B" w:rsidR="007F4001" w:rsidRDefault="007F4001" w:rsidP="007F4001">
      <w:pPr>
        <w:keepNext/>
        <w:tabs>
          <w:tab w:val="left" w:pos="360"/>
        </w:tabs>
        <w:outlineLvl w:val="0"/>
        <w:rPr>
          <w:rFonts w:ascii="Arial" w:hAnsi="Arial" w:cs="Arial"/>
          <w:b/>
          <w:caps/>
          <w:sz w:val="24"/>
        </w:rPr>
      </w:pPr>
      <w:r w:rsidRPr="007F4001">
        <w:rPr>
          <w:rFonts w:ascii="Arial" w:hAnsi="Arial" w:cs="Arial"/>
          <w:b/>
          <w:caps/>
          <w:sz w:val="24"/>
        </w:rPr>
        <w:br w:type="page"/>
      </w:r>
    </w:p>
    <w:p w14:paraId="780CED5E" w14:textId="04E68CA0" w:rsidR="00340C37" w:rsidRPr="00837B1F" w:rsidRDefault="00837B1F" w:rsidP="00837B1F">
      <w:pPr>
        <w:pStyle w:val="TableHeader1F"/>
        <w:keepNext/>
        <w:jc w:val="center"/>
        <w:rPr>
          <w:rFonts w:ascii="Times New Roman" w:hAnsi="Times New Roman" w:cs="Times New Roman"/>
          <w:sz w:val="24"/>
          <w:szCs w:val="24"/>
          <w:lang w:val="en-CA"/>
        </w:rPr>
      </w:pPr>
      <w:bookmarkStart w:id="183" w:name="_Toc487829732"/>
      <w:r w:rsidRPr="00570B42">
        <w:rPr>
          <w:rFonts w:ascii="Times New Roman" w:hAnsi="Times New Roman" w:cs="Times New Roman"/>
          <w:sz w:val="24"/>
          <w:szCs w:val="24"/>
        </w:rPr>
        <w:lastRenderedPageBreak/>
        <w:t>Table F-1</w:t>
      </w:r>
      <w:r>
        <w:rPr>
          <w:rFonts w:ascii="Times New Roman" w:hAnsi="Times New Roman" w:cs="Times New Roman"/>
          <w:sz w:val="24"/>
          <w:szCs w:val="24"/>
        </w:rPr>
        <w:t>B</w:t>
      </w:r>
      <w:r w:rsidRPr="00570B42">
        <w:rPr>
          <w:rFonts w:ascii="Times New Roman" w:hAnsi="Times New Roman" w:cs="Times New Roman"/>
          <w:sz w:val="24"/>
          <w:szCs w:val="24"/>
          <w:lang w:val="en-CA"/>
        </w:rPr>
        <w:t xml:space="preserve">. </w:t>
      </w:r>
      <w:r>
        <w:rPr>
          <w:rFonts w:ascii="Times New Roman" w:hAnsi="Times New Roman" w:cs="Times New Roman"/>
          <w:sz w:val="24"/>
          <w:szCs w:val="24"/>
          <w:lang w:val="en-CA"/>
        </w:rPr>
        <w:t xml:space="preserve">Industrial </w:t>
      </w:r>
      <w:r w:rsidRPr="00570B42">
        <w:rPr>
          <w:rFonts w:ascii="Times New Roman" w:hAnsi="Times New Roman" w:cs="Times New Roman"/>
          <w:sz w:val="24"/>
          <w:szCs w:val="24"/>
          <w:lang w:val="en-CA"/>
        </w:rPr>
        <w:t>Facility Information</w:t>
      </w:r>
      <w:bookmarkEnd w:id="183"/>
    </w:p>
    <w:tbl>
      <w:tblPr>
        <w:tblW w:w="10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2493"/>
        <w:gridCol w:w="2169"/>
        <w:gridCol w:w="1458"/>
        <w:gridCol w:w="1395"/>
      </w:tblGrid>
      <w:tr w:rsidR="00340C37" w:rsidRPr="00340C37" w14:paraId="334D2F30" w14:textId="77777777" w:rsidTr="008A0A5F">
        <w:trPr>
          <w:cantSplit/>
          <w:tblHeader/>
        </w:trPr>
        <w:tc>
          <w:tcPr>
            <w:tcW w:w="3168" w:type="dxa"/>
            <w:tcBorders>
              <w:top w:val="single" w:sz="12" w:space="0" w:color="auto"/>
              <w:left w:val="single" w:sz="12" w:space="0" w:color="auto"/>
              <w:bottom w:val="single" w:sz="12" w:space="0" w:color="auto"/>
            </w:tcBorders>
            <w:shd w:val="clear" w:color="auto" w:fill="auto"/>
            <w:vAlign w:val="center"/>
          </w:tcPr>
          <w:p w14:paraId="22FB2BC2" w14:textId="77777777" w:rsidR="00340C37" w:rsidRPr="00340C37" w:rsidRDefault="00340C37" w:rsidP="00340C37">
            <w:pPr>
              <w:jc w:val="center"/>
              <w:rPr>
                <w:b/>
                <w:color w:val="000000"/>
              </w:rPr>
            </w:pPr>
            <w:r w:rsidRPr="00340C37">
              <w:rPr>
                <w:b/>
                <w:color w:val="000000"/>
              </w:rPr>
              <w:t>Discharger</w:t>
            </w:r>
          </w:p>
        </w:tc>
        <w:tc>
          <w:tcPr>
            <w:tcW w:w="2493" w:type="dxa"/>
            <w:tcBorders>
              <w:top w:val="single" w:sz="12" w:space="0" w:color="auto"/>
              <w:bottom w:val="single" w:sz="12" w:space="0" w:color="auto"/>
            </w:tcBorders>
            <w:shd w:val="clear" w:color="auto" w:fill="auto"/>
            <w:vAlign w:val="center"/>
          </w:tcPr>
          <w:p w14:paraId="18CA67A7" w14:textId="77777777" w:rsidR="00340C37" w:rsidRPr="00340C37" w:rsidRDefault="00340C37" w:rsidP="00340C37">
            <w:pPr>
              <w:jc w:val="center"/>
              <w:rPr>
                <w:b/>
                <w:color w:val="000000"/>
              </w:rPr>
            </w:pPr>
            <w:r w:rsidRPr="00340C37">
              <w:rPr>
                <w:b/>
                <w:color w:val="000000"/>
                <w:lang w:val="fr-FR"/>
              </w:rPr>
              <w:t>Facility Contact,</w:t>
            </w:r>
            <w:r w:rsidRPr="00340C37">
              <w:rPr>
                <w:b/>
                <w:color w:val="000000"/>
              </w:rPr>
              <w:t xml:space="preserve"> Title</w:t>
            </w:r>
            <w:r w:rsidRPr="00340C37">
              <w:rPr>
                <w:b/>
                <w:color w:val="000000"/>
                <w:lang w:val="fr-FR"/>
              </w:rPr>
              <w:t>,         and Phone</w:t>
            </w:r>
          </w:p>
        </w:tc>
        <w:tc>
          <w:tcPr>
            <w:tcW w:w="2169" w:type="dxa"/>
            <w:tcBorders>
              <w:top w:val="single" w:sz="12" w:space="0" w:color="auto"/>
              <w:bottom w:val="single" w:sz="12" w:space="0" w:color="auto"/>
            </w:tcBorders>
            <w:shd w:val="clear" w:color="auto" w:fill="auto"/>
            <w:vAlign w:val="center"/>
          </w:tcPr>
          <w:p w14:paraId="27F731A9" w14:textId="77777777" w:rsidR="00340C37" w:rsidRPr="00340C37" w:rsidRDefault="00340C37" w:rsidP="00340C37">
            <w:pPr>
              <w:jc w:val="center"/>
              <w:rPr>
                <w:b/>
                <w:color w:val="000000"/>
              </w:rPr>
            </w:pPr>
            <w:r w:rsidRPr="00340C37">
              <w:rPr>
                <w:b/>
                <w:color w:val="000000"/>
                <w:lang w:val="fr-FR"/>
              </w:rPr>
              <w:t>Mailing</w:t>
            </w:r>
            <w:r w:rsidRPr="00340C37">
              <w:rPr>
                <w:b/>
                <w:color w:val="000000"/>
              </w:rPr>
              <w:t xml:space="preserve"> Address</w:t>
            </w:r>
          </w:p>
        </w:tc>
        <w:tc>
          <w:tcPr>
            <w:tcW w:w="1458" w:type="dxa"/>
            <w:tcBorders>
              <w:top w:val="single" w:sz="12" w:space="0" w:color="auto"/>
              <w:bottom w:val="single" w:sz="12" w:space="0" w:color="auto"/>
            </w:tcBorders>
            <w:shd w:val="clear" w:color="auto" w:fill="auto"/>
            <w:vAlign w:val="center"/>
          </w:tcPr>
          <w:p w14:paraId="5138D884" w14:textId="77777777" w:rsidR="00340C37" w:rsidRPr="00340C37" w:rsidRDefault="00340C37" w:rsidP="00340C37">
            <w:pPr>
              <w:jc w:val="center"/>
              <w:rPr>
                <w:b/>
                <w:color w:val="000000"/>
              </w:rPr>
            </w:pPr>
            <w:r w:rsidRPr="00340C37">
              <w:rPr>
                <w:b/>
                <w:color w:val="000000"/>
              </w:rPr>
              <w:t>Type of Facility</w:t>
            </w:r>
          </w:p>
        </w:tc>
        <w:tc>
          <w:tcPr>
            <w:tcW w:w="1395" w:type="dxa"/>
            <w:tcBorders>
              <w:top w:val="single" w:sz="12" w:space="0" w:color="auto"/>
              <w:bottom w:val="single" w:sz="12" w:space="0" w:color="auto"/>
              <w:right w:val="single" w:sz="12" w:space="0" w:color="auto"/>
            </w:tcBorders>
            <w:shd w:val="clear" w:color="auto" w:fill="auto"/>
          </w:tcPr>
          <w:p w14:paraId="0CD71BAB" w14:textId="4570AA2B" w:rsidR="00340C37" w:rsidRPr="00340C37" w:rsidRDefault="00340C37" w:rsidP="00CD4194">
            <w:pPr>
              <w:jc w:val="center"/>
              <w:rPr>
                <w:b/>
                <w:color w:val="000000"/>
              </w:rPr>
            </w:pPr>
            <w:r w:rsidRPr="00340C37">
              <w:rPr>
                <w:b/>
                <w:color w:val="000000"/>
              </w:rPr>
              <w:t>Facility Design Flow (</w:t>
            </w:r>
            <w:r w:rsidR="00CD4194">
              <w:rPr>
                <w:b/>
                <w:color w:val="000000"/>
              </w:rPr>
              <w:t>MGD</w:t>
            </w:r>
            <w:r w:rsidRPr="00340C37">
              <w:rPr>
                <w:b/>
                <w:color w:val="000000"/>
              </w:rPr>
              <w:t>)</w:t>
            </w:r>
          </w:p>
        </w:tc>
      </w:tr>
      <w:tr w:rsidR="00340C37" w:rsidRPr="00340C37" w14:paraId="3B4C29A2" w14:textId="77777777" w:rsidTr="00340C37">
        <w:trPr>
          <w:cantSplit/>
        </w:trPr>
        <w:tc>
          <w:tcPr>
            <w:tcW w:w="10683" w:type="dxa"/>
            <w:gridSpan w:val="5"/>
            <w:tcBorders>
              <w:top w:val="single" w:sz="12" w:space="0" w:color="auto"/>
              <w:left w:val="single" w:sz="12" w:space="0" w:color="auto"/>
              <w:right w:val="single" w:sz="12" w:space="0" w:color="auto"/>
            </w:tcBorders>
            <w:shd w:val="clear" w:color="auto" w:fill="D9D9D9" w:themeFill="background1" w:themeFillShade="D9"/>
            <w:vAlign w:val="center"/>
          </w:tcPr>
          <w:p w14:paraId="33180387" w14:textId="77777777" w:rsidR="00340C37" w:rsidRPr="00340C37" w:rsidRDefault="00340C37" w:rsidP="00340C37">
            <w:pPr>
              <w:jc w:val="center"/>
              <w:rPr>
                <w:b/>
              </w:rPr>
            </w:pPr>
            <w:r w:rsidRPr="00340C37">
              <w:rPr>
                <w:b/>
              </w:rPr>
              <w:t>Industrial Wastewater Discharger (Non-Petroleum Refinery):</w:t>
            </w:r>
          </w:p>
        </w:tc>
      </w:tr>
      <w:tr w:rsidR="00340C37" w:rsidRPr="00340C37" w14:paraId="197BCC91" w14:textId="77777777" w:rsidTr="001C5A72">
        <w:trPr>
          <w:cantSplit/>
        </w:trPr>
        <w:tc>
          <w:tcPr>
            <w:tcW w:w="3168" w:type="dxa"/>
            <w:tcBorders>
              <w:left w:val="single" w:sz="12" w:space="0" w:color="auto"/>
            </w:tcBorders>
            <w:shd w:val="clear" w:color="auto" w:fill="auto"/>
            <w:vAlign w:val="center"/>
          </w:tcPr>
          <w:p w14:paraId="73E612A6" w14:textId="1C45E295" w:rsidR="00340C37" w:rsidRPr="00340C37" w:rsidRDefault="00CD3527" w:rsidP="00340C37">
            <w:pPr>
              <w:rPr>
                <w:rFonts w:eastAsia="Arial Unicode MS"/>
              </w:rPr>
            </w:pPr>
            <w:r w:rsidRPr="0031592A">
              <w:rPr>
                <w:rFonts w:eastAsia="Arial Unicode MS"/>
              </w:rPr>
              <w:t>C&amp;H Sugar Company, Inc., and Crockett Community Services D</w:t>
            </w:r>
            <w:r>
              <w:rPr>
                <w:rFonts w:eastAsia="Arial Unicode MS"/>
              </w:rPr>
              <w:t>istrict, Crockett Sanitary Department</w:t>
            </w:r>
          </w:p>
        </w:tc>
        <w:tc>
          <w:tcPr>
            <w:tcW w:w="2493" w:type="dxa"/>
            <w:shd w:val="clear" w:color="auto" w:fill="auto"/>
            <w:vAlign w:val="center"/>
          </w:tcPr>
          <w:p w14:paraId="6F852EE5" w14:textId="1567A115" w:rsidR="00AC65A3" w:rsidRPr="00AC65A3" w:rsidRDefault="00AC65A3" w:rsidP="00340C37">
            <w:pPr>
              <w:rPr>
                <w:u w:val="single"/>
              </w:rPr>
            </w:pPr>
            <w:r w:rsidRPr="00AC65A3">
              <w:rPr>
                <w:u w:val="single"/>
              </w:rPr>
              <w:t>C&amp;H Sugar Company</w:t>
            </w:r>
          </w:p>
          <w:p w14:paraId="5C667299" w14:textId="192E2BE7" w:rsidR="00340C37" w:rsidRPr="00340C37" w:rsidRDefault="00340C37" w:rsidP="00340C37">
            <w:r w:rsidRPr="00340C37">
              <w:t>Tanya Akkerman</w:t>
            </w:r>
            <w:r w:rsidR="00AC65A3">
              <w:t>,</w:t>
            </w:r>
          </w:p>
          <w:p w14:paraId="0595B303" w14:textId="3973EE2A" w:rsidR="00340C37" w:rsidRPr="00340C37" w:rsidRDefault="00340C37" w:rsidP="00340C37">
            <w:r w:rsidRPr="00340C37">
              <w:t>Environmental Compliance Manager</w:t>
            </w:r>
            <w:r w:rsidRPr="00340C37">
              <w:br/>
              <w:t>(510) 787-4352</w:t>
            </w:r>
          </w:p>
          <w:p w14:paraId="5B011FED" w14:textId="44C3EF3B" w:rsidR="00340C37" w:rsidRDefault="00340C37" w:rsidP="00340C37"/>
          <w:p w14:paraId="2BBD8027" w14:textId="66A8D648" w:rsidR="00AC65A3" w:rsidRPr="00340C37" w:rsidRDefault="00AC65A3" w:rsidP="00340C37">
            <w:pPr>
              <w:rPr>
                <w:u w:val="single"/>
              </w:rPr>
            </w:pPr>
            <w:r w:rsidRPr="00340C37">
              <w:rPr>
                <w:u w:val="single"/>
              </w:rPr>
              <w:t xml:space="preserve">Crockett Sanitary </w:t>
            </w:r>
            <w:r w:rsidRPr="00E604CE">
              <w:rPr>
                <w:u w:val="single"/>
              </w:rPr>
              <w:t>Dept.</w:t>
            </w:r>
          </w:p>
          <w:p w14:paraId="5532BCE2" w14:textId="479CD48F" w:rsidR="00340C37" w:rsidRPr="00340C37" w:rsidRDefault="00340C37" w:rsidP="00340C37">
            <w:r w:rsidRPr="00340C37">
              <w:t>Dale McDonald</w:t>
            </w:r>
            <w:r w:rsidR="00131E90">
              <w:t>,</w:t>
            </w:r>
          </w:p>
          <w:p w14:paraId="168518A0" w14:textId="77777777" w:rsidR="00340C37" w:rsidRPr="00340C37" w:rsidRDefault="00340C37" w:rsidP="00340C37">
            <w:r w:rsidRPr="00340C37">
              <w:t>General Manager</w:t>
            </w:r>
          </w:p>
          <w:p w14:paraId="0B0E6288" w14:textId="77777777" w:rsidR="00340C37" w:rsidRPr="00340C37" w:rsidRDefault="00340C37" w:rsidP="00340C37">
            <w:r w:rsidRPr="00340C37">
              <w:t>(510) 787-2992</w:t>
            </w:r>
          </w:p>
        </w:tc>
        <w:tc>
          <w:tcPr>
            <w:tcW w:w="2169" w:type="dxa"/>
            <w:shd w:val="clear" w:color="auto" w:fill="auto"/>
            <w:vAlign w:val="center"/>
          </w:tcPr>
          <w:p w14:paraId="0725487C" w14:textId="66755997" w:rsidR="00E604CE" w:rsidRPr="00E604CE" w:rsidRDefault="00E604CE" w:rsidP="00340C37">
            <w:pPr>
              <w:rPr>
                <w:u w:val="single"/>
              </w:rPr>
            </w:pPr>
            <w:r w:rsidRPr="00E604CE">
              <w:rPr>
                <w:u w:val="single"/>
              </w:rPr>
              <w:t>C&amp;H Sugar Company</w:t>
            </w:r>
          </w:p>
          <w:p w14:paraId="41E6BBEB" w14:textId="3F9D0DC0" w:rsidR="00340C37" w:rsidRDefault="00E604CE" w:rsidP="00340C37">
            <w:r>
              <w:t>830 Loring Avenue</w:t>
            </w:r>
          </w:p>
          <w:p w14:paraId="40FB8DDE" w14:textId="023B72EB" w:rsidR="00E604CE" w:rsidRDefault="00E604CE" w:rsidP="00340C37">
            <w:r>
              <w:t>Crockett, CA 94525</w:t>
            </w:r>
          </w:p>
          <w:p w14:paraId="3DB4469C" w14:textId="6E8262CC" w:rsidR="00E604CE" w:rsidRPr="00340C37" w:rsidRDefault="00E604CE" w:rsidP="00340C37">
            <w:r>
              <w:t>Contra Costa County</w:t>
            </w:r>
          </w:p>
          <w:p w14:paraId="679A8C38" w14:textId="307C4953" w:rsidR="00E604CE" w:rsidRPr="00340C37" w:rsidRDefault="00E604CE" w:rsidP="00340C37"/>
          <w:p w14:paraId="3B8AAF4C" w14:textId="7CB8A5B8" w:rsidR="00340C37" w:rsidRPr="00340C37" w:rsidRDefault="00340C37" w:rsidP="00340C37">
            <w:pPr>
              <w:rPr>
                <w:u w:val="single"/>
              </w:rPr>
            </w:pPr>
            <w:r w:rsidRPr="00340C37">
              <w:rPr>
                <w:u w:val="single"/>
              </w:rPr>
              <w:t xml:space="preserve">Crockett Sanitary </w:t>
            </w:r>
            <w:r w:rsidR="00E604CE" w:rsidRPr="00E604CE">
              <w:rPr>
                <w:u w:val="single"/>
              </w:rPr>
              <w:t>Dept.</w:t>
            </w:r>
          </w:p>
          <w:p w14:paraId="5273B94B" w14:textId="77777777" w:rsidR="00340C37" w:rsidRPr="00340C37" w:rsidRDefault="00340C37" w:rsidP="00340C37">
            <w:r w:rsidRPr="00340C37">
              <w:t>P.O. Box 578</w:t>
            </w:r>
          </w:p>
          <w:p w14:paraId="2101F13D" w14:textId="77777777" w:rsidR="00340C37" w:rsidRDefault="00340C37" w:rsidP="002111A2">
            <w:r w:rsidRPr="00340C37">
              <w:t>Crockett, CA 94525</w:t>
            </w:r>
          </w:p>
          <w:p w14:paraId="3C986569" w14:textId="2B9EF0B1" w:rsidR="002111A2" w:rsidRPr="00340C37" w:rsidRDefault="002111A2" w:rsidP="002111A2">
            <w:r>
              <w:t>Contra Costa County</w:t>
            </w:r>
          </w:p>
        </w:tc>
        <w:tc>
          <w:tcPr>
            <w:tcW w:w="1458" w:type="dxa"/>
            <w:shd w:val="clear" w:color="auto" w:fill="auto"/>
            <w:vAlign w:val="center"/>
          </w:tcPr>
          <w:p w14:paraId="3D774DF4" w14:textId="77777777" w:rsidR="00340C37" w:rsidRPr="00340C37" w:rsidRDefault="00340C37" w:rsidP="001C5A72">
            <w:pPr>
              <w:jc w:val="center"/>
            </w:pPr>
            <w:r w:rsidRPr="00340C37">
              <w:t>Sugar Cane Crystalline Industry</w:t>
            </w:r>
          </w:p>
        </w:tc>
        <w:tc>
          <w:tcPr>
            <w:tcW w:w="1395" w:type="dxa"/>
            <w:tcBorders>
              <w:right w:val="single" w:sz="12" w:space="0" w:color="auto"/>
            </w:tcBorders>
            <w:shd w:val="clear" w:color="auto" w:fill="auto"/>
            <w:vAlign w:val="center"/>
          </w:tcPr>
          <w:p w14:paraId="24F65732" w14:textId="576F16D5" w:rsidR="00340C37" w:rsidRPr="00340C37" w:rsidRDefault="00AC65A3" w:rsidP="00340C37">
            <w:pPr>
              <w:jc w:val="center"/>
            </w:pPr>
            <w:r>
              <w:t>1.8</w:t>
            </w:r>
          </w:p>
        </w:tc>
      </w:tr>
      <w:tr w:rsidR="00340C37" w:rsidRPr="00340C37" w14:paraId="4A8F248E" w14:textId="77777777" w:rsidTr="001C5A72">
        <w:trPr>
          <w:cantSplit/>
        </w:trPr>
        <w:tc>
          <w:tcPr>
            <w:tcW w:w="3168" w:type="dxa"/>
            <w:tcBorders>
              <w:left w:val="single" w:sz="12" w:space="0" w:color="auto"/>
            </w:tcBorders>
            <w:shd w:val="clear" w:color="auto" w:fill="auto"/>
            <w:vAlign w:val="center"/>
          </w:tcPr>
          <w:p w14:paraId="3D63A161" w14:textId="37D2A271" w:rsidR="00340C37" w:rsidRPr="00340C37" w:rsidRDefault="00340C37" w:rsidP="00D779CE">
            <w:pPr>
              <w:rPr>
                <w:rFonts w:eastAsia="Arial Unicode MS"/>
              </w:rPr>
            </w:pPr>
            <w:r w:rsidRPr="00340C37">
              <w:rPr>
                <w:rFonts w:eastAsia="Arial Unicode MS"/>
              </w:rPr>
              <w:t>Crockett Cogeneration, LP</w:t>
            </w:r>
          </w:p>
        </w:tc>
        <w:tc>
          <w:tcPr>
            <w:tcW w:w="2493" w:type="dxa"/>
            <w:shd w:val="clear" w:color="auto" w:fill="auto"/>
            <w:vAlign w:val="center"/>
          </w:tcPr>
          <w:p w14:paraId="3232E3C0" w14:textId="044B5ADA" w:rsidR="00340C37" w:rsidRPr="00340C37" w:rsidRDefault="00340C37" w:rsidP="00340C37">
            <w:r w:rsidRPr="00340C37">
              <w:t>Christopher Sargent</w:t>
            </w:r>
            <w:r w:rsidR="00131E90">
              <w:t>,</w:t>
            </w:r>
          </w:p>
          <w:p w14:paraId="65580A99" w14:textId="77777777" w:rsidR="00340C37" w:rsidRPr="00340C37" w:rsidRDefault="00340C37" w:rsidP="00340C37">
            <w:r w:rsidRPr="00340C37">
              <w:t>Environmental Coordinator</w:t>
            </w:r>
          </w:p>
          <w:p w14:paraId="7D9B8537" w14:textId="6B59BEBE" w:rsidR="00340C37" w:rsidRPr="00340C37" w:rsidRDefault="00340C37" w:rsidP="00340C37">
            <w:r w:rsidRPr="00340C37">
              <w:t>(510) 787-410</w:t>
            </w:r>
            <w:r w:rsidR="006E138C">
              <w:t>1</w:t>
            </w:r>
          </w:p>
        </w:tc>
        <w:tc>
          <w:tcPr>
            <w:tcW w:w="2169" w:type="dxa"/>
            <w:shd w:val="clear" w:color="auto" w:fill="auto"/>
            <w:vAlign w:val="center"/>
          </w:tcPr>
          <w:p w14:paraId="3D4A7A5C" w14:textId="77777777" w:rsidR="00216716" w:rsidRPr="0031592A" w:rsidRDefault="00216716" w:rsidP="00216716">
            <w:r w:rsidRPr="0031592A">
              <w:t>550 Loring Avenue</w:t>
            </w:r>
          </w:p>
          <w:p w14:paraId="6D44E35A" w14:textId="77777777" w:rsidR="00216716" w:rsidRPr="0031592A" w:rsidRDefault="00216716" w:rsidP="00216716">
            <w:r w:rsidRPr="0031592A">
              <w:t>Crockett, CA 94525-1232</w:t>
            </w:r>
          </w:p>
          <w:p w14:paraId="525295ED" w14:textId="06D2DBED" w:rsidR="00340C37" w:rsidRPr="00340C37" w:rsidRDefault="00216716" w:rsidP="00216716">
            <w:r w:rsidRPr="0031592A">
              <w:t>Contra Costa County</w:t>
            </w:r>
          </w:p>
        </w:tc>
        <w:tc>
          <w:tcPr>
            <w:tcW w:w="1458" w:type="dxa"/>
            <w:shd w:val="clear" w:color="auto" w:fill="auto"/>
            <w:vAlign w:val="center"/>
          </w:tcPr>
          <w:p w14:paraId="454E842F" w14:textId="77777777" w:rsidR="00340C37" w:rsidRPr="00340C37" w:rsidRDefault="00340C37" w:rsidP="001C5A72">
            <w:pPr>
              <w:jc w:val="center"/>
            </w:pPr>
            <w:r w:rsidRPr="00340C37">
              <w:t>Industrial – Electrical Generation, SIC Code 4931</w:t>
            </w:r>
          </w:p>
        </w:tc>
        <w:tc>
          <w:tcPr>
            <w:tcW w:w="1395" w:type="dxa"/>
            <w:tcBorders>
              <w:right w:val="single" w:sz="12" w:space="0" w:color="auto"/>
            </w:tcBorders>
            <w:shd w:val="clear" w:color="auto" w:fill="auto"/>
            <w:vAlign w:val="center"/>
          </w:tcPr>
          <w:p w14:paraId="7031C5CE" w14:textId="2F1F0417" w:rsidR="00340C37" w:rsidRPr="00340C37" w:rsidRDefault="006E138C" w:rsidP="00340C37">
            <w:pPr>
              <w:jc w:val="center"/>
            </w:pPr>
            <w:r>
              <w:t>0.</w:t>
            </w:r>
            <w:r w:rsidR="005D36F2">
              <w:t>5</w:t>
            </w:r>
          </w:p>
          <w:p w14:paraId="407E5BA8" w14:textId="4C882EB8" w:rsidR="00340C37" w:rsidRPr="00340C37" w:rsidRDefault="00340C37" w:rsidP="006E138C">
            <w:pPr>
              <w:jc w:val="center"/>
            </w:pPr>
          </w:p>
        </w:tc>
      </w:tr>
      <w:tr w:rsidR="001C5A72" w:rsidRPr="00340C37" w14:paraId="2B200923" w14:textId="77777777" w:rsidTr="001C5A72">
        <w:trPr>
          <w:cantSplit/>
        </w:trPr>
        <w:tc>
          <w:tcPr>
            <w:tcW w:w="3168" w:type="dxa"/>
            <w:tcBorders>
              <w:left w:val="single" w:sz="12" w:space="0" w:color="auto"/>
            </w:tcBorders>
            <w:shd w:val="clear" w:color="auto" w:fill="auto"/>
            <w:vAlign w:val="center"/>
          </w:tcPr>
          <w:p w14:paraId="76DDC26D" w14:textId="5A24747D" w:rsidR="001C5A72" w:rsidRPr="00340C37" w:rsidRDefault="001C5A72" w:rsidP="001C5A72">
            <w:pPr>
              <w:rPr>
                <w:rFonts w:eastAsia="Arial Unicode MS"/>
              </w:rPr>
            </w:pPr>
            <w:r>
              <w:rPr>
                <w:rFonts w:eastAsia="Arial Unicode MS"/>
              </w:rPr>
              <w:t>Eco Services Operations LLC</w:t>
            </w:r>
          </w:p>
        </w:tc>
        <w:tc>
          <w:tcPr>
            <w:tcW w:w="2493" w:type="dxa"/>
            <w:shd w:val="clear" w:color="auto" w:fill="auto"/>
            <w:vAlign w:val="center"/>
          </w:tcPr>
          <w:p w14:paraId="3478C1B7" w14:textId="20F8B3D9" w:rsidR="001C5A72" w:rsidRPr="00340C37" w:rsidRDefault="001C5A72" w:rsidP="001C5A72">
            <w:r w:rsidRPr="00340C37">
              <w:t>Anthony Koo</w:t>
            </w:r>
            <w:r w:rsidR="00131E90">
              <w:t>,</w:t>
            </w:r>
          </w:p>
          <w:p w14:paraId="17AC5589" w14:textId="7DDB5626" w:rsidR="001C5A72" w:rsidRPr="00340C37" w:rsidRDefault="00131E90" w:rsidP="001C5A72">
            <w:r>
              <w:t xml:space="preserve">Senior </w:t>
            </w:r>
            <w:r w:rsidR="001C5A72" w:rsidRPr="00340C37">
              <w:t xml:space="preserve">Environmental </w:t>
            </w:r>
            <w:r>
              <w:t>Engineer</w:t>
            </w:r>
          </w:p>
          <w:p w14:paraId="495A2A42" w14:textId="77777777" w:rsidR="001C5A72" w:rsidRPr="00340C37" w:rsidRDefault="001C5A72" w:rsidP="001C5A72">
            <w:r w:rsidRPr="00340C37">
              <w:t>(925) 313-8221</w:t>
            </w:r>
          </w:p>
        </w:tc>
        <w:tc>
          <w:tcPr>
            <w:tcW w:w="2169" w:type="dxa"/>
            <w:shd w:val="clear" w:color="auto" w:fill="auto"/>
            <w:vAlign w:val="center"/>
          </w:tcPr>
          <w:p w14:paraId="3A0E053F" w14:textId="77777777" w:rsidR="00A955D2" w:rsidRPr="0031592A" w:rsidRDefault="00A955D2" w:rsidP="00A955D2">
            <w:r w:rsidRPr="0031592A">
              <w:t>100 Mococo Road</w:t>
            </w:r>
          </w:p>
          <w:p w14:paraId="46EC0C71" w14:textId="77777777" w:rsidR="00A955D2" w:rsidRPr="0031592A" w:rsidRDefault="00A955D2" w:rsidP="00A955D2">
            <w:r w:rsidRPr="0031592A">
              <w:t>Martinez, CA 94553</w:t>
            </w:r>
          </w:p>
          <w:p w14:paraId="2313F660" w14:textId="68A61A9F" w:rsidR="001C5A72" w:rsidRPr="00340C37" w:rsidRDefault="00A955D2" w:rsidP="00A955D2">
            <w:r w:rsidRPr="0031592A">
              <w:t>Contra Costa County</w:t>
            </w:r>
          </w:p>
        </w:tc>
        <w:tc>
          <w:tcPr>
            <w:tcW w:w="1458" w:type="dxa"/>
            <w:shd w:val="clear" w:color="auto" w:fill="auto"/>
            <w:vAlign w:val="center"/>
          </w:tcPr>
          <w:p w14:paraId="4FDF96E4" w14:textId="77777777" w:rsidR="001C5A72" w:rsidRPr="00340C37" w:rsidRDefault="001C5A72" w:rsidP="001C5A72">
            <w:pPr>
              <w:jc w:val="center"/>
            </w:pPr>
            <w:r w:rsidRPr="00340C37">
              <w:t>Industrial – Chemical and Allied Products, SIC Code 2891</w:t>
            </w:r>
          </w:p>
        </w:tc>
        <w:tc>
          <w:tcPr>
            <w:tcW w:w="1395" w:type="dxa"/>
            <w:tcBorders>
              <w:right w:val="single" w:sz="12" w:space="0" w:color="auto"/>
            </w:tcBorders>
            <w:shd w:val="clear" w:color="auto" w:fill="auto"/>
            <w:vAlign w:val="center"/>
          </w:tcPr>
          <w:p w14:paraId="4FAC96BF" w14:textId="51141B08" w:rsidR="001C5A72" w:rsidRPr="00340C37" w:rsidRDefault="005D36F2" w:rsidP="001C5A72">
            <w:pPr>
              <w:jc w:val="center"/>
            </w:pPr>
            <w:r>
              <w:t>0.8</w:t>
            </w:r>
          </w:p>
        </w:tc>
      </w:tr>
      <w:tr w:rsidR="001C5A72" w:rsidRPr="00340C37" w14:paraId="26B9417E" w14:textId="77777777" w:rsidTr="001C5A72">
        <w:trPr>
          <w:cantSplit/>
        </w:trPr>
        <w:tc>
          <w:tcPr>
            <w:tcW w:w="3168" w:type="dxa"/>
            <w:tcBorders>
              <w:left w:val="single" w:sz="12" w:space="0" w:color="auto"/>
            </w:tcBorders>
            <w:shd w:val="clear" w:color="auto" w:fill="auto"/>
            <w:vAlign w:val="center"/>
          </w:tcPr>
          <w:p w14:paraId="070B3ED6" w14:textId="77777777" w:rsidR="001C5A72" w:rsidRPr="00340C37" w:rsidRDefault="001C5A72" w:rsidP="001C5A72">
            <w:pPr>
              <w:rPr>
                <w:rFonts w:eastAsia="Arial Unicode MS"/>
              </w:rPr>
            </w:pPr>
            <w:r w:rsidRPr="00340C37">
              <w:rPr>
                <w:rFonts w:eastAsia="Arial Unicode MS"/>
              </w:rPr>
              <w:t>GenOn Delta, LLC</w:t>
            </w:r>
          </w:p>
        </w:tc>
        <w:tc>
          <w:tcPr>
            <w:tcW w:w="2493" w:type="dxa"/>
            <w:shd w:val="clear" w:color="auto" w:fill="auto"/>
            <w:vAlign w:val="center"/>
          </w:tcPr>
          <w:p w14:paraId="68E516D7" w14:textId="378B32FA" w:rsidR="001C5A72" w:rsidRDefault="00480C52" w:rsidP="001C5A72">
            <w:r>
              <w:t>Lawrence J. Penn,</w:t>
            </w:r>
          </w:p>
          <w:p w14:paraId="624EB369" w14:textId="77777777" w:rsidR="00480C52" w:rsidRDefault="00480C52" w:rsidP="001C5A72">
            <w:r>
              <w:t>Plant Operator</w:t>
            </w:r>
          </w:p>
          <w:p w14:paraId="37FF4032" w14:textId="77DDA15C" w:rsidR="00480C52" w:rsidRPr="00340C37" w:rsidRDefault="00480C52" w:rsidP="001C5A72">
            <w:r>
              <w:t>(925) 427-3583</w:t>
            </w:r>
          </w:p>
        </w:tc>
        <w:tc>
          <w:tcPr>
            <w:tcW w:w="2169" w:type="dxa"/>
            <w:shd w:val="clear" w:color="auto" w:fill="auto"/>
            <w:vAlign w:val="center"/>
          </w:tcPr>
          <w:p w14:paraId="33570A46" w14:textId="4C07888C" w:rsidR="00A71A41" w:rsidRDefault="00A71A41" w:rsidP="00A71A41">
            <w:r>
              <w:t>P.</w:t>
            </w:r>
            <w:r w:rsidRPr="00A71A41">
              <w:t>O. Box 192</w:t>
            </w:r>
          </w:p>
          <w:p w14:paraId="2D31FC0B" w14:textId="77777777" w:rsidR="00A71A41" w:rsidRPr="00480C52" w:rsidRDefault="00A71A41" w:rsidP="00A71A41">
            <w:r w:rsidRPr="00480C52">
              <w:t>Pittsburg, CA 94565</w:t>
            </w:r>
          </w:p>
          <w:p w14:paraId="6C52B1D3" w14:textId="719EF8F3" w:rsidR="001C5A72" w:rsidRPr="00340C37" w:rsidRDefault="00A71A41" w:rsidP="00A71A41">
            <w:pPr>
              <w:rPr>
                <w:highlight w:val="yellow"/>
              </w:rPr>
            </w:pPr>
            <w:r w:rsidRPr="00480C52">
              <w:t>Contra Costa County</w:t>
            </w:r>
          </w:p>
        </w:tc>
        <w:tc>
          <w:tcPr>
            <w:tcW w:w="1458" w:type="dxa"/>
            <w:shd w:val="clear" w:color="auto" w:fill="auto"/>
            <w:vAlign w:val="center"/>
          </w:tcPr>
          <w:p w14:paraId="3B7CCBC9" w14:textId="77777777" w:rsidR="001C5A72" w:rsidRPr="00340C37" w:rsidRDefault="001C5A72" w:rsidP="001C5A72">
            <w:pPr>
              <w:jc w:val="center"/>
            </w:pPr>
            <w:r w:rsidRPr="00340C37">
              <w:t>Electric Power generation</w:t>
            </w:r>
          </w:p>
        </w:tc>
        <w:tc>
          <w:tcPr>
            <w:tcW w:w="1395" w:type="dxa"/>
            <w:tcBorders>
              <w:right w:val="single" w:sz="12" w:space="0" w:color="auto"/>
            </w:tcBorders>
            <w:shd w:val="clear" w:color="auto" w:fill="auto"/>
            <w:vAlign w:val="center"/>
          </w:tcPr>
          <w:p w14:paraId="3DA2B9A8" w14:textId="3CCBAF4C" w:rsidR="001C5A72" w:rsidRPr="00340C37" w:rsidRDefault="0083478A" w:rsidP="001C5A72">
            <w:pPr>
              <w:jc w:val="center"/>
              <w:rPr>
                <w:sz w:val="22"/>
                <w:szCs w:val="22"/>
              </w:rPr>
            </w:pPr>
            <w:r>
              <w:rPr>
                <w:sz w:val="22"/>
                <w:szCs w:val="22"/>
              </w:rPr>
              <w:t>2.2</w:t>
            </w:r>
          </w:p>
        </w:tc>
      </w:tr>
      <w:tr w:rsidR="001C5A72" w:rsidRPr="00340C37" w14:paraId="07CBE683" w14:textId="77777777" w:rsidTr="001C5A72">
        <w:trPr>
          <w:cantSplit/>
        </w:trPr>
        <w:tc>
          <w:tcPr>
            <w:tcW w:w="3168" w:type="dxa"/>
            <w:tcBorders>
              <w:left w:val="single" w:sz="12" w:space="0" w:color="auto"/>
            </w:tcBorders>
            <w:shd w:val="clear" w:color="auto" w:fill="auto"/>
            <w:vAlign w:val="center"/>
          </w:tcPr>
          <w:p w14:paraId="2C1241FC" w14:textId="77777777" w:rsidR="001C5A72" w:rsidRPr="00340C37" w:rsidRDefault="001C5A72" w:rsidP="001C5A72">
            <w:r w:rsidRPr="00340C37">
              <w:rPr>
                <w:rFonts w:eastAsia="Arial Unicode MS"/>
              </w:rPr>
              <w:t>USS-Posco Industries</w:t>
            </w:r>
          </w:p>
        </w:tc>
        <w:tc>
          <w:tcPr>
            <w:tcW w:w="2493" w:type="dxa"/>
            <w:shd w:val="clear" w:color="auto" w:fill="auto"/>
            <w:vAlign w:val="center"/>
          </w:tcPr>
          <w:p w14:paraId="537A37C3" w14:textId="5577B9B9" w:rsidR="001C5A72" w:rsidRPr="00340C37" w:rsidRDefault="00480C52" w:rsidP="001C5A72">
            <w:r>
              <w:t>Freddy Ripoli,</w:t>
            </w:r>
          </w:p>
          <w:p w14:paraId="60C7EAD1" w14:textId="228561BB" w:rsidR="00480C52" w:rsidRDefault="00480C52" w:rsidP="001C5A72">
            <w:r>
              <w:t>Environmental Health &amp; Safety Group Manager</w:t>
            </w:r>
          </w:p>
          <w:p w14:paraId="12BA1E2B" w14:textId="319A9045" w:rsidR="001C5A72" w:rsidRPr="00340C37" w:rsidRDefault="001C5A72" w:rsidP="00480C52">
            <w:r w:rsidRPr="00340C37">
              <w:t xml:space="preserve"> </w:t>
            </w:r>
            <w:r w:rsidR="00480C52">
              <w:t>(925) 439-6316</w:t>
            </w:r>
          </w:p>
        </w:tc>
        <w:tc>
          <w:tcPr>
            <w:tcW w:w="2169" w:type="dxa"/>
            <w:shd w:val="clear" w:color="auto" w:fill="auto"/>
            <w:vAlign w:val="center"/>
          </w:tcPr>
          <w:p w14:paraId="6EA3C674" w14:textId="77777777" w:rsidR="00480C52" w:rsidRPr="0031592A" w:rsidRDefault="00480C52" w:rsidP="00480C52">
            <w:r w:rsidRPr="0031592A">
              <w:t>900 Loveridge Road</w:t>
            </w:r>
          </w:p>
          <w:p w14:paraId="1C0132C0" w14:textId="77777777" w:rsidR="00480C52" w:rsidRPr="0031592A" w:rsidRDefault="00480C52" w:rsidP="00480C52">
            <w:r w:rsidRPr="0031592A">
              <w:t>Pittsburg, CA 94565</w:t>
            </w:r>
          </w:p>
          <w:p w14:paraId="4557C070" w14:textId="7504A4B9" w:rsidR="001C5A72" w:rsidRPr="00340C37" w:rsidRDefault="00480C52" w:rsidP="00480C52">
            <w:r w:rsidRPr="0031592A">
              <w:t>Contra Costa County</w:t>
            </w:r>
          </w:p>
        </w:tc>
        <w:tc>
          <w:tcPr>
            <w:tcW w:w="1458" w:type="dxa"/>
            <w:shd w:val="clear" w:color="auto" w:fill="auto"/>
            <w:vAlign w:val="center"/>
          </w:tcPr>
          <w:p w14:paraId="527E5C9B" w14:textId="77777777" w:rsidR="001C5A72" w:rsidRPr="00340C37" w:rsidRDefault="001C5A72" w:rsidP="001C5A72">
            <w:pPr>
              <w:jc w:val="center"/>
            </w:pPr>
            <w:r w:rsidRPr="00340C37">
              <w:t>Industrial - SIC Code 3312</w:t>
            </w:r>
          </w:p>
        </w:tc>
        <w:tc>
          <w:tcPr>
            <w:tcW w:w="1395" w:type="dxa"/>
            <w:tcBorders>
              <w:right w:val="single" w:sz="12" w:space="0" w:color="auto"/>
            </w:tcBorders>
            <w:shd w:val="clear" w:color="auto" w:fill="auto"/>
            <w:vAlign w:val="center"/>
          </w:tcPr>
          <w:p w14:paraId="54B390EE" w14:textId="77777777" w:rsidR="001C5A72" w:rsidRPr="00340C37" w:rsidRDefault="001C5A72" w:rsidP="001C5A72">
            <w:pPr>
              <w:jc w:val="center"/>
            </w:pPr>
            <w:r w:rsidRPr="00340C37">
              <w:t>28</w:t>
            </w:r>
          </w:p>
        </w:tc>
      </w:tr>
      <w:tr w:rsidR="001C5A72" w:rsidRPr="00340C37" w14:paraId="03E499C4" w14:textId="77777777" w:rsidTr="001C5A72">
        <w:trPr>
          <w:cantSplit/>
          <w:trHeight w:val="323"/>
        </w:trPr>
        <w:tc>
          <w:tcPr>
            <w:tcW w:w="10683" w:type="dxa"/>
            <w:gridSpan w:val="5"/>
            <w:tcBorders>
              <w:left w:val="single" w:sz="12" w:space="0" w:color="auto"/>
              <w:right w:val="single" w:sz="12" w:space="0" w:color="auto"/>
            </w:tcBorders>
            <w:shd w:val="clear" w:color="auto" w:fill="D9D9D9" w:themeFill="background1" w:themeFillShade="D9"/>
            <w:vAlign w:val="center"/>
          </w:tcPr>
          <w:p w14:paraId="3456E038" w14:textId="77777777" w:rsidR="001C5A72" w:rsidRPr="00340C37" w:rsidRDefault="001C5A72" w:rsidP="001C5A72">
            <w:pPr>
              <w:jc w:val="center"/>
              <w:rPr>
                <w:b/>
              </w:rPr>
            </w:pPr>
            <w:r w:rsidRPr="00340C37">
              <w:rPr>
                <w:b/>
              </w:rPr>
              <w:t>Industrial Wastewater Discharger (Petroleum Refinery):</w:t>
            </w:r>
          </w:p>
        </w:tc>
      </w:tr>
      <w:tr w:rsidR="001C5A72" w:rsidRPr="00340C37" w14:paraId="17A67C8A" w14:textId="77777777" w:rsidTr="001C5A72">
        <w:trPr>
          <w:cantSplit/>
        </w:trPr>
        <w:tc>
          <w:tcPr>
            <w:tcW w:w="3168" w:type="dxa"/>
            <w:tcBorders>
              <w:left w:val="single" w:sz="12" w:space="0" w:color="auto"/>
            </w:tcBorders>
            <w:shd w:val="clear" w:color="auto" w:fill="auto"/>
            <w:vAlign w:val="center"/>
          </w:tcPr>
          <w:p w14:paraId="73EBAA60" w14:textId="77777777" w:rsidR="001C5A72" w:rsidRPr="00340C37" w:rsidRDefault="001C5A72" w:rsidP="001C5A72">
            <w:r w:rsidRPr="00340C37">
              <w:t>Chevron Products Company</w:t>
            </w:r>
          </w:p>
        </w:tc>
        <w:tc>
          <w:tcPr>
            <w:tcW w:w="2493" w:type="dxa"/>
            <w:shd w:val="clear" w:color="auto" w:fill="auto"/>
            <w:vAlign w:val="center"/>
          </w:tcPr>
          <w:p w14:paraId="32F40B3A" w14:textId="3CA9D56D" w:rsidR="001C5A72" w:rsidRDefault="00CD4194" w:rsidP="001C5A72">
            <w:r>
              <w:t>Kory Judd</w:t>
            </w:r>
            <w:r w:rsidR="00534758">
              <w:t>,</w:t>
            </w:r>
          </w:p>
          <w:p w14:paraId="5A6D7BD5" w14:textId="3EFB5380" w:rsidR="00534758" w:rsidRPr="00340C37" w:rsidRDefault="00534758" w:rsidP="001C5A72">
            <w:r>
              <w:t>General Manager</w:t>
            </w:r>
          </w:p>
          <w:p w14:paraId="575F8EB4" w14:textId="54EAE02B" w:rsidR="001C5A72" w:rsidRPr="00340C37" w:rsidRDefault="001C5A72" w:rsidP="00CD4194">
            <w:r w:rsidRPr="00340C37">
              <w:t>(510) 242-</w:t>
            </w:r>
            <w:r w:rsidR="00CD4194">
              <w:t>4400</w:t>
            </w:r>
          </w:p>
        </w:tc>
        <w:tc>
          <w:tcPr>
            <w:tcW w:w="2169" w:type="dxa"/>
            <w:shd w:val="clear" w:color="auto" w:fill="auto"/>
            <w:vAlign w:val="center"/>
          </w:tcPr>
          <w:p w14:paraId="769BA664" w14:textId="77777777" w:rsidR="00A955D2" w:rsidRPr="0031592A" w:rsidRDefault="00A955D2" w:rsidP="00A955D2">
            <w:r w:rsidRPr="0031592A">
              <w:t>841 Chevron Way</w:t>
            </w:r>
          </w:p>
          <w:p w14:paraId="4C4B3686" w14:textId="77777777" w:rsidR="00A955D2" w:rsidRPr="0031592A" w:rsidRDefault="00A955D2" w:rsidP="00A955D2">
            <w:r w:rsidRPr="0031592A">
              <w:t>Richmond, CA 94801</w:t>
            </w:r>
          </w:p>
          <w:p w14:paraId="07F2790B" w14:textId="7C77979B" w:rsidR="001C5A72" w:rsidRPr="00340C37" w:rsidRDefault="00A955D2" w:rsidP="00A955D2">
            <w:r w:rsidRPr="0031592A">
              <w:t>Contra Costa County</w:t>
            </w:r>
          </w:p>
        </w:tc>
        <w:tc>
          <w:tcPr>
            <w:tcW w:w="1458" w:type="dxa"/>
            <w:shd w:val="clear" w:color="auto" w:fill="auto"/>
            <w:vAlign w:val="center"/>
          </w:tcPr>
          <w:p w14:paraId="7C1A52D0" w14:textId="77777777" w:rsidR="001C5A72" w:rsidRPr="00340C37" w:rsidRDefault="001C5A72" w:rsidP="001C5A72">
            <w:pPr>
              <w:jc w:val="center"/>
            </w:pPr>
            <w:r w:rsidRPr="00340C37">
              <w:t>Industrial - Petroleum Refining</w:t>
            </w:r>
          </w:p>
        </w:tc>
        <w:tc>
          <w:tcPr>
            <w:tcW w:w="1395" w:type="dxa"/>
            <w:tcBorders>
              <w:right w:val="single" w:sz="12" w:space="0" w:color="auto"/>
            </w:tcBorders>
            <w:shd w:val="clear" w:color="auto" w:fill="auto"/>
            <w:vAlign w:val="center"/>
          </w:tcPr>
          <w:p w14:paraId="18E80221" w14:textId="16577B50" w:rsidR="001C5A72" w:rsidRPr="00340C37" w:rsidRDefault="00CD4194" w:rsidP="001C5A72">
            <w:pPr>
              <w:jc w:val="center"/>
            </w:pPr>
            <w:r>
              <w:t>25</w:t>
            </w:r>
          </w:p>
        </w:tc>
      </w:tr>
      <w:tr w:rsidR="001C5A72" w:rsidRPr="00340C37" w14:paraId="34647FD3" w14:textId="77777777" w:rsidTr="001C5A72">
        <w:trPr>
          <w:cantSplit/>
        </w:trPr>
        <w:tc>
          <w:tcPr>
            <w:tcW w:w="3168" w:type="dxa"/>
            <w:tcBorders>
              <w:left w:val="single" w:sz="12" w:space="0" w:color="auto"/>
            </w:tcBorders>
            <w:shd w:val="clear" w:color="auto" w:fill="auto"/>
            <w:vAlign w:val="center"/>
          </w:tcPr>
          <w:p w14:paraId="690477B9" w14:textId="7A05DA35" w:rsidR="001C5A72" w:rsidRPr="00340C37" w:rsidRDefault="001C5A72" w:rsidP="001C5A72">
            <w:r w:rsidRPr="00340C37">
              <w:t>Phillips 66</w:t>
            </w:r>
          </w:p>
        </w:tc>
        <w:tc>
          <w:tcPr>
            <w:tcW w:w="2493" w:type="dxa"/>
            <w:shd w:val="clear" w:color="auto" w:fill="auto"/>
            <w:vAlign w:val="center"/>
          </w:tcPr>
          <w:p w14:paraId="6B71D9E2" w14:textId="2C71B91D" w:rsidR="001C5A72" w:rsidRPr="00340C37" w:rsidRDefault="00AE39B4" w:rsidP="001C5A72">
            <w:r>
              <w:t>Donald R. Landeck</w:t>
            </w:r>
            <w:r w:rsidR="00B50D92">
              <w:t>,</w:t>
            </w:r>
          </w:p>
          <w:p w14:paraId="09C09F9A" w14:textId="365836D8" w:rsidR="001C5A72" w:rsidRPr="00340C37" w:rsidRDefault="00AE39B4" w:rsidP="001C5A72">
            <w:r>
              <w:t>Environmental Engineer</w:t>
            </w:r>
          </w:p>
          <w:p w14:paraId="3DB78B05" w14:textId="079324BC" w:rsidR="001C5A72" w:rsidRPr="00340C37" w:rsidRDefault="001C5A72" w:rsidP="00AE39B4">
            <w:r w:rsidRPr="00340C37">
              <w:t>(510) 245-4</w:t>
            </w:r>
            <w:r w:rsidR="00AE39B4">
              <w:t>618</w:t>
            </w:r>
          </w:p>
        </w:tc>
        <w:tc>
          <w:tcPr>
            <w:tcW w:w="2169" w:type="dxa"/>
            <w:shd w:val="clear" w:color="auto" w:fill="auto"/>
            <w:vAlign w:val="center"/>
          </w:tcPr>
          <w:p w14:paraId="7F9B80BE" w14:textId="77777777" w:rsidR="00A955D2" w:rsidRPr="0031592A" w:rsidRDefault="00A955D2" w:rsidP="00A955D2">
            <w:r w:rsidRPr="0031592A">
              <w:t>1380 San Pablo Avenue</w:t>
            </w:r>
          </w:p>
          <w:p w14:paraId="0BA7012C" w14:textId="77777777" w:rsidR="00A955D2" w:rsidRPr="0031592A" w:rsidRDefault="00A955D2" w:rsidP="00A955D2">
            <w:r w:rsidRPr="0031592A">
              <w:t>Rodeo, CA 94572-1354</w:t>
            </w:r>
          </w:p>
          <w:p w14:paraId="455D21DF" w14:textId="20E4AA1C" w:rsidR="001C5A72" w:rsidRPr="00340C37" w:rsidRDefault="00A955D2" w:rsidP="00A955D2">
            <w:r w:rsidRPr="0031592A">
              <w:t>Contra Costa County</w:t>
            </w:r>
          </w:p>
        </w:tc>
        <w:tc>
          <w:tcPr>
            <w:tcW w:w="1458" w:type="dxa"/>
            <w:shd w:val="clear" w:color="auto" w:fill="auto"/>
            <w:vAlign w:val="center"/>
          </w:tcPr>
          <w:p w14:paraId="20E946CC" w14:textId="77777777" w:rsidR="001C5A72" w:rsidRPr="00340C37" w:rsidRDefault="001C5A72" w:rsidP="001C5A72">
            <w:pPr>
              <w:jc w:val="center"/>
            </w:pPr>
            <w:r w:rsidRPr="00340C37">
              <w:t>Industrial – Petroleum Refining</w:t>
            </w:r>
          </w:p>
        </w:tc>
        <w:tc>
          <w:tcPr>
            <w:tcW w:w="1395" w:type="dxa"/>
            <w:tcBorders>
              <w:right w:val="single" w:sz="12" w:space="0" w:color="auto"/>
            </w:tcBorders>
            <w:shd w:val="clear" w:color="auto" w:fill="auto"/>
            <w:vAlign w:val="center"/>
          </w:tcPr>
          <w:p w14:paraId="304DD155" w14:textId="73335B1C" w:rsidR="001C5A72" w:rsidRPr="00340C37" w:rsidRDefault="00522581" w:rsidP="001C5A72">
            <w:pPr>
              <w:jc w:val="center"/>
            </w:pPr>
            <w:r>
              <w:t>10</w:t>
            </w:r>
          </w:p>
        </w:tc>
      </w:tr>
      <w:tr w:rsidR="001C5A72" w:rsidRPr="00340C37" w14:paraId="507E2DA8" w14:textId="77777777" w:rsidTr="001C5A72">
        <w:trPr>
          <w:cantSplit/>
        </w:trPr>
        <w:tc>
          <w:tcPr>
            <w:tcW w:w="3168" w:type="dxa"/>
            <w:tcBorders>
              <w:left w:val="single" w:sz="12" w:space="0" w:color="auto"/>
            </w:tcBorders>
            <w:shd w:val="clear" w:color="auto" w:fill="auto"/>
            <w:vAlign w:val="center"/>
          </w:tcPr>
          <w:p w14:paraId="0E88823E" w14:textId="77777777" w:rsidR="001C5A72" w:rsidRPr="00340C37" w:rsidRDefault="001C5A72" w:rsidP="001C5A72">
            <w:pPr>
              <w:tabs>
                <w:tab w:val="left" w:pos="459"/>
              </w:tabs>
              <w:rPr>
                <w:rFonts w:eastAsia="Arial Unicode MS"/>
              </w:rPr>
            </w:pPr>
            <w:r w:rsidRPr="00340C37">
              <w:rPr>
                <w:rFonts w:eastAsia="Arial Unicode MS"/>
              </w:rPr>
              <w:t>Shell Oil Products US and Equilon Enterprises LLC</w:t>
            </w:r>
          </w:p>
        </w:tc>
        <w:tc>
          <w:tcPr>
            <w:tcW w:w="2493" w:type="dxa"/>
            <w:shd w:val="clear" w:color="auto" w:fill="auto"/>
            <w:vAlign w:val="center"/>
          </w:tcPr>
          <w:p w14:paraId="683343A6" w14:textId="32EC8C4D" w:rsidR="001C5A72" w:rsidRDefault="00B50D92" w:rsidP="001C5A72">
            <w:r>
              <w:t>Thomas Rizzo,</w:t>
            </w:r>
          </w:p>
          <w:p w14:paraId="59A3DF49" w14:textId="2BD0ABCF" w:rsidR="00B50D92" w:rsidRPr="00340C37" w:rsidRDefault="00B50D92" w:rsidP="001C5A72">
            <w:r>
              <w:t>General Manager</w:t>
            </w:r>
          </w:p>
          <w:p w14:paraId="11B720BB" w14:textId="5BC12D28" w:rsidR="001C5A72" w:rsidRPr="00340C37" w:rsidRDefault="001C5A72" w:rsidP="00B50D92">
            <w:r w:rsidRPr="00340C37">
              <w:t>(925) 313-3</w:t>
            </w:r>
            <w:r w:rsidR="00B50D92">
              <w:t>000</w:t>
            </w:r>
          </w:p>
        </w:tc>
        <w:tc>
          <w:tcPr>
            <w:tcW w:w="2169" w:type="dxa"/>
            <w:shd w:val="clear" w:color="auto" w:fill="auto"/>
            <w:vAlign w:val="center"/>
          </w:tcPr>
          <w:p w14:paraId="7133CFDC" w14:textId="77777777" w:rsidR="00A955D2" w:rsidRPr="0031592A" w:rsidRDefault="00A955D2" w:rsidP="00A955D2">
            <w:r w:rsidRPr="0031592A">
              <w:t>3485 Pacheco Blvd</w:t>
            </w:r>
          </w:p>
          <w:p w14:paraId="6BBA1D8F" w14:textId="77777777" w:rsidR="00A955D2" w:rsidRPr="0031592A" w:rsidRDefault="00A955D2" w:rsidP="00A955D2">
            <w:r w:rsidRPr="0031592A">
              <w:t>Martinez CA 94553</w:t>
            </w:r>
          </w:p>
          <w:p w14:paraId="396F6F37" w14:textId="5E0CF3DA" w:rsidR="001C5A72" w:rsidRPr="00340C37" w:rsidRDefault="00A955D2" w:rsidP="00A955D2">
            <w:r w:rsidRPr="0031592A">
              <w:t>Contra Costa County</w:t>
            </w:r>
          </w:p>
        </w:tc>
        <w:tc>
          <w:tcPr>
            <w:tcW w:w="1458" w:type="dxa"/>
            <w:shd w:val="clear" w:color="auto" w:fill="auto"/>
            <w:vAlign w:val="center"/>
          </w:tcPr>
          <w:p w14:paraId="030A5D30" w14:textId="77777777" w:rsidR="001C5A72" w:rsidRPr="00340C37" w:rsidRDefault="001C5A72" w:rsidP="001C5A72">
            <w:pPr>
              <w:jc w:val="center"/>
            </w:pPr>
            <w:r w:rsidRPr="00340C37">
              <w:t>Industrial – Petroleum Refining</w:t>
            </w:r>
          </w:p>
        </w:tc>
        <w:tc>
          <w:tcPr>
            <w:tcW w:w="1395" w:type="dxa"/>
            <w:tcBorders>
              <w:right w:val="single" w:sz="12" w:space="0" w:color="auto"/>
            </w:tcBorders>
            <w:shd w:val="clear" w:color="auto" w:fill="auto"/>
            <w:vAlign w:val="center"/>
          </w:tcPr>
          <w:p w14:paraId="3FA5A380" w14:textId="0BD5AFD6" w:rsidR="001C5A72" w:rsidRPr="00340C37" w:rsidRDefault="00CA0F7A" w:rsidP="001C5A72">
            <w:pPr>
              <w:jc w:val="center"/>
              <w:rPr>
                <w:vertAlign w:val="superscript"/>
              </w:rPr>
            </w:pPr>
            <w:r>
              <w:t>8.2</w:t>
            </w:r>
          </w:p>
        </w:tc>
      </w:tr>
      <w:tr w:rsidR="001C5A72" w:rsidRPr="00340C37" w14:paraId="2F49893F" w14:textId="77777777" w:rsidTr="001C5A72">
        <w:trPr>
          <w:cantSplit/>
        </w:trPr>
        <w:tc>
          <w:tcPr>
            <w:tcW w:w="3168" w:type="dxa"/>
            <w:tcBorders>
              <w:left w:val="single" w:sz="12" w:space="0" w:color="auto"/>
            </w:tcBorders>
            <w:shd w:val="clear" w:color="auto" w:fill="auto"/>
            <w:vAlign w:val="center"/>
          </w:tcPr>
          <w:p w14:paraId="13AA73CE" w14:textId="77777777" w:rsidR="001C5A72" w:rsidRPr="00340C37" w:rsidRDefault="001C5A72" w:rsidP="001C5A72">
            <w:pPr>
              <w:rPr>
                <w:rFonts w:eastAsia="Arial Unicode MS"/>
              </w:rPr>
            </w:pPr>
            <w:r w:rsidRPr="00340C37">
              <w:rPr>
                <w:rFonts w:eastAsia="Arial Unicode MS"/>
              </w:rPr>
              <w:t>Tesoro Refining &amp; Marketing Co.</w:t>
            </w:r>
          </w:p>
        </w:tc>
        <w:tc>
          <w:tcPr>
            <w:tcW w:w="2493" w:type="dxa"/>
            <w:shd w:val="clear" w:color="auto" w:fill="auto"/>
            <w:vAlign w:val="center"/>
          </w:tcPr>
          <w:p w14:paraId="0D295D49" w14:textId="515D066A" w:rsidR="001C5A72" w:rsidRPr="00340C37" w:rsidRDefault="001C5A72" w:rsidP="001C5A72">
            <w:r w:rsidRPr="00340C37">
              <w:t>Peter Carroll</w:t>
            </w:r>
            <w:r w:rsidR="00852046">
              <w:t>,</w:t>
            </w:r>
          </w:p>
          <w:p w14:paraId="06EC7CE2" w14:textId="77777777" w:rsidR="001C5A72" w:rsidRPr="00340C37" w:rsidRDefault="001C5A72" w:rsidP="001C5A72">
            <w:r w:rsidRPr="00340C37">
              <w:t>Environmental Engineer</w:t>
            </w:r>
          </w:p>
          <w:p w14:paraId="397FA8E4" w14:textId="77777777" w:rsidR="001C5A72" w:rsidRPr="00340C37" w:rsidRDefault="001C5A72" w:rsidP="001C5A72">
            <w:r w:rsidRPr="00340C37">
              <w:t>(925) 335-3497</w:t>
            </w:r>
          </w:p>
        </w:tc>
        <w:tc>
          <w:tcPr>
            <w:tcW w:w="2169" w:type="dxa"/>
            <w:shd w:val="clear" w:color="auto" w:fill="auto"/>
            <w:vAlign w:val="center"/>
          </w:tcPr>
          <w:p w14:paraId="566AEF64" w14:textId="77777777" w:rsidR="00A955D2" w:rsidRPr="0031592A" w:rsidRDefault="00A955D2" w:rsidP="00A955D2">
            <w:r w:rsidRPr="0031592A">
              <w:t>150 Solano Way</w:t>
            </w:r>
          </w:p>
          <w:p w14:paraId="5F6EBEAC" w14:textId="77777777" w:rsidR="00A955D2" w:rsidRPr="0031592A" w:rsidRDefault="00A955D2" w:rsidP="00A955D2">
            <w:r w:rsidRPr="0031592A">
              <w:t>Martinez, CA 94553</w:t>
            </w:r>
          </w:p>
          <w:p w14:paraId="717F14E8" w14:textId="3695A32D" w:rsidR="001C5A72" w:rsidRPr="00340C37" w:rsidRDefault="00A955D2" w:rsidP="00A955D2">
            <w:r w:rsidRPr="0031592A">
              <w:t>Contra Costa County</w:t>
            </w:r>
          </w:p>
        </w:tc>
        <w:tc>
          <w:tcPr>
            <w:tcW w:w="1458" w:type="dxa"/>
            <w:shd w:val="clear" w:color="auto" w:fill="auto"/>
            <w:vAlign w:val="center"/>
          </w:tcPr>
          <w:p w14:paraId="3351FF91" w14:textId="77777777" w:rsidR="001C5A72" w:rsidRPr="00340C37" w:rsidRDefault="001C5A72" w:rsidP="001C5A72">
            <w:pPr>
              <w:jc w:val="center"/>
            </w:pPr>
            <w:r w:rsidRPr="00340C37">
              <w:t>Industrial - Petroleum Refining</w:t>
            </w:r>
          </w:p>
        </w:tc>
        <w:tc>
          <w:tcPr>
            <w:tcW w:w="1395" w:type="dxa"/>
            <w:tcBorders>
              <w:right w:val="single" w:sz="12" w:space="0" w:color="auto"/>
            </w:tcBorders>
            <w:shd w:val="clear" w:color="auto" w:fill="auto"/>
            <w:vAlign w:val="center"/>
          </w:tcPr>
          <w:p w14:paraId="6BC63E1B" w14:textId="40465021" w:rsidR="001C5A72" w:rsidRPr="00340C37" w:rsidRDefault="00CA0F7A" w:rsidP="001C5A72">
            <w:pPr>
              <w:jc w:val="center"/>
            </w:pPr>
            <w:r>
              <w:t>10.4</w:t>
            </w:r>
          </w:p>
        </w:tc>
      </w:tr>
      <w:tr w:rsidR="00A955D2" w:rsidRPr="00340C37" w14:paraId="523773CF" w14:textId="77777777" w:rsidTr="001C5A72">
        <w:trPr>
          <w:cantSplit/>
        </w:trPr>
        <w:tc>
          <w:tcPr>
            <w:tcW w:w="3168" w:type="dxa"/>
            <w:tcBorders>
              <w:left w:val="single" w:sz="12" w:space="0" w:color="auto"/>
              <w:bottom w:val="single" w:sz="12" w:space="0" w:color="auto"/>
            </w:tcBorders>
            <w:shd w:val="clear" w:color="auto" w:fill="auto"/>
            <w:vAlign w:val="center"/>
          </w:tcPr>
          <w:p w14:paraId="3322FE0B" w14:textId="77777777" w:rsidR="00A955D2" w:rsidRPr="00340C37" w:rsidRDefault="00A955D2" w:rsidP="00A955D2">
            <w:pPr>
              <w:rPr>
                <w:rFonts w:eastAsia="Arial Unicode MS"/>
              </w:rPr>
            </w:pPr>
            <w:r w:rsidRPr="00340C37">
              <w:rPr>
                <w:rFonts w:eastAsia="Arial Unicode MS"/>
              </w:rPr>
              <w:t>Valero Refining Company</w:t>
            </w:r>
          </w:p>
        </w:tc>
        <w:tc>
          <w:tcPr>
            <w:tcW w:w="2493" w:type="dxa"/>
            <w:tcBorders>
              <w:bottom w:val="single" w:sz="12" w:space="0" w:color="auto"/>
            </w:tcBorders>
            <w:shd w:val="clear" w:color="auto" w:fill="auto"/>
            <w:vAlign w:val="center"/>
          </w:tcPr>
          <w:p w14:paraId="6078C2C3" w14:textId="2DCC4846" w:rsidR="00A955D2" w:rsidRPr="00340C37" w:rsidRDefault="00852046" w:rsidP="00A955D2">
            <w:r>
              <w:t>Kimberly Ronan,</w:t>
            </w:r>
          </w:p>
          <w:p w14:paraId="13D499B8" w14:textId="46D8CA9C" w:rsidR="00A955D2" w:rsidRPr="00340C37" w:rsidRDefault="00852046" w:rsidP="00A955D2">
            <w:r>
              <w:t>Environmental Engineer</w:t>
            </w:r>
          </w:p>
          <w:p w14:paraId="5E19EA61" w14:textId="40B083E4" w:rsidR="00A955D2" w:rsidRPr="00340C37" w:rsidRDefault="00A955D2" w:rsidP="00D02BBA">
            <w:r w:rsidRPr="00340C37">
              <w:t>(707) 745-7</w:t>
            </w:r>
            <w:r w:rsidR="00D02BBA">
              <w:t>990</w:t>
            </w:r>
          </w:p>
        </w:tc>
        <w:tc>
          <w:tcPr>
            <w:tcW w:w="2169" w:type="dxa"/>
            <w:tcBorders>
              <w:bottom w:val="single" w:sz="12" w:space="0" w:color="auto"/>
            </w:tcBorders>
            <w:shd w:val="clear" w:color="auto" w:fill="auto"/>
            <w:vAlign w:val="center"/>
          </w:tcPr>
          <w:p w14:paraId="20A56FE2" w14:textId="77777777" w:rsidR="00A955D2" w:rsidRPr="0031592A" w:rsidRDefault="00A955D2" w:rsidP="00A955D2">
            <w:r w:rsidRPr="0031592A">
              <w:t>3400 East Second Street</w:t>
            </w:r>
          </w:p>
          <w:p w14:paraId="05C20686" w14:textId="77777777" w:rsidR="00A955D2" w:rsidRPr="0031592A" w:rsidRDefault="00A955D2" w:rsidP="00A955D2">
            <w:r w:rsidRPr="0031592A">
              <w:t>Benicia, CA 94510-1005</w:t>
            </w:r>
          </w:p>
          <w:p w14:paraId="23417078" w14:textId="7F80F8D9" w:rsidR="00A955D2" w:rsidRPr="00340C37" w:rsidRDefault="00A955D2" w:rsidP="00A955D2">
            <w:r w:rsidRPr="0031592A">
              <w:t>Solano County</w:t>
            </w:r>
          </w:p>
        </w:tc>
        <w:tc>
          <w:tcPr>
            <w:tcW w:w="1458" w:type="dxa"/>
            <w:tcBorders>
              <w:bottom w:val="single" w:sz="12" w:space="0" w:color="auto"/>
            </w:tcBorders>
            <w:shd w:val="clear" w:color="auto" w:fill="auto"/>
            <w:vAlign w:val="center"/>
          </w:tcPr>
          <w:p w14:paraId="20846E48" w14:textId="77777777" w:rsidR="00A955D2" w:rsidRPr="00340C37" w:rsidRDefault="00A955D2" w:rsidP="00A955D2">
            <w:pPr>
              <w:jc w:val="center"/>
            </w:pPr>
            <w:r w:rsidRPr="00340C37">
              <w:t>Industrial - Petroleum Refining</w:t>
            </w:r>
          </w:p>
        </w:tc>
        <w:tc>
          <w:tcPr>
            <w:tcW w:w="1395" w:type="dxa"/>
            <w:tcBorders>
              <w:bottom w:val="single" w:sz="12" w:space="0" w:color="auto"/>
              <w:right w:val="single" w:sz="12" w:space="0" w:color="auto"/>
            </w:tcBorders>
            <w:shd w:val="clear" w:color="auto" w:fill="auto"/>
            <w:vAlign w:val="center"/>
          </w:tcPr>
          <w:p w14:paraId="13878CF6" w14:textId="656B750A" w:rsidR="00A955D2" w:rsidRPr="00340C37" w:rsidRDefault="00DF04D8" w:rsidP="00A955D2">
            <w:pPr>
              <w:jc w:val="center"/>
            </w:pPr>
            <w:r>
              <w:t>3.7</w:t>
            </w:r>
          </w:p>
        </w:tc>
      </w:tr>
    </w:tbl>
    <w:p w14:paraId="0DA3B484" w14:textId="5825D1E1" w:rsidR="00340C37" w:rsidRDefault="00340C37" w:rsidP="00340C37">
      <w:pPr>
        <w:keepNext/>
        <w:tabs>
          <w:tab w:val="left" w:pos="360"/>
        </w:tabs>
        <w:outlineLvl w:val="0"/>
        <w:rPr>
          <w:rFonts w:ascii="Arial" w:hAnsi="Arial" w:cs="Arial"/>
          <w:b/>
        </w:rPr>
      </w:pPr>
      <w:r w:rsidRPr="00340C37">
        <w:rPr>
          <w:rFonts w:ascii="Arial" w:hAnsi="Arial" w:cs="Arial"/>
          <w:b/>
        </w:rPr>
        <w:br w:type="page"/>
      </w:r>
    </w:p>
    <w:p w14:paraId="45E767F9" w14:textId="0064830D" w:rsidR="00495940" w:rsidRPr="00BA0D4D" w:rsidRDefault="00495940" w:rsidP="00495940">
      <w:pPr>
        <w:pStyle w:val="TableHeader1F"/>
        <w:keepNext/>
        <w:jc w:val="center"/>
        <w:rPr>
          <w:rFonts w:ascii="Times New Roman" w:hAnsi="Times New Roman" w:cs="Times New Roman"/>
          <w:sz w:val="24"/>
          <w:szCs w:val="24"/>
          <w:lang w:val="en-CA"/>
        </w:rPr>
      </w:pPr>
      <w:bookmarkStart w:id="184" w:name="_Toc487829733"/>
      <w:r>
        <w:rPr>
          <w:rFonts w:ascii="Times New Roman" w:hAnsi="Times New Roman" w:cs="Times New Roman"/>
          <w:sz w:val="24"/>
          <w:szCs w:val="24"/>
        </w:rPr>
        <w:lastRenderedPageBreak/>
        <w:t>Table F-2A</w:t>
      </w:r>
      <w:r w:rsidRPr="00570B42">
        <w:rPr>
          <w:rFonts w:ascii="Times New Roman" w:hAnsi="Times New Roman" w:cs="Times New Roman"/>
          <w:sz w:val="24"/>
          <w:szCs w:val="24"/>
          <w:lang w:val="en-CA"/>
        </w:rPr>
        <w:t xml:space="preserve">. </w:t>
      </w:r>
      <w:r>
        <w:rPr>
          <w:rFonts w:ascii="Times New Roman" w:hAnsi="Times New Roman" w:cs="Times New Roman"/>
          <w:sz w:val="24"/>
          <w:szCs w:val="24"/>
          <w:lang w:val="en-CA"/>
        </w:rPr>
        <w:t xml:space="preserve">Additional Municipal </w:t>
      </w:r>
      <w:r w:rsidRPr="00570B42">
        <w:rPr>
          <w:rFonts w:ascii="Times New Roman" w:hAnsi="Times New Roman" w:cs="Times New Roman"/>
          <w:sz w:val="24"/>
          <w:szCs w:val="24"/>
          <w:lang w:val="en-CA"/>
        </w:rPr>
        <w:t>Facility Information</w:t>
      </w:r>
      <w:bookmarkEnd w:id="184"/>
    </w:p>
    <w:tbl>
      <w:tblPr>
        <w:tblW w:w="10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75"/>
        <w:gridCol w:w="2286"/>
        <w:gridCol w:w="2244"/>
        <w:gridCol w:w="1440"/>
        <w:gridCol w:w="1329"/>
      </w:tblGrid>
      <w:tr w:rsidR="00495940" w:rsidRPr="007F4001" w14:paraId="6B355D2D" w14:textId="77777777" w:rsidTr="00495940">
        <w:trPr>
          <w:cantSplit/>
          <w:tblHeader/>
        </w:trPr>
        <w:tc>
          <w:tcPr>
            <w:tcW w:w="3375" w:type="dxa"/>
            <w:tcBorders>
              <w:top w:val="single" w:sz="12" w:space="0" w:color="auto"/>
              <w:left w:val="single" w:sz="12" w:space="0" w:color="auto"/>
              <w:bottom w:val="single" w:sz="12" w:space="0" w:color="auto"/>
            </w:tcBorders>
            <w:shd w:val="clear" w:color="auto" w:fill="auto"/>
            <w:vAlign w:val="center"/>
          </w:tcPr>
          <w:p w14:paraId="598C9B4A" w14:textId="77777777" w:rsidR="00495940" w:rsidRPr="007F4001" w:rsidRDefault="00495940" w:rsidP="00031972">
            <w:pPr>
              <w:keepNext/>
              <w:jc w:val="center"/>
              <w:rPr>
                <w:b/>
                <w:color w:val="000000"/>
              </w:rPr>
            </w:pPr>
            <w:r w:rsidRPr="007F4001">
              <w:rPr>
                <w:b/>
                <w:color w:val="000000"/>
              </w:rPr>
              <w:t>Discharger</w:t>
            </w:r>
          </w:p>
        </w:tc>
        <w:tc>
          <w:tcPr>
            <w:tcW w:w="2286" w:type="dxa"/>
            <w:tcBorders>
              <w:top w:val="single" w:sz="12" w:space="0" w:color="auto"/>
              <w:bottom w:val="single" w:sz="12" w:space="0" w:color="auto"/>
            </w:tcBorders>
            <w:shd w:val="clear" w:color="auto" w:fill="auto"/>
            <w:vAlign w:val="center"/>
          </w:tcPr>
          <w:p w14:paraId="022E4BF0" w14:textId="615E5A0E" w:rsidR="00495940" w:rsidRPr="007F4001" w:rsidRDefault="00495940" w:rsidP="00031972">
            <w:pPr>
              <w:keepNext/>
              <w:jc w:val="center"/>
              <w:rPr>
                <w:b/>
                <w:color w:val="000000"/>
              </w:rPr>
            </w:pPr>
            <w:r>
              <w:rPr>
                <w:b/>
                <w:color w:val="000000"/>
                <w:lang w:val="fr-FR"/>
              </w:rPr>
              <w:t>Authorized Person to Sign and Submit Reports</w:t>
            </w:r>
          </w:p>
        </w:tc>
        <w:tc>
          <w:tcPr>
            <w:tcW w:w="2244" w:type="dxa"/>
            <w:tcBorders>
              <w:top w:val="single" w:sz="12" w:space="0" w:color="auto"/>
              <w:bottom w:val="single" w:sz="12" w:space="0" w:color="auto"/>
              <w:right w:val="single" w:sz="4" w:space="0" w:color="auto"/>
            </w:tcBorders>
            <w:shd w:val="clear" w:color="auto" w:fill="auto"/>
            <w:vAlign w:val="center"/>
          </w:tcPr>
          <w:p w14:paraId="4523F8CC" w14:textId="05E36BEE" w:rsidR="00495940" w:rsidRPr="007F4001" w:rsidRDefault="00495940" w:rsidP="00031972">
            <w:pPr>
              <w:keepNext/>
              <w:jc w:val="center"/>
              <w:rPr>
                <w:b/>
                <w:color w:val="000000"/>
              </w:rPr>
            </w:pPr>
            <w:r>
              <w:rPr>
                <w:b/>
                <w:color w:val="000000"/>
                <w:lang w:val="fr-FR"/>
              </w:rPr>
              <w:t>Billing Address</w:t>
            </w:r>
          </w:p>
        </w:tc>
        <w:tc>
          <w:tcPr>
            <w:tcW w:w="1440" w:type="dxa"/>
            <w:tcBorders>
              <w:top w:val="single" w:sz="12" w:space="0" w:color="auto"/>
              <w:bottom w:val="single" w:sz="12" w:space="0" w:color="auto"/>
              <w:right w:val="single" w:sz="4" w:space="0" w:color="auto"/>
            </w:tcBorders>
            <w:shd w:val="clear" w:color="auto" w:fill="auto"/>
            <w:vAlign w:val="center"/>
          </w:tcPr>
          <w:p w14:paraId="100C9650" w14:textId="4C062DBA" w:rsidR="00495940" w:rsidRPr="007F4001" w:rsidRDefault="00495940" w:rsidP="00031972">
            <w:pPr>
              <w:keepNext/>
              <w:jc w:val="center"/>
              <w:rPr>
                <w:b/>
                <w:color w:val="000000"/>
              </w:rPr>
            </w:pPr>
            <w:r>
              <w:rPr>
                <w:b/>
                <w:color w:val="000000"/>
              </w:rPr>
              <w:t>Pretreatment Program</w:t>
            </w:r>
          </w:p>
        </w:tc>
        <w:tc>
          <w:tcPr>
            <w:tcW w:w="1329" w:type="dxa"/>
            <w:tcBorders>
              <w:top w:val="single" w:sz="12" w:space="0" w:color="auto"/>
              <w:left w:val="single" w:sz="4" w:space="0" w:color="auto"/>
              <w:bottom w:val="single" w:sz="12" w:space="0" w:color="auto"/>
              <w:right w:val="single" w:sz="12" w:space="0" w:color="auto"/>
            </w:tcBorders>
            <w:shd w:val="clear" w:color="auto" w:fill="auto"/>
            <w:vAlign w:val="center"/>
          </w:tcPr>
          <w:p w14:paraId="4DEF2A44" w14:textId="27BCA9FD" w:rsidR="00495940" w:rsidRPr="007F4001" w:rsidRDefault="00495940" w:rsidP="00495940">
            <w:pPr>
              <w:keepNext/>
              <w:jc w:val="center"/>
              <w:rPr>
                <w:b/>
                <w:color w:val="000000"/>
              </w:rPr>
            </w:pPr>
            <w:r>
              <w:rPr>
                <w:b/>
                <w:color w:val="000000"/>
              </w:rPr>
              <w:t>Receiving Water Type</w:t>
            </w:r>
          </w:p>
        </w:tc>
      </w:tr>
      <w:tr w:rsidR="00900559" w:rsidRPr="007F4001" w14:paraId="06467D23" w14:textId="77777777" w:rsidTr="00031972">
        <w:trPr>
          <w:cantSplit/>
        </w:trPr>
        <w:tc>
          <w:tcPr>
            <w:tcW w:w="3375" w:type="dxa"/>
            <w:tcBorders>
              <w:top w:val="single" w:sz="12" w:space="0" w:color="auto"/>
              <w:left w:val="single" w:sz="12" w:space="0" w:color="auto"/>
            </w:tcBorders>
            <w:shd w:val="clear" w:color="auto" w:fill="auto"/>
            <w:vAlign w:val="center"/>
          </w:tcPr>
          <w:p w14:paraId="79446574" w14:textId="77777777" w:rsidR="00900559" w:rsidRPr="007F4001" w:rsidRDefault="00900559" w:rsidP="00900559">
            <w:r w:rsidRPr="007F4001">
              <w:t>American Canyon, City of</w:t>
            </w:r>
          </w:p>
        </w:tc>
        <w:tc>
          <w:tcPr>
            <w:tcW w:w="2286" w:type="dxa"/>
            <w:tcBorders>
              <w:top w:val="single" w:sz="12" w:space="0" w:color="auto"/>
            </w:tcBorders>
            <w:shd w:val="clear" w:color="auto" w:fill="auto"/>
            <w:vAlign w:val="center"/>
          </w:tcPr>
          <w:p w14:paraId="4FF518BD" w14:textId="77777777" w:rsidR="00900559" w:rsidRPr="00403E66" w:rsidRDefault="00900559" w:rsidP="00900559">
            <w:r w:rsidRPr="00403E66">
              <w:t>Stacey Ambrose,</w:t>
            </w:r>
          </w:p>
          <w:p w14:paraId="08C2DF68" w14:textId="77777777" w:rsidR="00900559" w:rsidRPr="00403E66" w:rsidRDefault="00900559" w:rsidP="00900559">
            <w:r w:rsidRPr="00403E66">
              <w:t>Environmental Services Manager</w:t>
            </w:r>
          </w:p>
          <w:p w14:paraId="37015CF8" w14:textId="77777777" w:rsidR="00900559" w:rsidRPr="00403E66" w:rsidRDefault="00900559" w:rsidP="00900559">
            <w:r w:rsidRPr="00403E66">
              <w:t>(707) 647-4542</w:t>
            </w:r>
          </w:p>
        </w:tc>
        <w:tc>
          <w:tcPr>
            <w:tcW w:w="2244" w:type="dxa"/>
            <w:tcBorders>
              <w:top w:val="single" w:sz="12" w:space="0" w:color="auto"/>
              <w:right w:val="single" w:sz="4" w:space="0" w:color="auto"/>
            </w:tcBorders>
            <w:shd w:val="clear" w:color="auto" w:fill="auto"/>
            <w:vAlign w:val="center"/>
          </w:tcPr>
          <w:p w14:paraId="4A5854CF" w14:textId="77777777" w:rsidR="00900559" w:rsidRPr="005465D4" w:rsidRDefault="00900559" w:rsidP="00900559">
            <w:r w:rsidRPr="005465D4">
              <w:t>151 Mezzetta Court</w:t>
            </w:r>
          </w:p>
          <w:p w14:paraId="39BA6450" w14:textId="77777777" w:rsidR="00900559" w:rsidRPr="005465D4" w:rsidRDefault="00900559" w:rsidP="00900559">
            <w:r w:rsidRPr="005465D4">
              <w:t>American Canyon, CA 94503</w:t>
            </w:r>
          </w:p>
          <w:p w14:paraId="3EA7261B" w14:textId="77777777" w:rsidR="00900559" w:rsidRPr="007F4001" w:rsidRDefault="00900559" w:rsidP="00900559">
            <w:r w:rsidRPr="005465D4">
              <w:t>Napa County</w:t>
            </w:r>
          </w:p>
        </w:tc>
        <w:tc>
          <w:tcPr>
            <w:tcW w:w="1440" w:type="dxa"/>
            <w:shd w:val="clear" w:color="auto" w:fill="auto"/>
            <w:vAlign w:val="center"/>
          </w:tcPr>
          <w:p w14:paraId="2D6DB9DE" w14:textId="24F7E444" w:rsidR="00900559" w:rsidRPr="00900559" w:rsidRDefault="00900559" w:rsidP="00900559">
            <w:pPr>
              <w:jc w:val="center"/>
            </w:pPr>
            <w:r w:rsidRPr="00900559">
              <w:t>Y</w:t>
            </w:r>
            <w:r>
              <w:t>es</w:t>
            </w:r>
          </w:p>
        </w:tc>
        <w:tc>
          <w:tcPr>
            <w:tcW w:w="1329" w:type="dxa"/>
            <w:tcBorders>
              <w:top w:val="single" w:sz="12" w:space="0" w:color="auto"/>
              <w:left w:val="single" w:sz="4" w:space="0" w:color="auto"/>
              <w:right w:val="single" w:sz="12" w:space="0" w:color="auto"/>
            </w:tcBorders>
            <w:shd w:val="clear" w:color="auto" w:fill="auto"/>
            <w:vAlign w:val="center"/>
          </w:tcPr>
          <w:p w14:paraId="65804E3E" w14:textId="61776C28" w:rsidR="00900559" w:rsidRPr="00900559" w:rsidRDefault="00900559" w:rsidP="00900559">
            <w:pPr>
              <w:jc w:val="center"/>
            </w:pPr>
            <w:r w:rsidRPr="00900559">
              <w:t>Estuarine</w:t>
            </w:r>
          </w:p>
        </w:tc>
      </w:tr>
      <w:tr w:rsidR="00900559" w:rsidRPr="007F4001" w14:paraId="02B2D9AE" w14:textId="77777777" w:rsidTr="00031972">
        <w:trPr>
          <w:cantSplit/>
        </w:trPr>
        <w:tc>
          <w:tcPr>
            <w:tcW w:w="3375" w:type="dxa"/>
            <w:tcBorders>
              <w:left w:val="single" w:sz="12" w:space="0" w:color="auto"/>
            </w:tcBorders>
            <w:shd w:val="clear" w:color="auto" w:fill="auto"/>
            <w:vAlign w:val="center"/>
          </w:tcPr>
          <w:p w14:paraId="593B6EAC" w14:textId="77777777" w:rsidR="00900559" w:rsidRPr="007F4001" w:rsidRDefault="00900559" w:rsidP="00900559">
            <w:pPr>
              <w:tabs>
                <w:tab w:val="left" w:pos="459"/>
              </w:tabs>
              <w:rPr>
                <w:rFonts w:eastAsia="Arial Unicode MS"/>
              </w:rPr>
            </w:pPr>
            <w:r w:rsidRPr="007F4001">
              <w:t>Benicia, City of</w:t>
            </w:r>
          </w:p>
        </w:tc>
        <w:tc>
          <w:tcPr>
            <w:tcW w:w="2286" w:type="dxa"/>
            <w:shd w:val="clear" w:color="auto" w:fill="auto"/>
            <w:vAlign w:val="center"/>
          </w:tcPr>
          <w:p w14:paraId="581196D9" w14:textId="77777777" w:rsidR="00900559" w:rsidRPr="00403E66" w:rsidRDefault="00900559" w:rsidP="00900559">
            <w:r w:rsidRPr="00403E66">
              <w:t>Jeff Gregory, Wastewater Treatment Plant Superintendent</w:t>
            </w:r>
          </w:p>
          <w:p w14:paraId="35D4DEEB" w14:textId="77777777" w:rsidR="00900559" w:rsidRPr="00403E66" w:rsidRDefault="00900559" w:rsidP="00900559">
            <w:r w:rsidRPr="00403E66">
              <w:t>(707) 746-4790</w:t>
            </w:r>
          </w:p>
        </w:tc>
        <w:tc>
          <w:tcPr>
            <w:tcW w:w="2244" w:type="dxa"/>
            <w:tcBorders>
              <w:right w:val="single" w:sz="4" w:space="0" w:color="auto"/>
            </w:tcBorders>
            <w:shd w:val="clear" w:color="auto" w:fill="auto"/>
            <w:vAlign w:val="center"/>
          </w:tcPr>
          <w:p w14:paraId="4278C047" w14:textId="77777777" w:rsidR="00900559" w:rsidRPr="005465D4" w:rsidRDefault="00900559" w:rsidP="00900559">
            <w:r w:rsidRPr="005465D4">
              <w:t>614 East Fifth Street</w:t>
            </w:r>
          </w:p>
          <w:p w14:paraId="2D7534A4" w14:textId="77777777" w:rsidR="00900559" w:rsidRPr="005465D4" w:rsidRDefault="00900559" w:rsidP="00900559">
            <w:r w:rsidRPr="005465D4">
              <w:t>Benicia, CA 94510</w:t>
            </w:r>
          </w:p>
          <w:p w14:paraId="0471510C" w14:textId="77777777" w:rsidR="00900559" w:rsidRPr="007F4001" w:rsidRDefault="00900559" w:rsidP="00900559">
            <w:r w:rsidRPr="005465D4">
              <w:t>Solano County</w:t>
            </w:r>
          </w:p>
        </w:tc>
        <w:tc>
          <w:tcPr>
            <w:tcW w:w="1440" w:type="dxa"/>
            <w:shd w:val="clear" w:color="auto" w:fill="auto"/>
            <w:vAlign w:val="center"/>
          </w:tcPr>
          <w:p w14:paraId="0A3EE831" w14:textId="08DD61BB" w:rsidR="00900559" w:rsidRPr="00900559" w:rsidRDefault="00900559" w:rsidP="00900559">
            <w:pPr>
              <w:jc w:val="center"/>
            </w:pPr>
            <w:r w:rsidRPr="00900559">
              <w:t>Y</w:t>
            </w:r>
            <w:r>
              <w:t>es</w:t>
            </w:r>
          </w:p>
        </w:tc>
        <w:tc>
          <w:tcPr>
            <w:tcW w:w="1329" w:type="dxa"/>
            <w:tcBorders>
              <w:left w:val="single" w:sz="4" w:space="0" w:color="auto"/>
              <w:right w:val="single" w:sz="12" w:space="0" w:color="auto"/>
            </w:tcBorders>
            <w:shd w:val="clear" w:color="auto" w:fill="auto"/>
            <w:vAlign w:val="center"/>
          </w:tcPr>
          <w:p w14:paraId="2A5E676F" w14:textId="07DB94A1" w:rsidR="00900559" w:rsidRPr="00900559" w:rsidRDefault="00900559" w:rsidP="00900559">
            <w:pPr>
              <w:jc w:val="center"/>
            </w:pPr>
            <w:r w:rsidRPr="00900559">
              <w:t>Estuarine</w:t>
            </w:r>
          </w:p>
        </w:tc>
      </w:tr>
      <w:tr w:rsidR="00900559" w:rsidRPr="007F4001" w14:paraId="445ECE07" w14:textId="77777777" w:rsidTr="00031972">
        <w:trPr>
          <w:cantSplit/>
        </w:trPr>
        <w:tc>
          <w:tcPr>
            <w:tcW w:w="3375" w:type="dxa"/>
            <w:tcBorders>
              <w:left w:val="single" w:sz="12" w:space="0" w:color="auto"/>
            </w:tcBorders>
            <w:shd w:val="clear" w:color="auto" w:fill="auto"/>
            <w:vAlign w:val="center"/>
          </w:tcPr>
          <w:p w14:paraId="22559F36" w14:textId="77777777" w:rsidR="00900559" w:rsidRPr="007F4001" w:rsidRDefault="00900559" w:rsidP="00900559">
            <w:pPr>
              <w:rPr>
                <w:rFonts w:eastAsia="Arial Unicode MS"/>
              </w:rPr>
            </w:pPr>
            <w:r w:rsidRPr="007F4001">
              <w:t>Burlingame, City of</w:t>
            </w:r>
          </w:p>
        </w:tc>
        <w:tc>
          <w:tcPr>
            <w:tcW w:w="2286" w:type="dxa"/>
            <w:shd w:val="clear" w:color="auto" w:fill="auto"/>
            <w:vAlign w:val="center"/>
          </w:tcPr>
          <w:p w14:paraId="49C99A88" w14:textId="77777777" w:rsidR="00900559" w:rsidRPr="00403E66" w:rsidRDefault="00900559" w:rsidP="00900559">
            <w:r w:rsidRPr="00403E66">
              <w:t>Manuel Molina,</w:t>
            </w:r>
          </w:p>
          <w:p w14:paraId="563A41ED" w14:textId="77777777" w:rsidR="00900559" w:rsidRPr="00403E66" w:rsidRDefault="00900559" w:rsidP="00900559">
            <w:r w:rsidRPr="00403E66">
              <w:t>Project Manager</w:t>
            </w:r>
          </w:p>
          <w:p w14:paraId="13FFF7DE" w14:textId="77777777" w:rsidR="00900559" w:rsidRPr="00403E66" w:rsidRDefault="00900559" w:rsidP="00900559">
            <w:r w:rsidRPr="00403E66">
              <w:t>(650) 342-3727</w:t>
            </w:r>
          </w:p>
        </w:tc>
        <w:tc>
          <w:tcPr>
            <w:tcW w:w="2244" w:type="dxa"/>
            <w:tcBorders>
              <w:right w:val="single" w:sz="4" w:space="0" w:color="auto"/>
            </w:tcBorders>
            <w:shd w:val="clear" w:color="auto" w:fill="auto"/>
            <w:vAlign w:val="center"/>
          </w:tcPr>
          <w:p w14:paraId="5DD4C029" w14:textId="77777777" w:rsidR="00900559" w:rsidRDefault="00900559" w:rsidP="00900559">
            <w:r w:rsidRPr="007F4001">
              <w:t>501 Primrose Burlingame, CA 94010</w:t>
            </w:r>
          </w:p>
          <w:p w14:paraId="45DCCDCB" w14:textId="77777777" w:rsidR="00900559" w:rsidRPr="007F4001" w:rsidRDefault="00900559" w:rsidP="00900559">
            <w:r>
              <w:t>San Mateo County</w:t>
            </w:r>
          </w:p>
        </w:tc>
        <w:tc>
          <w:tcPr>
            <w:tcW w:w="1440" w:type="dxa"/>
            <w:shd w:val="clear" w:color="auto" w:fill="auto"/>
            <w:vAlign w:val="center"/>
          </w:tcPr>
          <w:p w14:paraId="42CFC9F9" w14:textId="18199DA7" w:rsidR="00900559" w:rsidRPr="00900559" w:rsidRDefault="00900559" w:rsidP="00900559">
            <w:pPr>
              <w:jc w:val="center"/>
            </w:pPr>
            <w:r w:rsidRPr="00900559">
              <w:t>Y</w:t>
            </w:r>
            <w:r>
              <w:t>es</w:t>
            </w:r>
          </w:p>
        </w:tc>
        <w:tc>
          <w:tcPr>
            <w:tcW w:w="1329" w:type="dxa"/>
            <w:tcBorders>
              <w:left w:val="single" w:sz="4" w:space="0" w:color="auto"/>
              <w:right w:val="single" w:sz="12" w:space="0" w:color="auto"/>
            </w:tcBorders>
            <w:shd w:val="clear" w:color="auto" w:fill="auto"/>
            <w:vAlign w:val="center"/>
          </w:tcPr>
          <w:p w14:paraId="38843E82" w14:textId="21BAF9F9" w:rsidR="00900559" w:rsidRPr="00900559" w:rsidRDefault="00900559" w:rsidP="00900559">
            <w:pPr>
              <w:jc w:val="center"/>
            </w:pPr>
            <w:r w:rsidRPr="00900559">
              <w:t>Marine</w:t>
            </w:r>
          </w:p>
        </w:tc>
      </w:tr>
      <w:tr w:rsidR="00900559" w:rsidRPr="007F4001" w14:paraId="02976956" w14:textId="77777777" w:rsidTr="00031972">
        <w:trPr>
          <w:cantSplit/>
        </w:trPr>
        <w:tc>
          <w:tcPr>
            <w:tcW w:w="3375" w:type="dxa"/>
            <w:tcBorders>
              <w:left w:val="single" w:sz="12" w:space="0" w:color="auto"/>
            </w:tcBorders>
            <w:shd w:val="clear" w:color="auto" w:fill="auto"/>
            <w:vAlign w:val="center"/>
          </w:tcPr>
          <w:p w14:paraId="0412C35B" w14:textId="77777777" w:rsidR="00900559" w:rsidRPr="007F4001" w:rsidRDefault="00900559" w:rsidP="00900559">
            <w:pPr>
              <w:rPr>
                <w:rFonts w:eastAsia="Arial Unicode MS"/>
              </w:rPr>
            </w:pPr>
            <w:r w:rsidRPr="007F4001">
              <w:t>Calistoga, City of</w:t>
            </w:r>
          </w:p>
        </w:tc>
        <w:tc>
          <w:tcPr>
            <w:tcW w:w="2286" w:type="dxa"/>
            <w:shd w:val="clear" w:color="auto" w:fill="auto"/>
            <w:vAlign w:val="center"/>
          </w:tcPr>
          <w:p w14:paraId="5EDD213F" w14:textId="77777777" w:rsidR="00900559" w:rsidRPr="00403E66" w:rsidRDefault="00900559" w:rsidP="00900559">
            <w:r w:rsidRPr="00403E66">
              <w:t>Mike Kirn</w:t>
            </w:r>
          </w:p>
          <w:p w14:paraId="645147A6" w14:textId="77777777" w:rsidR="00900559" w:rsidRPr="00403E66" w:rsidRDefault="00900559" w:rsidP="00900559">
            <w:r w:rsidRPr="00403E66">
              <w:t>Public Works Director</w:t>
            </w:r>
          </w:p>
          <w:p w14:paraId="1D369C60" w14:textId="77777777" w:rsidR="00900559" w:rsidRPr="00403E66" w:rsidRDefault="00900559" w:rsidP="00900559">
            <w:r w:rsidRPr="00403E66">
              <w:t xml:space="preserve"> (707) 942-2828</w:t>
            </w:r>
          </w:p>
        </w:tc>
        <w:tc>
          <w:tcPr>
            <w:tcW w:w="2244" w:type="dxa"/>
            <w:tcBorders>
              <w:right w:val="single" w:sz="4" w:space="0" w:color="auto"/>
            </w:tcBorders>
            <w:shd w:val="clear" w:color="auto" w:fill="auto"/>
            <w:vAlign w:val="center"/>
          </w:tcPr>
          <w:p w14:paraId="5319C605" w14:textId="77777777" w:rsidR="00900559" w:rsidRDefault="00900559" w:rsidP="00900559">
            <w:r w:rsidRPr="007F4001">
              <w:t>414 Washington Street Calistoga, CA 94515</w:t>
            </w:r>
          </w:p>
          <w:p w14:paraId="1ECEA208" w14:textId="77777777" w:rsidR="00900559" w:rsidRPr="007F4001" w:rsidRDefault="00900559" w:rsidP="00900559">
            <w:r>
              <w:t>Napa County</w:t>
            </w:r>
          </w:p>
        </w:tc>
        <w:tc>
          <w:tcPr>
            <w:tcW w:w="1440" w:type="dxa"/>
            <w:shd w:val="clear" w:color="auto" w:fill="auto"/>
            <w:vAlign w:val="center"/>
          </w:tcPr>
          <w:p w14:paraId="782ADC2D" w14:textId="5DB0358A" w:rsidR="00900559" w:rsidRPr="00900559" w:rsidRDefault="00900559" w:rsidP="00900559">
            <w:pPr>
              <w:jc w:val="center"/>
            </w:pPr>
            <w:r w:rsidRPr="00900559">
              <w:t>N</w:t>
            </w:r>
            <w:r>
              <w:t>o</w:t>
            </w:r>
          </w:p>
        </w:tc>
        <w:tc>
          <w:tcPr>
            <w:tcW w:w="1329" w:type="dxa"/>
            <w:tcBorders>
              <w:left w:val="single" w:sz="4" w:space="0" w:color="auto"/>
              <w:right w:val="single" w:sz="12" w:space="0" w:color="auto"/>
            </w:tcBorders>
            <w:shd w:val="clear" w:color="auto" w:fill="auto"/>
            <w:vAlign w:val="center"/>
          </w:tcPr>
          <w:p w14:paraId="1F4DB14C" w14:textId="3AD3FC6C" w:rsidR="00900559" w:rsidRPr="00900559" w:rsidRDefault="00900559" w:rsidP="00900559">
            <w:pPr>
              <w:jc w:val="center"/>
            </w:pPr>
            <w:r w:rsidRPr="00900559">
              <w:t>Freshwater</w:t>
            </w:r>
          </w:p>
        </w:tc>
      </w:tr>
      <w:tr w:rsidR="00900559" w:rsidRPr="007F4001" w14:paraId="1C194079" w14:textId="77777777" w:rsidTr="00031972">
        <w:trPr>
          <w:cantSplit/>
        </w:trPr>
        <w:tc>
          <w:tcPr>
            <w:tcW w:w="3375" w:type="dxa"/>
            <w:tcBorders>
              <w:left w:val="single" w:sz="12" w:space="0" w:color="auto"/>
            </w:tcBorders>
            <w:shd w:val="clear" w:color="auto" w:fill="auto"/>
            <w:vAlign w:val="center"/>
          </w:tcPr>
          <w:p w14:paraId="05B0A89D" w14:textId="77777777" w:rsidR="00900559" w:rsidRPr="007F4001" w:rsidRDefault="00900559" w:rsidP="00900559">
            <w:pPr>
              <w:rPr>
                <w:rFonts w:eastAsia="Arial Unicode MS"/>
              </w:rPr>
            </w:pPr>
            <w:r w:rsidRPr="007F4001">
              <w:t>Central Contra Costa Sanitary District</w:t>
            </w:r>
          </w:p>
        </w:tc>
        <w:tc>
          <w:tcPr>
            <w:tcW w:w="2286" w:type="dxa"/>
            <w:shd w:val="clear" w:color="auto" w:fill="auto"/>
            <w:vAlign w:val="center"/>
          </w:tcPr>
          <w:p w14:paraId="6541547E" w14:textId="77777777" w:rsidR="00900559" w:rsidRPr="00403E66" w:rsidRDefault="00900559" w:rsidP="00900559">
            <w:r w:rsidRPr="00403E66">
              <w:t>Ann K. Sasaki</w:t>
            </w:r>
          </w:p>
          <w:p w14:paraId="16536538" w14:textId="77777777" w:rsidR="00900559" w:rsidRPr="00403E66" w:rsidRDefault="00900559" w:rsidP="00900559">
            <w:r w:rsidRPr="00403E66">
              <w:t>Deputy General Manager</w:t>
            </w:r>
          </w:p>
          <w:p w14:paraId="185EDEC7" w14:textId="77777777" w:rsidR="00900559" w:rsidRPr="00403E66" w:rsidRDefault="00900559" w:rsidP="00900559">
            <w:r w:rsidRPr="00403E66">
              <w:t>(925) 228-9500</w:t>
            </w:r>
          </w:p>
        </w:tc>
        <w:tc>
          <w:tcPr>
            <w:tcW w:w="2244" w:type="dxa"/>
            <w:tcBorders>
              <w:right w:val="single" w:sz="4" w:space="0" w:color="auto"/>
            </w:tcBorders>
            <w:shd w:val="clear" w:color="auto" w:fill="auto"/>
            <w:vAlign w:val="center"/>
          </w:tcPr>
          <w:p w14:paraId="0A952C12" w14:textId="77777777" w:rsidR="00900559" w:rsidRPr="005465D4" w:rsidRDefault="00900559" w:rsidP="00900559">
            <w:r w:rsidRPr="005465D4">
              <w:t xml:space="preserve">5019 Imhoff Place </w:t>
            </w:r>
          </w:p>
          <w:p w14:paraId="17C875B9" w14:textId="77777777" w:rsidR="00900559" w:rsidRPr="005465D4" w:rsidRDefault="00900559" w:rsidP="00900559">
            <w:r w:rsidRPr="005465D4">
              <w:t>Martinez, CA 94553</w:t>
            </w:r>
          </w:p>
          <w:p w14:paraId="0059031E" w14:textId="77777777" w:rsidR="00900559" w:rsidRPr="007F4001" w:rsidRDefault="00900559" w:rsidP="00900559">
            <w:r w:rsidRPr="005465D4">
              <w:t>Contra Costa County</w:t>
            </w:r>
          </w:p>
        </w:tc>
        <w:tc>
          <w:tcPr>
            <w:tcW w:w="1440" w:type="dxa"/>
            <w:shd w:val="clear" w:color="auto" w:fill="auto"/>
            <w:vAlign w:val="center"/>
          </w:tcPr>
          <w:p w14:paraId="71D93F42" w14:textId="5D692D8E" w:rsidR="00900559" w:rsidRPr="00900559" w:rsidRDefault="00900559" w:rsidP="00900559">
            <w:pPr>
              <w:jc w:val="center"/>
            </w:pPr>
            <w:r w:rsidRPr="00900559">
              <w:t>Y</w:t>
            </w:r>
            <w:r>
              <w:t>es</w:t>
            </w:r>
          </w:p>
        </w:tc>
        <w:tc>
          <w:tcPr>
            <w:tcW w:w="1329" w:type="dxa"/>
            <w:tcBorders>
              <w:left w:val="single" w:sz="4" w:space="0" w:color="auto"/>
              <w:right w:val="single" w:sz="12" w:space="0" w:color="auto"/>
            </w:tcBorders>
            <w:shd w:val="clear" w:color="auto" w:fill="auto"/>
            <w:vAlign w:val="center"/>
          </w:tcPr>
          <w:p w14:paraId="365CAB02" w14:textId="7621B198" w:rsidR="00900559" w:rsidRPr="00900559" w:rsidRDefault="00900559" w:rsidP="00900559">
            <w:pPr>
              <w:jc w:val="center"/>
            </w:pPr>
            <w:r w:rsidRPr="00900559">
              <w:t>Estuarine</w:t>
            </w:r>
          </w:p>
        </w:tc>
      </w:tr>
      <w:tr w:rsidR="00900559" w:rsidRPr="007F4001" w14:paraId="545C1426" w14:textId="77777777" w:rsidTr="00031972">
        <w:trPr>
          <w:cantSplit/>
        </w:trPr>
        <w:tc>
          <w:tcPr>
            <w:tcW w:w="3375" w:type="dxa"/>
            <w:tcBorders>
              <w:left w:val="single" w:sz="12" w:space="0" w:color="auto"/>
            </w:tcBorders>
            <w:shd w:val="clear" w:color="auto" w:fill="auto"/>
            <w:vAlign w:val="center"/>
          </w:tcPr>
          <w:p w14:paraId="0FCB2625" w14:textId="77777777" w:rsidR="00900559" w:rsidRPr="007F4001" w:rsidRDefault="00900559" w:rsidP="00900559">
            <w:pPr>
              <w:rPr>
                <w:rFonts w:eastAsia="Arial Unicode MS"/>
              </w:rPr>
            </w:pPr>
            <w:r w:rsidRPr="007F4001">
              <w:t>Central Marin Sanitation Agency</w:t>
            </w:r>
          </w:p>
        </w:tc>
        <w:tc>
          <w:tcPr>
            <w:tcW w:w="2286" w:type="dxa"/>
            <w:shd w:val="clear" w:color="auto" w:fill="auto"/>
            <w:vAlign w:val="center"/>
          </w:tcPr>
          <w:p w14:paraId="7F831827" w14:textId="77777777" w:rsidR="00900559" w:rsidRPr="00403E66" w:rsidRDefault="00900559" w:rsidP="00900559">
            <w:r w:rsidRPr="00403E66">
              <w:t xml:space="preserve">Jason Dow, General Manager </w:t>
            </w:r>
          </w:p>
          <w:p w14:paraId="634291A4" w14:textId="77777777" w:rsidR="00900559" w:rsidRPr="00403E66" w:rsidRDefault="00900559" w:rsidP="00900559">
            <w:r w:rsidRPr="00403E66">
              <w:t>(415) 459-1455</w:t>
            </w:r>
          </w:p>
        </w:tc>
        <w:tc>
          <w:tcPr>
            <w:tcW w:w="2244" w:type="dxa"/>
            <w:tcBorders>
              <w:right w:val="single" w:sz="4" w:space="0" w:color="auto"/>
            </w:tcBorders>
            <w:shd w:val="clear" w:color="auto" w:fill="auto"/>
            <w:vAlign w:val="center"/>
          </w:tcPr>
          <w:p w14:paraId="0BDA3BFD" w14:textId="77777777" w:rsidR="00900559" w:rsidRPr="005465D4" w:rsidRDefault="00900559" w:rsidP="00900559">
            <w:r w:rsidRPr="005465D4">
              <w:t>1301 Andersen Drive</w:t>
            </w:r>
          </w:p>
          <w:p w14:paraId="4E3C129B" w14:textId="77777777" w:rsidR="00900559" w:rsidRPr="005465D4" w:rsidRDefault="00900559" w:rsidP="00900559">
            <w:r w:rsidRPr="005465D4">
              <w:t>San Rafael, CA 94901</w:t>
            </w:r>
          </w:p>
          <w:p w14:paraId="71A298E6" w14:textId="77777777" w:rsidR="00900559" w:rsidRPr="007F4001" w:rsidRDefault="00900559" w:rsidP="00900559">
            <w:r w:rsidRPr="005465D4">
              <w:t>Marin County</w:t>
            </w:r>
          </w:p>
        </w:tc>
        <w:tc>
          <w:tcPr>
            <w:tcW w:w="1440" w:type="dxa"/>
            <w:shd w:val="clear" w:color="auto" w:fill="auto"/>
            <w:vAlign w:val="center"/>
          </w:tcPr>
          <w:p w14:paraId="05D0B289" w14:textId="33F3196C" w:rsidR="00900559" w:rsidRPr="00900559" w:rsidRDefault="00900559" w:rsidP="00900559">
            <w:pPr>
              <w:jc w:val="center"/>
            </w:pPr>
            <w:r w:rsidRPr="00900559">
              <w:t>Y</w:t>
            </w:r>
            <w:r>
              <w:t>es</w:t>
            </w:r>
          </w:p>
        </w:tc>
        <w:tc>
          <w:tcPr>
            <w:tcW w:w="1329" w:type="dxa"/>
            <w:tcBorders>
              <w:left w:val="single" w:sz="4" w:space="0" w:color="auto"/>
              <w:right w:val="single" w:sz="12" w:space="0" w:color="auto"/>
            </w:tcBorders>
            <w:shd w:val="clear" w:color="auto" w:fill="auto"/>
            <w:vAlign w:val="center"/>
          </w:tcPr>
          <w:p w14:paraId="325DD25D" w14:textId="734EE16E" w:rsidR="00900559" w:rsidRPr="00900559" w:rsidRDefault="00900559" w:rsidP="00900559">
            <w:pPr>
              <w:jc w:val="center"/>
            </w:pPr>
            <w:r w:rsidRPr="00900559">
              <w:t>Estuarine</w:t>
            </w:r>
          </w:p>
        </w:tc>
      </w:tr>
      <w:tr w:rsidR="00900559" w:rsidRPr="007F4001" w14:paraId="7D107E05" w14:textId="77777777" w:rsidTr="00031972">
        <w:trPr>
          <w:cantSplit/>
        </w:trPr>
        <w:tc>
          <w:tcPr>
            <w:tcW w:w="3375" w:type="dxa"/>
            <w:tcBorders>
              <w:left w:val="single" w:sz="12" w:space="0" w:color="auto"/>
            </w:tcBorders>
            <w:shd w:val="clear" w:color="auto" w:fill="auto"/>
            <w:vAlign w:val="center"/>
          </w:tcPr>
          <w:p w14:paraId="6B7DD1E4" w14:textId="77777777" w:rsidR="00900559" w:rsidRPr="007F4001" w:rsidRDefault="00900559" w:rsidP="00900559">
            <w:r w:rsidRPr="007F4001">
              <w:t>Crockett Community Services District, Port Costa</w:t>
            </w:r>
            <w:r>
              <w:t xml:space="preserve"> Sanitary Department </w:t>
            </w:r>
          </w:p>
        </w:tc>
        <w:tc>
          <w:tcPr>
            <w:tcW w:w="2286" w:type="dxa"/>
            <w:shd w:val="clear" w:color="auto" w:fill="auto"/>
            <w:vAlign w:val="center"/>
          </w:tcPr>
          <w:p w14:paraId="54E9FABC" w14:textId="77777777" w:rsidR="00900559" w:rsidRPr="00403E66" w:rsidRDefault="00900559" w:rsidP="00900559">
            <w:r>
              <w:t>James Barnhill</w:t>
            </w:r>
            <w:r w:rsidRPr="00403E66">
              <w:t>,</w:t>
            </w:r>
          </w:p>
          <w:p w14:paraId="2F44CF25" w14:textId="77777777" w:rsidR="00900559" w:rsidRPr="00403E66" w:rsidRDefault="00900559" w:rsidP="00900559">
            <w:r>
              <w:t>Sanitary Department Manager</w:t>
            </w:r>
          </w:p>
          <w:p w14:paraId="7DCB97E7" w14:textId="77777777" w:rsidR="00900559" w:rsidRPr="00403E66" w:rsidRDefault="00900559" w:rsidP="00900559">
            <w:r w:rsidRPr="00403E66">
              <w:t>(510) 787-2992</w:t>
            </w:r>
          </w:p>
        </w:tc>
        <w:tc>
          <w:tcPr>
            <w:tcW w:w="2244" w:type="dxa"/>
            <w:tcBorders>
              <w:right w:val="single" w:sz="4" w:space="0" w:color="auto"/>
            </w:tcBorders>
            <w:shd w:val="clear" w:color="auto" w:fill="auto"/>
            <w:vAlign w:val="center"/>
          </w:tcPr>
          <w:p w14:paraId="068F747B" w14:textId="77777777" w:rsidR="00900559" w:rsidRPr="007F4001" w:rsidRDefault="00900559" w:rsidP="00900559">
            <w:r w:rsidRPr="007F4001">
              <w:t xml:space="preserve">P.O. Box 578 </w:t>
            </w:r>
          </w:p>
          <w:p w14:paraId="48743407" w14:textId="77777777" w:rsidR="00900559" w:rsidRDefault="00900559" w:rsidP="00900559">
            <w:r w:rsidRPr="007F4001">
              <w:t xml:space="preserve">Crockett, CA 94525 </w:t>
            </w:r>
          </w:p>
          <w:p w14:paraId="2CFCC3DD" w14:textId="77777777" w:rsidR="00900559" w:rsidRPr="007F4001" w:rsidRDefault="00900559" w:rsidP="00900559">
            <w:r>
              <w:t>Contra Costa County</w:t>
            </w:r>
          </w:p>
        </w:tc>
        <w:tc>
          <w:tcPr>
            <w:tcW w:w="1440" w:type="dxa"/>
            <w:shd w:val="clear" w:color="auto" w:fill="auto"/>
            <w:vAlign w:val="center"/>
          </w:tcPr>
          <w:p w14:paraId="77F2CE86" w14:textId="53860BB1" w:rsidR="00900559" w:rsidRPr="00900559" w:rsidRDefault="00900559" w:rsidP="00900559">
            <w:pPr>
              <w:jc w:val="center"/>
            </w:pPr>
            <w:r w:rsidRPr="00900559">
              <w:t>N</w:t>
            </w:r>
            <w:r>
              <w:t>o</w:t>
            </w:r>
          </w:p>
        </w:tc>
        <w:tc>
          <w:tcPr>
            <w:tcW w:w="1329" w:type="dxa"/>
            <w:tcBorders>
              <w:left w:val="single" w:sz="4" w:space="0" w:color="auto"/>
              <w:right w:val="single" w:sz="12" w:space="0" w:color="auto"/>
            </w:tcBorders>
            <w:shd w:val="clear" w:color="auto" w:fill="auto"/>
            <w:vAlign w:val="center"/>
          </w:tcPr>
          <w:p w14:paraId="38E9D155" w14:textId="781A7F23" w:rsidR="00900559" w:rsidRPr="00900559" w:rsidRDefault="00900559" w:rsidP="00900559">
            <w:pPr>
              <w:jc w:val="center"/>
            </w:pPr>
            <w:r w:rsidRPr="00900559">
              <w:t>Estuarine</w:t>
            </w:r>
          </w:p>
        </w:tc>
      </w:tr>
      <w:tr w:rsidR="00900559" w:rsidRPr="007F4001" w14:paraId="1A8465BA" w14:textId="77777777" w:rsidTr="00031972">
        <w:trPr>
          <w:cantSplit/>
        </w:trPr>
        <w:tc>
          <w:tcPr>
            <w:tcW w:w="3375" w:type="dxa"/>
            <w:tcBorders>
              <w:left w:val="single" w:sz="12" w:space="0" w:color="auto"/>
            </w:tcBorders>
            <w:shd w:val="clear" w:color="auto" w:fill="auto"/>
            <w:vAlign w:val="center"/>
          </w:tcPr>
          <w:p w14:paraId="7CBF8557" w14:textId="77777777" w:rsidR="00900559" w:rsidRPr="007F4001" w:rsidRDefault="00900559" w:rsidP="00900559">
            <w:pPr>
              <w:rPr>
                <w:rFonts w:eastAsia="Arial Unicode MS"/>
              </w:rPr>
            </w:pPr>
            <w:r w:rsidRPr="007F4001">
              <w:t>Delta Diablo Sanitation District</w:t>
            </w:r>
          </w:p>
        </w:tc>
        <w:tc>
          <w:tcPr>
            <w:tcW w:w="2286" w:type="dxa"/>
            <w:shd w:val="clear" w:color="auto" w:fill="auto"/>
            <w:vAlign w:val="center"/>
          </w:tcPr>
          <w:p w14:paraId="5A6B60CD" w14:textId="77777777" w:rsidR="00900559" w:rsidRPr="00403E66" w:rsidRDefault="00900559" w:rsidP="00900559">
            <w:r w:rsidRPr="00403E66">
              <w:t xml:space="preserve">Gary W. Darling, General Manager </w:t>
            </w:r>
          </w:p>
          <w:p w14:paraId="646D7E99" w14:textId="77777777" w:rsidR="00900559" w:rsidRPr="00403E66" w:rsidRDefault="00900559" w:rsidP="00900559">
            <w:r w:rsidRPr="00403E66">
              <w:t xml:space="preserve">(925) 756-1920 </w:t>
            </w:r>
          </w:p>
        </w:tc>
        <w:tc>
          <w:tcPr>
            <w:tcW w:w="2244" w:type="dxa"/>
            <w:tcBorders>
              <w:right w:val="single" w:sz="4" w:space="0" w:color="auto"/>
            </w:tcBorders>
            <w:shd w:val="clear" w:color="auto" w:fill="auto"/>
            <w:vAlign w:val="center"/>
          </w:tcPr>
          <w:p w14:paraId="579EA386" w14:textId="77777777" w:rsidR="00900559" w:rsidRPr="005465D4" w:rsidRDefault="00900559" w:rsidP="00900559">
            <w:r w:rsidRPr="005465D4">
              <w:t>2500 Pittsburg-Antioch Highway</w:t>
            </w:r>
            <w:r w:rsidRPr="005465D4">
              <w:br/>
              <w:t>Antioch, CA 94509</w:t>
            </w:r>
          </w:p>
          <w:p w14:paraId="7BF433C0" w14:textId="77777777" w:rsidR="00900559" w:rsidRPr="007F4001" w:rsidRDefault="00900559" w:rsidP="00900559">
            <w:r w:rsidRPr="005465D4">
              <w:t>Contra Costa County</w:t>
            </w:r>
          </w:p>
        </w:tc>
        <w:tc>
          <w:tcPr>
            <w:tcW w:w="1440" w:type="dxa"/>
            <w:shd w:val="clear" w:color="auto" w:fill="auto"/>
            <w:vAlign w:val="center"/>
          </w:tcPr>
          <w:p w14:paraId="6272586A" w14:textId="1FB87FBE" w:rsidR="00900559" w:rsidRPr="00900559" w:rsidRDefault="00900559" w:rsidP="00900559">
            <w:pPr>
              <w:jc w:val="center"/>
            </w:pPr>
            <w:r w:rsidRPr="00900559">
              <w:t>Y</w:t>
            </w:r>
            <w:r>
              <w:t>es</w:t>
            </w:r>
          </w:p>
        </w:tc>
        <w:tc>
          <w:tcPr>
            <w:tcW w:w="1329" w:type="dxa"/>
            <w:tcBorders>
              <w:left w:val="single" w:sz="4" w:space="0" w:color="auto"/>
              <w:right w:val="single" w:sz="12" w:space="0" w:color="auto"/>
            </w:tcBorders>
            <w:shd w:val="clear" w:color="auto" w:fill="auto"/>
            <w:vAlign w:val="center"/>
          </w:tcPr>
          <w:p w14:paraId="57B6CA86" w14:textId="44BD58DF" w:rsidR="00900559" w:rsidRPr="00900559" w:rsidRDefault="00900559" w:rsidP="00900559">
            <w:pPr>
              <w:jc w:val="center"/>
            </w:pPr>
            <w:r w:rsidRPr="00900559">
              <w:t>Estuarine</w:t>
            </w:r>
          </w:p>
        </w:tc>
      </w:tr>
      <w:tr w:rsidR="00900559" w:rsidRPr="007F4001" w14:paraId="570AB6A6" w14:textId="77777777" w:rsidTr="00031972">
        <w:trPr>
          <w:cantSplit/>
        </w:trPr>
        <w:tc>
          <w:tcPr>
            <w:tcW w:w="3375" w:type="dxa"/>
            <w:tcBorders>
              <w:left w:val="single" w:sz="12" w:space="0" w:color="auto"/>
            </w:tcBorders>
            <w:shd w:val="clear" w:color="auto" w:fill="auto"/>
            <w:vAlign w:val="center"/>
          </w:tcPr>
          <w:p w14:paraId="643F4B63" w14:textId="77777777" w:rsidR="00900559" w:rsidRPr="007F4001" w:rsidRDefault="00900559" w:rsidP="00900559">
            <w:r w:rsidRPr="007F4001">
              <w:t>East Bay Dischargers Authority</w:t>
            </w:r>
          </w:p>
        </w:tc>
        <w:tc>
          <w:tcPr>
            <w:tcW w:w="2286" w:type="dxa"/>
            <w:vMerge w:val="restart"/>
            <w:shd w:val="clear" w:color="auto" w:fill="auto"/>
            <w:vAlign w:val="center"/>
          </w:tcPr>
          <w:p w14:paraId="6B3C055B" w14:textId="77777777" w:rsidR="00900559" w:rsidRPr="00403E66" w:rsidRDefault="00900559" w:rsidP="00900559">
            <w:r w:rsidRPr="00403E66">
              <w:t>Michael S. Connor, General Manager (510) 278-5910</w:t>
            </w:r>
          </w:p>
        </w:tc>
        <w:tc>
          <w:tcPr>
            <w:tcW w:w="2244" w:type="dxa"/>
            <w:vMerge w:val="restart"/>
            <w:tcBorders>
              <w:right w:val="single" w:sz="4" w:space="0" w:color="auto"/>
            </w:tcBorders>
            <w:shd w:val="clear" w:color="auto" w:fill="auto"/>
            <w:vAlign w:val="center"/>
          </w:tcPr>
          <w:p w14:paraId="78A65F94" w14:textId="77777777" w:rsidR="00900559" w:rsidRDefault="00900559" w:rsidP="00900559">
            <w:r w:rsidRPr="007F4001">
              <w:t>2651 Grant Avenue San Lorenzo, CA  94580</w:t>
            </w:r>
          </w:p>
          <w:p w14:paraId="21ADA3C8" w14:textId="77777777" w:rsidR="00900559" w:rsidRPr="007F4001" w:rsidRDefault="00900559" w:rsidP="00900559">
            <w:r>
              <w:t>Alameda County</w:t>
            </w:r>
          </w:p>
        </w:tc>
        <w:tc>
          <w:tcPr>
            <w:tcW w:w="1440" w:type="dxa"/>
            <w:vMerge w:val="restart"/>
            <w:shd w:val="clear" w:color="auto" w:fill="auto"/>
            <w:vAlign w:val="center"/>
          </w:tcPr>
          <w:p w14:paraId="1D71029B" w14:textId="31CD4A40" w:rsidR="00900559" w:rsidRPr="00900559" w:rsidRDefault="00900559" w:rsidP="00900559">
            <w:pPr>
              <w:jc w:val="center"/>
            </w:pPr>
            <w:r w:rsidRPr="00900559">
              <w:t>Y</w:t>
            </w:r>
            <w:r>
              <w:t>es</w:t>
            </w:r>
          </w:p>
        </w:tc>
        <w:tc>
          <w:tcPr>
            <w:tcW w:w="1329" w:type="dxa"/>
            <w:vMerge w:val="restart"/>
            <w:tcBorders>
              <w:left w:val="single" w:sz="4" w:space="0" w:color="auto"/>
              <w:right w:val="single" w:sz="12" w:space="0" w:color="auto"/>
            </w:tcBorders>
            <w:shd w:val="clear" w:color="auto" w:fill="auto"/>
            <w:vAlign w:val="center"/>
          </w:tcPr>
          <w:p w14:paraId="137DAAB6" w14:textId="455CD5DB" w:rsidR="00900559" w:rsidRPr="00900559" w:rsidRDefault="00900559" w:rsidP="00900559">
            <w:pPr>
              <w:jc w:val="center"/>
            </w:pPr>
            <w:r w:rsidRPr="00900559">
              <w:t>Estuarine</w:t>
            </w:r>
          </w:p>
        </w:tc>
      </w:tr>
      <w:tr w:rsidR="00900559" w:rsidRPr="007F4001" w14:paraId="3EE94FE5" w14:textId="77777777" w:rsidTr="00031972">
        <w:trPr>
          <w:cantSplit/>
        </w:trPr>
        <w:tc>
          <w:tcPr>
            <w:tcW w:w="3375" w:type="dxa"/>
            <w:tcBorders>
              <w:left w:val="single" w:sz="12" w:space="0" w:color="auto"/>
            </w:tcBorders>
            <w:shd w:val="clear" w:color="auto" w:fill="auto"/>
            <w:vAlign w:val="center"/>
          </w:tcPr>
          <w:p w14:paraId="510DD06D" w14:textId="77777777" w:rsidR="00900559" w:rsidRPr="007F4001" w:rsidRDefault="00900559" w:rsidP="00900559">
            <w:pPr>
              <w:ind w:left="270"/>
            </w:pPr>
            <w:r>
              <w:t>City of Hayward</w:t>
            </w:r>
          </w:p>
        </w:tc>
        <w:tc>
          <w:tcPr>
            <w:tcW w:w="2286" w:type="dxa"/>
            <w:vMerge/>
            <w:shd w:val="clear" w:color="auto" w:fill="auto"/>
            <w:vAlign w:val="center"/>
          </w:tcPr>
          <w:p w14:paraId="1A01C270" w14:textId="77777777" w:rsidR="00900559" w:rsidRPr="00403E66" w:rsidRDefault="00900559" w:rsidP="00900559"/>
        </w:tc>
        <w:tc>
          <w:tcPr>
            <w:tcW w:w="2244" w:type="dxa"/>
            <w:vMerge/>
            <w:tcBorders>
              <w:right w:val="single" w:sz="4" w:space="0" w:color="auto"/>
            </w:tcBorders>
            <w:shd w:val="clear" w:color="auto" w:fill="auto"/>
            <w:vAlign w:val="center"/>
          </w:tcPr>
          <w:p w14:paraId="508CF830" w14:textId="77777777" w:rsidR="00900559" w:rsidRPr="007F4001" w:rsidRDefault="00900559" w:rsidP="00900559">
            <w:pPr>
              <w:rPr>
                <w:highlight w:val="yellow"/>
              </w:rPr>
            </w:pPr>
          </w:p>
        </w:tc>
        <w:tc>
          <w:tcPr>
            <w:tcW w:w="1440" w:type="dxa"/>
            <w:vMerge/>
            <w:shd w:val="clear" w:color="auto" w:fill="auto"/>
            <w:vAlign w:val="center"/>
          </w:tcPr>
          <w:p w14:paraId="4B1A1770" w14:textId="77777777" w:rsidR="00900559" w:rsidRPr="00900559" w:rsidRDefault="00900559" w:rsidP="00900559">
            <w:pPr>
              <w:jc w:val="center"/>
            </w:pPr>
          </w:p>
        </w:tc>
        <w:tc>
          <w:tcPr>
            <w:tcW w:w="1329" w:type="dxa"/>
            <w:vMerge/>
            <w:tcBorders>
              <w:left w:val="single" w:sz="4" w:space="0" w:color="auto"/>
              <w:right w:val="single" w:sz="12" w:space="0" w:color="auto"/>
            </w:tcBorders>
            <w:shd w:val="clear" w:color="auto" w:fill="auto"/>
            <w:vAlign w:val="center"/>
          </w:tcPr>
          <w:p w14:paraId="430200E6" w14:textId="77777777" w:rsidR="00900559" w:rsidRPr="00900559" w:rsidRDefault="00900559" w:rsidP="00900559">
            <w:pPr>
              <w:jc w:val="center"/>
            </w:pPr>
          </w:p>
        </w:tc>
      </w:tr>
      <w:tr w:rsidR="00900559" w:rsidRPr="007F4001" w14:paraId="0A980806" w14:textId="77777777" w:rsidTr="00031972">
        <w:trPr>
          <w:cantSplit/>
        </w:trPr>
        <w:tc>
          <w:tcPr>
            <w:tcW w:w="3375" w:type="dxa"/>
            <w:tcBorders>
              <w:left w:val="single" w:sz="12" w:space="0" w:color="auto"/>
            </w:tcBorders>
            <w:shd w:val="clear" w:color="auto" w:fill="auto"/>
            <w:vAlign w:val="center"/>
          </w:tcPr>
          <w:p w14:paraId="17AAE3F4" w14:textId="77777777" w:rsidR="00900559" w:rsidRPr="007F4001" w:rsidRDefault="00900559" w:rsidP="00900559">
            <w:pPr>
              <w:ind w:left="270"/>
            </w:pPr>
            <w:r>
              <w:t>City of San Leandro</w:t>
            </w:r>
          </w:p>
        </w:tc>
        <w:tc>
          <w:tcPr>
            <w:tcW w:w="2286" w:type="dxa"/>
            <w:vMerge/>
            <w:shd w:val="clear" w:color="auto" w:fill="auto"/>
            <w:vAlign w:val="center"/>
          </w:tcPr>
          <w:p w14:paraId="11F7C05D" w14:textId="77777777" w:rsidR="00900559" w:rsidRPr="00403E66" w:rsidRDefault="00900559" w:rsidP="00900559"/>
        </w:tc>
        <w:tc>
          <w:tcPr>
            <w:tcW w:w="2244" w:type="dxa"/>
            <w:vMerge/>
            <w:tcBorders>
              <w:right w:val="single" w:sz="4" w:space="0" w:color="auto"/>
            </w:tcBorders>
            <w:shd w:val="clear" w:color="auto" w:fill="auto"/>
            <w:vAlign w:val="center"/>
          </w:tcPr>
          <w:p w14:paraId="689B7684" w14:textId="77777777" w:rsidR="00900559" w:rsidRPr="007F4001" w:rsidRDefault="00900559" w:rsidP="00900559">
            <w:pPr>
              <w:rPr>
                <w:highlight w:val="yellow"/>
              </w:rPr>
            </w:pPr>
          </w:p>
        </w:tc>
        <w:tc>
          <w:tcPr>
            <w:tcW w:w="1440" w:type="dxa"/>
            <w:vMerge/>
            <w:shd w:val="clear" w:color="auto" w:fill="auto"/>
            <w:vAlign w:val="center"/>
          </w:tcPr>
          <w:p w14:paraId="2F1E91C7" w14:textId="77777777" w:rsidR="00900559" w:rsidRPr="00900559" w:rsidRDefault="00900559" w:rsidP="00900559">
            <w:pPr>
              <w:jc w:val="center"/>
            </w:pPr>
          </w:p>
        </w:tc>
        <w:tc>
          <w:tcPr>
            <w:tcW w:w="1329" w:type="dxa"/>
            <w:vMerge/>
            <w:tcBorders>
              <w:left w:val="single" w:sz="4" w:space="0" w:color="auto"/>
              <w:right w:val="single" w:sz="12" w:space="0" w:color="auto"/>
            </w:tcBorders>
            <w:shd w:val="clear" w:color="auto" w:fill="auto"/>
            <w:vAlign w:val="center"/>
          </w:tcPr>
          <w:p w14:paraId="42CB4161" w14:textId="77777777" w:rsidR="00900559" w:rsidRPr="00900559" w:rsidRDefault="00900559" w:rsidP="00900559">
            <w:pPr>
              <w:jc w:val="center"/>
            </w:pPr>
          </w:p>
        </w:tc>
      </w:tr>
      <w:tr w:rsidR="00900559" w:rsidRPr="007F4001" w14:paraId="0243AE5B" w14:textId="77777777" w:rsidTr="00031972">
        <w:trPr>
          <w:cantSplit/>
        </w:trPr>
        <w:tc>
          <w:tcPr>
            <w:tcW w:w="3375" w:type="dxa"/>
            <w:tcBorders>
              <w:left w:val="single" w:sz="12" w:space="0" w:color="auto"/>
            </w:tcBorders>
            <w:shd w:val="clear" w:color="auto" w:fill="auto"/>
            <w:vAlign w:val="center"/>
          </w:tcPr>
          <w:p w14:paraId="0578833C" w14:textId="77777777" w:rsidR="00900559" w:rsidRPr="007F4001" w:rsidRDefault="00900559" w:rsidP="00900559">
            <w:pPr>
              <w:ind w:left="270"/>
            </w:pPr>
            <w:r>
              <w:t xml:space="preserve">Oro Loma and </w:t>
            </w:r>
            <w:r w:rsidRPr="007F4001">
              <w:t xml:space="preserve">Castro Valley Sanitary Districts </w:t>
            </w:r>
          </w:p>
        </w:tc>
        <w:tc>
          <w:tcPr>
            <w:tcW w:w="2286" w:type="dxa"/>
            <w:vMerge/>
            <w:shd w:val="clear" w:color="auto" w:fill="auto"/>
            <w:vAlign w:val="center"/>
          </w:tcPr>
          <w:p w14:paraId="7B4F38FC" w14:textId="77777777" w:rsidR="00900559" w:rsidRPr="00403E66" w:rsidRDefault="00900559" w:rsidP="00900559"/>
        </w:tc>
        <w:tc>
          <w:tcPr>
            <w:tcW w:w="2244" w:type="dxa"/>
            <w:vMerge/>
            <w:tcBorders>
              <w:right w:val="single" w:sz="4" w:space="0" w:color="auto"/>
            </w:tcBorders>
            <w:shd w:val="clear" w:color="auto" w:fill="auto"/>
            <w:vAlign w:val="center"/>
          </w:tcPr>
          <w:p w14:paraId="294A117C" w14:textId="77777777" w:rsidR="00900559" w:rsidRPr="007F4001" w:rsidRDefault="00900559" w:rsidP="00900559"/>
        </w:tc>
        <w:tc>
          <w:tcPr>
            <w:tcW w:w="1440" w:type="dxa"/>
            <w:vMerge/>
            <w:shd w:val="clear" w:color="auto" w:fill="auto"/>
            <w:vAlign w:val="center"/>
          </w:tcPr>
          <w:p w14:paraId="198D984B" w14:textId="77777777" w:rsidR="00900559" w:rsidRPr="00900559" w:rsidRDefault="00900559" w:rsidP="00900559">
            <w:pPr>
              <w:jc w:val="center"/>
            </w:pPr>
          </w:p>
        </w:tc>
        <w:tc>
          <w:tcPr>
            <w:tcW w:w="1329" w:type="dxa"/>
            <w:vMerge/>
            <w:tcBorders>
              <w:left w:val="single" w:sz="4" w:space="0" w:color="auto"/>
              <w:right w:val="single" w:sz="12" w:space="0" w:color="auto"/>
            </w:tcBorders>
            <w:shd w:val="clear" w:color="auto" w:fill="auto"/>
            <w:vAlign w:val="center"/>
          </w:tcPr>
          <w:p w14:paraId="68182B58" w14:textId="77777777" w:rsidR="00900559" w:rsidRPr="00900559" w:rsidRDefault="00900559" w:rsidP="00900559">
            <w:pPr>
              <w:jc w:val="center"/>
            </w:pPr>
          </w:p>
        </w:tc>
      </w:tr>
      <w:tr w:rsidR="00900559" w:rsidRPr="007F4001" w14:paraId="7BEBD807" w14:textId="77777777" w:rsidTr="00031972">
        <w:trPr>
          <w:cantSplit/>
        </w:trPr>
        <w:tc>
          <w:tcPr>
            <w:tcW w:w="3375" w:type="dxa"/>
            <w:tcBorders>
              <w:left w:val="single" w:sz="12" w:space="0" w:color="auto"/>
            </w:tcBorders>
            <w:shd w:val="clear" w:color="auto" w:fill="auto"/>
            <w:vAlign w:val="center"/>
          </w:tcPr>
          <w:p w14:paraId="7984954C" w14:textId="77777777" w:rsidR="00900559" w:rsidRPr="007F4001" w:rsidRDefault="00900559" w:rsidP="00900559">
            <w:pPr>
              <w:ind w:left="270"/>
            </w:pPr>
            <w:r>
              <w:t>Union Sanitary District</w:t>
            </w:r>
          </w:p>
        </w:tc>
        <w:tc>
          <w:tcPr>
            <w:tcW w:w="2286" w:type="dxa"/>
            <w:vMerge/>
            <w:shd w:val="clear" w:color="auto" w:fill="auto"/>
            <w:vAlign w:val="center"/>
          </w:tcPr>
          <w:p w14:paraId="6E60864F" w14:textId="77777777" w:rsidR="00900559" w:rsidRPr="00403E66" w:rsidRDefault="00900559" w:rsidP="00900559"/>
        </w:tc>
        <w:tc>
          <w:tcPr>
            <w:tcW w:w="2244" w:type="dxa"/>
            <w:vMerge/>
            <w:tcBorders>
              <w:right w:val="single" w:sz="4" w:space="0" w:color="auto"/>
            </w:tcBorders>
            <w:shd w:val="clear" w:color="auto" w:fill="auto"/>
            <w:vAlign w:val="center"/>
          </w:tcPr>
          <w:p w14:paraId="080D85A8" w14:textId="77777777" w:rsidR="00900559" w:rsidRPr="007F4001" w:rsidRDefault="00900559" w:rsidP="00900559"/>
        </w:tc>
        <w:tc>
          <w:tcPr>
            <w:tcW w:w="1440" w:type="dxa"/>
            <w:vMerge/>
            <w:shd w:val="clear" w:color="auto" w:fill="auto"/>
            <w:vAlign w:val="center"/>
          </w:tcPr>
          <w:p w14:paraId="09CD2260" w14:textId="77777777" w:rsidR="00900559" w:rsidRPr="00900559" w:rsidRDefault="00900559" w:rsidP="00900559">
            <w:pPr>
              <w:jc w:val="center"/>
            </w:pPr>
          </w:p>
        </w:tc>
        <w:tc>
          <w:tcPr>
            <w:tcW w:w="1329" w:type="dxa"/>
            <w:vMerge/>
            <w:tcBorders>
              <w:left w:val="single" w:sz="4" w:space="0" w:color="auto"/>
              <w:right w:val="single" w:sz="12" w:space="0" w:color="auto"/>
            </w:tcBorders>
            <w:shd w:val="clear" w:color="auto" w:fill="auto"/>
            <w:vAlign w:val="center"/>
          </w:tcPr>
          <w:p w14:paraId="1DAC7406" w14:textId="77777777" w:rsidR="00900559" w:rsidRPr="00900559" w:rsidRDefault="00900559" w:rsidP="00900559">
            <w:pPr>
              <w:jc w:val="center"/>
            </w:pPr>
          </w:p>
        </w:tc>
      </w:tr>
      <w:tr w:rsidR="00900559" w:rsidRPr="007F4001" w14:paraId="0202F2C3" w14:textId="77777777" w:rsidTr="00031972">
        <w:trPr>
          <w:cantSplit/>
        </w:trPr>
        <w:tc>
          <w:tcPr>
            <w:tcW w:w="3375" w:type="dxa"/>
            <w:tcBorders>
              <w:left w:val="single" w:sz="12" w:space="0" w:color="auto"/>
            </w:tcBorders>
            <w:shd w:val="clear" w:color="auto" w:fill="auto"/>
            <w:vAlign w:val="center"/>
          </w:tcPr>
          <w:p w14:paraId="21CB7A2F" w14:textId="77777777" w:rsidR="00900559" w:rsidRPr="007F4001" w:rsidRDefault="00900559" w:rsidP="00900559">
            <w:pPr>
              <w:ind w:left="270"/>
            </w:pPr>
            <w:r w:rsidRPr="007F4001">
              <w:t xml:space="preserve">Livermore-Amador Valley </w:t>
            </w:r>
            <w:r>
              <w:t>Water Management Agency</w:t>
            </w:r>
          </w:p>
        </w:tc>
        <w:tc>
          <w:tcPr>
            <w:tcW w:w="2286" w:type="dxa"/>
            <w:vMerge/>
            <w:shd w:val="clear" w:color="auto" w:fill="auto"/>
            <w:vAlign w:val="center"/>
          </w:tcPr>
          <w:p w14:paraId="161B1772" w14:textId="77777777" w:rsidR="00900559" w:rsidRPr="00403E66" w:rsidRDefault="00900559" w:rsidP="00900559"/>
        </w:tc>
        <w:tc>
          <w:tcPr>
            <w:tcW w:w="2244" w:type="dxa"/>
            <w:vMerge/>
            <w:tcBorders>
              <w:right w:val="single" w:sz="4" w:space="0" w:color="auto"/>
            </w:tcBorders>
            <w:shd w:val="clear" w:color="auto" w:fill="auto"/>
            <w:vAlign w:val="center"/>
          </w:tcPr>
          <w:p w14:paraId="285F3700" w14:textId="77777777" w:rsidR="00900559" w:rsidRPr="007F4001" w:rsidRDefault="00900559" w:rsidP="00900559"/>
        </w:tc>
        <w:tc>
          <w:tcPr>
            <w:tcW w:w="1440" w:type="dxa"/>
            <w:vMerge/>
            <w:shd w:val="clear" w:color="auto" w:fill="auto"/>
            <w:vAlign w:val="center"/>
          </w:tcPr>
          <w:p w14:paraId="67CDB285" w14:textId="77777777" w:rsidR="00900559" w:rsidRPr="00900559" w:rsidRDefault="00900559" w:rsidP="00900559">
            <w:pPr>
              <w:jc w:val="center"/>
            </w:pPr>
          </w:p>
        </w:tc>
        <w:tc>
          <w:tcPr>
            <w:tcW w:w="1329" w:type="dxa"/>
            <w:vMerge/>
            <w:tcBorders>
              <w:left w:val="single" w:sz="4" w:space="0" w:color="auto"/>
              <w:right w:val="single" w:sz="12" w:space="0" w:color="auto"/>
            </w:tcBorders>
            <w:shd w:val="clear" w:color="auto" w:fill="auto"/>
            <w:vAlign w:val="center"/>
          </w:tcPr>
          <w:p w14:paraId="59468902" w14:textId="77777777" w:rsidR="00900559" w:rsidRPr="00900559" w:rsidRDefault="00900559" w:rsidP="00900559">
            <w:pPr>
              <w:jc w:val="center"/>
            </w:pPr>
          </w:p>
        </w:tc>
      </w:tr>
      <w:tr w:rsidR="00900559" w:rsidRPr="007F4001" w14:paraId="4B958EC8" w14:textId="77777777" w:rsidTr="00031972">
        <w:trPr>
          <w:cantSplit/>
        </w:trPr>
        <w:tc>
          <w:tcPr>
            <w:tcW w:w="3375" w:type="dxa"/>
            <w:tcBorders>
              <w:left w:val="single" w:sz="12" w:space="0" w:color="auto"/>
            </w:tcBorders>
            <w:shd w:val="clear" w:color="auto" w:fill="auto"/>
            <w:vAlign w:val="center"/>
          </w:tcPr>
          <w:p w14:paraId="4627DEEF" w14:textId="77777777" w:rsidR="00900559" w:rsidRPr="007F4001" w:rsidRDefault="00900559" w:rsidP="00900559">
            <w:pPr>
              <w:ind w:left="270"/>
            </w:pPr>
            <w:r w:rsidRPr="007F4001">
              <w:t xml:space="preserve">Dublin San Ramon Services District </w:t>
            </w:r>
          </w:p>
        </w:tc>
        <w:tc>
          <w:tcPr>
            <w:tcW w:w="2286" w:type="dxa"/>
            <w:vMerge/>
            <w:shd w:val="clear" w:color="auto" w:fill="auto"/>
            <w:vAlign w:val="center"/>
          </w:tcPr>
          <w:p w14:paraId="02A0443B" w14:textId="77777777" w:rsidR="00900559" w:rsidRPr="00403E66" w:rsidRDefault="00900559" w:rsidP="00900559"/>
        </w:tc>
        <w:tc>
          <w:tcPr>
            <w:tcW w:w="2244" w:type="dxa"/>
            <w:vMerge/>
            <w:tcBorders>
              <w:right w:val="single" w:sz="4" w:space="0" w:color="auto"/>
            </w:tcBorders>
            <w:shd w:val="clear" w:color="auto" w:fill="auto"/>
            <w:vAlign w:val="center"/>
          </w:tcPr>
          <w:p w14:paraId="596647E6" w14:textId="77777777" w:rsidR="00900559" w:rsidRPr="007F4001" w:rsidRDefault="00900559" w:rsidP="00900559"/>
        </w:tc>
        <w:tc>
          <w:tcPr>
            <w:tcW w:w="1440" w:type="dxa"/>
            <w:vMerge/>
            <w:shd w:val="clear" w:color="auto" w:fill="auto"/>
            <w:vAlign w:val="center"/>
          </w:tcPr>
          <w:p w14:paraId="43E132CD" w14:textId="77777777" w:rsidR="00900559" w:rsidRPr="00900559" w:rsidRDefault="00900559" w:rsidP="00900559">
            <w:pPr>
              <w:jc w:val="center"/>
            </w:pPr>
          </w:p>
        </w:tc>
        <w:tc>
          <w:tcPr>
            <w:tcW w:w="1329" w:type="dxa"/>
            <w:vMerge/>
            <w:tcBorders>
              <w:left w:val="single" w:sz="4" w:space="0" w:color="auto"/>
              <w:right w:val="single" w:sz="12" w:space="0" w:color="auto"/>
            </w:tcBorders>
            <w:shd w:val="clear" w:color="auto" w:fill="auto"/>
            <w:vAlign w:val="center"/>
          </w:tcPr>
          <w:p w14:paraId="3166B0B3" w14:textId="77777777" w:rsidR="00900559" w:rsidRPr="00900559" w:rsidRDefault="00900559" w:rsidP="00900559">
            <w:pPr>
              <w:jc w:val="center"/>
            </w:pPr>
          </w:p>
        </w:tc>
      </w:tr>
      <w:tr w:rsidR="00900559" w:rsidRPr="007F4001" w14:paraId="20FF7CC3" w14:textId="77777777" w:rsidTr="00031972">
        <w:trPr>
          <w:cantSplit/>
        </w:trPr>
        <w:tc>
          <w:tcPr>
            <w:tcW w:w="3375" w:type="dxa"/>
            <w:tcBorders>
              <w:left w:val="single" w:sz="12" w:space="0" w:color="auto"/>
            </w:tcBorders>
            <w:shd w:val="clear" w:color="auto" w:fill="auto"/>
            <w:vAlign w:val="center"/>
          </w:tcPr>
          <w:p w14:paraId="43935AA2" w14:textId="77777777" w:rsidR="00900559" w:rsidRPr="007F4001" w:rsidRDefault="00900559" w:rsidP="00900559">
            <w:pPr>
              <w:ind w:left="270"/>
            </w:pPr>
            <w:r w:rsidRPr="007F4001">
              <w:t xml:space="preserve">City of Livermore </w:t>
            </w:r>
          </w:p>
        </w:tc>
        <w:tc>
          <w:tcPr>
            <w:tcW w:w="2286" w:type="dxa"/>
            <w:vMerge/>
            <w:shd w:val="clear" w:color="auto" w:fill="auto"/>
            <w:vAlign w:val="center"/>
          </w:tcPr>
          <w:p w14:paraId="0708D9BD" w14:textId="77777777" w:rsidR="00900559" w:rsidRPr="00403E66" w:rsidRDefault="00900559" w:rsidP="00900559"/>
        </w:tc>
        <w:tc>
          <w:tcPr>
            <w:tcW w:w="2244" w:type="dxa"/>
            <w:vMerge/>
            <w:tcBorders>
              <w:right w:val="single" w:sz="4" w:space="0" w:color="auto"/>
            </w:tcBorders>
            <w:shd w:val="clear" w:color="auto" w:fill="auto"/>
            <w:vAlign w:val="center"/>
          </w:tcPr>
          <w:p w14:paraId="7995D5D0" w14:textId="77777777" w:rsidR="00900559" w:rsidRPr="007F4001" w:rsidRDefault="00900559" w:rsidP="00900559"/>
        </w:tc>
        <w:tc>
          <w:tcPr>
            <w:tcW w:w="1440" w:type="dxa"/>
            <w:vMerge/>
            <w:shd w:val="clear" w:color="auto" w:fill="auto"/>
            <w:vAlign w:val="center"/>
          </w:tcPr>
          <w:p w14:paraId="04388893" w14:textId="77777777" w:rsidR="00900559" w:rsidRPr="00900559" w:rsidRDefault="00900559" w:rsidP="00900559">
            <w:pPr>
              <w:jc w:val="center"/>
            </w:pPr>
          </w:p>
        </w:tc>
        <w:tc>
          <w:tcPr>
            <w:tcW w:w="1329" w:type="dxa"/>
            <w:vMerge/>
            <w:tcBorders>
              <w:left w:val="single" w:sz="4" w:space="0" w:color="auto"/>
              <w:right w:val="single" w:sz="12" w:space="0" w:color="auto"/>
            </w:tcBorders>
            <w:shd w:val="clear" w:color="auto" w:fill="auto"/>
            <w:vAlign w:val="center"/>
          </w:tcPr>
          <w:p w14:paraId="07DC1432" w14:textId="77777777" w:rsidR="00900559" w:rsidRPr="00900559" w:rsidRDefault="00900559" w:rsidP="00900559">
            <w:pPr>
              <w:jc w:val="center"/>
            </w:pPr>
          </w:p>
        </w:tc>
      </w:tr>
      <w:tr w:rsidR="00900559" w:rsidRPr="007F4001" w14:paraId="092ECECC" w14:textId="77777777" w:rsidTr="00031972">
        <w:trPr>
          <w:cantSplit/>
        </w:trPr>
        <w:tc>
          <w:tcPr>
            <w:tcW w:w="3375" w:type="dxa"/>
            <w:tcBorders>
              <w:left w:val="single" w:sz="12" w:space="0" w:color="auto"/>
            </w:tcBorders>
            <w:shd w:val="clear" w:color="auto" w:fill="auto"/>
            <w:vAlign w:val="center"/>
          </w:tcPr>
          <w:p w14:paraId="3DBF4A41" w14:textId="37DB8911" w:rsidR="00900559" w:rsidRPr="00EC61FA" w:rsidRDefault="00900559" w:rsidP="00900559">
            <w:r w:rsidRPr="007F4001">
              <w:t>East Bay Municipal Utility District</w:t>
            </w:r>
          </w:p>
        </w:tc>
        <w:tc>
          <w:tcPr>
            <w:tcW w:w="2286" w:type="dxa"/>
            <w:shd w:val="clear" w:color="auto" w:fill="auto"/>
            <w:vAlign w:val="center"/>
          </w:tcPr>
          <w:p w14:paraId="6E906B10" w14:textId="1BA17D36" w:rsidR="00900559" w:rsidRPr="00403E66" w:rsidRDefault="00A11B3D" w:rsidP="00900559">
            <w:r>
              <w:t>Eileen White</w:t>
            </w:r>
            <w:r w:rsidR="00900559" w:rsidRPr="00403E66">
              <w:t xml:space="preserve">, </w:t>
            </w:r>
            <w:r w:rsidR="00817BFA">
              <w:t>Director of Wastewater</w:t>
            </w:r>
          </w:p>
          <w:p w14:paraId="356841A5" w14:textId="5CE6A4CB" w:rsidR="00900559" w:rsidRPr="00403E66" w:rsidRDefault="00900559" w:rsidP="009373DB">
            <w:r w:rsidRPr="00403E66">
              <w:t>(510) 287-</w:t>
            </w:r>
            <w:r w:rsidR="00817BFA">
              <w:t>1</w:t>
            </w:r>
            <w:r w:rsidR="009373DB">
              <w:t>149</w:t>
            </w:r>
          </w:p>
        </w:tc>
        <w:tc>
          <w:tcPr>
            <w:tcW w:w="2244" w:type="dxa"/>
            <w:tcBorders>
              <w:right w:val="single" w:sz="4" w:space="0" w:color="auto"/>
            </w:tcBorders>
            <w:shd w:val="clear" w:color="auto" w:fill="auto"/>
            <w:vAlign w:val="center"/>
          </w:tcPr>
          <w:p w14:paraId="7BAB2217" w14:textId="0A00E297" w:rsidR="00900559" w:rsidRPr="007F4001" w:rsidRDefault="00900559" w:rsidP="00900559">
            <w:r w:rsidRPr="007F4001">
              <w:t>P.O. Box 24055</w:t>
            </w:r>
            <w:r w:rsidR="00F13F12">
              <w:t>, MS#59</w:t>
            </w:r>
            <w:r w:rsidRPr="007F4001">
              <w:t xml:space="preserve"> Oakland, CA </w:t>
            </w:r>
          </w:p>
          <w:p w14:paraId="6F47D3AC" w14:textId="77777777" w:rsidR="00900559" w:rsidRDefault="00900559" w:rsidP="00900559">
            <w:r w:rsidRPr="007F4001">
              <w:t xml:space="preserve">94623-1055 </w:t>
            </w:r>
          </w:p>
          <w:p w14:paraId="31906F7C" w14:textId="77777777" w:rsidR="00900559" w:rsidRPr="007F4001" w:rsidRDefault="00900559" w:rsidP="00900559">
            <w:r>
              <w:t>Alameda County</w:t>
            </w:r>
          </w:p>
        </w:tc>
        <w:tc>
          <w:tcPr>
            <w:tcW w:w="1440" w:type="dxa"/>
            <w:shd w:val="clear" w:color="auto" w:fill="auto"/>
            <w:vAlign w:val="center"/>
          </w:tcPr>
          <w:p w14:paraId="0D11C795" w14:textId="5163BC2E" w:rsidR="00900559" w:rsidRPr="00900559" w:rsidRDefault="00900559" w:rsidP="00900559">
            <w:pPr>
              <w:jc w:val="center"/>
            </w:pPr>
            <w:r w:rsidRPr="00900559">
              <w:t>Y</w:t>
            </w:r>
            <w:r>
              <w:t>es</w:t>
            </w:r>
          </w:p>
        </w:tc>
        <w:tc>
          <w:tcPr>
            <w:tcW w:w="1329" w:type="dxa"/>
            <w:tcBorders>
              <w:left w:val="single" w:sz="4" w:space="0" w:color="auto"/>
              <w:right w:val="single" w:sz="12" w:space="0" w:color="auto"/>
            </w:tcBorders>
            <w:shd w:val="clear" w:color="auto" w:fill="auto"/>
            <w:vAlign w:val="center"/>
          </w:tcPr>
          <w:p w14:paraId="7E22694E" w14:textId="2D5BC9AB" w:rsidR="00900559" w:rsidRPr="00900559" w:rsidRDefault="00900559" w:rsidP="00900559">
            <w:pPr>
              <w:jc w:val="center"/>
            </w:pPr>
            <w:r w:rsidRPr="00900559">
              <w:t>Marine</w:t>
            </w:r>
          </w:p>
        </w:tc>
      </w:tr>
      <w:tr w:rsidR="00900559" w:rsidRPr="007F4001" w14:paraId="11F18F92" w14:textId="77777777" w:rsidTr="00031972">
        <w:trPr>
          <w:cantSplit/>
        </w:trPr>
        <w:tc>
          <w:tcPr>
            <w:tcW w:w="3375" w:type="dxa"/>
            <w:tcBorders>
              <w:left w:val="single" w:sz="12" w:space="0" w:color="auto"/>
            </w:tcBorders>
            <w:shd w:val="clear" w:color="auto" w:fill="auto"/>
            <w:vAlign w:val="center"/>
          </w:tcPr>
          <w:p w14:paraId="63C02C84" w14:textId="77777777" w:rsidR="00900559" w:rsidRPr="007F4001" w:rsidRDefault="00900559" w:rsidP="00900559">
            <w:pPr>
              <w:rPr>
                <w:rFonts w:eastAsia="Arial Unicode MS"/>
              </w:rPr>
            </w:pPr>
            <w:r w:rsidRPr="007F4001">
              <w:t>Fairfield-Suisun Sewer District</w:t>
            </w:r>
          </w:p>
        </w:tc>
        <w:tc>
          <w:tcPr>
            <w:tcW w:w="2286" w:type="dxa"/>
            <w:shd w:val="clear" w:color="auto" w:fill="auto"/>
            <w:vAlign w:val="center"/>
          </w:tcPr>
          <w:p w14:paraId="5E78BDEF" w14:textId="1BA0322F" w:rsidR="00900559" w:rsidRPr="00403E66" w:rsidRDefault="00C84CAC" w:rsidP="00900559">
            <w:r>
              <w:t>Brian Hawley</w:t>
            </w:r>
            <w:r w:rsidR="00900559" w:rsidRPr="00403E66">
              <w:t>,</w:t>
            </w:r>
          </w:p>
          <w:p w14:paraId="591B6EF0" w14:textId="69FA0CE2" w:rsidR="00900559" w:rsidRPr="00403E66" w:rsidRDefault="00C84CAC" w:rsidP="00900559">
            <w:r>
              <w:t>Operations Manager</w:t>
            </w:r>
          </w:p>
          <w:p w14:paraId="0C7BC35C" w14:textId="7248E7CD" w:rsidR="00900559" w:rsidRPr="00403E66" w:rsidRDefault="00900559" w:rsidP="00C84CAC">
            <w:r w:rsidRPr="00403E66">
              <w:t>(707) 428-91</w:t>
            </w:r>
            <w:r w:rsidR="00C84CAC">
              <w:t>18</w:t>
            </w:r>
          </w:p>
        </w:tc>
        <w:tc>
          <w:tcPr>
            <w:tcW w:w="2244" w:type="dxa"/>
            <w:tcBorders>
              <w:right w:val="single" w:sz="4" w:space="0" w:color="auto"/>
            </w:tcBorders>
            <w:shd w:val="clear" w:color="auto" w:fill="auto"/>
            <w:vAlign w:val="center"/>
          </w:tcPr>
          <w:p w14:paraId="03024F8E" w14:textId="77777777" w:rsidR="00900559" w:rsidRPr="005465D4" w:rsidRDefault="00900559" w:rsidP="00900559">
            <w:r w:rsidRPr="005465D4">
              <w:t>1010 Chadbourne Road</w:t>
            </w:r>
          </w:p>
          <w:p w14:paraId="0AB2B7BB" w14:textId="77777777" w:rsidR="00900559" w:rsidRPr="005465D4" w:rsidRDefault="00900559" w:rsidP="00900559">
            <w:r w:rsidRPr="005465D4">
              <w:t>Fairfield, CA 94534</w:t>
            </w:r>
          </w:p>
          <w:p w14:paraId="053F3CCF" w14:textId="77777777" w:rsidR="00900559" w:rsidRPr="007F4001" w:rsidRDefault="00900559" w:rsidP="00900559">
            <w:r w:rsidRPr="005465D4">
              <w:t>Solano County</w:t>
            </w:r>
          </w:p>
        </w:tc>
        <w:tc>
          <w:tcPr>
            <w:tcW w:w="1440" w:type="dxa"/>
            <w:shd w:val="clear" w:color="auto" w:fill="auto"/>
            <w:vAlign w:val="center"/>
          </w:tcPr>
          <w:p w14:paraId="660C7A53" w14:textId="23F76E3E" w:rsidR="00900559" w:rsidRPr="00900559" w:rsidRDefault="00900559" w:rsidP="00900559">
            <w:pPr>
              <w:jc w:val="center"/>
            </w:pPr>
            <w:r w:rsidRPr="00900559">
              <w:t>Y</w:t>
            </w:r>
            <w:r>
              <w:t>es</w:t>
            </w:r>
          </w:p>
        </w:tc>
        <w:tc>
          <w:tcPr>
            <w:tcW w:w="1329" w:type="dxa"/>
            <w:tcBorders>
              <w:left w:val="single" w:sz="4" w:space="0" w:color="auto"/>
              <w:right w:val="single" w:sz="12" w:space="0" w:color="auto"/>
            </w:tcBorders>
            <w:shd w:val="clear" w:color="auto" w:fill="auto"/>
            <w:vAlign w:val="center"/>
          </w:tcPr>
          <w:p w14:paraId="07BDA863" w14:textId="00A3CE13" w:rsidR="00900559" w:rsidRPr="00900559" w:rsidRDefault="00900559" w:rsidP="00900559">
            <w:pPr>
              <w:jc w:val="center"/>
            </w:pPr>
            <w:r w:rsidRPr="00900559">
              <w:t>Estuarine</w:t>
            </w:r>
          </w:p>
        </w:tc>
      </w:tr>
      <w:tr w:rsidR="00900559" w:rsidRPr="007F4001" w14:paraId="53DA8408" w14:textId="77777777" w:rsidTr="00031972">
        <w:trPr>
          <w:cantSplit/>
        </w:trPr>
        <w:tc>
          <w:tcPr>
            <w:tcW w:w="3375" w:type="dxa"/>
            <w:tcBorders>
              <w:left w:val="single" w:sz="12" w:space="0" w:color="auto"/>
            </w:tcBorders>
            <w:shd w:val="clear" w:color="auto" w:fill="auto"/>
            <w:vAlign w:val="center"/>
          </w:tcPr>
          <w:p w14:paraId="7B1D90F4" w14:textId="77777777" w:rsidR="00900559" w:rsidRPr="007F4001" w:rsidRDefault="00900559" w:rsidP="00900559">
            <w:pPr>
              <w:tabs>
                <w:tab w:val="left" w:pos="459"/>
              </w:tabs>
              <w:rPr>
                <w:rFonts w:eastAsia="Arial Unicode MS"/>
              </w:rPr>
            </w:pPr>
            <w:r w:rsidRPr="007F4001">
              <w:t>Las Gallinas Valley Sanitary District</w:t>
            </w:r>
          </w:p>
        </w:tc>
        <w:tc>
          <w:tcPr>
            <w:tcW w:w="2286" w:type="dxa"/>
            <w:shd w:val="clear" w:color="auto" w:fill="auto"/>
            <w:vAlign w:val="center"/>
          </w:tcPr>
          <w:p w14:paraId="384ED455" w14:textId="77777777" w:rsidR="00900559" w:rsidRPr="00403E66" w:rsidRDefault="00900559" w:rsidP="00900559">
            <w:r w:rsidRPr="00403E66">
              <w:t>Mark Williams,</w:t>
            </w:r>
          </w:p>
          <w:p w14:paraId="433485BD" w14:textId="77777777" w:rsidR="00900559" w:rsidRPr="00403E66" w:rsidRDefault="00900559" w:rsidP="00900559">
            <w:r w:rsidRPr="00403E66">
              <w:t>District Manager</w:t>
            </w:r>
          </w:p>
          <w:p w14:paraId="50FB7ABA" w14:textId="77777777" w:rsidR="00900559" w:rsidRPr="00403E66" w:rsidRDefault="00900559" w:rsidP="00900559">
            <w:r w:rsidRPr="00403E66">
              <w:t>(415) 472-1734</w:t>
            </w:r>
          </w:p>
        </w:tc>
        <w:tc>
          <w:tcPr>
            <w:tcW w:w="2244" w:type="dxa"/>
            <w:tcBorders>
              <w:right w:val="single" w:sz="4" w:space="0" w:color="auto"/>
            </w:tcBorders>
            <w:shd w:val="clear" w:color="auto" w:fill="auto"/>
            <w:vAlign w:val="center"/>
          </w:tcPr>
          <w:p w14:paraId="5AA00DF5" w14:textId="77777777" w:rsidR="00900559" w:rsidRPr="005465D4" w:rsidRDefault="00900559" w:rsidP="00900559">
            <w:r w:rsidRPr="005465D4">
              <w:t>300 Smith Ranch Road</w:t>
            </w:r>
          </w:p>
          <w:p w14:paraId="4944486B" w14:textId="77777777" w:rsidR="00900559" w:rsidRPr="005465D4" w:rsidRDefault="00900559" w:rsidP="00900559">
            <w:r w:rsidRPr="005465D4">
              <w:t>San Rafael, CA 94903</w:t>
            </w:r>
          </w:p>
          <w:p w14:paraId="5B9B1799" w14:textId="77777777" w:rsidR="00900559" w:rsidRPr="007F4001" w:rsidRDefault="00900559" w:rsidP="00900559">
            <w:r w:rsidRPr="005465D4">
              <w:t>Marin County</w:t>
            </w:r>
          </w:p>
        </w:tc>
        <w:tc>
          <w:tcPr>
            <w:tcW w:w="1440" w:type="dxa"/>
            <w:shd w:val="clear" w:color="auto" w:fill="auto"/>
            <w:vAlign w:val="center"/>
          </w:tcPr>
          <w:p w14:paraId="67E5238B" w14:textId="5DA884C9" w:rsidR="00900559" w:rsidRPr="00900559" w:rsidRDefault="00900559" w:rsidP="00900559">
            <w:pPr>
              <w:jc w:val="center"/>
            </w:pPr>
            <w:r w:rsidRPr="00900559">
              <w:t>N</w:t>
            </w:r>
            <w:r>
              <w:t>o</w:t>
            </w:r>
          </w:p>
        </w:tc>
        <w:tc>
          <w:tcPr>
            <w:tcW w:w="1329" w:type="dxa"/>
            <w:tcBorders>
              <w:left w:val="single" w:sz="4" w:space="0" w:color="auto"/>
              <w:right w:val="single" w:sz="12" w:space="0" w:color="auto"/>
            </w:tcBorders>
            <w:shd w:val="clear" w:color="auto" w:fill="auto"/>
            <w:vAlign w:val="center"/>
          </w:tcPr>
          <w:p w14:paraId="5C9178F7" w14:textId="624FBCFC" w:rsidR="00900559" w:rsidRPr="00900559" w:rsidRDefault="00900559" w:rsidP="00900559">
            <w:pPr>
              <w:jc w:val="center"/>
            </w:pPr>
            <w:r w:rsidRPr="00900559">
              <w:t>Estuarine</w:t>
            </w:r>
          </w:p>
        </w:tc>
      </w:tr>
      <w:tr w:rsidR="00900559" w:rsidRPr="007F4001" w14:paraId="05479A5E" w14:textId="77777777" w:rsidTr="00031972">
        <w:trPr>
          <w:cantSplit/>
        </w:trPr>
        <w:tc>
          <w:tcPr>
            <w:tcW w:w="3375" w:type="dxa"/>
            <w:tcBorders>
              <w:left w:val="single" w:sz="12" w:space="0" w:color="auto"/>
            </w:tcBorders>
            <w:shd w:val="clear" w:color="auto" w:fill="auto"/>
            <w:vAlign w:val="center"/>
          </w:tcPr>
          <w:p w14:paraId="0107FAC1" w14:textId="77777777" w:rsidR="00900559" w:rsidRPr="007F4001" w:rsidRDefault="00900559" w:rsidP="00900559">
            <w:r w:rsidRPr="007F4001">
              <w:t xml:space="preserve">Marin County (Paradise Cove), Sanitary District No. 5 of </w:t>
            </w:r>
          </w:p>
        </w:tc>
        <w:tc>
          <w:tcPr>
            <w:tcW w:w="2286" w:type="dxa"/>
            <w:shd w:val="clear" w:color="auto" w:fill="auto"/>
            <w:vAlign w:val="center"/>
          </w:tcPr>
          <w:p w14:paraId="2A2B7B68" w14:textId="77777777" w:rsidR="00900559" w:rsidRPr="007F4001" w:rsidRDefault="00900559" w:rsidP="00900559">
            <w:r w:rsidRPr="007F4001">
              <w:t>Tony Rubio</w:t>
            </w:r>
          </w:p>
          <w:p w14:paraId="612A0E96" w14:textId="77777777" w:rsidR="00900559" w:rsidRPr="007F4001" w:rsidRDefault="00900559" w:rsidP="00900559">
            <w:r w:rsidRPr="007F4001">
              <w:t>Chief Plant Operator</w:t>
            </w:r>
          </w:p>
          <w:p w14:paraId="257E729D" w14:textId="77777777" w:rsidR="00900559" w:rsidRPr="007F4001" w:rsidRDefault="00900559" w:rsidP="00900559">
            <w:r w:rsidRPr="007F4001">
              <w:t>(415) 435-1501</w:t>
            </w:r>
          </w:p>
        </w:tc>
        <w:tc>
          <w:tcPr>
            <w:tcW w:w="2244" w:type="dxa"/>
            <w:tcBorders>
              <w:right w:val="single" w:sz="4" w:space="0" w:color="auto"/>
            </w:tcBorders>
            <w:shd w:val="clear" w:color="auto" w:fill="auto"/>
            <w:vAlign w:val="center"/>
          </w:tcPr>
          <w:p w14:paraId="7EFFB238" w14:textId="77777777" w:rsidR="00900559" w:rsidRPr="007F4001" w:rsidRDefault="00900559" w:rsidP="00900559">
            <w:r w:rsidRPr="007F4001">
              <w:t>P.O. Box 227</w:t>
            </w:r>
          </w:p>
          <w:p w14:paraId="32650F99" w14:textId="77777777" w:rsidR="00900559" w:rsidRDefault="00900559" w:rsidP="00900559">
            <w:r w:rsidRPr="007F4001">
              <w:t>Tiburon, CA 94920</w:t>
            </w:r>
          </w:p>
          <w:p w14:paraId="6A1420CB" w14:textId="77777777" w:rsidR="00900559" w:rsidRPr="007F4001" w:rsidRDefault="00900559" w:rsidP="00900559">
            <w:r>
              <w:t>Marin County</w:t>
            </w:r>
          </w:p>
        </w:tc>
        <w:tc>
          <w:tcPr>
            <w:tcW w:w="1440" w:type="dxa"/>
            <w:shd w:val="clear" w:color="auto" w:fill="auto"/>
            <w:vAlign w:val="center"/>
          </w:tcPr>
          <w:p w14:paraId="213AFF23" w14:textId="3CBF749F" w:rsidR="00900559" w:rsidRPr="00900559" w:rsidRDefault="00900559" w:rsidP="00900559">
            <w:pPr>
              <w:jc w:val="center"/>
            </w:pPr>
            <w:r w:rsidRPr="00900559">
              <w:t>N</w:t>
            </w:r>
            <w:r>
              <w:t>o</w:t>
            </w:r>
          </w:p>
        </w:tc>
        <w:tc>
          <w:tcPr>
            <w:tcW w:w="1329" w:type="dxa"/>
            <w:tcBorders>
              <w:left w:val="single" w:sz="4" w:space="0" w:color="auto"/>
              <w:right w:val="single" w:sz="12" w:space="0" w:color="auto"/>
            </w:tcBorders>
            <w:shd w:val="clear" w:color="auto" w:fill="auto"/>
            <w:vAlign w:val="center"/>
          </w:tcPr>
          <w:p w14:paraId="6F5AB110" w14:textId="5496211E" w:rsidR="00900559" w:rsidRPr="00900559" w:rsidRDefault="00900559" w:rsidP="00900559">
            <w:pPr>
              <w:jc w:val="center"/>
            </w:pPr>
            <w:r w:rsidRPr="00900559">
              <w:t>Marine</w:t>
            </w:r>
          </w:p>
        </w:tc>
      </w:tr>
      <w:tr w:rsidR="00900559" w:rsidRPr="007F4001" w14:paraId="47D720D0" w14:textId="77777777" w:rsidTr="00031972">
        <w:trPr>
          <w:cantSplit/>
        </w:trPr>
        <w:tc>
          <w:tcPr>
            <w:tcW w:w="3375" w:type="dxa"/>
            <w:tcBorders>
              <w:left w:val="single" w:sz="12" w:space="0" w:color="auto"/>
            </w:tcBorders>
            <w:shd w:val="clear" w:color="auto" w:fill="auto"/>
            <w:vAlign w:val="center"/>
          </w:tcPr>
          <w:p w14:paraId="26F9BCD3" w14:textId="77777777" w:rsidR="00900559" w:rsidRPr="007F4001" w:rsidRDefault="00900559" w:rsidP="00900559">
            <w:pPr>
              <w:rPr>
                <w:rFonts w:eastAsia="Arial Unicode MS"/>
              </w:rPr>
            </w:pPr>
            <w:r w:rsidRPr="007F4001">
              <w:lastRenderedPageBreak/>
              <w:t>Marin County (Tiburon), Sanitary District No. 5 of</w:t>
            </w:r>
          </w:p>
        </w:tc>
        <w:tc>
          <w:tcPr>
            <w:tcW w:w="2286" w:type="dxa"/>
            <w:shd w:val="clear" w:color="auto" w:fill="auto"/>
            <w:vAlign w:val="center"/>
          </w:tcPr>
          <w:p w14:paraId="55CDB8BA" w14:textId="77777777" w:rsidR="00900559" w:rsidRPr="007F4001" w:rsidRDefault="00900559" w:rsidP="00900559">
            <w:r w:rsidRPr="007F4001">
              <w:t>Tony Rubio</w:t>
            </w:r>
          </w:p>
          <w:p w14:paraId="50349BC0" w14:textId="77777777" w:rsidR="00900559" w:rsidRPr="007F4001" w:rsidRDefault="00900559" w:rsidP="00900559">
            <w:r w:rsidRPr="007F4001">
              <w:t>Chief Plant Operator</w:t>
            </w:r>
          </w:p>
          <w:p w14:paraId="0D47E8F9" w14:textId="77777777" w:rsidR="00900559" w:rsidRPr="007F4001" w:rsidRDefault="00900559" w:rsidP="00900559">
            <w:r w:rsidRPr="007F4001">
              <w:t>(415) 435-1501</w:t>
            </w:r>
          </w:p>
        </w:tc>
        <w:tc>
          <w:tcPr>
            <w:tcW w:w="2244" w:type="dxa"/>
            <w:tcBorders>
              <w:right w:val="single" w:sz="4" w:space="0" w:color="auto"/>
            </w:tcBorders>
            <w:shd w:val="clear" w:color="auto" w:fill="auto"/>
            <w:vAlign w:val="center"/>
          </w:tcPr>
          <w:p w14:paraId="1AC1523B" w14:textId="77777777" w:rsidR="00900559" w:rsidRDefault="00900559" w:rsidP="00900559">
            <w:r w:rsidRPr="007F4001">
              <w:t>2001 Paradise Drive Tiburon, CA 94920</w:t>
            </w:r>
          </w:p>
          <w:p w14:paraId="057C56A3" w14:textId="77777777" w:rsidR="00900559" w:rsidRPr="007F4001" w:rsidRDefault="00900559" w:rsidP="00900559">
            <w:r>
              <w:t>Marin County</w:t>
            </w:r>
          </w:p>
        </w:tc>
        <w:tc>
          <w:tcPr>
            <w:tcW w:w="1440" w:type="dxa"/>
            <w:shd w:val="clear" w:color="auto" w:fill="auto"/>
            <w:vAlign w:val="center"/>
          </w:tcPr>
          <w:p w14:paraId="0E145D58" w14:textId="21E6D8B5" w:rsidR="00900559" w:rsidRPr="00900559" w:rsidRDefault="00900559" w:rsidP="00900559">
            <w:pPr>
              <w:jc w:val="center"/>
            </w:pPr>
            <w:r w:rsidRPr="00900559">
              <w:t>N</w:t>
            </w:r>
            <w:r>
              <w:t>o</w:t>
            </w:r>
          </w:p>
        </w:tc>
        <w:tc>
          <w:tcPr>
            <w:tcW w:w="1329" w:type="dxa"/>
            <w:tcBorders>
              <w:left w:val="single" w:sz="4" w:space="0" w:color="auto"/>
              <w:right w:val="single" w:sz="12" w:space="0" w:color="auto"/>
            </w:tcBorders>
            <w:shd w:val="clear" w:color="auto" w:fill="auto"/>
            <w:vAlign w:val="center"/>
          </w:tcPr>
          <w:p w14:paraId="3E4DC04D" w14:textId="632A80AD" w:rsidR="00900559" w:rsidRPr="00900559" w:rsidRDefault="00900559" w:rsidP="00900559">
            <w:pPr>
              <w:jc w:val="center"/>
            </w:pPr>
            <w:r w:rsidRPr="00900559">
              <w:t>Marine</w:t>
            </w:r>
          </w:p>
        </w:tc>
      </w:tr>
      <w:tr w:rsidR="00900559" w:rsidRPr="007F4001" w14:paraId="1B065E39" w14:textId="77777777" w:rsidTr="00031972">
        <w:trPr>
          <w:cantSplit/>
        </w:trPr>
        <w:tc>
          <w:tcPr>
            <w:tcW w:w="3375" w:type="dxa"/>
            <w:tcBorders>
              <w:left w:val="single" w:sz="12" w:space="0" w:color="auto"/>
            </w:tcBorders>
            <w:shd w:val="clear" w:color="auto" w:fill="auto"/>
            <w:vAlign w:val="center"/>
          </w:tcPr>
          <w:p w14:paraId="2312B969" w14:textId="77777777" w:rsidR="00900559" w:rsidRPr="007F4001" w:rsidRDefault="00900559" w:rsidP="00900559">
            <w:pPr>
              <w:rPr>
                <w:rFonts w:eastAsia="Arial Unicode MS"/>
              </w:rPr>
            </w:pPr>
            <w:r w:rsidRPr="007F4001">
              <w:t>Millbrae, City of</w:t>
            </w:r>
          </w:p>
        </w:tc>
        <w:tc>
          <w:tcPr>
            <w:tcW w:w="2286" w:type="dxa"/>
            <w:shd w:val="clear" w:color="auto" w:fill="auto"/>
            <w:vAlign w:val="center"/>
          </w:tcPr>
          <w:p w14:paraId="205FAF90" w14:textId="77777777" w:rsidR="00900559" w:rsidRPr="00403E66" w:rsidRDefault="00900559" w:rsidP="00900559">
            <w:r w:rsidRPr="00403E66">
              <w:t>Daniel Mount,</w:t>
            </w:r>
          </w:p>
          <w:p w14:paraId="11DEE68E" w14:textId="77777777" w:rsidR="00900559" w:rsidRPr="00403E66" w:rsidRDefault="00900559" w:rsidP="00900559">
            <w:r w:rsidRPr="00403E66">
              <w:t>Superintendent</w:t>
            </w:r>
          </w:p>
          <w:p w14:paraId="2F3F94C0" w14:textId="77777777" w:rsidR="00900559" w:rsidRPr="00403E66" w:rsidRDefault="00900559" w:rsidP="00900559">
            <w:r w:rsidRPr="00403E66">
              <w:t>(650) 259-2388</w:t>
            </w:r>
          </w:p>
        </w:tc>
        <w:tc>
          <w:tcPr>
            <w:tcW w:w="2244" w:type="dxa"/>
            <w:tcBorders>
              <w:right w:val="single" w:sz="4" w:space="0" w:color="auto"/>
            </w:tcBorders>
            <w:shd w:val="clear" w:color="auto" w:fill="auto"/>
            <w:vAlign w:val="center"/>
          </w:tcPr>
          <w:p w14:paraId="353A684F" w14:textId="77777777" w:rsidR="00900559" w:rsidRDefault="00900559" w:rsidP="00900559">
            <w:r w:rsidRPr="007F4001">
              <w:t>621 Magnolia Avenue Millbrae, CA 94030</w:t>
            </w:r>
          </w:p>
          <w:p w14:paraId="1CC08162" w14:textId="77777777" w:rsidR="00900559" w:rsidRPr="007F4001" w:rsidRDefault="00900559" w:rsidP="00900559">
            <w:r>
              <w:t>San Mateo County</w:t>
            </w:r>
          </w:p>
        </w:tc>
        <w:tc>
          <w:tcPr>
            <w:tcW w:w="1440" w:type="dxa"/>
            <w:shd w:val="clear" w:color="auto" w:fill="auto"/>
            <w:vAlign w:val="center"/>
          </w:tcPr>
          <w:p w14:paraId="2030488C" w14:textId="71519BD3" w:rsidR="00900559" w:rsidRPr="00900559" w:rsidRDefault="00900559" w:rsidP="00900559">
            <w:pPr>
              <w:jc w:val="center"/>
            </w:pPr>
            <w:r w:rsidRPr="00900559">
              <w:t>N</w:t>
            </w:r>
            <w:r>
              <w:t>o</w:t>
            </w:r>
          </w:p>
        </w:tc>
        <w:tc>
          <w:tcPr>
            <w:tcW w:w="1329" w:type="dxa"/>
            <w:tcBorders>
              <w:left w:val="single" w:sz="4" w:space="0" w:color="auto"/>
              <w:right w:val="single" w:sz="12" w:space="0" w:color="auto"/>
            </w:tcBorders>
            <w:shd w:val="clear" w:color="auto" w:fill="auto"/>
            <w:vAlign w:val="center"/>
          </w:tcPr>
          <w:p w14:paraId="775BE252" w14:textId="7731D797" w:rsidR="00900559" w:rsidRPr="00900559" w:rsidRDefault="00900559" w:rsidP="00900559">
            <w:pPr>
              <w:jc w:val="center"/>
            </w:pPr>
            <w:r w:rsidRPr="00900559">
              <w:t>Marine</w:t>
            </w:r>
          </w:p>
        </w:tc>
      </w:tr>
      <w:tr w:rsidR="00900559" w:rsidRPr="007F4001" w14:paraId="6BA342B0" w14:textId="77777777" w:rsidTr="00031972">
        <w:trPr>
          <w:cantSplit/>
        </w:trPr>
        <w:tc>
          <w:tcPr>
            <w:tcW w:w="3375" w:type="dxa"/>
            <w:tcBorders>
              <w:left w:val="single" w:sz="12" w:space="0" w:color="auto"/>
            </w:tcBorders>
            <w:shd w:val="clear" w:color="auto" w:fill="auto"/>
            <w:vAlign w:val="center"/>
          </w:tcPr>
          <w:p w14:paraId="5E59830D" w14:textId="77777777" w:rsidR="00900559" w:rsidRPr="007F4001" w:rsidRDefault="00900559" w:rsidP="00900559">
            <w:pPr>
              <w:rPr>
                <w:rFonts w:eastAsia="Arial Unicode MS"/>
              </w:rPr>
            </w:pPr>
            <w:r w:rsidRPr="007F4001">
              <w:t>Mt. View Sanitary District</w:t>
            </w:r>
          </w:p>
        </w:tc>
        <w:tc>
          <w:tcPr>
            <w:tcW w:w="2286" w:type="dxa"/>
            <w:shd w:val="clear" w:color="auto" w:fill="auto"/>
            <w:vAlign w:val="center"/>
          </w:tcPr>
          <w:p w14:paraId="2B057B77" w14:textId="77777777" w:rsidR="00900559" w:rsidRPr="00403E66" w:rsidRDefault="00900559" w:rsidP="00900559">
            <w:r w:rsidRPr="00403E66">
              <w:t>Neal Allen,</w:t>
            </w:r>
          </w:p>
          <w:p w14:paraId="0C5E53BC" w14:textId="77777777" w:rsidR="00900559" w:rsidRPr="00403E66" w:rsidRDefault="00900559" w:rsidP="00900559">
            <w:r w:rsidRPr="00403E66">
              <w:t>District Manager</w:t>
            </w:r>
          </w:p>
          <w:p w14:paraId="19BEFC0F" w14:textId="77777777" w:rsidR="00900559" w:rsidRPr="00403E66" w:rsidRDefault="00900559" w:rsidP="00900559">
            <w:r w:rsidRPr="00403E66">
              <w:t>(925) 228-5635 ext. 32</w:t>
            </w:r>
          </w:p>
        </w:tc>
        <w:tc>
          <w:tcPr>
            <w:tcW w:w="2244" w:type="dxa"/>
            <w:tcBorders>
              <w:right w:val="single" w:sz="4" w:space="0" w:color="auto"/>
            </w:tcBorders>
            <w:shd w:val="clear" w:color="auto" w:fill="auto"/>
            <w:vAlign w:val="center"/>
          </w:tcPr>
          <w:p w14:paraId="4ED89E18" w14:textId="77777777" w:rsidR="00900559" w:rsidRDefault="00900559" w:rsidP="00900559">
            <w:r w:rsidRPr="007F4001">
              <w:t>P. O. Box 2757 Martinez, CA  94553</w:t>
            </w:r>
          </w:p>
          <w:p w14:paraId="6735E5F8" w14:textId="77777777" w:rsidR="00900559" w:rsidRPr="007F4001" w:rsidRDefault="00900559" w:rsidP="00900559">
            <w:r>
              <w:t>Contra Costa County</w:t>
            </w:r>
          </w:p>
        </w:tc>
        <w:tc>
          <w:tcPr>
            <w:tcW w:w="1440" w:type="dxa"/>
            <w:shd w:val="clear" w:color="auto" w:fill="auto"/>
            <w:vAlign w:val="center"/>
          </w:tcPr>
          <w:p w14:paraId="19C44079" w14:textId="05CB46CF" w:rsidR="00900559" w:rsidRPr="00900559" w:rsidRDefault="00900559" w:rsidP="00900559">
            <w:pPr>
              <w:jc w:val="center"/>
            </w:pPr>
            <w:r w:rsidRPr="00900559">
              <w:t>N</w:t>
            </w:r>
            <w:r>
              <w:t>o</w:t>
            </w:r>
          </w:p>
        </w:tc>
        <w:tc>
          <w:tcPr>
            <w:tcW w:w="1329" w:type="dxa"/>
            <w:tcBorders>
              <w:left w:val="single" w:sz="4" w:space="0" w:color="auto"/>
              <w:right w:val="single" w:sz="12" w:space="0" w:color="auto"/>
            </w:tcBorders>
            <w:shd w:val="clear" w:color="auto" w:fill="auto"/>
            <w:vAlign w:val="center"/>
          </w:tcPr>
          <w:p w14:paraId="18EA3295" w14:textId="07E689B0" w:rsidR="00900559" w:rsidRPr="00900559" w:rsidRDefault="00900559" w:rsidP="00900559">
            <w:pPr>
              <w:jc w:val="center"/>
            </w:pPr>
            <w:r w:rsidRPr="00900559">
              <w:t>Estuarine</w:t>
            </w:r>
          </w:p>
        </w:tc>
      </w:tr>
      <w:tr w:rsidR="00900559" w:rsidRPr="007F4001" w14:paraId="17D659B4" w14:textId="77777777" w:rsidTr="00031972">
        <w:trPr>
          <w:cantSplit/>
        </w:trPr>
        <w:tc>
          <w:tcPr>
            <w:tcW w:w="3375" w:type="dxa"/>
            <w:tcBorders>
              <w:left w:val="single" w:sz="12" w:space="0" w:color="auto"/>
            </w:tcBorders>
            <w:shd w:val="clear" w:color="auto" w:fill="auto"/>
            <w:vAlign w:val="center"/>
          </w:tcPr>
          <w:p w14:paraId="71423B7E" w14:textId="77777777" w:rsidR="00900559" w:rsidRPr="007F4001" w:rsidRDefault="00900559" w:rsidP="00900559">
            <w:pPr>
              <w:rPr>
                <w:rFonts w:eastAsia="Arial Unicode MS"/>
              </w:rPr>
            </w:pPr>
            <w:r w:rsidRPr="007F4001">
              <w:t>Napa Sanitation District</w:t>
            </w:r>
          </w:p>
        </w:tc>
        <w:tc>
          <w:tcPr>
            <w:tcW w:w="2286" w:type="dxa"/>
            <w:shd w:val="clear" w:color="auto" w:fill="auto"/>
            <w:vAlign w:val="center"/>
          </w:tcPr>
          <w:p w14:paraId="14F13DCC" w14:textId="77777777" w:rsidR="00900559" w:rsidRPr="00403E66" w:rsidRDefault="00900559" w:rsidP="00900559">
            <w:r w:rsidRPr="00403E66">
              <w:t>Tim Healy,</w:t>
            </w:r>
          </w:p>
          <w:p w14:paraId="05DC79AE" w14:textId="77777777" w:rsidR="00900559" w:rsidRPr="00403E66" w:rsidRDefault="00900559" w:rsidP="00900559">
            <w:r w:rsidRPr="00403E66">
              <w:t>General Manager</w:t>
            </w:r>
          </w:p>
          <w:p w14:paraId="7634AF05" w14:textId="77777777" w:rsidR="00900559" w:rsidRPr="00403E66" w:rsidRDefault="00900559" w:rsidP="00900559">
            <w:r w:rsidRPr="00403E66">
              <w:t>(707) 258-6000</w:t>
            </w:r>
          </w:p>
        </w:tc>
        <w:tc>
          <w:tcPr>
            <w:tcW w:w="2244" w:type="dxa"/>
            <w:tcBorders>
              <w:right w:val="single" w:sz="4" w:space="0" w:color="auto"/>
            </w:tcBorders>
            <w:shd w:val="clear" w:color="auto" w:fill="auto"/>
            <w:vAlign w:val="center"/>
          </w:tcPr>
          <w:p w14:paraId="5E2B5677" w14:textId="77777777" w:rsidR="00900559" w:rsidRPr="007F4001" w:rsidRDefault="00900559" w:rsidP="00900559">
            <w:r w:rsidRPr="007F4001">
              <w:t>P.O. Box 2480</w:t>
            </w:r>
          </w:p>
          <w:p w14:paraId="3FA0F29D" w14:textId="77777777" w:rsidR="00900559" w:rsidRDefault="00900559" w:rsidP="00900559">
            <w:r w:rsidRPr="007F4001">
              <w:t>Napa, CA 94558</w:t>
            </w:r>
          </w:p>
          <w:p w14:paraId="1C8853A5" w14:textId="77777777" w:rsidR="00900559" w:rsidRPr="007F4001" w:rsidRDefault="00900559" w:rsidP="00900559">
            <w:r>
              <w:t>Napa County</w:t>
            </w:r>
          </w:p>
        </w:tc>
        <w:tc>
          <w:tcPr>
            <w:tcW w:w="1440" w:type="dxa"/>
            <w:shd w:val="clear" w:color="auto" w:fill="auto"/>
            <w:vAlign w:val="center"/>
          </w:tcPr>
          <w:p w14:paraId="34FD95EB" w14:textId="21D6F79D" w:rsidR="00900559" w:rsidRPr="00900559" w:rsidRDefault="00900559" w:rsidP="00900559">
            <w:pPr>
              <w:jc w:val="center"/>
            </w:pPr>
            <w:r w:rsidRPr="00900559">
              <w:t>Y</w:t>
            </w:r>
            <w:r>
              <w:t>es</w:t>
            </w:r>
          </w:p>
        </w:tc>
        <w:tc>
          <w:tcPr>
            <w:tcW w:w="1329" w:type="dxa"/>
            <w:tcBorders>
              <w:left w:val="single" w:sz="4" w:space="0" w:color="auto"/>
              <w:right w:val="single" w:sz="12" w:space="0" w:color="auto"/>
            </w:tcBorders>
            <w:shd w:val="clear" w:color="auto" w:fill="auto"/>
            <w:vAlign w:val="center"/>
          </w:tcPr>
          <w:p w14:paraId="7F6D1BF4" w14:textId="63FC4408" w:rsidR="00900559" w:rsidRPr="00900559" w:rsidRDefault="00900559" w:rsidP="00900559">
            <w:pPr>
              <w:jc w:val="center"/>
            </w:pPr>
            <w:r w:rsidRPr="00900559">
              <w:t>Estuarine</w:t>
            </w:r>
          </w:p>
        </w:tc>
      </w:tr>
      <w:tr w:rsidR="00900559" w:rsidRPr="007F4001" w14:paraId="747A564A" w14:textId="77777777" w:rsidTr="00031972">
        <w:trPr>
          <w:cantSplit/>
        </w:trPr>
        <w:tc>
          <w:tcPr>
            <w:tcW w:w="3375" w:type="dxa"/>
            <w:tcBorders>
              <w:left w:val="single" w:sz="12" w:space="0" w:color="auto"/>
            </w:tcBorders>
            <w:shd w:val="clear" w:color="auto" w:fill="auto"/>
            <w:vAlign w:val="center"/>
          </w:tcPr>
          <w:p w14:paraId="153BFDD3" w14:textId="77777777" w:rsidR="00900559" w:rsidRPr="007F4001" w:rsidRDefault="00900559" w:rsidP="00900559">
            <w:pPr>
              <w:rPr>
                <w:rFonts w:eastAsia="Arial Unicode MS"/>
              </w:rPr>
            </w:pPr>
            <w:r w:rsidRPr="007F4001">
              <w:t>Novato Sanitary District</w:t>
            </w:r>
          </w:p>
        </w:tc>
        <w:tc>
          <w:tcPr>
            <w:tcW w:w="2286" w:type="dxa"/>
            <w:shd w:val="clear" w:color="auto" w:fill="auto"/>
            <w:vAlign w:val="center"/>
          </w:tcPr>
          <w:p w14:paraId="39853A4E" w14:textId="77777777" w:rsidR="00900559" w:rsidRPr="00403E66" w:rsidRDefault="00900559" w:rsidP="00900559">
            <w:r w:rsidRPr="00403E66">
              <w:t>Sandeep Karkal,</w:t>
            </w:r>
          </w:p>
          <w:p w14:paraId="471A9415" w14:textId="77777777" w:rsidR="00900559" w:rsidRPr="00403E66" w:rsidRDefault="00900559" w:rsidP="00900559">
            <w:r w:rsidRPr="00403E66">
              <w:t xml:space="preserve">Manager-Engineer </w:t>
            </w:r>
          </w:p>
          <w:p w14:paraId="61AFC9FC" w14:textId="77777777" w:rsidR="00900559" w:rsidRPr="00403E66" w:rsidRDefault="00900559" w:rsidP="00900559">
            <w:r w:rsidRPr="00403E66">
              <w:t>(415-892-1694</w:t>
            </w:r>
          </w:p>
        </w:tc>
        <w:tc>
          <w:tcPr>
            <w:tcW w:w="2244" w:type="dxa"/>
            <w:tcBorders>
              <w:right w:val="single" w:sz="4" w:space="0" w:color="auto"/>
            </w:tcBorders>
            <w:shd w:val="clear" w:color="auto" w:fill="auto"/>
            <w:vAlign w:val="center"/>
          </w:tcPr>
          <w:p w14:paraId="2FE4B904" w14:textId="77777777" w:rsidR="00900559" w:rsidRPr="007F4001" w:rsidRDefault="00900559" w:rsidP="00900559">
            <w:r w:rsidRPr="007F4001">
              <w:t>500 Davidson Street</w:t>
            </w:r>
          </w:p>
          <w:p w14:paraId="749A9A94" w14:textId="77777777" w:rsidR="00900559" w:rsidRDefault="00900559" w:rsidP="00900559">
            <w:r w:rsidRPr="007F4001">
              <w:t xml:space="preserve">Novato, CA 94945 </w:t>
            </w:r>
          </w:p>
          <w:p w14:paraId="6A290E95" w14:textId="77777777" w:rsidR="00900559" w:rsidRPr="007F4001" w:rsidRDefault="00900559" w:rsidP="00900559">
            <w:r>
              <w:t>Marin County</w:t>
            </w:r>
          </w:p>
        </w:tc>
        <w:tc>
          <w:tcPr>
            <w:tcW w:w="1440" w:type="dxa"/>
            <w:shd w:val="clear" w:color="auto" w:fill="auto"/>
            <w:vAlign w:val="center"/>
          </w:tcPr>
          <w:p w14:paraId="44215CD8" w14:textId="4C3B8DED" w:rsidR="00900559" w:rsidRPr="00900559" w:rsidRDefault="00900559" w:rsidP="00900559">
            <w:pPr>
              <w:jc w:val="center"/>
            </w:pPr>
            <w:r w:rsidRPr="00900559">
              <w:t>Y</w:t>
            </w:r>
            <w:r>
              <w:t>es</w:t>
            </w:r>
          </w:p>
        </w:tc>
        <w:tc>
          <w:tcPr>
            <w:tcW w:w="1329" w:type="dxa"/>
            <w:tcBorders>
              <w:left w:val="single" w:sz="4" w:space="0" w:color="auto"/>
              <w:right w:val="single" w:sz="12" w:space="0" w:color="auto"/>
            </w:tcBorders>
            <w:shd w:val="clear" w:color="auto" w:fill="auto"/>
            <w:vAlign w:val="center"/>
          </w:tcPr>
          <w:p w14:paraId="4EF3A7D4" w14:textId="01960273" w:rsidR="00900559" w:rsidRPr="00900559" w:rsidRDefault="00900559" w:rsidP="00900559">
            <w:pPr>
              <w:jc w:val="center"/>
            </w:pPr>
            <w:r w:rsidRPr="00900559">
              <w:t>Estuarine</w:t>
            </w:r>
          </w:p>
        </w:tc>
      </w:tr>
      <w:tr w:rsidR="00900559" w:rsidRPr="007F4001" w14:paraId="36105ACA" w14:textId="77777777" w:rsidTr="00031972">
        <w:trPr>
          <w:cantSplit/>
        </w:trPr>
        <w:tc>
          <w:tcPr>
            <w:tcW w:w="3375" w:type="dxa"/>
            <w:tcBorders>
              <w:left w:val="single" w:sz="12" w:space="0" w:color="auto"/>
            </w:tcBorders>
            <w:shd w:val="clear" w:color="auto" w:fill="auto"/>
            <w:vAlign w:val="center"/>
          </w:tcPr>
          <w:p w14:paraId="144D52C4" w14:textId="77777777" w:rsidR="00900559" w:rsidRPr="007F4001" w:rsidRDefault="00900559" w:rsidP="00900559">
            <w:pPr>
              <w:rPr>
                <w:rFonts w:eastAsia="Arial Unicode MS"/>
              </w:rPr>
            </w:pPr>
            <w:r w:rsidRPr="007F4001">
              <w:t>Palo Alto, City of</w:t>
            </w:r>
          </w:p>
        </w:tc>
        <w:tc>
          <w:tcPr>
            <w:tcW w:w="2286" w:type="dxa"/>
            <w:shd w:val="clear" w:color="auto" w:fill="auto"/>
            <w:vAlign w:val="center"/>
          </w:tcPr>
          <w:p w14:paraId="756CE2AC" w14:textId="77777777" w:rsidR="00900559" w:rsidRPr="00403E66" w:rsidRDefault="00900559" w:rsidP="00900559">
            <w:r w:rsidRPr="00403E66">
              <w:t>James Allen,</w:t>
            </w:r>
          </w:p>
          <w:p w14:paraId="6D40C689" w14:textId="77777777" w:rsidR="00900559" w:rsidRPr="00403E66" w:rsidRDefault="00900559" w:rsidP="00900559">
            <w:r w:rsidRPr="00403E66">
              <w:t xml:space="preserve">Plant Manager </w:t>
            </w:r>
          </w:p>
          <w:p w14:paraId="690D5EE4" w14:textId="77777777" w:rsidR="00900559" w:rsidRPr="00403E66" w:rsidRDefault="00900559" w:rsidP="00900559">
            <w:r w:rsidRPr="00403E66">
              <w:t>(650) 329-2243</w:t>
            </w:r>
          </w:p>
        </w:tc>
        <w:tc>
          <w:tcPr>
            <w:tcW w:w="2244" w:type="dxa"/>
            <w:tcBorders>
              <w:right w:val="single" w:sz="4" w:space="0" w:color="auto"/>
            </w:tcBorders>
            <w:shd w:val="clear" w:color="auto" w:fill="auto"/>
            <w:vAlign w:val="center"/>
          </w:tcPr>
          <w:p w14:paraId="40FE4B09" w14:textId="77777777" w:rsidR="00900559" w:rsidRPr="007F4001" w:rsidRDefault="00900559" w:rsidP="00900559">
            <w:r w:rsidRPr="007F4001">
              <w:t xml:space="preserve">2501 Embarcadero Way, </w:t>
            </w:r>
          </w:p>
          <w:p w14:paraId="76917BEC" w14:textId="77777777" w:rsidR="00900559" w:rsidRDefault="00900559" w:rsidP="00900559">
            <w:r w:rsidRPr="007F4001">
              <w:t>Palo Alto, CA 94303</w:t>
            </w:r>
          </w:p>
          <w:p w14:paraId="464BFCE7" w14:textId="77777777" w:rsidR="00900559" w:rsidRPr="007F4001" w:rsidRDefault="00900559" w:rsidP="00900559">
            <w:r>
              <w:t>Santa Clara County</w:t>
            </w:r>
          </w:p>
        </w:tc>
        <w:tc>
          <w:tcPr>
            <w:tcW w:w="1440" w:type="dxa"/>
            <w:shd w:val="clear" w:color="auto" w:fill="auto"/>
            <w:vAlign w:val="center"/>
          </w:tcPr>
          <w:p w14:paraId="6C32009C" w14:textId="1511F585" w:rsidR="00900559" w:rsidRPr="00900559" w:rsidRDefault="00900559" w:rsidP="00900559">
            <w:pPr>
              <w:jc w:val="center"/>
            </w:pPr>
            <w:r w:rsidRPr="00900559">
              <w:t>Y</w:t>
            </w:r>
            <w:r>
              <w:t>es</w:t>
            </w:r>
          </w:p>
        </w:tc>
        <w:tc>
          <w:tcPr>
            <w:tcW w:w="1329" w:type="dxa"/>
            <w:tcBorders>
              <w:left w:val="single" w:sz="4" w:space="0" w:color="auto"/>
              <w:right w:val="single" w:sz="12" w:space="0" w:color="auto"/>
            </w:tcBorders>
            <w:shd w:val="clear" w:color="auto" w:fill="auto"/>
            <w:vAlign w:val="center"/>
          </w:tcPr>
          <w:p w14:paraId="554E4094" w14:textId="61D49E3E" w:rsidR="00900559" w:rsidRPr="00900559" w:rsidRDefault="00900559" w:rsidP="00900559">
            <w:pPr>
              <w:jc w:val="center"/>
            </w:pPr>
            <w:r w:rsidRPr="00900559">
              <w:t>Estuarine</w:t>
            </w:r>
          </w:p>
        </w:tc>
      </w:tr>
      <w:tr w:rsidR="00900559" w:rsidRPr="007F4001" w14:paraId="01ACABDC" w14:textId="77777777" w:rsidTr="00031972">
        <w:trPr>
          <w:cantSplit/>
        </w:trPr>
        <w:tc>
          <w:tcPr>
            <w:tcW w:w="3375" w:type="dxa"/>
            <w:tcBorders>
              <w:left w:val="single" w:sz="12" w:space="0" w:color="auto"/>
            </w:tcBorders>
            <w:shd w:val="clear" w:color="auto" w:fill="auto"/>
            <w:vAlign w:val="center"/>
          </w:tcPr>
          <w:p w14:paraId="2C77B5E0" w14:textId="77777777" w:rsidR="00900559" w:rsidRPr="007F4001" w:rsidRDefault="00900559" w:rsidP="00900559">
            <w:pPr>
              <w:rPr>
                <w:rFonts w:eastAsia="Arial Unicode MS"/>
              </w:rPr>
            </w:pPr>
            <w:r w:rsidRPr="007F4001">
              <w:t>Petaluma, City of</w:t>
            </w:r>
          </w:p>
        </w:tc>
        <w:tc>
          <w:tcPr>
            <w:tcW w:w="2286" w:type="dxa"/>
            <w:shd w:val="clear" w:color="auto" w:fill="auto"/>
            <w:vAlign w:val="center"/>
          </w:tcPr>
          <w:p w14:paraId="07891896" w14:textId="77777777" w:rsidR="00900559" w:rsidRPr="00403E66" w:rsidRDefault="00900559" w:rsidP="00900559">
            <w:r w:rsidRPr="00403E66">
              <w:t>Matthew Pierce,</w:t>
            </w:r>
          </w:p>
          <w:p w14:paraId="3180ED89" w14:textId="77777777" w:rsidR="00900559" w:rsidRPr="00403E66" w:rsidRDefault="00900559" w:rsidP="00900559">
            <w:r w:rsidRPr="00403E66">
              <w:t>Operations Supervisor</w:t>
            </w:r>
          </w:p>
          <w:p w14:paraId="3A257FB4" w14:textId="77777777" w:rsidR="00900559" w:rsidRPr="00403E66" w:rsidRDefault="00900559" w:rsidP="00900559">
            <w:r w:rsidRPr="00403E66">
              <w:t>(707) 776-3777</w:t>
            </w:r>
          </w:p>
        </w:tc>
        <w:tc>
          <w:tcPr>
            <w:tcW w:w="2244" w:type="dxa"/>
            <w:tcBorders>
              <w:right w:val="single" w:sz="4" w:space="0" w:color="auto"/>
            </w:tcBorders>
            <w:shd w:val="clear" w:color="auto" w:fill="auto"/>
            <w:vAlign w:val="center"/>
          </w:tcPr>
          <w:p w14:paraId="4BA0FB8D" w14:textId="77777777" w:rsidR="00900559" w:rsidRPr="007F4001" w:rsidRDefault="00900559" w:rsidP="00900559">
            <w:r w:rsidRPr="007F4001">
              <w:t>202 N. McDowell Blvd.</w:t>
            </w:r>
          </w:p>
          <w:p w14:paraId="79DF1DEC" w14:textId="77777777" w:rsidR="00900559" w:rsidRDefault="00900559" w:rsidP="00900559">
            <w:r w:rsidRPr="007F4001">
              <w:t>Petaluma, CA 94954</w:t>
            </w:r>
          </w:p>
          <w:p w14:paraId="7F8BCE6E" w14:textId="77777777" w:rsidR="00900559" w:rsidRPr="007F4001" w:rsidRDefault="00900559" w:rsidP="00900559">
            <w:r>
              <w:t>Sonoma County</w:t>
            </w:r>
          </w:p>
        </w:tc>
        <w:tc>
          <w:tcPr>
            <w:tcW w:w="1440" w:type="dxa"/>
            <w:shd w:val="clear" w:color="auto" w:fill="auto"/>
            <w:vAlign w:val="center"/>
          </w:tcPr>
          <w:p w14:paraId="317B6126" w14:textId="0A952513" w:rsidR="00900559" w:rsidRPr="00900559" w:rsidRDefault="00900559" w:rsidP="00900559">
            <w:pPr>
              <w:jc w:val="center"/>
            </w:pPr>
            <w:r w:rsidRPr="00900559">
              <w:t>Y</w:t>
            </w:r>
            <w:r>
              <w:t>es</w:t>
            </w:r>
          </w:p>
        </w:tc>
        <w:tc>
          <w:tcPr>
            <w:tcW w:w="1329" w:type="dxa"/>
            <w:tcBorders>
              <w:left w:val="single" w:sz="4" w:space="0" w:color="auto"/>
              <w:right w:val="single" w:sz="12" w:space="0" w:color="auto"/>
            </w:tcBorders>
            <w:shd w:val="clear" w:color="auto" w:fill="auto"/>
            <w:vAlign w:val="center"/>
          </w:tcPr>
          <w:p w14:paraId="654ACD23" w14:textId="694FBE35" w:rsidR="00900559" w:rsidRPr="00900559" w:rsidRDefault="00900559" w:rsidP="00900559">
            <w:pPr>
              <w:jc w:val="center"/>
            </w:pPr>
            <w:r w:rsidRPr="00900559">
              <w:t>Estuarine</w:t>
            </w:r>
          </w:p>
        </w:tc>
      </w:tr>
      <w:tr w:rsidR="00900559" w:rsidRPr="007F4001" w14:paraId="43A7814D" w14:textId="77777777" w:rsidTr="00031972">
        <w:trPr>
          <w:cantSplit/>
        </w:trPr>
        <w:tc>
          <w:tcPr>
            <w:tcW w:w="3375" w:type="dxa"/>
            <w:tcBorders>
              <w:left w:val="single" w:sz="12" w:space="0" w:color="auto"/>
            </w:tcBorders>
            <w:shd w:val="clear" w:color="auto" w:fill="auto"/>
            <w:vAlign w:val="center"/>
          </w:tcPr>
          <w:p w14:paraId="5849B8DD" w14:textId="77777777" w:rsidR="00900559" w:rsidRPr="007F4001" w:rsidRDefault="00900559" w:rsidP="00900559">
            <w:pPr>
              <w:rPr>
                <w:rFonts w:eastAsia="Arial Unicode MS"/>
              </w:rPr>
            </w:pPr>
            <w:r w:rsidRPr="007F4001">
              <w:t>Pinole, City of</w:t>
            </w:r>
          </w:p>
        </w:tc>
        <w:tc>
          <w:tcPr>
            <w:tcW w:w="2286" w:type="dxa"/>
            <w:shd w:val="clear" w:color="auto" w:fill="auto"/>
            <w:vAlign w:val="center"/>
          </w:tcPr>
          <w:p w14:paraId="1F45DAFE" w14:textId="77777777" w:rsidR="00900559" w:rsidRPr="00403E66" w:rsidRDefault="00900559" w:rsidP="00900559">
            <w:r w:rsidRPr="00403E66">
              <w:t>Ron Tobey,</w:t>
            </w:r>
          </w:p>
          <w:p w14:paraId="55EF118C" w14:textId="77777777" w:rsidR="00900559" w:rsidRPr="00403E66" w:rsidRDefault="00900559" w:rsidP="00900559">
            <w:r w:rsidRPr="00403E66">
              <w:t>Plant Manager</w:t>
            </w:r>
          </w:p>
          <w:p w14:paraId="4F810871" w14:textId="77777777" w:rsidR="00900559" w:rsidRPr="00403E66" w:rsidRDefault="00900559" w:rsidP="00900559">
            <w:r w:rsidRPr="00403E66">
              <w:t>(510) 724-8963</w:t>
            </w:r>
          </w:p>
        </w:tc>
        <w:tc>
          <w:tcPr>
            <w:tcW w:w="2244" w:type="dxa"/>
            <w:tcBorders>
              <w:right w:val="single" w:sz="4" w:space="0" w:color="auto"/>
            </w:tcBorders>
            <w:shd w:val="clear" w:color="auto" w:fill="auto"/>
            <w:vAlign w:val="center"/>
          </w:tcPr>
          <w:p w14:paraId="242DB610" w14:textId="77777777" w:rsidR="00900559" w:rsidRDefault="00900559" w:rsidP="00900559">
            <w:r w:rsidRPr="007F4001">
              <w:t>2131 Pear Street, Pinole, CA 94564</w:t>
            </w:r>
          </w:p>
          <w:p w14:paraId="08AE4395" w14:textId="77777777" w:rsidR="00900559" w:rsidRPr="007F4001" w:rsidRDefault="00900559" w:rsidP="00900559">
            <w:r>
              <w:t>Contra Costa County</w:t>
            </w:r>
          </w:p>
        </w:tc>
        <w:tc>
          <w:tcPr>
            <w:tcW w:w="1440" w:type="dxa"/>
            <w:shd w:val="clear" w:color="auto" w:fill="auto"/>
            <w:vAlign w:val="center"/>
          </w:tcPr>
          <w:p w14:paraId="20634E59" w14:textId="619B2878" w:rsidR="00900559" w:rsidRPr="00900559" w:rsidRDefault="00900559" w:rsidP="00900559">
            <w:pPr>
              <w:jc w:val="center"/>
            </w:pPr>
            <w:r w:rsidRPr="00900559">
              <w:t>N</w:t>
            </w:r>
            <w:r>
              <w:t>o</w:t>
            </w:r>
          </w:p>
        </w:tc>
        <w:tc>
          <w:tcPr>
            <w:tcW w:w="1329" w:type="dxa"/>
            <w:tcBorders>
              <w:left w:val="single" w:sz="4" w:space="0" w:color="auto"/>
              <w:right w:val="single" w:sz="12" w:space="0" w:color="auto"/>
            </w:tcBorders>
            <w:shd w:val="clear" w:color="auto" w:fill="auto"/>
            <w:vAlign w:val="center"/>
          </w:tcPr>
          <w:p w14:paraId="1CC16E0C" w14:textId="5EACD1D0" w:rsidR="00900559" w:rsidRPr="00900559" w:rsidRDefault="00900559" w:rsidP="00900559">
            <w:pPr>
              <w:jc w:val="center"/>
            </w:pPr>
            <w:r w:rsidRPr="00900559">
              <w:t>Marine</w:t>
            </w:r>
          </w:p>
        </w:tc>
      </w:tr>
      <w:tr w:rsidR="00900559" w:rsidRPr="007F4001" w14:paraId="6FECF38C" w14:textId="77777777" w:rsidTr="00031972">
        <w:trPr>
          <w:cantSplit/>
        </w:trPr>
        <w:tc>
          <w:tcPr>
            <w:tcW w:w="3375" w:type="dxa"/>
            <w:tcBorders>
              <w:left w:val="single" w:sz="12" w:space="0" w:color="auto"/>
            </w:tcBorders>
            <w:shd w:val="clear" w:color="auto" w:fill="auto"/>
            <w:vAlign w:val="center"/>
          </w:tcPr>
          <w:p w14:paraId="0C1830A1" w14:textId="77777777" w:rsidR="00900559" w:rsidRPr="007F4001" w:rsidRDefault="00900559" w:rsidP="00900559">
            <w:pPr>
              <w:tabs>
                <w:tab w:val="left" w:pos="459"/>
              </w:tabs>
              <w:rPr>
                <w:rFonts w:eastAsia="Arial Unicode MS"/>
              </w:rPr>
            </w:pPr>
            <w:r w:rsidRPr="007F4001">
              <w:t>Rodeo Sanitary District</w:t>
            </w:r>
          </w:p>
        </w:tc>
        <w:tc>
          <w:tcPr>
            <w:tcW w:w="2286" w:type="dxa"/>
            <w:shd w:val="clear" w:color="auto" w:fill="auto"/>
            <w:vAlign w:val="center"/>
          </w:tcPr>
          <w:p w14:paraId="170E592C" w14:textId="77777777" w:rsidR="00900559" w:rsidRPr="00403E66" w:rsidRDefault="00900559" w:rsidP="00900559">
            <w:r w:rsidRPr="00403E66">
              <w:t>Steven S. Beall,</w:t>
            </w:r>
          </w:p>
          <w:p w14:paraId="1C7FA7CE" w14:textId="77777777" w:rsidR="00900559" w:rsidRPr="00403E66" w:rsidRDefault="00900559" w:rsidP="00900559">
            <w:r w:rsidRPr="00403E66">
              <w:t xml:space="preserve">District Manager </w:t>
            </w:r>
          </w:p>
          <w:p w14:paraId="685553DD" w14:textId="77777777" w:rsidR="00900559" w:rsidRPr="00403E66" w:rsidRDefault="00900559" w:rsidP="00900559">
            <w:r w:rsidRPr="00403E66">
              <w:t>(510) 799-2970</w:t>
            </w:r>
          </w:p>
        </w:tc>
        <w:tc>
          <w:tcPr>
            <w:tcW w:w="2244" w:type="dxa"/>
            <w:tcBorders>
              <w:right w:val="single" w:sz="4" w:space="0" w:color="auto"/>
            </w:tcBorders>
            <w:shd w:val="clear" w:color="auto" w:fill="auto"/>
            <w:vAlign w:val="center"/>
          </w:tcPr>
          <w:p w14:paraId="2C7F30CF" w14:textId="77777777" w:rsidR="00900559" w:rsidRPr="005465D4" w:rsidRDefault="00900559" w:rsidP="00900559">
            <w:r w:rsidRPr="005465D4">
              <w:t>800 San Pablo Avenue</w:t>
            </w:r>
          </w:p>
          <w:p w14:paraId="268041C7" w14:textId="77777777" w:rsidR="00900559" w:rsidRPr="005465D4" w:rsidRDefault="00900559" w:rsidP="00900559">
            <w:r w:rsidRPr="005465D4">
              <w:t>Rodeo, CA 94572</w:t>
            </w:r>
          </w:p>
          <w:p w14:paraId="21683B33" w14:textId="77777777" w:rsidR="00900559" w:rsidRPr="007F4001" w:rsidRDefault="00900559" w:rsidP="00900559">
            <w:r w:rsidRPr="005465D4">
              <w:t>Contra Costa County</w:t>
            </w:r>
          </w:p>
        </w:tc>
        <w:tc>
          <w:tcPr>
            <w:tcW w:w="1440" w:type="dxa"/>
            <w:shd w:val="clear" w:color="auto" w:fill="auto"/>
            <w:vAlign w:val="center"/>
          </w:tcPr>
          <w:p w14:paraId="36B3C714" w14:textId="01D8DD74" w:rsidR="00900559" w:rsidRPr="00900559" w:rsidRDefault="00900559" w:rsidP="00900559">
            <w:pPr>
              <w:jc w:val="center"/>
            </w:pPr>
            <w:r w:rsidRPr="00900559">
              <w:t>N</w:t>
            </w:r>
            <w:r>
              <w:t>o</w:t>
            </w:r>
          </w:p>
        </w:tc>
        <w:tc>
          <w:tcPr>
            <w:tcW w:w="1329" w:type="dxa"/>
            <w:tcBorders>
              <w:left w:val="single" w:sz="4" w:space="0" w:color="auto"/>
              <w:right w:val="single" w:sz="12" w:space="0" w:color="auto"/>
            </w:tcBorders>
            <w:shd w:val="clear" w:color="auto" w:fill="auto"/>
            <w:vAlign w:val="center"/>
          </w:tcPr>
          <w:p w14:paraId="29E922E8" w14:textId="5EF49E28" w:rsidR="00900559" w:rsidRPr="00900559" w:rsidRDefault="00900559" w:rsidP="00900559">
            <w:pPr>
              <w:jc w:val="center"/>
            </w:pPr>
            <w:r w:rsidRPr="00900559">
              <w:t>Estuarine</w:t>
            </w:r>
          </w:p>
        </w:tc>
      </w:tr>
      <w:tr w:rsidR="00900559" w:rsidRPr="007F4001" w14:paraId="2A3943CA" w14:textId="77777777" w:rsidTr="00031972">
        <w:trPr>
          <w:cantSplit/>
        </w:trPr>
        <w:tc>
          <w:tcPr>
            <w:tcW w:w="3375" w:type="dxa"/>
            <w:tcBorders>
              <w:left w:val="single" w:sz="12" w:space="0" w:color="auto"/>
            </w:tcBorders>
            <w:shd w:val="clear" w:color="auto" w:fill="auto"/>
            <w:vAlign w:val="center"/>
          </w:tcPr>
          <w:p w14:paraId="704836D2" w14:textId="77777777" w:rsidR="00900559" w:rsidRPr="007F4001" w:rsidRDefault="00900559" w:rsidP="00900559">
            <w:pPr>
              <w:rPr>
                <w:rFonts w:eastAsia="Arial Unicode MS"/>
              </w:rPr>
            </w:pPr>
            <w:r w:rsidRPr="007F4001">
              <w:t>Saint Helena, City of</w:t>
            </w:r>
          </w:p>
        </w:tc>
        <w:tc>
          <w:tcPr>
            <w:tcW w:w="2286" w:type="dxa"/>
            <w:shd w:val="clear" w:color="auto" w:fill="auto"/>
            <w:vAlign w:val="center"/>
          </w:tcPr>
          <w:p w14:paraId="1D6C04F6" w14:textId="77777777" w:rsidR="00900559" w:rsidRPr="00403E66" w:rsidRDefault="00900559" w:rsidP="00900559">
            <w:r w:rsidRPr="00403E66">
              <w:t>Steven Palmer,</w:t>
            </w:r>
          </w:p>
          <w:p w14:paraId="54070FC8" w14:textId="77777777" w:rsidR="00900559" w:rsidRPr="00403E66" w:rsidRDefault="00900559" w:rsidP="00900559">
            <w:r w:rsidRPr="00403E66">
              <w:t>Public Works Director</w:t>
            </w:r>
          </w:p>
          <w:p w14:paraId="2DF55143" w14:textId="77777777" w:rsidR="00900559" w:rsidRPr="00403E66" w:rsidRDefault="00900559" w:rsidP="00900559">
            <w:r w:rsidRPr="00403E66">
              <w:t>(707) 967-2792</w:t>
            </w:r>
          </w:p>
        </w:tc>
        <w:tc>
          <w:tcPr>
            <w:tcW w:w="2244" w:type="dxa"/>
            <w:tcBorders>
              <w:right w:val="single" w:sz="4" w:space="0" w:color="auto"/>
            </w:tcBorders>
            <w:shd w:val="clear" w:color="auto" w:fill="auto"/>
            <w:vAlign w:val="center"/>
          </w:tcPr>
          <w:p w14:paraId="373B3681" w14:textId="77777777" w:rsidR="00900559" w:rsidRPr="007F4001" w:rsidRDefault="00900559" w:rsidP="00900559">
            <w:r w:rsidRPr="007F4001">
              <w:t>1480 Main Street</w:t>
            </w:r>
          </w:p>
          <w:p w14:paraId="75A6D16B" w14:textId="77777777" w:rsidR="00900559" w:rsidRDefault="00900559" w:rsidP="00900559">
            <w:r w:rsidRPr="007F4001">
              <w:t>St. Helena, CA 94574</w:t>
            </w:r>
          </w:p>
          <w:p w14:paraId="1BBCFEEB" w14:textId="77777777" w:rsidR="00900559" w:rsidRPr="007F4001" w:rsidRDefault="00900559" w:rsidP="00900559">
            <w:r>
              <w:t>Napa County</w:t>
            </w:r>
          </w:p>
        </w:tc>
        <w:tc>
          <w:tcPr>
            <w:tcW w:w="1440" w:type="dxa"/>
            <w:shd w:val="clear" w:color="auto" w:fill="auto"/>
            <w:vAlign w:val="center"/>
          </w:tcPr>
          <w:p w14:paraId="3C8C3964" w14:textId="52F94D13" w:rsidR="00900559" w:rsidRPr="00900559" w:rsidRDefault="00900559" w:rsidP="00900559">
            <w:pPr>
              <w:jc w:val="center"/>
            </w:pPr>
            <w:r w:rsidRPr="00900559">
              <w:t>N</w:t>
            </w:r>
            <w:r>
              <w:t>o</w:t>
            </w:r>
          </w:p>
        </w:tc>
        <w:tc>
          <w:tcPr>
            <w:tcW w:w="1329" w:type="dxa"/>
            <w:tcBorders>
              <w:left w:val="single" w:sz="4" w:space="0" w:color="auto"/>
              <w:right w:val="single" w:sz="12" w:space="0" w:color="auto"/>
            </w:tcBorders>
            <w:shd w:val="clear" w:color="auto" w:fill="auto"/>
            <w:vAlign w:val="center"/>
          </w:tcPr>
          <w:p w14:paraId="6A8277C2" w14:textId="4723C3E3" w:rsidR="00900559" w:rsidRPr="00900559" w:rsidRDefault="00900559" w:rsidP="00900559">
            <w:pPr>
              <w:jc w:val="center"/>
            </w:pPr>
            <w:r w:rsidRPr="00900559">
              <w:t>Freshwater</w:t>
            </w:r>
          </w:p>
        </w:tc>
      </w:tr>
      <w:tr w:rsidR="00900559" w:rsidRPr="007F4001" w14:paraId="28C61951" w14:textId="77777777" w:rsidTr="00031972">
        <w:trPr>
          <w:cantSplit/>
        </w:trPr>
        <w:tc>
          <w:tcPr>
            <w:tcW w:w="3375" w:type="dxa"/>
            <w:tcBorders>
              <w:left w:val="single" w:sz="12" w:space="0" w:color="auto"/>
            </w:tcBorders>
            <w:shd w:val="clear" w:color="auto" w:fill="auto"/>
            <w:vAlign w:val="center"/>
          </w:tcPr>
          <w:p w14:paraId="71EA6EF3" w14:textId="77777777" w:rsidR="00900559" w:rsidRPr="007F4001" w:rsidRDefault="00900559" w:rsidP="00900559">
            <w:pPr>
              <w:rPr>
                <w:rFonts w:eastAsia="Arial Unicode MS"/>
              </w:rPr>
            </w:pPr>
            <w:r w:rsidRPr="005465D4">
              <w:t>San Francisco</w:t>
            </w:r>
            <w:r>
              <w:t xml:space="preserve"> (San Francisco International Airport)</w:t>
            </w:r>
            <w:r w:rsidRPr="005465D4">
              <w:t>, City and County of</w:t>
            </w:r>
          </w:p>
        </w:tc>
        <w:tc>
          <w:tcPr>
            <w:tcW w:w="2286" w:type="dxa"/>
            <w:shd w:val="clear" w:color="auto" w:fill="auto"/>
            <w:vAlign w:val="center"/>
          </w:tcPr>
          <w:p w14:paraId="49AF66EC" w14:textId="77777777" w:rsidR="00900559" w:rsidRPr="00403E66" w:rsidRDefault="00900559" w:rsidP="00900559">
            <w:r w:rsidRPr="00403E66">
              <w:t>Peter Acton,</w:t>
            </w:r>
          </w:p>
          <w:p w14:paraId="690C554E" w14:textId="77777777" w:rsidR="00900559" w:rsidRPr="00403E66" w:rsidRDefault="00900559" w:rsidP="00900559">
            <w:r w:rsidRPr="00403E66">
              <w:t>Director of Facilities</w:t>
            </w:r>
          </w:p>
          <w:p w14:paraId="19318EEB" w14:textId="77777777" w:rsidR="00900559" w:rsidRPr="00403E66" w:rsidRDefault="00900559" w:rsidP="00900559">
            <w:r w:rsidRPr="00403E66">
              <w:t>(650) 821-5400</w:t>
            </w:r>
          </w:p>
        </w:tc>
        <w:tc>
          <w:tcPr>
            <w:tcW w:w="2244" w:type="dxa"/>
            <w:tcBorders>
              <w:right w:val="single" w:sz="4" w:space="0" w:color="auto"/>
            </w:tcBorders>
            <w:shd w:val="clear" w:color="auto" w:fill="auto"/>
            <w:vAlign w:val="center"/>
          </w:tcPr>
          <w:p w14:paraId="1D449155" w14:textId="77777777" w:rsidR="00900559" w:rsidRPr="007F4001" w:rsidRDefault="00900559" w:rsidP="00900559">
            <w:r w:rsidRPr="007F4001">
              <w:t>P.O. Box 8097</w:t>
            </w:r>
          </w:p>
          <w:p w14:paraId="6A883A0D" w14:textId="77777777" w:rsidR="00900559" w:rsidRDefault="00900559" w:rsidP="00900559">
            <w:r w:rsidRPr="007F4001">
              <w:t>San Francisco, CA 94128</w:t>
            </w:r>
          </w:p>
          <w:p w14:paraId="0727EC34" w14:textId="77777777" w:rsidR="00900559" w:rsidRPr="007F4001" w:rsidRDefault="00900559" w:rsidP="00900559">
            <w:r>
              <w:t>San Mateo County</w:t>
            </w:r>
          </w:p>
        </w:tc>
        <w:tc>
          <w:tcPr>
            <w:tcW w:w="1440" w:type="dxa"/>
            <w:shd w:val="clear" w:color="auto" w:fill="auto"/>
            <w:vAlign w:val="center"/>
          </w:tcPr>
          <w:p w14:paraId="219D3473" w14:textId="0F98BAAC" w:rsidR="00900559" w:rsidRPr="00900559" w:rsidRDefault="00900559" w:rsidP="00900559">
            <w:pPr>
              <w:jc w:val="center"/>
            </w:pPr>
            <w:r w:rsidRPr="00900559">
              <w:t>Y</w:t>
            </w:r>
            <w:r>
              <w:t>es</w:t>
            </w:r>
          </w:p>
        </w:tc>
        <w:tc>
          <w:tcPr>
            <w:tcW w:w="1329" w:type="dxa"/>
            <w:tcBorders>
              <w:left w:val="single" w:sz="4" w:space="0" w:color="auto"/>
              <w:right w:val="single" w:sz="12" w:space="0" w:color="auto"/>
            </w:tcBorders>
            <w:shd w:val="clear" w:color="auto" w:fill="auto"/>
            <w:vAlign w:val="center"/>
          </w:tcPr>
          <w:p w14:paraId="26F1E40A" w14:textId="31B92501" w:rsidR="00900559" w:rsidRPr="00900559" w:rsidRDefault="00900559" w:rsidP="00900559">
            <w:pPr>
              <w:jc w:val="center"/>
            </w:pPr>
            <w:r w:rsidRPr="00900559">
              <w:t>Marine</w:t>
            </w:r>
          </w:p>
        </w:tc>
      </w:tr>
      <w:tr w:rsidR="00900559" w:rsidRPr="007F4001" w14:paraId="3E5E6167" w14:textId="77777777" w:rsidTr="00031972">
        <w:trPr>
          <w:cantSplit/>
        </w:trPr>
        <w:tc>
          <w:tcPr>
            <w:tcW w:w="3375" w:type="dxa"/>
            <w:tcBorders>
              <w:left w:val="single" w:sz="12" w:space="0" w:color="auto"/>
            </w:tcBorders>
            <w:shd w:val="clear" w:color="auto" w:fill="auto"/>
            <w:vAlign w:val="center"/>
          </w:tcPr>
          <w:p w14:paraId="52C60F6B" w14:textId="77777777" w:rsidR="00900559" w:rsidRPr="007F4001" w:rsidRDefault="00900559" w:rsidP="00900559">
            <w:pPr>
              <w:rPr>
                <w:rFonts w:eastAsia="Arial Unicode MS"/>
              </w:rPr>
            </w:pPr>
            <w:r w:rsidRPr="007F4001">
              <w:t>San Francisco (Southeast Plant), City and County of</w:t>
            </w:r>
          </w:p>
        </w:tc>
        <w:tc>
          <w:tcPr>
            <w:tcW w:w="2286" w:type="dxa"/>
            <w:shd w:val="clear" w:color="auto" w:fill="auto"/>
            <w:vAlign w:val="center"/>
          </w:tcPr>
          <w:p w14:paraId="134A514B" w14:textId="77777777" w:rsidR="00900559" w:rsidRDefault="00900559" w:rsidP="00900559">
            <w:r>
              <w:t>Mark A. Harris,</w:t>
            </w:r>
          </w:p>
          <w:p w14:paraId="251D606C" w14:textId="77777777" w:rsidR="00900559" w:rsidRPr="007F4001" w:rsidRDefault="00900559" w:rsidP="00900559">
            <w:r>
              <w:t>Operations Superintendent</w:t>
            </w:r>
          </w:p>
          <w:p w14:paraId="7308CF38" w14:textId="77777777" w:rsidR="00900559" w:rsidRPr="007F4001" w:rsidRDefault="00900559" w:rsidP="00900559">
            <w:r w:rsidRPr="007F4001">
              <w:t>(415)</w:t>
            </w:r>
            <w:r>
              <w:t xml:space="preserve"> 920</w:t>
            </w:r>
            <w:r w:rsidRPr="007F4001">
              <w:t>-</w:t>
            </w:r>
            <w:r>
              <w:t>4923</w:t>
            </w:r>
          </w:p>
        </w:tc>
        <w:tc>
          <w:tcPr>
            <w:tcW w:w="2244" w:type="dxa"/>
            <w:tcBorders>
              <w:right w:val="single" w:sz="4" w:space="0" w:color="auto"/>
            </w:tcBorders>
            <w:shd w:val="clear" w:color="auto" w:fill="auto"/>
            <w:vAlign w:val="center"/>
          </w:tcPr>
          <w:p w14:paraId="34029C31" w14:textId="77777777" w:rsidR="00900559" w:rsidRPr="007F4001" w:rsidRDefault="00900559" w:rsidP="00900559">
            <w:r w:rsidRPr="007F4001">
              <w:t>1155 Market St.,</w:t>
            </w:r>
          </w:p>
          <w:p w14:paraId="632EDF96" w14:textId="77777777" w:rsidR="00900559" w:rsidRPr="007F4001" w:rsidRDefault="00900559" w:rsidP="00900559">
            <w:r w:rsidRPr="007F4001">
              <w:t xml:space="preserve">11th Floor </w:t>
            </w:r>
          </w:p>
          <w:p w14:paraId="18446AE4" w14:textId="77777777" w:rsidR="00900559" w:rsidRDefault="00900559" w:rsidP="00900559">
            <w:r w:rsidRPr="007F4001">
              <w:t>San Francisco, CA 94103</w:t>
            </w:r>
          </w:p>
          <w:p w14:paraId="13C567CD" w14:textId="77777777" w:rsidR="00900559" w:rsidRPr="007F4001" w:rsidRDefault="00900559" w:rsidP="00900559">
            <w:r>
              <w:t>San Francisco County</w:t>
            </w:r>
          </w:p>
        </w:tc>
        <w:tc>
          <w:tcPr>
            <w:tcW w:w="1440" w:type="dxa"/>
            <w:shd w:val="clear" w:color="auto" w:fill="auto"/>
            <w:vAlign w:val="center"/>
          </w:tcPr>
          <w:p w14:paraId="172BD514" w14:textId="59C04401" w:rsidR="00900559" w:rsidRPr="00900559" w:rsidRDefault="00900559" w:rsidP="00900559">
            <w:pPr>
              <w:jc w:val="center"/>
            </w:pPr>
            <w:r w:rsidRPr="00900559">
              <w:t>Y</w:t>
            </w:r>
            <w:r>
              <w:t>es</w:t>
            </w:r>
          </w:p>
        </w:tc>
        <w:tc>
          <w:tcPr>
            <w:tcW w:w="1329" w:type="dxa"/>
            <w:tcBorders>
              <w:left w:val="single" w:sz="4" w:space="0" w:color="auto"/>
              <w:right w:val="single" w:sz="12" w:space="0" w:color="auto"/>
            </w:tcBorders>
            <w:shd w:val="clear" w:color="auto" w:fill="auto"/>
            <w:vAlign w:val="center"/>
          </w:tcPr>
          <w:p w14:paraId="079A1D30" w14:textId="32DE652B" w:rsidR="00900559" w:rsidRPr="00900559" w:rsidRDefault="00900559" w:rsidP="00900559">
            <w:pPr>
              <w:jc w:val="center"/>
            </w:pPr>
            <w:r w:rsidRPr="00900559">
              <w:t>Marine</w:t>
            </w:r>
          </w:p>
        </w:tc>
      </w:tr>
      <w:tr w:rsidR="00900559" w:rsidRPr="007F4001" w14:paraId="11A88C8B" w14:textId="77777777" w:rsidTr="00031972">
        <w:trPr>
          <w:cantSplit/>
        </w:trPr>
        <w:tc>
          <w:tcPr>
            <w:tcW w:w="3375" w:type="dxa"/>
            <w:tcBorders>
              <w:left w:val="single" w:sz="12" w:space="0" w:color="auto"/>
            </w:tcBorders>
            <w:shd w:val="clear" w:color="auto" w:fill="auto"/>
            <w:vAlign w:val="center"/>
          </w:tcPr>
          <w:p w14:paraId="45CB7147" w14:textId="77777777" w:rsidR="00900559" w:rsidRPr="007F4001" w:rsidRDefault="00900559" w:rsidP="00900559">
            <w:pPr>
              <w:tabs>
                <w:tab w:val="left" w:pos="459"/>
              </w:tabs>
              <w:rPr>
                <w:rFonts w:eastAsia="Arial Unicode MS"/>
              </w:rPr>
            </w:pPr>
            <w:r>
              <w:t xml:space="preserve">San Jose and </w:t>
            </w:r>
            <w:r w:rsidRPr="007F4001">
              <w:t>Santa Clara, Cities of</w:t>
            </w:r>
          </w:p>
        </w:tc>
        <w:tc>
          <w:tcPr>
            <w:tcW w:w="2286" w:type="dxa"/>
            <w:shd w:val="clear" w:color="auto" w:fill="auto"/>
            <w:vAlign w:val="center"/>
          </w:tcPr>
          <w:p w14:paraId="28C587DD" w14:textId="7584989E" w:rsidR="00900559" w:rsidRPr="00403E66" w:rsidRDefault="00F12E5E" w:rsidP="00900559">
            <w:r>
              <w:t>Kerry Romanow</w:t>
            </w:r>
            <w:r w:rsidR="00900559" w:rsidRPr="00403E66">
              <w:t>,</w:t>
            </w:r>
          </w:p>
          <w:p w14:paraId="3CF9DF4F" w14:textId="68B4B9E9" w:rsidR="00900559" w:rsidRPr="00403E66" w:rsidRDefault="00F12E5E" w:rsidP="00900559">
            <w:r>
              <w:t>Director of Environmental Services</w:t>
            </w:r>
          </w:p>
          <w:p w14:paraId="58F8B21D" w14:textId="265BD8C3" w:rsidR="00900559" w:rsidRPr="00403E66" w:rsidRDefault="00900559" w:rsidP="00F12E5E">
            <w:r w:rsidRPr="00403E66">
              <w:t xml:space="preserve">(408) </w:t>
            </w:r>
            <w:r w:rsidR="00F12E5E">
              <w:t>535</w:t>
            </w:r>
            <w:r w:rsidRPr="00403E66">
              <w:t>-</w:t>
            </w:r>
            <w:r w:rsidR="00F12E5E">
              <w:t>8550</w:t>
            </w:r>
          </w:p>
        </w:tc>
        <w:tc>
          <w:tcPr>
            <w:tcW w:w="2244" w:type="dxa"/>
            <w:tcBorders>
              <w:right w:val="single" w:sz="4" w:space="0" w:color="auto"/>
            </w:tcBorders>
            <w:shd w:val="clear" w:color="auto" w:fill="auto"/>
            <w:vAlign w:val="center"/>
          </w:tcPr>
          <w:p w14:paraId="57D5E943" w14:textId="77777777" w:rsidR="00900559" w:rsidRDefault="00900559" w:rsidP="00900559">
            <w:r w:rsidRPr="007F4001">
              <w:t>700 Los Esteros Road San Jose, CA 95134</w:t>
            </w:r>
          </w:p>
          <w:p w14:paraId="44628A4E" w14:textId="77777777" w:rsidR="00900559" w:rsidRPr="007F4001" w:rsidRDefault="00900559" w:rsidP="00900559">
            <w:r>
              <w:t>Santa Clara County</w:t>
            </w:r>
          </w:p>
        </w:tc>
        <w:tc>
          <w:tcPr>
            <w:tcW w:w="1440" w:type="dxa"/>
            <w:shd w:val="clear" w:color="auto" w:fill="auto"/>
            <w:vAlign w:val="center"/>
          </w:tcPr>
          <w:p w14:paraId="13609972" w14:textId="593B5D91" w:rsidR="00900559" w:rsidRPr="00900559" w:rsidRDefault="00900559" w:rsidP="00900559">
            <w:pPr>
              <w:jc w:val="center"/>
            </w:pPr>
            <w:r w:rsidRPr="00900559">
              <w:t>Y</w:t>
            </w:r>
            <w:r>
              <w:t>es</w:t>
            </w:r>
          </w:p>
        </w:tc>
        <w:tc>
          <w:tcPr>
            <w:tcW w:w="1329" w:type="dxa"/>
            <w:tcBorders>
              <w:left w:val="single" w:sz="4" w:space="0" w:color="auto"/>
              <w:right w:val="single" w:sz="12" w:space="0" w:color="auto"/>
            </w:tcBorders>
            <w:shd w:val="clear" w:color="auto" w:fill="auto"/>
            <w:vAlign w:val="center"/>
          </w:tcPr>
          <w:p w14:paraId="7BEB6C59" w14:textId="469FB882" w:rsidR="00900559" w:rsidRPr="00900559" w:rsidRDefault="00900559" w:rsidP="00900559">
            <w:pPr>
              <w:jc w:val="center"/>
            </w:pPr>
            <w:r w:rsidRPr="00900559">
              <w:t>Estuarine</w:t>
            </w:r>
          </w:p>
        </w:tc>
      </w:tr>
      <w:tr w:rsidR="00900559" w:rsidRPr="007F4001" w14:paraId="7BC21934" w14:textId="77777777" w:rsidTr="00031972">
        <w:trPr>
          <w:cantSplit/>
        </w:trPr>
        <w:tc>
          <w:tcPr>
            <w:tcW w:w="3375" w:type="dxa"/>
            <w:tcBorders>
              <w:left w:val="single" w:sz="12" w:space="0" w:color="auto"/>
            </w:tcBorders>
            <w:shd w:val="clear" w:color="auto" w:fill="auto"/>
            <w:vAlign w:val="center"/>
          </w:tcPr>
          <w:p w14:paraId="0A246DDE" w14:textId="77777777" w:rsidR="00900559" w:rsidRPr="007F4001" w:rsidRDefault="00900559" w:rsidP="00900559">
            <w:pPr>
              <w:rPr>
                <w:rFonts w:eastAsia="Arial Unicode MS"/>
              </w:rPr>
            </w:pPr>
            <w:r w:rsidRPr="007F4001">
              <w:t>San Mateo, City of</w:t>
            </w:r>
          </w:p>
        </w:tc>
        <w:tc>
          <w:tcPr>
            <w:tcW w:w="2286" w:type="dxa"/>
            <w:shd w:val="clear" w:color="auto" w:fill="auto"/>
            <w:vAlign w:val="center"/>
          </w:tcPr>
          <w:p w14:paraId="3297880F" w14:textId="77777777" w:rsidR="00900559" w:rsidRPr="00403E66" w:rsidRDefault="00900559" w:rsidP="00900559">
            <w:r w:rsidRPr="00403E66">
              <w:t>Jan Guy,</w:t>
            </w:r>
          </w:p>
          <w:p w14:paraId="7A4B79F1" w14:textId="77777777" w:rsidR="00900559" w:rsidRPr="00403E66" w:rsidRDefault="00900559" w:rsidP="00900559">
            <w:r w:rsidRPr="00403E66">
              <w:t>Chief Plant Operator</w:t>
            </w:r>
          </w:p>
          <w:p w14:paraId="3C92123B" w14:textId="77777777" w:rsidR="00900559" w:rsidRPr="00403E66" w:rsidRDefault="00900559" w:rsidP="00900559">
            <w:r w:rsidRPr="00403E66">
              <w:t>(650) 522-7386</w:t>
            </w:r>
          </w:p>
        </w:tc>
        <w:tc>
          <w:tcPr>
            <w:tcW w:w="2244" w:type="dxa"/>
            <w:tcBorders>
              <w:right w:val="single" w:sz="4" w:space="0" w:color="auto"/>
            </w:tcBorders>
            <w:shd w:val="clear" w:color="auto" w:fill="auto"/>
            <w:vAlign w:val="center"/>
          </w:tcPr>
          <w:p w14:paraId="4AD228B1" w14:textId="77777777" w:rsidR="00900559" w:rsidRPr="007F4001" w:rsidRDefault="00900559" w:rsidP="00900559">
            <w:r w:rsidRPr="007F4001">
              <w:t>330 West 20</w:t>
            </w:r>
            <w:r w:rsidRPr="007F4001">
              <w:rPr>
                <w:vertAlign w:val="superscript"/>
              </w:rPr>
              <w:t>th</w:t>
            </w:r>
            <w:r w:rsidRPr="007F4001">
              <w:t xml:space="preserve"> Avenue</w:t>
            </w:r>
          </w:p>
          <w:p w14:paraId="7B6FDE2C" w14:textId="77777777" w:rsidR="00900559" w:rsidRPr="007F4001" w:rsidRDefault="00900559" w:rsidP="00900559">
            <w:r w:rsidRPr="007F4001">
              <w:t>San Mateo, CA 94403</w:t>
            </w:r>
          </w:p>
        </w:tc>
        <w:tc>
          <w:tcPr>
            <w:tcW w:w="1440" w:type="dxa"/>
            <w:shd w:val="clear" w:color="auto" w:fill="auto"/>
            <w:vAlign w:val="center"/>
          </w:tcPr>
          <w:p w14:paraId="0DAB2FF4" w14:textId="50126D69" w:rsidR="00900559" w:rsidRPr="00900559" w:rsidRDefault="00900559" w:rsidP="00900559">
            <w:pPr>
              <w:jc w:val="center"/>
            </w:pPr>
            <w:r w:rsidRPr="00900559">
              <w:t>Y</w:t>
            </w:r>
            <w:r>
              <w:t>es</w:t>
            </w:r>
          </w:p>
        </w:tc>
        <w:tc>
          <w:tcPr>
            <w:tcW w:w="1329" w:type="dxa"/>
            <w:tcBorders>
              <w:left w:val="single" w:sz="4" w:space="0" w:color="auto"/>
              <w:right w:val="single" w:sz="12" w:space="0" w:color="auto"/>
            </w:tcBorders>
            <w:shd w:val="clear" w:color="auto" w:fill="auto"/>
            <w:vAlign w:val="center"/>
          </w:tcPr>
          <w:p w14:paraId="7B5B61C1" w14:textId="6B9CD4F6" w:rsidR="00900559" w:rsidRPr="00900559" w:rsidRDefault="00900559" w:rsidP="00900559">
            <w:pPr>
              <w:jc w:val="center"/>
            </w:pPr>
            <w:r w:rsidRPr="00900559">
              <w:t>Marine</w:t>
            </w:r>
          </w:p>
        </w:tc>
      </w:tr>
      <w:tr w:rsidR="00900559" w:rsidRPr="007F4001" w14:paraId="07D3458A" w14:textId="77777777" w:rsidTr="00031972">
        <w:trPr>
          <w:cantSplit/>
        </w:trPr>
        <w:tc>
          <w:tcPr>
            <w:tcW w:w="3375" w:type="dxa"/>
            <w:tcBorders>
              <w:left w:val="single" w:sz="12" w:space="0" w:color="auto"/>
            </w:tcBorders>
            <w:shd w:val="clear" w:color="auto" w:fill="auto"/>
            <w:vAlign w:val="center"/>
          </w:tcPr>
          <w:p w14:paraId="604DD5E7" w14:textId="77777777" w:rsidR="00900559" w:rsidRPr="007F4001" w:rsidRDefault="00900559" w:rsidP="00900559">
            <w:pPr>
              <w:rPr>
                <w:rFonts w:eastAsia="Arial Unicode MS"/>
              </w:rPr>
            </w:pPr>
            <w:r w:rsidRPr="007F4001">
              <w:t>Sausalito-Marin City Sanitary District</w:t>
            </w:r>
          </w:p>
        </w:tc>
        <w:tc>
          <w:tcPr>
            <w:tcW w:w="2286" w:type="dxa"/>
            <w:shd w:val="clear" w:color="auto" w:fill="auto"/>
            <w:vAlign w:val="center"/>
          </w:tcPr>
          <w:p w14:paraId="2513DC0E" w14:textId="77777777" w:rsidR="00900559" w:rsidRPr="00403E66" w:rsidRDefault="00900559" w:rsidP="00900559">
            <w:r w:rsidRPr="00403E66">
              <w:t>Omar Arias-Montez,</w:t>
            </w:r>
          </w:p>
          <w:p w14:paraId="05EDD676" w14:textId="77777777" w:rsidR="00900559" w:rsidRPr="00403E66" w:rsidRDefault="00900559" w:rsidP="00900559">
            <w:r w:rsidRPr="00403E66">
              <w:t>General Manager</w:t>
            </w:r>
          </w:p>
          <w:p w14:paraId="10492A63" w14:textId="77777777" w:rsidR="00900559" w:rsidRPr="00403E66" w:rsidRDefault="00900559" w:rsidP="00900559">
            <w:r w:rsidRPr="00403E66">
              <w:t xml:space="preserve"> (415) 331-4716</w:t>
            </w:r>
          </w:p>
        </w:tc>
        <w:tc>
          <w:tcPr>
            <w:tcW w:w="2244" w:type="dxa"/>
            <w:tcBorders>
              <w:right w:val="single" w:sz="4" w:space="0" w:color="auto"/>
            </w:tcBorders>
            <w:shd w:val="clear" w:color="auto" w:fill="auto"/>
            <w:vAlign w:val="center"/>
          </w:tcPr>
          <w:p w14:paraId="61EBD04F" w14:textId="77777777" w:rsidR="00900559" w:rsidRPr="005465D4" w:rsidRDefault="00900559" w:rsidP="00900559">
            <w:r>
              <w:t>1 East Road</w:t>
            </w:r>
          </w:p>
          <w:p w14:paraId="2EA35751" w14:textId="77777777" w:rsidR="00900559" w:rsidRPr="005465D4" w:rsidRDefault="00900559" w:rsidP="00900559">
            <w:r w:rsidRPr="005465D4">
              <w:t>Sausalito, CA 94965</w:t>
            </w:r>
          </w:p>
          <w:p w14:paraId="4B59987D" w14:textId="77777777" w:rsidR="00900559" w:rsidRPr="007F4001" w:rsidRDefault="00900559" w:rsidP="00900559">
            <w:r w:rsidRPr="005465D4">
              <w:t>Marin County</w:t>
            </w:r>
          </w:p>
        </w:tc>
        <w:tc>
          <w:tcPr>
            <w:tcW w:w="1440" w:type="dxa"/>
            <w:shd w:val="clear" w:color="auto" w:fill="auto"/>
            <w:vAlign w:val="center"/>
          </w:tcPr>
          <w:p w14:paraId="473BD9FD" w14:textId="34B2934F" w:rsidR="00900559" w:rsidRPr="00900559" w:rsidRDefault="00900559" w:rsidP="00900559">
            <w:pPr>
              <w:jc w:val="center"/>
            </w:pPr>
            <w:r w:rsidRPr="00900559">
              <w:t>N</w:t>
            </w:r>
            <w:r>
              <w:t>o</w:t>
            </w:r>
          </w:p>
        </w:tc>
        <w:tc>
          <w:tcPr>
            <w:tcW w:w="1329" w:type="dxa"/>
            <w:tcBorders>
              <w:left w:val="single" w:sz="4" w:space="0" w:color="auto"/>
              <w:right w:val="single" w:sz="12" w:space="0" w:color="auto"/>
            </w:tcBorders>
            <w:shd w:val="clear" w:color="auto" w:fill="auto"/>
            <w:vAlign w:val="center"/>
          </w:tcPr>
          <w:p w14:paraId="5E268BEF" w14:textId="54CE7A22" w:rsidR="00900559" w:rsidRPr="00900559" w:rsidRDefault="00900559" w:rsidP="00900559">
            <w:pPr>
              <w:jc w:val="center"/>
            </w:pPr>
            <w:r w:rsidRPr="00900559">
              <w:t>Marine</w:t>
            </w:r>
          </w:p>
        </w:tc>
      </w:tr>
      <w:tr w:rsidR="00900559" w:rsidRPr="007F4001" w14:paraId="6029BD89" w14:textId="77777777" w:rsidTr="00031972">
        <w:trPr>
          <w:cantSplit/>
        </w:trPr>
        <w:tc>
          <w:tcPr>
            <w:tcW w:w="3375" w:type="dxa"/>
            <w:tcBorders>
              <w:left w:val="single" w:sz="12" w:space="0" w:color="auto"/>
            </w:tcBorders>
            <w:shd w:val="clear" w:color="auto" w:fill="auto"/>
            <w:vAlign w:val="center"/>
          </w:tcPr>
          <w:p w14:paraId="4F1F8052" w14:textId="77777777" w:rsidR="00900559" w:rsidRPr="007F4001" w:rsidRDefault="00900559" w:rsidP="00900559">
            <w:pPr>
              <w:tabs>
                <w:tab w:val="left" w:pos="459"/>
              </w:tabs>
              <w:rPr>
                <w:rFonts w:eastAsia="Arial Unicode MS"/>
              </w:rPr>
            </w:pPr>
            <w:r w:rsidRPr="007F4001">
              <w:t>Sewerage Agency of Southern Marin</w:t>
            </w:r>
          </w:p>
        </w:tc>
        <w:tc>
          <w:tcPr>
            <w:tcW w:w="2286" w:type="dxa"/>
            <w:shd w:val="clear" w:color="auto" w:fill="auto"/>
            <w:vAlign w:val="center"/>
          </w:tcPr>
          <w:p w14:paraId="068AA4AE" w14:textId="77777777" w:rsidR="00900559" w:rsidRPr="00403E66" w:rsidRDefault="00900559" w:rsidP="00900559">
            <w:r w:rsidRPr="00403E66">
              <w:t>Mark Grushayev,</w:t>
            </w:r>
          </w:p>
          <w:p w14:paraId="0FDC675A" w14:textId="77777777" w:rsidR="00900559" w:rsidRPr="00403E66" w:rsidRDefault="00900559" w:rsidP="00900559">
            <w:r w:rsidRPr="00403E66">
              <w:t>General Manager</w:t>
            </w:r>
          </w:p>
          <w:p w14:paraId="1575ADC2" w14:textId="77777777" w:rsidR="00900559" w:rsidRPr="00403E66" w:rsidRDefault="00900559" w:rsidP="00900559">
            <w:r w:rsidRPr="00403E66">
              <w:t>(415) 384-4825</w:t>
            </w:r>
          </w:p>
        </w:tc>
        <w:tc>
          <w:tcPr>
            <w:tcW w:w="2244" w:type="dxa"/>
            <w:tcBorders>
              <w:right w:val="single" w:sz="4" w:space="0" w:color="auto"/>
            </w:tcBorders>
            <w:shd w:val="clear" w:color="auto" w:fill="auto"/>
            <w:vAlign w:val="center"/>
          </w:tcPr>
          <w:p w14:paraId="5E979895" w14:textId="77777777" w:rsidR="00900559" w:rsidRDefault="00900559" w:rsidP="00900559">
            <w:r w:rsidRPr="007F4001">
              <w:t>26 Corte Madera Ave. Mill Valley, CA 94941</w:t>
            </w:r>
          </w:p>
          <w:p w14:paraId="78C5734D" w14:textId="77777777" w:rsidR="00900559" w:rsidRPr="007F4001" w:rsidRDefault="00900559" w:rsidP="00900559">
            <w:r>
              <w:t>Marin County</w:t>
            </w:r>
          </w:p>
        </w:tc>
        <w:tc>
          <w:tcPr>
            <w:tcW w:w="1440" w:type="dxa"/>
            <w:shd w:val="clear" w:color="auto" w:fill="auto"/>
            <w:vAlign w:val="center"/>
          </w:tcPr>
          <w:p w14:paraId="49E555BF" w14:textId="4F76C4B0" w:rsidR="00900559" w:rsidRPr="00900559" w:rsidRDefault="00900559" w:rsidP="00900559">
            <w:pPr>
              <w:jc w:val="center"/>
            </w:pPr>
            <w:r w:rsidRPr="00900559">
              <w:rPr>
                <w:color w:val="000000"/>
              </w:rPr>
              <w:t>N</w:t>
            </w:r>
            <w:r>
              <w:rPr>
                <w:color w:val="000000"/>
              </w:rPr>
              <w:t>o</w:t>
            </w:r>
          </w:p>
        </w:tc>
        <w:tc>
          <w:tcPr>
            <w:tcW w:w="1329" w:type="dxa"/>
            <w:tcBorders>
              <w:left w:val="single" w:sz="4" w:space="0" w:color="auto"/>
              <w:right w:val="single" w:sz="12" w:space="0" w:color="auto"/>
            </w:tcBorders>
            <w:shd w:val="clear" w:color="auto" w:fill="auto"/>
            <w:vAlign w:val="center"/>
          </w:tcPr>
          <w:p w14:paraId="7E175521" w14:textId="255BECFE" w:rsidR="00900559" w:rsidRPr="00900559" w:rsidRDefault="00900559" w:rsidP="00900559">
            <w:pPr>
              <w:jc w:val="center"/>
            </w:pPr>
            <w:r w:rsidRPr="00900559">
              <w:t>Marine</w:t>
            </w:r>
          </w:p>
        </w:tc>
      </w:tr>
      <w:tr w:rsidR="00900559" w:rsidRPr="007F4001" w14:paraId="6260F500" w14:textId="77777777" w:rsidTr="00031972">
        <w:trPr>
          <w:cantSplit/>
        </w:trPr>
        <w:tc>
          <w:tcPr>
            <w:tcW w:w="3375" w:type="dxa"/>
            <w:tcBorders>
              <w:left w:val="single" w:sz="12" w:space="0" w:color="auto"/>
            </w:tcBorders>
            <w:shd w:val="clear" w:color="auto" w:fill="auto"/>
            <w:vAlign w:val="center"/>
          </w:tcPr>
          <w:p w14:paraId="3C591600" w14:textId="77777777" w:rsidR="00900559" w:rsidRPr="007F4001" w:rsidRDefault="00900559" w:rsidP="00900559">
            <w:r>
              <w:lastRenderedPageBreak/>
              <w:t>Silicon Valley Clean Water</w:t>
            </w:r>
          </w:p>
        </w:tc>
        <w:tc>
          <w:tcPr>
            <w:tcW w:w="2286" w:type="dxa"/>
            <w:shd w:val="clear" w:color="auto" w:fill="auto"/>
            <w:vAlign w:val="center"/>
          </w:tcPr>
          <w:p w14:paraId="40ADC0B0" w14:textId="77777777" w:rsidR="00900559" w:rsidRPr="00403E66" w:rsidRDefault="00900559" w:rsidP="00900559">
            <w:r w:rsidRPr="00403E66">
              <w:t>Daniel Child,</w:t>
            </w:r>
          </w:p>
          <w:p w14:paraId="64C5ECBD" w14:textId="77777777" w:rsidR="00900559" w:rsidRPr="00403E66" w:rsidRDefault="00900559" w:rsidP="00900559">
            <w:r w:rsidRPr="00403E66">
              <w:t>General Manager</w:t>
            </w:r>
          </w:p>
          <w:p w14:paraId="1817EF78" w14:textId="77777777" w:rsidR="00900559" w:rsidRPr="00403E66" w:rsidRDefault="00900559" w:rsidP="00900559">
            <w:r w:rsidRPr="00403E66">
              <w:t>(650) 591-7121</w:t>
            </w:r>
          </w:p>
        </w:tc>
        <w:tc>
          <w:tcPr>
            <w:tcW w:w="2244" w:type="dxa"/>
            <w:tcBorders>
              <w:right w:val="single" w:sz="4" w:space="0" w:color="auto"/>
            </w:tcBorders>
            <w:shd w:val="clear" w:color="auto" w:fill="auto"/>
            <w:vAlign w:val="center"/>
          </w:tcPr>
          <w:p w14:paraId="694A9C24" w14:textId="77777777" w:rsidR="00900559" w:rsidRPr="005465D4" w:rsidRDefault="00900559" w:rsidP="00900559">
            <w:r w:rsidRPr="005465D4">
              <w:t>1400 Radio Road</w:t>
            </w:r>
          </w:p>
          <w:p w14:paraId="6E551134" w14:textId="77777777" w:rsidR="00900559" w:rsidRPr="005465D4" w:rsidRDefault="00900559" w:rsidP="00900559">
            <w:r w:rsidRPr="005465D4">
              <w:t>Redwood City, CA 94065</w:t>
            </w:r>
          </w:p>
          <w:p w14:paraId="5081E8F5" w14:textId="77777777" w:rsidR="00900559" w:rsidRPr="007F4001" w:rsidRDefault="00900559" w:rsidP="00900559">
            <w:r w:rsidRPr="005465D4">
              <w:t>San Mateo County</w:t>
            </w:r>
          </w:p>
        </w:tc>
        <w:tc>
          <w:tcPr>
            <w:tcW w:w="1440" w:type="dxa"/>
            <w:shd w:val="clear" w:color="auto" w:fill="auto"/>
            <w:vAlign w:val="center"/>
          </w:tcPr>
          <w:p w14:paraId="22D2DC97" w14:textId="2AFAB975" w:rsidR="00900559" w:rsidRPr="00900559" w:rsidRDefault="00900559" w:rsidP="00900559">
            <w:pPr>
              <w:jc w:val="center"/>
            </w:pPr>
            <w:r w:rsidRPr="00900559">
              <w:t>Y</w:t>
            </w:r>
            <w:r>
              <w:t>es</w:t>
            </w:r>
          </w:p>
        </w:tc>
        <w:tc>
          <w:tcPr>
            <w:tcW w:w="1329" w:type="dxa"/>
            <w:tcBorders>
              <w:left w:val="single" w:sz="4" w:space="0" w:color="auto"/>
              <w:right w:val="single" w:sz="12" w:space="0" w:color="auto"/>
            </w:tcBorders>
            <w:shd w:val="clear" w:color="auto" w:fill="auto"/>
            <w:vAlign w:val="center"/>
          </w:tcPr>
          <w:p w14:paraId="0E6561AD" w14:textId="51024039" w:rsidR="00900559" w:rsidRPr="00900559" w:rsidRDefault="00900559" w:rsidP="00900559">
            <w:pPr>
              <w:jc w:val="center"/>
            </w:pPr>
            <w:r w:rsidRPr="00900559">
              <w:t>Marine</w:t>
            </w:r>
          </w:p>
        </w:tc>
      </w:tr>
      <w:tr w:rsidR="00900559" w:rsidRPr="007F4001" w14:paraId="4D6A0906" w14:textId="77777777" w:rsidTr="00031972">
        <w:trPr>
          <w:cantSplit/>
        </w:trPr>
        <w:tc>
          <w:tcPr>
            <w:tcW w:w="3375" w:type="dxa"/>
            <w:tcBorders>
              <w:left w:val="single" w:sz="12" w:space="0" w:color="auto"/>
            </w:tcBorders>
            <w:shd w:val="clear" w:color="auto" w:fill="auto"/>
            <w:vAlign w:val="center"/>
          </w:tcPr>
          <w:p w14:paraId="3CA3E1F5" w14:textId="77777777" w:rsidR="00900559" w:rsidRPr="007F4001" w:rsidRDefault="00900559" w:rsidP="00900559">
            <w:pPr>
              <w:rPr>
                <w:rFonts w:eastAsia="Arial Unicode MS"/>
              </w:rPr>
            </w:pPr>
            <w:r w:rsidRPr="007F4001">
              <w:t>Sono</w:t>
            </w:r>
            <w:r>
              <w:t>ma Valley County Sanitation</w:t>
            </w:r>
            <w:r w:rsidRPr="007F4001">
              <w:t xml:space="preserve"> District</w:t>
            </w:r>
          </w:p>
        </w:tc>
        <w:tc>
          <w:tcPr>
            <w:tcW w:w="2286" w:type="dxa"/>
            <w:shd w:val="clear" w:color="auto" w:fill="auto"/>
            <w:vAlign w:val="center"/>
          </w:tcPr>
          <w:p w14:paraId="76204F7D" w14:textId="572AE416" w:rsidR="00900559" w:rsidRPr="00403E66" w:rsidRDefault="00F12E5E" w:rsidP="00900559">
            <w:r>
              <w:t>Ryan Kirchner</w:t>
            </w:r>
            <w:r w:rsidR="00900559" w:rsidRPr="00403E66">
              <w:t>,</w:t>
            </w:r>
          </w:p>
          <w:p w14:paraId="5096664B" w14:textId="3A9D8188" w:rsidR="00900559" w:rsidRPr="00403E66" w:rsidRDefault="00F12E5E" w:rsidP="00900559">
            <w:r>
              <w:t>Operations Coordinator</w:t>
            </w:r>
          </w:p>
          <w:p w14:paraId="34DF3D10" w14:textId="3DE40F35" w:rsidR="00900559" w:rsidRPr="00403E66" w:rsidRDefault="00900559" w:rsidP="00F12E5E">
            <w:r w:rsidRPr="00403E66">
              <w:t xml:space="preserve">(707) </w:t>
            </w:r>
            <w:r w:rsidR="00F12E5E">
              <w:t>495</w:t>
            </w:r>
            <w:r w:rsidRPr="00403E66">
              <w:t>-</w:t>
            </w:r>
            <w:r w:rsidR="00F12E5E">
              <w:t>6160</w:t>
            </w:r>
          </w:p>
        </w:tc>
        <w:tc>
          <w:tcPr>
            <w:tcW w:w="2244" w:type="dxa"/>
            <w:tcBorders>
              <w:right w:val="single" w:sz="4" w:space="0" w:color="auto"/>
            </w:tcBorders>
            <w:shd w:val="clear" w:color="auto" w:fill="auto"/>
            <w:vAlign w:val="center"/>
          </w:tcPr>
          <w:p w14:paraId="73366547" w14:textId="77777777" w:rsidR="00900559" w:rsidRPr="007F4001" w:rsidRDefault="00900559" w:rsidP="00900559">
            <w:r w:rsidRPr="007F4001">
              <w:t>Sonoma County Water Agency</w:t>
            </w:r>
          </w:p>
          <w:p w14:paraId="08D8462A" w14:textId="77777777" w:rsidR="00900559" w:rsidRPr="007F4001" w:rsidRDefault="00900559" w:rsidP="00900559">
            <w:r w:rsidRPr="007F4001">
              <w:t>404 Aviation Blvd.</w:t>
            </w:r>
          </w:p>
          <w:p w14:paraId="6C0865FD" w14:textId="77777777" w:rsidR="00900559" w:rsidRPr="007F4001" w:rsidRDefault="00900559" w:rsidP="00900559">
            <w:r w:rsidRPr="007F4001">
              <w:t>Santa Rosa, CA 95403</w:t>
            </w:r>
          </w:p>
        </w:tc>
        <w:tc>
          <w:tcPr>
            <w:tcW w:w="1440" w:type="dxa"/>
            <w:shd w:val="clear" w:color="auto" w:fill="auto"/>
            <w:vAlign w:val="center"/>
          </w:tcPr>
          <w:p w14:paraId="193D859C" w14:textId="20249726" w:rsidR="00900559" w:rsidRPr="00900559" w:rsidRDefault="00900559" w:rsidP="00900559">
            <w:pPr>
              <w:jc w:val="center"/>
            </w:pPr>
            <w:r w:rsidRPr="00900559">
              <w:t>N</w:t>
            </w:r>
            <w:r>
              <w:t>o</w:t>
            </w:r>
          </w:p>
        </w:tc>
        <w:tc>
          <w:tcPr>
            <w:tcW w:w="1329" w:type="dxa"/>
            <w:tcBorders>
              <w:left w:val="single" w:sz="4" w:space="0" w:color="auto"/>
              <w:right w:val="single" w:sz="12" w:space="0" w:color="auto"/>
            </w:tcBorders>
            <w:shd w:val="clear" w:color="auto" w:fill="auto"/>
            <w:vAlign w:val="center"/>
          </w:tcPr>
          <w:p w14:paraId="683B7E52" w14:textId="267DB599" w:rsidR="00900559" w:rsidRPr="00900559" w:rsidRDefault="00900559" w:rsidP="00900559">
            <w:pPr>
              <w:jc w:val="center"/>
            </w:pPr>
            <w:r w:rsidRPr="00900559">
              <w:t>Estuarine</w:t>
            </w:r>
          </w:p>
        </w:tc>
      </w:tr>
      <w:tr w:rsidR="00900559" w:rsidRPr="007F4001" w14:paraId="1D7A9E73" w14:textId="77777777" w:rsidTr="00031972">
        <w:trPr>
          <w:cantSplit/>
        </w:trPr>
        <w:tc>
          <w:tcPr>
            <w:tcW w:w="3375" w:type="dxa"/>
            <w:tcBorders>
              <w:left w:val="single" w:sz="12" w:space="0" w:color="auto"/>
            </w:tcBorders>
            <w:shd w:val="clear" w:color="auto" w:fill="auto"/>
            <w:vAlign w:val="center"/>
          </w:tcPr>
          <w:p w14:paraId="77E900F8" w14:textId="77777777" w:rsidR="00900559" w:rsidRPr="007F4001" w:rsidRDefault="00900559" w:rsidP="00900559">
            <w:pPr>
              <w:rPr>
                <w:rFonts w:eastAsia="Arial Unicode MS"/>
              </w:rPr>
            </w:pPr>
            <w:r w:rsidRPr="007F4001">
              <w:t>South San Francisco and San Bruno, Cities of</w:t>
            </w:r>
          </w:p>
        </w:tc>
        <w:tc>
          <w:tcPr>
            <w:tcW w:w="2286" w:type="dxa"/>
            <w:shd w:val="clear" w:color="auto" w:fill="auto"/>
            <w:vAlign w:val="center"/>
          </w:tcPr>
          <w:p w14:paraId="40D72979" w14:textId="77777777" w:rsidR="00900559" w:rsidRPr="00403E66" w:rsidRDefault="00900559" w:rsidP="00900559">
            <w:r w:rsidRPr="00403E66">
              <w:t>Brian Schumacker,</w:t>
            </w:r>
          </w:p>
          <w:p w14:paraId="195ED8B5" w14:textId="77777777" w:rsidR="00900559" w:rsidRPr="00403E66" w:rsidRDefault="00900559" w:rsidP="00900559">
            <w:r w:rsidRPr="00403E66">
              <w:t>Plant Superintendent</w:t>
            </w:r>
          </w:p>
          <w:p w14:paraId="66AC51BF" w14:textId="77777777" w:rsidR="00900559" w:rsidRPr="00403E66" w:rsidRDefault="00900559" w:rsidP="00900559">
            <w:r w:rsidRPr="00403E66">
              <w:t>(650) 877-8555</w:t>
            </w:r>
          </w:p>
        </w:tc>
        <w:tc>
          <w:tcPr>
            <w:tcW w:w="2244" w:type="dxa"/>
            <w:tcBorders>
              <w:right w:val="single" w:sz="4" w:space="0" w:color="auto"/>
            </w:tcBorders>
            <w:shd w:val="clear" w:color="auto" w:fill="auto"/>
            <w:vAlign w:val="center"/>
          </w:tcPr>
          <w:p w14:paraId="7BC8FCDA" w14:textId="77777777" w:rsidR="00900559" w:rsidRPr="005465D4" w:rsidRDefault="00900559" w:rsidP="00900559">
            <w:r w:rsidRPr="005465D4">
              <w:t>195 Belle Air Road</w:t>
            </w:r>
          </w:p>
          <w:p w14:paraId="689929AF" w14:textId="77777777" w:rsidR="00900559" w:rsidRPr="005465D4" w:rsidRDefault="00900559" w:rsidP="00900559">
            <w:r w:rsidRPr="005465D4">
              <w:t>South San Francisco, CA 94080</w:t>
            </w:r>
          </w:p>
          <w:p w14:paraId="56E10D64" w14:textId="77777777" w:rsidR="00900559" w:rsidRPr="007F4001" w:rsidRDefault="00900559" w:rsidP="00900559">
            <w:r w:rsidRPr="005465D4">
              <w:t>San Mateo County</w:t>
            </w:r>
          </w:p>
        </w:tc>
        <w:tc>
          <w:tcPr>
            <w:tcW w:w="1440" w:type="dxa"/>
            <w:shd w:val="clear" w:color="auto" w:fill="auto"/>
            <w:vAlign w:val="center"/>
          </w:tcPr>
          <w:p w14:paraId="12CBA7F9" w14:textId="17EC36BA" w:rsidR="00900559" w:rsidRPr="00900559" w:rsidRDefault="00900559" w:rsidP="00900559">
            <w:pPr>
              <w:jc w:val="center"/>
            </w:pPr>
            <w:r w:rsidRPr="00900559">
              <w:t>Y</w:t>
            </w:r>
            <w:r>
              <w:t>es</w:t>
            </w:r>
          </w:p>
        </w:tc>
        <w:tc>
          <w:tcPr>
            <w:tcW w:w="1329" w:type="dxa"/>
            <w:tcBorders>
              <w:left w:val="single" w:sz="4" w:space="0" w:color="auto"/>
              <w:right w:val="single" w:sz="12" w:space="0" w:color="auto"/>
            </w:tcBorders>
            <w:shd w:val="clear" w:color="auto" w:fill="auto"/>
            <w:vAlign w:val="center"/>
          </w:tcPr>
          <w:p w14:paraId="29F7AB7D" w14:textId="5517D5A7" w:rsidR="00900559" w:rsidRPr="00900559" w:rsidRDefault="00900559" w:rsidP="00900559">
            <w:pPr>
              <w:jc w:val="center"/>
            </w:pPr>
            <w:r w:rsidRPr="00900559">
              <w:t>Marine</w:t>
            </w:r>
          </w:p>
        </w:tc>
      </w:tr>
      <w:tr w:rsidR="00900559" w:rsidRPr="007F4001" w14:paraId="225B2C7D" w14:textId="77777777" w:rsidTr="00031972">
        <w:trPr>
          <w:cantSplit/>
        </w:trPr>
        <w:tc>
          <w:tcPr>
            <w:tcW w:w="3375" w:type="dxa"/>
            <w:tcBorders>
              <w:left w:val="single" w:sz="12" w:space="0" w:color="auto"/>
            </w:tcBorders>
            <w:shd w:val="clear" w:color="auto" w:fill="auto"/>
            <w:vAlign w:val="center"/>
          </w:tcPr>
          <w:p w14:paraId="041D528F" w14:textId="77777777" w:rsidR="00900559" w:rsidRPr="007F4001" w:rsidRDefault="00900559" w:rsidP="00900559">
            <w:pPr>
              <w:tabs>
                <w:tab w:val="left" w:pos="459"/>
              </w:tabs>
              <w:rPr>
                <w:rFonts w:eastAsia="Arial Unicode MS"/>
              </w:rPr>
            </w:pPr>
            <w:r w:rsidRPr="007F4001">
              <w:t>Sunnyvale, City of</w:t>
            </w:r>
          </w:p>
        </w:tc>
        <w:tc>
          <w:tcPr>
            <w:tcW w:w="2286" w:type="dxa"/>
            <w:shd w:val="clear" w:color="auto" w:fill="auto"/>
            <w:vAlign w:val="center"/>
          </w:tcPr>
          <w:p w14:paraId="73F4F4F0" w14:textId="77777777" w:rsidR="00900559" w:rsidRPr="00403E66" w:rsidRDefault="00900559" w:rsidP="00900559">
            <w:r w:rsidRPr="00403E66">
              <w:t>Bhavani Yerrapotu</w:t>
            </w:r>
          </w:p>
          <w:p w14:paraId="176595D9" w14:textId="77777777" w:rsidR="00900559" w:rsidRPr="00403E66" w:rsidRDefault="00900559" w:rsidP="00900559">
            <w:r w:rsidRPr="00403E66">
              <w:t>WPCP Division Manager</w:t>
            </w:r>
          </w:p>
          <w:p w14:paraId="2F3266A5" w14:textId="77777777" w:rsidR="00900559" w:rsidRPr="00403E66" w:rsidRDefault="00900559" w:rsidP="00900559">
            <w:r w:rsidRPr="00403E66">
              <w:t>(408) 730-7268</w:t>
            </w:r>
          </w:p>
        </w:tc>
        <w:tc>
          <w:tcPr>
            <w:tcW w:w="2244" w:type="dxa"/>
            <w:tcBorders>
              <w:right w:val="single" w:sz="4" w:space="0" w:color="auto"/>
            </w:tcBorders>
            <w:shd w:val="clear" w:color="auto" w:fill="auto"/>
            <w:vAlign w:val="center"/>
          </w:tcPr>
          <w:p w14:paraId="3B98A65A" w14:textId="77777777" w:rsidR="00900559" w:rsidRPr="007F4001" w:rsidRDefault="00900559" w:rsidP="00900559">
            <w:r w:rsidRPr="007F4001">
              <w:t>Sunnyvale Water Pollution Control Plant P.O. Box 3707 Sunnyvale, CA</w:t>
            </w:r>
          </w:p>
          <w:p w14:paraId="6A329F70" w14:textId="77777777" w:rsidR="00900559" w:rsidRPr="007F4001" w:rsidRDefault="00900559" w:rsidP="00900559">
            <w:r w:rsidRPr="007F4001">
              <w:t xml:space="preserve">94088-3707 </w:t>
            </w:r>
          </w:p>
        </w:tc>
        <w:tc>
          <w:tcPr>
            <w:tcW w:w="1440" w:type="dxa"/>
            <w:shd w:val="clear" w:color="auto" w:fill="auto"/>
            <w:vAlign w:val="center"/>
          </w:tcPr>
          <w:p w14:paraId="331B763D" w14:textId="0B0A9C84" w:rsidR="00900559" w:rsidRPr="00900559" w:rsidRDefault="00900559" w:rsidP="00900559">
            <w:pPr>
              <w:jc w:val="center"/>
            </w:pPr>
            <w:r w:rsidRPr="00900559">
              <w:t>Y</w:t>
            </w:r>
            <w:r>
              <w:t>es</w:t>
            </w:r>
          </w:p>
        </w:tc>
        <w:tc>
          <w:tcPr>
            <w:tcW w:w="1329" w:type="dxa"/>
            <w:tcBorders>
              <w:left w:val="single" w:sz="4" w:space="0" w:color="auto"/>
              <w:right w:val="single" w:sz="12" w:space="0" w:color="auto"/>
            </w:tcBorders>
            <w:shd w:val="clear" w:color="auto" w:fill="auto"/>
            <w:vAlign w:val="center"/>
          </w:tcPr>
          <w:p w14:paraId="3F93C0E0" w14:textId="6AFFDF8D" w:rsidR="00900559" w:rsidRPr="00900559" w:rsidRDefault="00900559" w:rsidP="00900559">
            <w:pPr>
              <w:jc w:val="center"/>
            </w:pPr>
            <w:r w:rsidRPr="00900559">
              <w:t>Estuarine</w:t>
            </w:r>
          </w:p>
        </w:tc>
      </w:tr>
      <w:tr w:rsidR="00900559" w:rsidRPr="007F4001" w14:paraId="0814DD53" w14:textId="77777777" w:rsidTr="00031972">
        <w:trPr>
          <w:cantSplit/>
        </w:trPr>
        <w:tc>
          <w:tcPr>
            <w:tcW w:w="3375" w:type="dxa"/>
            <w:tcBorders>
              <w:left w:val="single" w:sz="12" w:space="0" w:color="auto"/>
            </w:tcBorders>
            <w:shd w:val="clear" w:color="auto" w:fill="auto"/>
            <w:vAlign w:val="center"/>
          </w:tcPr>
          <w:p w14:paraId="1EC68C75" w14:textId="77777777" w:rsidR="00900559" w:rsidRPr="007F4001" w:rsidRDefault="00900559" w:rsidP="00900559">
            <w:r>
              <w:t>U.S. Department of Navy (</w:t>
            </w:r>
            <w:r w:rsidRPr="007F4001">
              <w:t>Treasure Island</w:t>
            </w:r>
            <w:r>
              <w:t>)</w:t>
            </w:r>
          </w:p>
        </w:tc>
        <w:tc>
          <w:tcPr>
            <w:tcW w:w="2286" w:type="dxa"/>
            <w:shd w:val="clear" w:color="auto" w:fill="auto"/>
            <w:vAlign w:val="center"/>
          </w:tcPr>
          <w:p w14:paraId="42071E33" w14:textId="77777777" w:rsidR="00900559" w:rsidRPr="00403E66" w:rsidRDefault="00900559" w:rsidP="00900559">
            <w:r w:rsidRPr="00403E66">
              <w:t>Patricia A. McFadden</w:t>
            </w:r>
          </w:p>
          <w:p w14:paraId="261E5F20" w14:textId="77777777" w:rsidR="00900559" w:rsidRPr="00403E66" w:rsidRDefault="00900559" w:rsidP="00900559">
            <w:r w:rsidRPr="00403E66">
              <w:t>Base Operations Manager</w:t>
            </w:r>
          </w:p>
          <w:p w14:paraId="763404DF" w14:textId="77777777" w:rsidR="00900559" w:rsidRPr="00403E66" w:rsidRDefault="00900559" w:rsidP="00900559">
            <w:r w:rsidRPr="00403E66">
              <w:t>San Francisco Bay Area</w:t>
            </w:r>
          </w:p>
          <w:p w14:paraId="44ABCC55" w14:textId="77777777" w:rsidR="00900559" w:rsidRPr="00403E66" w:rsidRDefault="00900559" w:rsidP="00900559">
            <w:r w:rsidRPr="00403E66">
              <w:t>(415) 743-4720</w:t>
            </w:r>
          </w:p>
        </w:tc>
        <w:tc>
          <w:tcPr>
            <w:tcW w:w="2244" w:type="dxa"/>
            <w:tcBorders>
              <w:right w:val="single" w:sz="4" w:space="0" w:color="auto"/>
            </w:tcBorders>
            <w:shd w:val="clear" w:color="auto" w:fill="auto"/>
          </w:tcPr>
          <w:p w14:paraId="0DCAB352" w14:textId="77777777" w:rsidR="00900559" w:rsidRPr="007F4001" w:rsidRDefault="00900559" w:rsidP="00900559">
            <w:r>
              <w:t>1 Avenue of the Palms,</w:t>
            </w:r>
            <w:r w:rsidRPr="007F4001">
              <w:t xml:space="preserve"> Suite 161</w:t>
            </w:r>
          </w:p>
          <w:p w14:paraId="344E0D7B" w14:textId="77777777" w:rsidR="00900559" w:rsidRPr="007F4001" w:rsidRDefault="00900559" w:rsidP="00900559">
            <w:r w:rsidRPr="007F4001">
              <w:t xml:space="preserve">San Francisco, CA </w:t>
            </w:r>
          </w:p>
          <w:p w14:paraId="31680678" w14:textId="77777777" w:rsidR="00900559" w:rsidRDefault="00900559" w:rsidP="00900559">
            <w:r w:rsidRPr="007F4001">
              <w:t>94130</w:t>
            </w:r>
          </w:p>
          <w:p w14:paraId="7ECCFAD0" w14:textId="77777777" w:rsidR="00900559" w:rsidRPr="007F4001" w:rsidRDefault="00900559" w:rsidP="00900559">
            <w:r>
              <w:t>San Francisco County</w:t>
            </w:r>
          </w:p>
        </w:tc>
        <w:tc>
          <w:tcPr>
            <w:tcW w:w="1440" w:type="dxa"/>
            <w:shd w:val="clear" w:color="auto" w:fill="auto"/>
            <w:vAlign w:val="center"/>
          </w:tcPr>
          <w:p w14:paraId="18BEF9DF" w14:textId="2441B7F9" w:rsidR="00900559" w:rsidRPr="00900559" w:rsidRDefault="00900559" w:rsidP="00900559">
            <w:pPr>
              <w:jc w:val="center"/>
            </w:pPr>
            <w:r w:rsidRPr="00900559">
              <w:t>N</w:t>
            </w:r>
            <w:r>
              <w:t>o</w:t>
            </w:r>
          </w:p>
        </w:tc>
        <w:tc>
          <w:tcPr>
            <w:tcW w:w="1329" w:type="dxa"/>
            <w:tcBorders>
              <w:left w:val="single" w:sz="4" w:space="0" w:color="auto"/>
              <w:right w:val="single" w:sz="12" w:space="0" w:color="auto"/>
            </w:tcBorders>
            <w:shd w:val="clear" w:color="auto" w:fill="auto"/>
            <w:vAlign w:val="center"/>
          </w:tcPr>
          <w:p w14:paraId="7184A0AC" w14:textId="4F77236F" w:rsidR="00900559" w:rsidRPr="00900559" w:rsidRDefault="00900559" w:rsidP="00900559">
            <w:pPr>
              <w:jc w:val="center"/>
            </w:pPr>
            <w:r w:rsidRPr="00900559">
              <w:t>Marine</w:t>
            </w:r>
          </w:p>
        </w:tc>
      </w:tr>
      <w:tr w:rsidR="00900559" w:rsidRPr="007F4001" w14:paraId="73C69480" w14:textId="77777777" w:rsidTr="00031972">
        <w:trPr>
          <w:cantSplit/>
        </w:trPr>
        <w:tc>
          <w:tcPr>
            <w:tcW w:w="3375" w:type="dxa"/>
            <w:tcBorders>
              <w:left w:val="single" w:sz="12" w:space="0" w:color="auto"/>
            </w:tcBorders>
            <w:shd w:val="clear" w:color="auto" w:fill="auto"/>
            <w:vAlign w:val="center"/>
          </w:tcPr>
          <w:p w14:paraId="237B6FED" w14:textId="77777777" w:rsidR="00900559" w:rsidRPr="007F4001" w:rsidRDefault="00900559" w:rsidP="00900559">
            <w:pPr>
              <w:rPr>
                <w:rFonts w:eastAsia="Arial Unicode MS"/>
              </w:rPr>
            </w:pPr>
            <w:r w:rsidRPr="007F4001">
              <w:t>Vallejo Sanitation and Flood Control District</w:t>
            </w:r>
          </w:p>
        </w:tc>
        <w:tc>
          <w:tcPr>
            <w:tcW w:w="2286" w:type="dxa"/>
            <w:shd w:val="clear" w:color="auto" w:fill="auto"/>
            <w:vAlign w:val="center"/>
          </w:tcPr>
          <w:p w14:paraId="5181A878" w14:textId="77777777" w:rsidR="00900559" w:rsidRPr="00403E66" w:rsidRDefault="00900559" w:rsidP="00900559">
            <w:r w:rsidRPr="00403E66">
              <w:t>Melissa Morton</w:t>
            </w:r>
          </w:p>
          <w:p w14:paraId="7628E778" w14:textId="77777777" w:rsidR="00900559" w:rsidRPr="00403E66" w:rsidRDefault="00900559" w:rsidP="00900559">
            <w:r w:rsidRPr="00403E66">
              <w:t>District Manager</w:t>
            </w:r>
          </w:p>
          <w:p w14:paraId="1A44EBAB" w14:textId="77777777" w:rsidR="00900559" w:rsidRPr="00403E66" w:rsidRDefault="00900559" w:rsidP="00900559">
            <w:r w:rsidRPr="00403E66">
              <w:t xml:space="preserve">(707) 644-8949 </w:t>
            </w:r>
          </w:p>
        </w:tc>
        <w:tc>
          <w:tcPr>
            <w:tcW w:w="2244" w:type="dxa"/>
            <w:tcBorders>
              <w:right w:val="single" w:sz="4" w:space="0" w:color="auto"/>
            </w:tcBorders>
            <w:shd w:val="clear" w:color="auto" w:fill="auto"/>
            <w:vAlign w:val="center"/>
          </w:tcPr>
          <w:p w14:paraId="6111C960" w14:textId="77777777" w:rsidR="00900559" w:rsidRDefault="00900559" w:rsidP="00900559">
            <w:r>
              <w:t>450 Ryder Street</w:t>
            </w:r>
          </w:p>
          <w:p w14:paraId="026741F1" w14:textId="77777777" w:rsidR="00900559" w:rsidRDefault="00900559" w:rsidP="00900559">
            <w:r>
              <w:t>Vallejo, CA 94590</w:t>
            </w:r>
          </w:p>
          <w:p w14:paraId="4E597AC4" w14:textId="77777777" w:rsidR="00900559" w:rsidRPr="007F4001" w:rsidRDefault="00900559" w:rsidP="00900559">
            <w:r>
              <w:t>Solano County</w:t>
            </w:r>
          </w:p>
        </w:tc>
        <w:tc>
          <w:tcPr>
            <w:tcW w:w="1440" w:type="dxa"/>
            <w:shd w:val="clear" w:color="auto" w:fill="auto"/>
            <w:vAlign w:val="center"/>
          </w:tcPr>
          <w:p w14:paraId="59C77E3B" w14:textId="2FBA6B65" w:rsidR="00900559" w:rsidRPr="00900559" w:rsidRDefault="00900559" w:rsidP="00900559">
            <w:pPr>
              <w:jc w:val="center"/>
            </w:pPr>
            <w:r w:rsidRPr="00900559">
              <w:t>Y</w:t>
            </w:r>
            <w:r>
              <w:t>es</w:t>
            </w:r>
          </w:p>
        </w:tc>
        <w:tc>
          <w:tcPr>
            <w:tcW w:w="1329" w:type="dxa"/>
            <w:tcBorders>
              <w:left w:val="single" w:sz="4" w:space="0" w:color="auto"/>
              <w:right w:val="single" w:sz="12" w:space="0" w:color="auto"/>
            </w:tcBorders>
            <w:shd w:val="clear" w:color="auto" w:fill="auto"/>
            <w:vAlign w:val="center"/>
          </w:tcPr>
          <w:p w14:paraId="554283C9" w14:textId="4E4A44A2" w:rsidR="00900559" w:rsidRPr="00900559" w:rsidRDefault="00900559" w:rsidP="00900559">
            <w:pPr>
              <w:jc w:val="center"/>
            </w:pPr>
            <w:r w:rsidRPr="00900559">
              <w:t>Estuarine</w:t>
            </w:r>
          </w:p>
        </w:tc>
      </w:tr>
      <w:tr w:rsidR="00900559" w:rsidRPr="007F4001" w14:paraId="7E148480" w14:textId="77777777" w:rsidTr="00031972">
        <w:trPr>
          <w:cantSplit/>
        </w:trPr>
        <w:tc>
          <w:tcPr>
            <w:tcW w:w="3375" w:type="dxa"/>
            <w:tcBorders>
              <w:left w:val="single" w:sz="12" w:space="0" w:color="auto"/>
            </w:tcBorders>
            <w:shd w:val="clear" w:color="auto" w:fill="auto"/>
            <w:vAlign w:val="center"/>
          </w:tcPr>
          <w:p w14:paraId="243BF494" w14:textId="77777777" w:rsidR="00900559" w:rsidRPr="000072C3" w:rsidRDefault="00900559" w:rsidP="00900559">
            <w:pPr>
              <w:pStyle w:val="blankspacesaftertables"/>
              <w:rPr>
                <w:sz w:val="20"/>
              </w:rPr>
            </w:pPr>
            <w:r w:rsidRPr="000072C3">
              <w:rPr>
                <w:sz w:val="20"/>
              </w:rPr>
              <w:t xml:space="preserve">West County Agency; West County Wastewater District;  </w:t>
            </w:r>
          </w:p>
          <w:p w14:paraId="2B2291D5" w14:textId="77777777" w:rsidR="00900559" w:rsidRPr="007F4001" w:rsidRDefault="00900559" w:rsidP="00900559">
            <w:pPr>
              <w:rPr>
                <w:rFonts w:eastAsia="Arial Unicode MS"/>
                <w:bCs/>
                <w:szCs w:val="22"/>
              </w:rPr>
            </w:pPr>
            <w:r w:rsidRPr="000072C3">
              <w:t>City of Richmond ; and Richmond Municipal Sewer District No. 1</w:t>
            </w:r>
          </w:p>
        </w:tc>
        <w:tc>
          <w:tcPr>
            <w:tcW w:w="2286" w:type="dxa"/>
            <w:shd w:val="clear" w:color="auto" w:fill="auto"/>
            <w:vAlign w:val="center"/>
          </w:tcPr>
          <w:p w14:paraId="68415777" w14:textId="77777777" w:rsidR="00900559" w:rsidRPr="00403E66" w:rsidRDefault="00900559" w:rsidP="00900559">
            <w:r w:rsidRPr="00403E66">
              <w:t xml:space="preserve">Brian E. Hill, </w:t>
            </w:r>
          </w:p>
          <w:p w14:paraId="2DC56E30" w14:textId="77777777" w:rsidR="00900559" w:rsidRPr="00403E66" w:rsidRDefault="00900559" w:rsidP="00900559">
            <w:r w:rsidRPr="00403E66">
              <w:t xml:space="preserve">Water Quality Manager </w:t>
            </w:r>
          </w:p>
          <w:p w14:paraId="0A20E7E1" w14:textId="77777777" w:rsidR="00900559" w:rsidRPr="00403E66" w:rsidRDefault="00900559" w:rsidP="00900559">
            <w:r w:rsidRPr="00403E66">
              <w:t>510-237-6693</w:t>
            </w:r>
          </w:p>
        </w:tc>
        <w:tc>
          <w:tcPr>
            <w:tcW w:w="2244" w:type="dxa"/>
            <w:tcBorders>
              <w:right w:val="single" w:sz="4" w:space="0" w:color="auto"/>
            </w:tcBorders>
            <w:shd w:val="clear" w:color="auto" w:fill="auto"/>
            <w:vAlign w:val="center"/>
          </w:tcPr>
          <w:p w14:paraId="2B6C5E4F" w14:textId="77777777" w:rsidR="00900559" w:rsidRPr="007F4001" w:rsidRDefault="00900559" w:rsidP="00900559">
            <w:r w:rsidRPr="007F4001">
              <w:t>2910 Hilltop Drive</w:t>
            </w:r>
          </w:p>
          <w:p w14:paraId="776ABFAF" w14:textId="77777777" w:rsidR="00900559" w:rsidRPr="007F4001" w:rsidRDefault="00900559" w:rsidP="00900559">
            <w:r w:rsidRPr="007F4001">
              <w:t>Richmond, CA</w:t>
            </w:r>
          </w:p>
          <w:p w14:paraId="55488540" w14:textId="77777777" w:rsidR="00900559" w:rsidRDefault="00900559" w:rsidP="00900559">
            <w:r w:rsidRPr="007F4001">
              <w:t>94806</w:t>
            </w:r>
          </w:p>
          <w:p w14:paraId="5A2CB8A6" w14:textId="77777777" w:rsidR="00900559" w:rsidRPr="007F4001" w:rsidRDefault="00900559" w:rsidP="00900559">
            <w:r>
              <w:t>Contra Costa County</w:t>
            </w:r>
          </w:p>
        </w:tc>
        <w:tc>
          <w:tcPr>
            <w:tcW w:w="1440" w:type="dxa"/>
            <w:shd w:val="clear" w:color="auto" w:fill="auto"/>
            <w:vAlign w:val="center"/>
          </w:tcPr>
          <w:p w14:paraId="00B48E54" w14:textId="6BC03637" w:rsidR="00900559" w:rsidRPr="00900559" w:rsidRDefault="00900559" w:rsidP="00900559">
            <w:pPr>
              <w:jc w:val="center"/>
            </w:pPr>
            <w:r w:rsidRPr="00900559">
              <w:t>Y</w:t>
            </w:r>
            <w:r>
              <w:t>es</w:t>
            </w:r>
          </w:p>
        </w:tc>
        <w:tc>
          <w:tcPr>
            <w:tcW w:w="1329" w:type="dxa"/>
            <w:tcBorders>
              <w:left w:val="single" w:sz="4" w:space="0" w:color="auto"/>
              <w:right w:val="single" w:sz="12" w:space="0" w:color="auto"/>
            </w:tcBorders>
            <w:shd w:val="clear" w:color="auto" w:fill="auto"/>
            <w:vAlign w:val="center"/>
          </w:tcPr>
          <w:p w14:paraId="29C4CDB6" w14:textId="02DBDC7E" w:rsidR="00900559" w:rsidRPr="00900559" w:rsidRDefault="00900559" w:rsidP="00900559">
            <w:pPr>
              <w:jc w:val="center"/>
            </w:pPr>
            <w:r w:rsidRPr="00900559">
              <w:t>Estuarine</w:t>
            </w:r>
          </w:p>
        </w:tc>
      </w:tr>
      <w:tr w:rsidR="00900559" w:rsidRPr="007F4001" w14:paraId="76E2CC3E" w14:textId="77777777" w:rsidTr="00031972">
        <w:trPr>
          <w:cantSplit/>
        </w:trPr>
        <w:tc>
          <w:tcPr>
            <w:tcW w:w="3375" w:type="dxa"/>
            <w:tcBorders>
              <w:left w:val="single" w:sz="12" w:space="0" w:color="auto"/>
              <w:bottom w:val="single" w:sz="12" w:space="0" w:color="auto"/>
            </w:tcBorders>
            <w:shd w:val="clear" w:color="auto" w:fill="auto"/>
            <w:vAlign w:val="center"/>
          </w:tcPr>
          <w:p w14:paraId="742C0F7B" w14:textId="77777777" w:rsidR="00900559" w:rsidRPr="007F4001" w:rsidRDefault="00900559" w:rsidP="00900559">
            <w:pPr>
              <w:rPr>
                <w:rFonts w:eastAsia="Arial Unicode MS"/>
              </w:rPr>
            </w:pPr>
            <w:r w:rsidRPr="007F4001">
              <w:t>Yountville, Town of</w:t>
            </w:r>
          </w:p>
        </w:tc>
        <w:tc>
          <w:tcPr>
            <w:tcW w:w="2286" w:type="dxa"/>
            <w:tcBorders>
              <w:bottom w:val="single" w:sz="12" w:space="0" w:color="auto"/>
            </w:tcBorders>
            <w:shd w:val="clear" w:color="auto" w:fill="auto"/>
            <w:vAlign w:val="center"/>
          </w:tcPr>
          <w:p w14:paraId="595AD659" w14:textId="77777777" w:rsidR="00900559" w:rsidRPr="00403E66" w:rsidRDefault="00900559" w:rsidP="00900559">
            <w:r w:rsidRPr="00403E66">
              <w:t>Donald Moore</w:t>
            </w:r>
          </w:p>
          <w:p w14:paraId="0CDDE722" w14:textId="77777777" w:rsidR="00900559" w:rsidRPr="00403E66" w:rsidRDefault="00900559" w:rsidP="00900559">
            <w:r w:rsidRPr="00403E66">
              <w:t>Wastewater System Supervisor</w:t>
            </w:r>
          </w:p>
          <w:p w14:paraId="37F8ABD0" w14:textId="77777777" w:rsidR="00900559" w:rsidRPr="00403E66" w:rsidRDefault="00900559" w:rsidP="00900559">
            <w:r w:rsidRPr="00403E66">
              <w:t>(707) 944-2988</w:t>
            </w:r>
          </w:p>
        </w:tc>
        <w:tc>
          <w:tcPr>
            <w:tcW w:w="2244" w:type="dxa"/>
            <w:tcBorders>
              <w:bottom w:val="single" w:sz="12" w:space="0" w:color="auto"/>
              <w:right w:val="single" w:sz="4" w:space="0" w:color="auto"/>
            </w:tcBorders>
            <w:shd w:val="clear" w:color="auto" w:fill="auto"/>
            <w:vAlign w:val="center"/>
          </w:tcPr>
          <w:p w14:paraId="59E427B2" w14:textId="77777777" w:rsidR="00900559" w:rsidRPr="007F4001" w:rsidRDefault="00900559" w:rsidP="00900559">
            <w:r w:rsidRPr="007F4001">
              <w:t>6550 Yount Street</w:t>
            </w:r>
          </w:p>
          <w:p w14:paraId="20D3CF67" w14:textId="77777777" w:rsidR="00900559" w:rsidRDefault="00900559" w:rsidP="00900559">
            <w:r w:rsidRPr="007F4001">
              <w:t>Yountville, CA 94599</w:t>
            </w:r>
          </w:p>
          <w:p w14:paraId="78C85FEE" w14:textId="77777777" w:rsidR="00900559" w:rsidRPr="007F4001" w:rsidRDefault="00900559" w:rsidP="00900559">
            <w:r>
              <w:t>Napa County</w:t>
            </w:r>
          </w:p>
        </w:tc>
        <w:tc>
          <w:tcPr>
            <w:tcW w:w="1440" w:type="dxa"/>
            <w:tcBorders>
              <w:bottom w:val="single" w:sz="12" w:space="0" w:color="auto"/>
            </w:tcBorders>
            <w:shd w:val="clear" w:color="auto" w:fill="auto"/>
            <w:vAlign w:val="center"/>
          </w:tcPr>
          <w:p w14:paraId="3A153289" w14:textId="64C3C8C5" w:rsidR="00900559" w:rsidRPr="00900559" w:rsidRDefault="00900559" w:rsidP="00900559">
            <w:pPr>
              <w:jc w:val="center"/>
            </w:pPr>
            <w:r w:rsidRPr="00900559">
              <w:t>N</w:t>
            </w:r>
            <w:r>
              <w:t>o</w:t>
            </w:r>
          </w:p>
        </w:tc>
        <w:tc>
          <w:tcPr>
            <w:tcW w:w="1329" w:type="dxa"/>
            <w:tcBorders>
              <w:left w:val="single" w:sz="4" w:space="0" w:color="auto"/>
              <w:bottom w:val="single" w:sz="12" w:space="0" w:color="auto"/>
              <w:right w:val="single" w:sz="12" w:space="0" w:color="auto"/>
            </w:tcBorders>
            <w:shd w:val="clear" w:color="auto" w:fill="auto"/>
            <w:vAlign w:val="center"/>
          </w:tcPr>
          <w:p w14:paraId="5A407C06" w14:textId="5C206A3F" w:rsidR="00900559" w:rsidRPr="00900559" w:rsidRDefault="00900559" w:rsidP="00900559">
            <w:pPr>
              <w:jc w:val="center"/>
            </w:pPr>
            <w:r w:rsidRPr="00900559">
              <w:t>Freshwater</w:t>
            </w:r>
          </w:p>
        </w:tc>
      </w:tr>
    </w:tbl>
    <w:p w14:paraId="75C24D19" w14:textId="382C724C" w:rsidR="00495940" w:rsidRDefault="00495940" w:rsidP="00495940">
      <w:pPr>
        <w:keepNext/>
        <w:tabs>
          <w:tab w:val="left" w:pos="360"/>
        </w:tabs>
        <w:outlineLvl w:val="0"/>
        <w:rPr>
          <w:rFonts w:ascii="Arial" w:hAnsi="Arial" w:cs="Arial"/>
          <w:b/>
          <w:caps/>
          <w:sz w:val="24"/>
        </w:rPr>
      </w:pPr>
      <w:r w:rsidRPr="007F4001">
        <w:rPr>
          <w:rFonts w:ascii="Arial" w:hAnsi="Arial" w:cs="Arial"/>
          <w:b/>
          <w:caps/>
          <w:sz w:val="24"/>
        </w:rPr>
        <w:br w:type="page"/>
      </w:r>
    </w:p>
    <w:p w14:paraId="51619A26" w14:textId="6EA76806" w:rsidR="00D05E9C" w:rsidRPr="00837B1F" w:rsidRDefault="00D05E9C" w:rsidP="00D05E9C">
      <w:pPr>
        <w:pStyle w:val="TableHeader1F"/>
        <w:keepNext/>
        <w:jc w:val="center"/>
        <w:rPr>
          <w:rFonts w:ascii="Times New Roman" w:hAnsi="Times New Roman" w:cs="Times New Roman"/>
          <w:sz w:val="24"/>
          <w:szCs w:val="24"/>
          <w:lang w:val="en-CA"/>
        </w:rPr>
      </w:pPr>
      <w:bookmarkStart w:id="185" w:name="_Toc487829734"/>
      <w:r>
        <w:rPr>
          <w:rFonts w:ascii="Times New Roman" w:hAnsi="Times New Roman" w:cs="Times New Roman"/>
          <w:sz w:val="24"/>
          <w:szCs w:val="24"/>
        </w:rPr>
        <w:lastRenderedPageBreak/>
        <w:t>Table F-2B</w:t>
      </w:r>
      <w:r w:rsidRPr="00570B42">
        <w:rPr>
          <w:rFonts w:ascii="Times New Roman" w:hAnsi="Times New Roman" w:cs="Times New Roman"/>
          <w:sz w:val="24"/>
          <w:szCs w:val="24"/>
          <w:lang w:val="en-CA"/>
        </w:rPr>
        <w:t xml:space="preserve">. </w:t>
      </w:r>
      <w:r>
        <w:rPr>
          <w:rFonts w:ascii="Times New Roman" w:hAnsi="Times New Roman" w:cs="Times New Roman"/>
          <w:sz w:val="24"/>
          <w:szCs w:val="24"/>
          <w:lang w:val="en-CA"/>
        </w:rPr>
        <w:t xml:space="preserve">Additional Industrial </w:t>
      </w:r>
      <w:r w:rsidRPr="00570B42">
        <w:rPr>
          <w:rFonts w:ascii="Times New Roman" w:hAnsi="Times New Roman" w:cs="Times New Roman"/>
          <w:sz w:val="24"/>
          <w:szCs w:val="24"/>
          <w:lang w:val="en-CA"/>
        </w:rPr>
        <w:t>Facility Information</w:t>
      </w:r>
      <w:bookmarkEnd w:id="185"/>
    </w:p>
    <w:tbl>
      <w:tblPr>
        <w:tblW w:w="10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2493"/>
        <w:gridCol w:w="2169"/>
        <w:gridCol w:w="1458"/>
        <w:gridCol w:w="1395"/>
      </w:tblGrid>
      <w:tr w:rsidR="00D05E9C" w:rsidRPr="00340C37" w14:paraId="562052F6" w14:textId="77777777" w:rsidTr="00031972">
        <w:trPr>
          <w:cantSplit/>
          <w:tblHeader/>
        </w:trPr>
        <w:tc>
          <w:tcPr>
            <w:tcW w:w="3168" w:type="dxa"/>
            <w:tcBorders>
              <w:top w:val="single" w:sz="12" w:space="0" w:color="auto"/>
              <w:left w:val="single" w:sz="12" w:space="0" w:color="auto"/>
              <w:bottom w:val="single" w:sz="12" w:space="0" w:color="auto"/>
            </w:tcBorders>
            <w:shd w:val="clear" w:color="auto" w:fill="auto"/>
            <w:vAlign w:val="center"/>
          </w:tcPr>
          <w:p w14:paraId="286377E0" w14:textId="77777777" w:rsidR="00D05E9C" w:rsidRPr="00340C37" w:rsidRDefault="00D05E9C" w:rsidP="00031972">
            <w:pPr>
              <w:jc w:val="center"/>
              <w:rPr>
                <w:b/>
                <w:color w:val="000000"/>
              </w:rPr>
            </w:pPr>
            <w:r w:rsidRPr="00340C37">
              <w:rPr>
                <w:b/>
                <w:color w:val="000000"/>
              </w:rPr>
              <w:t>Discharger</w:t>
            </w:r>
          </w:p>
        </w:tc>
        <w:tc>
          <w:tcPr>
            <w:tcW w:w="2493" w:type="dxa"/>
            <w:tcBorders>
              <w:top w:val="single" w:sz="12" w:space="0" w:color="auto"/>
              <w:bottom w:val="single" w:sz="12" w:space="0" w:color="auto"/>
            </w:tcBorders>
            <w:shd w:val="clear" w:color="auto" w:fill="auto"/>
            <w:vAlign w:val="center"/>
          </w:tcPr>
          <w:p w14:paraId="0AFA9E93" w14:textId="76278B8D" w:rsidR="00D05E9C" w:rsidRPr="00340C37" w:rsidRDefault="00D05E9C" w:rsidP="00031972">
            <w:pPr>
              <w:jc w:val="center"/>
              <w:rPr>
                <w:b/>
                <w:color w:val="000000"/>
              </w:rPr>
            </w:pPr>
            <w:r>
              <w:rPr>
                <w:b/>
                <w:color w:val="000000"/>
                <w:lang w:val="fr-FR"/>
              </w:rPr>
              <w:t>Authorized Person to Sign and Submit Reports</w:t>
            </w:r>
          </w:p>
        </w:tc>
        <w:tc>
          <w:tcPr>
            <w:tcW w:w="2169" w:type="dxa"/>
            <w:tcBorders>
              <w:top w:val="single" w:sz="12" w:space="0" w:color="auto"/>
              <w:bottom w:val="single" w:sz="12" w:space="0" w:color="auto"/>
            </w:tcBorders>
            <w:shd w:val="clear" w:color="auto" w:fill="auto"/>
            <w:vAlign w:val="center"/>
          </w:tcPr>
          <w:p w14:paraId="4BA22AD8" w14:textId="51399F29" w:rsidR="00D05E9C" w:rsidRPr="00340C37" w:rsidRDefault="00D05E9C" w:rsidP="00031972">
            <w:pPr>
              <w:jc w:val="center"/>
              <w:rPr>
                <w:b/>
                <w:color w:val="000000"/>
              </w:rPr>
            </w:pPr>
            <w:r>
              <w:rPr>
                <w:b/>
                <w:color w:val="000000"/>
                <w:lang w:val="fr-FR"/>
              </w:rPr>
              <w:t>Billing Address</w:t>
            </w:r>
          </w:p>
        </w:tc>
        <w:tc>
          <w:tcPr>
            <w:tcW w:w="1458" w:type="dxa"/>
            <w:tcBorders>
              <w:top w:val="single" w:sz="12" w:space="0" w:color="auto"/>
              <w:bottom w:val="single" w:sz="12" w:space="0" w:color="auto"/>
            </w:tcBorders>
            <w:shd w:val="clear" w:color="auto" w:fill="auto"/>
            <w:vAlign w:val="center"/>
          </w:tcPr>
          <w:p w14:paraId="27527836" w14:textId="0F9F7634" w:rsidR="00D05E9C" w:rsidRPr="00340C37" w:rsidRDefault="00D05E9C" w:rsidP="00031972">
            <w:pPr>
              <w:jc w:val="center"/>
              <w:rPr>
                <w:b/>
                <w:color w:val="000000"/>
              </w:rPr>
            </w:pPr>
            <w:r>
              <w:rPr>
                <w:b/>
                <w:color w:val="000000"/>
              </w:rPr>
              <w:t>Pretreatment Program</w:t>
            </w:r>
          </w:p>
        </w:tc>
        <w:tc>
          <w:tcPr>
            <w:tcW w:w="1395" w:type="dxa"/>
            <w:tcBorders>
              <w:top w:val="single" w:sz="12" w:space="0" w:color="auto"/>
              <w:bottom w:val="single" w:sz="12" w:space="0" w:color="auto"/>
              <w:right w:val="single" w:sz="12" w:space="0" w:color="auto"/>
            </w:tcBorders>
            <w:shd w:val="clear" w:color="auto" w:fill="auto"/>
          </w:tcPr>
          <w:p w14:paraId="21DA7DFF" w14:textId="62748777" w:rsidR="00D05E9C" w:rsidRPr="00340C37" w:rsidRDefault="00D05E9C" w:rsidP="00031972">
            <w:pPr>
              <w:jc w:val="center"/>
              <w:rPr>
                <w:b/>
                <w:color w:val="000000"/>
              </w:rPr>
            </w:pPr>
            <w:r>
              <w:rPr>
                <w:b/>
                <w:color w:val="000000"/>
              </w:rPr>
              <w:t>Receiving Water Type</w:t>
            </w:r>
          </w:p>
        </w:tc>
      </w:tr>
      <w:tr w:rsidR="00D05E9C" w:rsidRPr="00340C37" w14:paraId="09A863DE" w14:textId="77777777" w:rsidTr="00031972">
        <w:trPr>
          <w:cantSplit/>
        </w:trPr>
        <w:tc>
          <w:tcPr>
            <w:tcW w:w="10683" w:type="dxa"/>
            <w:gridSpan w:val="5"/>
            <w:tcBorders>
              <w:top w:val="single" w:sz="12" w:space="0" w:color="auto"/>
              <w:left w:val="single" w:sz="12" w:space="0" w:color="auto"/>
              <w:right w:val="single" w:sz="12" w:space="0" w:color="auto"/>
            </w:tcBorders>
            <w:shd w:val="clear" w:color="auto" w:fill="D9D9D9" w:themeFill="background1" w:themeFillShade="D9"/>
            <w:vAlign w:val="center"/>
          </w:tcPr>
          <w:p w14:paraId="311B9178" w14:textId="77777777" w:rsidR="00D05E9C" w:rsidRPr="00340C37" w:rsidRDefault="00D05E9C" w:rsidP="00031972">
            <w:pPr>
              <w:jc w:val="center"/>
              <w:rPr>
                <w:b/>
              </w:rPr>
            </w:pPr>
            <w:r w:rsidRPr="00340C37">
              <w:rPr>
                <w:b/>
              </w:rPr>
              <w:t>Industrial Wastewater Discharger (Non-Petroleum Refinery):</w:t>
            </w:r>
          </w:p>
        </w:tc>
      </w:tr>
      <w:tr w:rsidR="00D05E9C" w:rsidRPr="00340C37" w14:paraId="55501DB0" w14:textId="77777777" w:rsidTr="00031972">
        <w:trPr>
          <w:cantSplit/>
        </w:trPr>
        <w:tc>
          <w:tcPr>
            <w:tcW w:w="3168" w:type="dxa"/>
            <w:tcBorders>
              <w:left w:val="single" w:sz="12" w:space="0" w:color="auto"/>
            </w:tcBorders>
            <w:shd w:val="clear" w:color="auto" w:fill="auto"/>
            <w:vAlign w:val="center"/>
          </w:tcPr>
          <w:p w14:paraId="1C0BE2C3" w14:textId="77777777" w:rsidR="00D05E9C" w:rsidRPr="00340C37" w:rsidRDefault="00D05E9C" w:rsidP="00031972">
            <w:pPr>
              <w:rPr>
                <w:rFonts w:eastAsia="Arial Unicode MS"/>
              </w:rPr>
            </w:pPr>
            <w:r w:rsidRPr="0031592A">
              <w:rPr>
                <w:rFonts w:eastAsia="Arial Unicode MS"/>
              </w:rPr>
              <w:t>C&amp;H Sugar Company, Inc., and Crockett Community Services D</w:t>
            </w:r>
            <w:r>
              <w:rPr>
                <w:rFonts w:eastAsia="Arial Unicode MS"/>
              </w:rPr>
              <w:t>istrict, Crockett Sanitary Department</w:t>
            </w:r>
          </w:p>
        </w:tc>
        <w:tc>
          <w:tcPr>
            <w:tcW w:w="2493" w:type="dxa"/>
            <w:shd w:val="clear" w:color="auto" w:fill="auto"/>
            <w:vAlign w:val="center"/>
          </w:tcPr>
          <w:p w14:paraId="0F0725A4" w14:textId="77777777" w:rsidR="00D05E9C" w:rsidRPr="00AC65A3" w:rsidRDefault="00D05E9C" w:rsidP="00031972">
            <w:pPr>
              <w:rPr>
                <w:u w:val="single"/>
              </w:rPr>
            </w:pPr>
            <w:r w:rsidRPr="00AC65A3">
              <w:rPr>
                <w:u w:val="single"/>
              </w:rPr>
              <w:t>C&amp;H Sugar Company</w:t>
            </w:r>
          </w:p>
          <w:p w14:paraId="203BAD0B" w14:textId="77777777" w:rsidR="00D05E9C" w:rsidRPr="00340C37" w:rsidRDefault="00D05E9C" w:rsidP="00031972">
            <w:r w:rsidRPr="00340C37">
              <w:t>Tanya Akkerman</w:t>
            </w:r>
            <w:r>
              <w:t>,</w:t>
            </w:r>
          </w:p>
          <w:p w14:paraId="2C6A35C5" w14:textId="77777777" w:rsidR="00D05E9C" w:rsidRPr="00340C37" w:rsidRDefault="00D05E9C" w:rsidP="00031972">
            <w:r w:rsidRPr="00340C37">
              <w:t>Environmental Compliance Manager</w:t>
            </w:r>
            <w:r w:rsidRPr="00340C37">
              <w:br/>
              <w:t>(510) 787-4352</w:t>
            </w:r>
          </w:p>
          <w:p w14:paraId="019D97F1" w14:textId="77777777" w:rsidR="00D05E9C" w:rsidRDefault="00D05E9C" w:rsidP="00031972"/>
          <w:p w14:paraId="15DAB612" w14:textId="77777777" w:rsidR="00D05E9C" w:rsidRPr="00340C37" w:rsidRDefault="00D05E9C" w:rsidP="00031972">
            <w:pPr>
              <w:rPr>
                <w:u w:val="single"/>
              </w:rPr>
            </w:pPr>
            <w:r w:rsidRPr="00340C37">
              <w:rPr>
                <w:u w:val="single"/>
              </w:rPr>
              <w:t xml:space="preserve">Crockett Sanitary </w:t>
            </w:r>
            <w:r w:rsidRPr="00E604CE">
              <w:rPr>
                <w:u w:val="single"/>
              </w:rPr>
              <w:t>Dept.</w:t>
            </w:r>
          </w:p>
          <w:p w14:paraId="028788E4" w14:textId="77777777" w:rsidR="00D05E9C" w:rsidRPr="00340C37" w:rsidRDefault="00D05E9C" w:rsidP="00031972">
            <w:r w:rsidRPr="00340C37">
              <w:t>Dale McDonald</w:t>
            </w:r>
            <w:r>
              <w:t>,</w:t>
            </w:r>
          </w:p>
          <w:p w14:paraId="249B4239" w14:textId="77777777" w:rsidR="00D05E9C" w:rsidRPr="00340C37" w:rsidRDefault="00D05E9C" w:rsidP="00031972">
            <w:r w:rsidRPr="00340C37">
              <w:t>General Manager</w:t>
            </w:r>
          </w:p>
          <w:p w14:paraId="7348470E" w14:textId="77777777" w:rsidR="00D05E9C" w:rsidRPr="00340C37" w:rsidRDefault="00D05E9C" w:rsidP="00031972">
            <w:r w:rsidRPr="00340C37">
              <w:t>(510) 787-2992</w:t>
            </w:r>
          </w:p>
        </w:tc>
        <w:tc>
          <w:tcPr>
            <w:tcW w:w="2169" w:type="dxa"/>
            <w:shd w:val="clear" w:color="auto" w:fill="auto"/>
            <w:vAlign w:val="center"/>
          </w:tcPr>
          <w:p w14:paraId="36DAE214" w14:textId="77777777" w:rsidR="00D05E9C" w:rsidRPr="00E604CE" w:rsidRDefault="00D05E9C" w:rsidP="00031972">
            <w:pPr>
              <w:rPr>
                <w:u w:val="single"/>
              </w:rPr>
            </w:pPr>
            <w:r w:rsidRPr="00E604CE">
              <w:rPr>
                <w:u w:val="single"/>
              </w:rPr>
              <w:t>C&amp;H Sugar Company</w:t>
            </w:r>
          </w:p>
          <w:p w14:paraId="061FF069" w14:textId="77777777" w:rsidR="00D05E9C" w:rsidRDefault="00D05E9C" w:rsidP="00031972">
            <w:r>
              <w:t>830 Loring Avenue</w:t>
            </w:r>
          </w:p>
          <w:p w14:paraId="1256A924" w14:textId="77777777" w:rsidR="00D05E9C" w:rsidRDefault="00D05E9C" w:rsidP="00031972">
            <w:r>
              <w:t>Crockett, CA 94525</w:t>
            </w:r>
          </w:p>
          <w:p w14:paraId="21A37803" w14:textId="77777777" w:rsidR="00D05E9C" w:rsidRPr="00340C37" w:rsidRDefault="00D05E9C" w:rsidP="00031972">
            <w:r>
              <w:t>Contra Costa County</w:t>
            </w:r>
          </w:p>
          <w:p w14:paraId="173FCBD5" w14:textId="77777777" w:rsidR="00D05E9C" w:rsidRPr="00340C37" w:rsidRDefault="00D05E9C" w:rsidP="00031972"/>
          <w:p w14:paraId="057B5B76" w14:textId="77777777" w:rsidR="00D05E9C" w:rsidRPr="00340C37" w:rsidRDefault="00D05E9C" w:rsidP="00031972">
            <w:pPr>
              <w:rPr>
                <w:u w:val="single"/>
              </w:rPr>
            </w:pPr>
            <w:r w:rsidRPr="00340C37">
              <w:rPr>
                <w:u w:val="single"/>
              </w:rPr>
              <w:t xml:space="preserve">Crockett Sanitary </w:t>
            </w:r>
            <w:r w:rsidRPr="00E604CE">
              <w:rPr>
                <w:u w:val="single"/>
              </w:rPr>
              <w:t>Dept.</w:t>
            </w:r>
          </w:p>
          <w:p w14:paraId="6870705E" w14:textId="77777777" w:rsidR="00D05E9C" w:rsidRPr="00340C37" w:rsidRDefault="00D05E9C" w:rsidP="00031972">
            <w:r w:rsidRPr="00340C37">
              <w:t>P.O. Box 578</w:t>
            </w:r>
          </w:p>
          <w:p w14:paraId="3C93B053" w14:textId="77777777" w:rsidR="00D05E9C" w:rsidRDefault="00D05E9C" w:rsidP="00031972">
            <w:r w:rsidRPr="00340C37">
              <w:t>Crockett, CA 94525</w:t>
            </w:r>
          </w:p>
          <w:p w14:paraId="08E02265" w14:textId="77777777" w:rsidR="00D05E9C" w:rsidRPr="00340C37" w:rsidRDefault="00D05E9C" w:rsidP="00031972">
            <w:r>
              <w:t>Contra Costa County</w:t>
            </w:r>
          </w:p>
        </w:tc>
        <w:tc>
          <w:tcPr>
            <w:tcW w:w="1458" w:type="dxa"/>
            <w:shd w:val="clear" w:color="auto" w:fill="auto"/>
            <w:vAlign w:val="center"/>
          </w:tcPr>
          <w:p w14:paraId="19941FB0" w14:textId="077A2C21" w:rsidR="00D05E9C" w:rsidRPr="00340C37" w:rsidRDefault="00F745AE" w:rsidP="00031972">
            <w:pPr>
              <w:jc w:val="center"/>
            </w:pPr>
            <w:r>
              <w:t>No</w:t>
            </w:r>
          </w:p>
        </w:tc>
        <w:tc>
          <w:tcPr>
            <w:tcW w:w="1395" w:type="dxa"/>
            <w:tcBorders>
              <w:right w:val="single" w:sz="12" w:space="0" w:color="auto"/>
            </w:tcBorders>
            <w:shd w:val="clear" w:color="auto" w:fill="auto"/>
            <w:vAlign w:val="center"/>
          </w:tcPr>
          <w:p w14:paraId="62904FBE" w14:textId="13B33FC9" w:rsidR="00D05E9C" w:rsidRPr="00340C37" w:rsidRDefault="00D05E9C" w:rsidP="00031972">
            <w:pPr>
              <w:jc w:val="center"/>
            </w:pPr>
            <w:r>
              <w:t>Estuarine</w:t>
            </w:r>
          </w:p>
        </w:tc>
      </w:tr>
      <w:tr w:rsidR="00D05E9C" w:rsidRPr="00340C37" w14:paraId="59618BDA" w14:textId="77777777" w:rsidTr="00031972">
        <w:trPr>
          <w:cantSplit/>
        </w:trPr>
        <w:tc>
          <w:tcPr>
            <w:tcW w:w="3168" w:type="dxa"/>
            <w:tcBorders>
              <w:left w:val="single" w:sz="12" w:space="0" w:color="auto"/>
            </w:tcBorders>
            <w:shd w:val="clear" w:color="auto" w:fill="auto"/>
            <w:vAlign w:val="center"/>
          </w:tcPr>
          <w:p w14:paraId="7D8FD7D4" w14:textId="77777777" w:rsidR="00D05E9C" w:rsidRPr="00340C37" w:rsidRDefault="00D05E9C" w:rsidP="00031972">
            <w:pPr>
              <w:rPr>
                <w:rFonts w:eastAsia="Arial Unicode MS"/>
              </w:rPr>
            </w:pPr>
            <w:r w:rsidRPr="00340C37">
              <w:rPr>
                <w:rFonts w:eastAsia="Arial Unicode MS"/>
              </w:rPr>
              <w:t>Crockett Cogeneration, LP</w:t>
            </w:r>
          </w:p>
        </w:tc>
        <w:tc>
          <w:tcPr>
            <w:tcW w:w="2493" w:type="dxa"/>
            <w:shd w:val="clear" w:color="auto" w:fill="auto"/>
            <w:vAlign w:val="center"/>
          </w:tcPr>
          <w:p w14:paraId="1257D9A1" w14:textId="2AA62FE6" w:rsidR="00D05E9C" w:rsidRPr="00340C37" w:rsidRDefault="00031972" w:rsidP="00031972">
            <w:r>
              <w:t>Dan Consie</w:t>
            </w:r>
            <w:r w:rsidR="00D05E9C">
              <w:t>,</w:t>
            </w:r>
          </w:p>
          <w:p w14:paraId="43A6FDCB" w14:textId="2AFB42EA" w:rsidR="00031972" w:rsidRDefault="00031972" w:rsidP="00031972">
            <w:pPr>
              <w:pStyle w:val="Default"/>
              <w:rPr>
                <w:sz w:val="20"/>
                <w:szCs w:val="20"/>
              </w:rPr>
            </w:pPr>
            <w:r>
              <w:rPr>
                <w:sz w:val="20"/>
                <w:szCs w:val="20"/>
              </w:rPr>
              <w:t xml:space="preserve">Vice President, Western Region </w:t>
            </w:r>
          </w:p>
          <w:p w14:paraId="1B8604E9" w14:textId="77777777" w:rsidR="00031972" w:rsidRDefault="00031972" w:rsidP="00031972">
            <w:r>
              <w:t>Consolidated Asset Management Services (CAMS)</w:t>
            </w:r>
          </w:p>
          <w:p w14:paraId="16F36A56" w14:textId="0BC57F8E" w:rsidR="00D05E9C" w:rsidRPr="00340C37" w:rsidRDefault="00031972" w:rsidP="00031972">
            <w:r>
              <w:t>(661</w:t>
            </w:r>
            <w:r w:rsidR="00D05E9C" w:rsidRPr="00340C37">
              <w:t xml:space="preserve">) </w:t>
            </w:r>
            <w:r>
              <w:t>3</w:t>
            </w:r>
            <w:r w:rsidR="00D05E9C" w:rsidRPr="00340C37">
              <w:t>87-</w:t>
            </w:r>
            <w:r>
              <w:t>7816</w:t>
            </w:r>
          </w:p>
        </w:tc>
        <w:tc>
          <w:tcPr>
            <w:tcW w:w="2169" w:type="dxa"/>
            <w:shd w:val="clear" w:color="auto" w:fill="auto"/>
            <w:vAlign w:val="center"/>
          </w:tcPr>
          <w:p w14:paraId="134334BF" w14:textId="77777777" w:rsidR="00D05E9C" w:rsidRPr="0031592A" w:rsidRDefault="00D05E9C" w:rsidP="00031972">
            <w:r w:rsidRPr="0031592A">
              <w:t>550 Loring Avenue</w:t>
            </w:r>
          </w:p>
          <w:p w14:paraId="144B2C27" w14:textId="77777777" w:rsidR="00D05E9C" w:rsidRPr="0031592A" w:rsidRDefault="00D05E9C" w:rsidP="00031972">
            <w:r w:rsidRPr="0031592A">
              <w:t>Crockett, CA 94525-1232</w:t>
            </w:r>
          </w:p>
          <w:p w14:paraId="22E98074" w14:textId="77777777" w:rsidR="00D05E9C" w:rsidRPr="00340C37" w:rsidRDefault="00D05E9C" w:rsidP="00031972">
            <w:r w:rsidRPr="0031592A">
              <w:t>Contra Costa County</w:t>
            </w:r>
          </w:p>
        </w:tc>
        <w:tc>
          <w:tcPr>
            <w:tcW w:w="1458" w:type="dxa"/>
            <w:shd w:val="clear" w:color="auto" w:fill="auto"/>
            <w:vAlign w:val="center"/>
          </w:tcPr>
          <w:p w14:paraId="72F1A307" w14:textId="01F81938" w:rsidR="00D05E9C" w:rsidRPr="00340C37" w:rsidRDefault="00F745AE" w:rsidP="00031972">
            <w:pPr>
              <w:jc w:val="center"/>
            </w:pPr>
            <w:r>
              <w:t>No</w:t>
            </w:r>
          </w:p>
        </w:tc>
        <w:tc>
          <w:tcPr>
            <w:tcW w:w="1395" w:type="dxa"/>
            <w:tcBorders>
              <w:right w:val="single" w:sz="12" w:space="0" w:color="auto"/>
            </w:tcBorders>
            <w:shd w:val="clear" w:color="auto" w:fill="auto"/>
            <w:vAlign w:val="center"/>
          </w:tcPr>
          <w:p w14:paraId="4316B66F" w14:textId="499F7CDD" w:rsidR="00D05E9C" w:rsidRPr="00340C37" w:rsidRDefault="00D05E9C" w:rsidP="00031972">
            <w:pPr>
              <w:jc w:val="center"/>
            </w:pPr>
            <w:r>
              <w:t>Estuarine</w:t>
            </w:r>
            <w:r w:rsidRPr="00340C37">
              <w:t xml:space="preserve"> </w:t>
            </w:r>
          </w:p>
        </w:tc>
      </w:tr>
      <w:tr w:rsidR="00D05E9C" w:rsidRPr="00340C37" w14:paraId="68E865C7" w14:textId="77777777" w:rsidTr="00031972">
        <w:trPr>
          <w:cantSplit/>
        </w:trPr>
        <w:tc>
          <w:tcPr>
            <w:tcW w:w="3168" w:type="dxa"/>
            <w:tcBorders>
              <w:left w:val="single" w:sz="12" w:space="0" w:color="auto"/>
            </w:tcBorders>
            <w:shd w:val="clear" w:color="auto" w:fill="auto"/>
            <w:vAlign w:val="center"/>
          </w:tcPr>
          <w:p w14:paraId="0E3F07A2" w14:textId="77777777" w:rsidR="00D05E9C" w:rsidRPr="00340C37" w:rsidRDefault="00D05E9C" w:rsidP="00031972">
            <w:pPr>
              <w:rPr>
                <w:rFonts w:eastAsia="Arial Unicode MS"/>
              </w:rPr>
            </w:pPr>
            <w:r>
              <w:rPr>
                <w:rFonts w:eastAsia="Arial Unicode MS"/>
              </w:rPr>
              <w:t>Eco Services Operations LLC</w:t>
            </w:r>
          </w:p>
        </w:tc>
        <w:tc>
          <w:tcPr>
            <w:tcW w:w="2493" w:type="dxa"/>
            <w:shd w:val="clear" w:color="auto" w:fill="auto"/>
            <w:vAlign w:val="center"/>
          </w:tcPr>
          <w:p w14:paraId="231498BC" w14:textId="77777777" w:rsidR="00D05E9C" w:rsidRPr="00340C37" w:rsidRDefault="00D05E9C" w:rsidP="00031972">
            <w:r w:rsidRPr="00340C37">
              <w:t>Anthony Koo</w:t>
            </w:r>
            <w:r>
              <w:t>,</w:t>
            </w:r>
          </w:p>
          <w:p w14:paraId="683437B1" w14:textId="77777777" w:rsidR="00D05E9C" w:rsidRPr="00340C37" w:rsidRDefault="00D05E9C" w:rsidP="00031972">
            <w:r>
              <w:t xml:space="preserve">Senior </w:t>
            </w:r>
            <w:r w:rsidRPr="00340C37">
              <w:t xml:space="preserve">Environmental </w:t>
            </w:r>
            <w:r>
              <w:t>Engineer</w:t>
            </w:r>
          </w:p>
          <w:p w14:paraId="36496182" w14:textId="77777777" w:rsidR="00D05E9C" w:rsidRPr="00340C37" w:rsidRDefault="00D05E9C" w:rsidP="00031972">
            <w:r w:rsidRPr="00340C37">
              <w:t>(925) 313-8221</w:t>
            </w:r>
          </w:p>
        </w:tc>
        <w:tc>
          <w:tcPr>
            <w:tcW w:w="2169" w:type="dxa"/>
            <w:shd w:val="clear" w:color="auto" w:fill="auto"/>
            <w:vAlign w:val="center"/>
          </w:tcPr>
          <w:p w14:paraId="382E9AC2" w14:textId="77777777" w:rsidR="00D05E9C" w:rsidRPr="0031592A" w:rsidRDefault="00D05E9C" w:rsidP="00031972">
            <w:r w:rsidRPr="0031592A">
              <w:t>100 Mococo Road</w:t>
            </w:r>
          </w:p>
          <w:p w14:paraId="6EF3D8D8" w14:textId="77777777" w:rsidR="00D05E9C" w:rsidRPr="0031592A" w:rsidRDefault="00D05E9C" w:rsidP="00031972">
            <w:r w:rsidRPr="0031592A">
              <w:t>Martinez, CA 94553</w:t>
            </w:r>
          </w:p>
          <w:p w14:paraId="1BD2C48A" w14:textId="77777777" w:rsidR="00D05E9C" w:rsidRPr="00340C37" w:rsidRDefault="00D05E9C" w:rsidP="00031972">
            <w:r w:rsidRPr="0031592A">
              <w:t>Contra Costa County</w:t>
            </w:r>
          </w:p>
        </w:tc>
        <w:tc>
          <w:tcPr>
            <w:tcW w:w="1458" w:type="dxa"/>
            <w:shd w:val="clear" w:color="auto" w:fill="auto"/>
            <w:vAlign w:val="center"/>
          </w:tcPr>
          <w:p w14:paraId="7FCAB586" w14:textId="6BFE0714" w:rsidR="00D05E9C" w:rsidRPr="00340C37" w:rsidRDefault="00F745AE" w:rsidP="00031972">
            <w:pPr>
              <w:jc w:val="center"/>
            </w:pPr>
            <w:r>
              <w:t>No</w:t>
            </w:r>
          </w:p>
        </w:tc>
        <w:tc>
          <w:tcPr>
            <w:tcW w:w="1395" w:type="dxa"/>
            <w:tcBorders>
              <w:right w:val="single" w:sz="12" w:space="0" w:color="auto"/>
            </w:tcBorders>
            <w:shd w:val="clear" w:color="auto" w:fill="auto"/>
            <w:vAlign w:val="center"/>
          </w:tcPr>
          <w:p w14:paraId="1EA2DC41" w14:textId="55371B84" w:rsidR="00D05E9C" w:rsidRPr="00340C37" w:rsidRDefault="00D05E9C" w:rsidP="00031972">
            <w:pPr>
              <w:jc w:val="center"/>
            </w:pPr>
            <w:r>
              <w:t>Estuarine</w:t>
            </w:r>
          </w:p>
        </w:tc>
      </w:tr>
      <w:tr w:rsidR="00D05E9C" w:rsidRPr="00340C37" w14:paraId="6E3AA2FB" w14:textId="77777777" w:rsidTr="00031972">
        <w:trPr>
          <w:cantSplit/>
        </w:trPr>
        <w:tc>
          <w:tcPr>
            <w:tcW w:w="3168" w:type="dxa"/>
            <w:tcBorders>
              <w:left w:val="single" w:sz="12" w:space="0" w:color="auto"/>
            </w:tcBorders>
            <w:shd w:val="clear" w:color="auto" w:fill="auto"/>
            <w:vAlign w:val="center"/>
          </w:tcPr>
          <w:p w14:paraId="36957E07" w14:textId="77777777" w:rsidR="00D05E9C" w:rsidRPr="00340C37" w:rsidRDefault="00D05E9C" w:rsidP="00031972">
            <w:pPr>
              <w:rPr>
                <w:rFonts w:eastAsia="Arial Unicode MS"/>
              </w:rPr>
            </w:pPr>
            <w:r w:rsidRPr="00340C37">
              <w:rPr>
                <w:rFonts w:eastAsia="Arial Unicode MS"/>
              </w:rPr>
              <w:t>GenOn Delta, LLC</w:t>
            </w:r>
          </w:p>
        </w:tc>
        <w:tc>
          <w:tcPr>
            <w:tcW w:w="2493" w:type="dxa"/>
            <w:shd w:val="clear" w:color="auto" w:fill="auto"/>
            <w:vAlign w:val="center"/>
          </w:tcPr>
          <w:p w14:paraId="20109A40" w14:textId="77777777" w:rsidR="00D05E9C" w:rsidRDefault="00D05E9C" w:rsidP="00031972">
            <w:r>
              <w:t>Lawrence J. Penn,</w:t>
            </w:r>
          </w:p>
          <w:p w14:paraId="37FA5C92" w14:textId="77777777" w:rsidR="00D05E9C" w:rsidRDefault="00D05E9C" w:rsidP="00031972">
            <w:r>
              <w:t>Plant Operator</w:t>
            </w:r>
          </w:p>
          <w:p w14:paraId="1ABE2648" w14:textId="77777777" w:rsidR="00D05E9C" w:rsidRPr="00340C37" w:rsidRDefault="00D05E9C" w:rsidP="00031972">
            <w:r>
              <w:t>(925) 427-3583</w:t>
            </w:r>
          </w:p>
        </w:tc>
        <w:tc>
          <w:tcPr>
            <w:tcW w:w="2169" w:type="dxa"/>
            <w:shd w:val="clear" w:color="auto" w:fill="auto"/>
            <w:vAlign w:val="center"/>
          </w:tcPr>
          <w:p w14:paraId="1BBB2C71" w14:textId="77777777" w:rsidR="00A71A41" w:rsidRDefault="00A71A41" w:rsidP="00031972">
            <w:r>
              <w:t>P</w:t>
            </w:r>
            <w:r w:rsidRPr="00A71A41">
              <w:t>.O. Box 192</w:t>
            </w:r>
          </w:p>
          <w:p w14:paraId="2C80E169" w14:textId="4D4CF0B5" w:rsidR="00D05E9C" w:rsidRPr="00480C52" w:rsidRDefault="00D05E9C" w:rsidP="00031972">
            <w:r w:rsidRPr="00480C52">
              <w:t>Pittsburg, CA 94565</w:t>
            </w:r>
          </w:p>
          <w:p w14:paraId="6754445F" w14:textId="77777777" w:rsidR="00D05E9C" w:rsidRPr="00340C37" w:rsidRDefault="00D05E9C" w:rsidP="00031972">
            <w:pPr>
              <w:rPr>
                <w:highlight w:val="yellow"/>
              </w:rPr>
            </w:pPr>
            <w:r w:rsidRPr="00480C52">
              <w:t>Contra Costa County</w:t>
            </w:r>
          </w:p>
        </w:tc>
        <w:tc>
          <w:tcPr>
            <w:tcW w:w="1458" w:type="dxa"/>
            <w:shd w:val="clear" w:color="auto" w:fill="auto"/>
            <w:vAlign w:val="center"/>
          </w:tcPr>
          <w:p w14:paraId="26CFD870" w14:textId="74605704" w:rsidR="00D05E9C" w:rsidRPr="00340C37" w:rsidRDefault="00F745AE" w:rsidP="00031972">
            <w:pPr>
              <w:jc w:val="center"/>
            </w:pPr>
            <w:r>
              <w:t>No</w:t>
            </w:r>
          </w:p>
        </w:tc>
        <w:tc>
          <w:tcPr>
            <w:tcW w:w="1395" w:type="dxa"/>
            <w:tcBorders>
              <w:right w:val="single" w:sz="12" w:space="0" w:color="auto"/>
            </w:tcBorders>
            <w:shd w:val="clear" w:color="auto" w:fill="auto"/>
            <w:vAlign w:val="center"/>
          </w:tcPr>
          <w:p w14:paraId="0EAF180F" w14:textId="0FDD7AD7" w:rsidR="00D05E9C" w:rsidRPr="00340C37" w:rsidRDefault="00D05E9C" w:rsidP="00031972">
            <w:pPr>
              <w:jc w:val="center"/>
              <w:rPr>
                <w:sz w:val="22"/>
                <w:szCs w:val="22"/>
              </w:rPr>
            </w:pPr>
            <w:r>
              <w:t>Estuarine</w:t>
            </w:r>
          </w:p>
        </w:tc>
      </w:tr>
      <w:tr w:rsidR="00D05E9C" w:rsidRPr="00340C37" w14:paraId="37CDC54D" w14:textId="77777777" w:rsidTr="00031972">
        <w:trPr>
          <w:cantSplit/>
        </w:trPr>
        <w:tc>
          <w:tcPr>
            <w:tcW w:w="3168" w:type="dxa"/>
            <w:tcBorders>
              <w:left w:val="single" w:sz="12" w:space="0" w:color="auto"/>
            </w:tcBorders>
            <w:shd w:val="clear" w:color="auto" w:fill="auto"/>
            <w:vAlign w:val="center"/>
          </w:tcPr>
          <w:p w14:paraId="5A8B657A" w14:textId="77777777" w:rsidR="00D05E9C" w:rsidRPr="00340C37" w:rsidRDefault="00D05E9C" w:rsidP="00031972">
            <w:r w:rsidRPr="00340C37">
              <w:rPr>
                <w:rFonts w:eastAsia="Arial Unicode MS"/>
              </w:rPr>
              <w:t>USS-Posco Industries</w:t>
            </w:r>
          </w:p>
        </w:tc>
        <w:tc>
          <w:tcPr>
            <w:tcW w:w="2493" w:type="dxa"/>
            <w:shd w:val="clear" w:color="auto" w:fill="auto"/>
            <w:vAlign w:val="center"/>
          </w:tcPr>
          <w:p w14:paraId="30C0E18C" w14:textId="77777777" w:rsidR="00D05E9C" w:rsidRPr="00340C37" w:rsidRDefault="00D05E9C" w:rsidP="00031972">
            <w:r>
              <w:t>Freddy Ripoli,</w:t>
            </w:r>
          </w:p>
          <w:p w14:paraId="729984BC" w14:textId="77777777" w:rsidR="00D05E9C" w:rsidRDefault="00D05E9C" w:rsidP="00031972">
            <w:r>
              <w:t>Environmental Health &amp; Safety Group Manager</w:t>
            </w:r>
          </w:p>
          <w:p w14:paraId="06860814" w14:textId="77777777" w:rsidR="00D05E9C" w:rsidRPr="00340C37" w:rsidRDefault="00D05E9C" w:rsidP="00031972">
            <w:r w:rsidRPr="00340C37">
              <w:t xml:space="preserve"> </w:t>
            </w:r>
            <w:r>
              <w:t>(925) 439-6316</w:t>
            </w:r>
          </w:p>
        </w:tc>
        <w:tc>
          <w:tcPr>
            <w:tcW w:w="2169" w:type="dxa"/>
            <w:shd w:val="clear" w:color="auto" w:fill="auto"/>
            <w:vAlign w:val="center"/>
          </w:tcPr>
          <w:p w14:paraId="5EF08A68" w14:textId="77777777" w:rsidR="00D05E9C" w:rsidRPr="0031592A" w:rsidRDefault="00D05E9C" w:rsidP="00031972">
            <w:r w:rsidRPr="0031592A">
              <w:t>900 Loveridge Road</w:t>
            </w:r>
          </w:p>
          <w:p w14:paraId="4CFA98E3" w14:textId="77777777" w:rsidR="00D05E9C" w:rsidRPr="0031592A" w:rsidRDefault="00D05E9C" w:rsidP="00031972">
            <w:r w:rsidRPr="0031592A">
              <w:t>Pittsburg, CA 94565</w:t>
            </w:r>
          </w:p>
          <w:p w14:paraId="44C825E4" w14:textId="77777777" w:rsidR="00D05E9C" w:rsidRPr="00340C37" w:rsidRDefault="00D05E9C" w:rsidP="00031972">
            <w:r w:rsidRPr="0031592A">
              <w:t>Contra Costa County</w:t>
            </w:r>
          </w:p>
        </w:tc>
        <w:tc>
          <w:tcPr>
            <w:tcW w:w="1458" w:type="dxa"/>
            <w:shd w:val="clear" w:color="auto" w:fill="auto"/>
            <w:vAlign w:val="center"/>
          </w:tcPr>
          <w:p w14:paraId="4D62651C" w14:textId="251E4181" w:rsidR="00D05E9C" w:rsidRPr="00340C37" w:rsidRDefault="00F745AE" w:rsidP="00031972">
            <w:pPr>
              <w:jc w:val="center"/>
            </w:pPr>
            <w:r>
              <w:t>No</w:t>
            </w:r>
          </w:p>
        </w:tc>
        <w:tc>
          <w:tcPr>
            <w:tcW w:w="1395" w:type="dxa"/>
            <w:tcBorders>
              <w:right w:val="single" w:sz="12" w:space="0" w:color="auto"/>
            </w:tcBorders>
            <w:shd w:val="clear" w:color="auto" w:fill="auto"/>
            <w:vAlign w:val="center"/>
          </w:tcPr>
          <w:p w14:paraId="52CDAF60" w14:textId="6437F3E1" w:rsidR="00D05E9C" w:rsidRPr="00340C37" w:rsidRDefault="00D05E9C" w:rsidP="00031972">
            <w:pPr>
              <w:jc w:val="center"/>
            </w:pPr>
            <w:r>
              <w:t>Estuarine</w:t>
            </w:r>
          </w:p>
        </w:tc>
      </w:tr>
      <w:tr w:rsidR="00D05E9C" w:rsidRPr="00340C37" w14:paraId="45143FC1" w14:textId="77777777" w:rsidTr="00031972">
        <w:trPr>
          <w:cantSplit/>
          <w:trHeight w:val="323"/>
        </w:trPr>
        <w:tc>
          <w:tcPr>
            <w:tcW w:w="10683" w:type="dxa"/>
            <w:gridSpan w:val="5"/>
            <w:tcBorders>
              <w:left w:val="single" w:sz="12" w:space="0" w:color="auto"/>
              <w:right w:val="single" w:sz="12" w:space="0" w:color="auto"/>
            </w:tcBorders>
            <w:shd w:val="clear" w:color="auto" w:fill="D9D9D9" w:themeFill="background1" w:themeFillShade="D9"/>
            <w:vAlign w:val="center"/>
          </w:tcPr>
          <w:p w14:paraId="6C16E320" w14:textId="77777777" w:rsidR="00D05E9C" w:rsidRPr="00340C37" w:rsidRDefault="00D05E9C" w:rsidP="00031972">
            <w:pPr>
              <w:jc w:val="center"/>
              <w:rPr>
                <w:b/>
              </w:rPr>
            </w:pPr>
            <w:r w:rsidRPr="00340C37">
              <w:rPr>
                <w:b/>
              </w:rPr>
              <w:t>Industrial Wastewater Discharger (Petroleum Refinery):</w:t>
            </w:r>
          </w:p>
        </w:tc>
      </w:tr>
      <w:tr w:rsidR="00D05E9C" w:rsidRPr="00340C37" w14:paraId="27C0477E" w14:textId="77777777" w:rsidTr="00031972">
        <w:trPr>
          <w:cantSplit/>
        </w:trPr>
        <w:tc>
          <w:tcPr>
            <w:tcW w:w="3168" w:type="dxa"/>
            <w:tcBorders>
              <w:left w:val="single" w:sz="12" w:space="0" w:color="auto"/>
            </w:tcBorders>
            <w:shd w:val="clear" w:color="auto" w:fill="auto"/>
            <w:vAlign w:val="center"/>
          </w:tcPr>
          <w:p w14:paraId="34DEB624" w14:textId="77777777" w:rsidR="00D05E9C" w:rsidRPr="00340C37" w:rsidRDefault="00D05E9C" w:rsidP="00031972">
            <w:r w:rsidRPr="00340C37">
              <w:t>Chevron Products Company</w:t>
            </w:r>
          </w:p>
        </w:tc>
        <w:tc>
          <w:tcPr>
            <w:tcW w:w="2493" w:type="dxa"/>
            <w:shd w:val="clear" w:color="auto" w:fill="auto"/>
            <w:vAlign w:val="center"/>
          </w:tcPr>
          <w:p w14:paraId="5EFE538D" w14:textId="77777777" w:rsidR="00D05E9C" w:rsidRDefault="00D05E9C" w:rsidP="00031972">
            <w:r>
              <w:t>Kory Judd,</w:t>
            </w:r>
          </w:p>
          <w:p w14:paraId="5DD82535" w14:textId="77777777" w:rsidR="00D05E9C" w:rsidRPr="00340C37" w:rsidRDefault="00D05E9C" w:rsidP="00031972">
            <w:r>
              <w:t>General Manager</w:t>
            </w:r>
          </w:p>
          <w:p w14:paraId="48184C0D" w14:textId="77777777" w:rsidR="00D05E9C" w:rsidRPr="00340C37" w:rsidRDefault="00D05E9C" w:rsidP="00031972">
            <w:r w:rsidRPr="00340C37">
              <w:t>(510) 242-</w:t>
            </w:r>
            <w:r>
              <w:t>4400</w:t>
            </w:r>
          </w:p>
        </w:tc>
        <w:tc>
          <w:tcPr>
            <w:tcW w:w="2169" w:type="dxa"/>
            <w:shd w:val="clear" w:color="auto" w:fill="auto"/>
            <w:vAlign w:val="center"/>
          </w:tcPr>
          <w:p w14:paraId="672A7AD8" w14:textId="77777777" w:rsidR="00D05E9C" w:rsidRPr="0031592A" w:rsidRDefault="00D05E9C" w:rsidP="00031972">
            <w:r w:rsidRPr="0031592A">
              <w:t>841 Chevron Way</w:t>
            </w:r>
          </w:p>
          <w:p w14:paraId="63B78E6D" w14:textId="77777777" w:rsidR="00D05E9C" w:rsidRPr="0031592A" w:rsidRDefault="00D05E9C" w:rsidP="00031972">
            <w:r w:rsidRPr="0031592A">
              <w:t>Richmond, CA 94801</w:t>
            </w:r>
          </w:p>
          <w:p w14:paraId="13DFE343" w14:textId="77777777" w:rsidR="00D05E9C" w:rsidRPr="00340C37" w:rsidRDefault="00D05E9C" w:rsidP="00031972">
            <w:r w:rsidRPr="0031592A">
              <w:t>Contra Costa County</w:t>
            </w:r>
          </w:p>
        </w:tc>
        <w:tc>
          <w:tcPr>
            <w:tcW w:w="1458" w:type="dxa"/>
            <w:shd w:val="clear" w:color="auto" w:fill="auto"/>
            <w:vAlign w:val="center"/>
          </w:tcPr>
          <w:p w14:paraId="0F1E37E4" w14:textId="2D00034F" w:rsidR="00D05E9C" w:rsidRPr="00340C37" w:rsidRDefault="00F745AE" w:rsidP="00031972">
            <w:pPr>
              <w:jc w:val="center"/>
            </w:pPr>
            <w:r>
              <w:t>No</w:t>
            </w:r>
          </w:p>
        </w:tc>
        <w:tc>
          <w:tcPr>
            <w:tcW w:w="1395" w:type="dxa"/>
            <w:tcBorders>
              <w:right w:val="single" w:sz="12" w:space="0" w:color="auto"/>
            </w:tcBorders>
            <w:shd w:val="clear" w:color="auto" w:fill="auto"/>
            <w:vAlign w:val="center"/>
          </w:tcPr>
          <w:p w14:paraId="1552E24C" w14:textId="09F36D5E" w:rsidR="00D05E9C" w:rsidRPr="00340C37" w:rsidRDefault="00D05E9C" w:rsidP="00031972">
            <w:pPr>
              <w:jc w:val="center"/>
            </w:pPr>
            <w:r>
              <w:t>Marine</w:t>
            </w:r>
          </w:p>
        </w:tc>
      </w:tr>
      <w:tr w:rsidR="00D05E9C" w:rsidRPr="00340C37" w14:paraId="2F5EAD97" w14:textId="77777777" w:rsidTr="00031972">
        <w:trPr>
          <w:cantSplit/>
        </w:trPr>
        <w:tc>
          <w:tcPr>
            <w:tcW w:w="3168" w:type="dxa"/>
            <w:tcBorders>
              <w:left w:val="single" w:sz="12" w:space="0" w:color="auto"/>
            </w:tcBorders>
            <w:shd w:val="clear" w:color="auto" w:fill="auto"/>
            <w:vAlign w:val="center"/>
          </w:tcPr>
          <w:p w14:paraId="16836400" w14:textId="77777777" w:rsidR="00D05E9C" w:rsidRPr="00340C37" w:rsidRDefault="00D05E9C" w:rsidP="00031972">
            <w:r w:rsidRPr="00340C37">
              <w:t>Phillips 66</w:t>
            </w:r>
          </w:p>
        </w:tc>
        <w:tc>
          <w:tcPr>
            <w:tcW w:w="2493" w:type="dxa"/>
            <w:shd w:val="clear" w:color="auto" w:fill="auto"/>
            <w:vAlign w:val="center"/>
          </w:tcPr>
          <w:p w14:paraId="49A00275" w14:textId="3BF3833E" w:rsidR="00D05E9C" w:rsidRPr="00340C37" w:rsidRDefault="00031972" w:rsidP="00031972">
            <w:r>
              <w:t>Mark E. Evans</w:t>
            </w:r>
            <w:r w:rsidR="00D05E9C">
              <w:t>,</w:t>
            </w:r>
          </w:p>
          <w:p w14:paraId="1A8B0DA9" w14:textId="0EAF7241" w:rsidR="00D05E9C" w:rsidRPr="00340C37" w:rsidRDefault="00031972" w:rsidP="00031972">
            <w:r>
              <w:t>Refinery Manager</w:t>
            </w:r>
          </w:p>
          <w:p w14:paraId="6397C6FD" w14:textId="53BE1CBF" w:rsidR="00D05E9C" w:rsidRPr="00340C37" w:rsidRDefault="00D05E9C" w:rsidP="00031972">
            <w:r w:rsidRPr="00340C37">
              <w:t>(510) 245-4</w:t>
            </w:r>
            <w:r w:rsidR="00031972">
              <w:t>415</w:t>
            </w:r>
          </w:p>
        </w:tc>
        <w:tc>
          <w:tcPr>
            <w:tcW w:w="2169" w:type="dxa"/>
            <w:shd w:val="clear" w:color="auto" w:fill="auto"/>
            <w:vAlign w:val="center"/>
          </w:tcPr>
          <w:p w14:paraId="50B9B366" w14:textId="77777777" w:rsidR="00D05E9C" w:rsidRPr="0031592A" w:rsidRDefault="00D05E9C" w:rsidP="00031972">
            <w:r w:rsidRPr="0031592A">
              <w:t>1380 San Pablo Avenue</w:t>
            </w:r>
          </w:p>
          <w:p w14:paraId="7F242193" w14:textId="77777777" w:rsidR="00D05E9C" w:rsidRPr="0031592A" w:rsidRDefault="00D05E9C" w:rsidP="00031972">
            <w:r w:rsidRPr="0031592A">
              <w:t>Rodeo, CA 94572-1354</w:t>
            </w:r>
          </w:p>
          <w:p w14:paraId="2828F638" w14:textId="77777777" w:rsidR="00D05E9C" w:rsidRPr="00340C37" w:rsidRDefault="00D05E9C" w:rsidP="00031972">
            <w:r w:rsidRPr="0031592A">
              <w:t>Contra Costa County</w:t>
            </w:r>
          </w:p>
        </w:tc>
        <w:tc>
          <w:tcPr>
            <w:tcW w:w="1458" w:type="dxa"/>
            <w:shd w:val="clear" w:color="auto" w:fill="auto"/>
            <w:vAlign w:val="center"/>
          </w:tcPr>
          <w:p w14:paraId="467A98E3" w14:textId="3566BD3A" w:rsidR="00D05E9C" w:rsidRPr="00340C37" w:rsidRDefault="00F745AE" w:rsidP="00031972">
            <w:pPr>
              <w:jc w:val="center"/>
            </w:pPr>
            <w:r>
              <w:t>No</w:t>
            </w:r>
          </w:p>
        </w:tc>
        <w:tc>
          <w:tcPr>
            <w:tcW w:w="1395" w:type="dxa"/>
            <w:tcBorders>
              <w:right w:val="single" w:sz="12" w:space="0" w:color="auto"/>
            </w:tcBorders>
            <w:shd w:val="clear" w:color="auto" w:fill="auto"/>
            <w:vAlign w:val="center"/>
          </w:tcPr>
          <w:p w14:paraId="68480E6F" w14:textId="6D4875BA" w:rsidR="00D05E9C" w:rsidRPr="00340C37" w:rsidRDefault="00D05E9C" w:rsidP="00031972">
            <w:pPr>
              <w:jc w:val="center"/>
            </w:pPr>
            <w:r>
              <w:t>Estuarine</w:t>
            </w:r>
          </w:p>
        </w:tc>
      </w:tr>
      <w:tr w:rsidR="00D05E9C" w:rsidRPr="00340C37" w14:paraId="6CF67898" w14:textId="77777777" w:rsidTr="00031972">
        <w:trPr>
          <w:cantSplit/>
        </w:trPr>
        <w:tc>
          <w:tcPr>
            <w:tcW w:w="3168" w:type="dxa"/>
            <w:tcBorders>
              <w:left w:val="single" w:sz="12" w:space="0" w:color="auto"/>
            </w:tcBorders>
            <w:shd w:val="clear" w:color="auto" w:fill="auto"/>
            <w:vAlign w:val="center"/>
          </w:tcPr>
          <w:p w14:paraId="5E363798" w14:textId="77777777" w:rsidR="00D05E9C" w:rsidRPr="00340C37" w:rsidRDefault="00D05E9C" w:rsidP="00031972">
            <w:pPr>
              <w:tabs>
                <w:tab w:val="left" w:pos="459"/>
              </w:tabs>
              <w:rPr>
                <w:rFonts w:eastAsia="Arial Unicode MS"/>
              </w:rPr>
            </w:pPr>
            <w:r w:rsidRPr="00340C37">
              <w:rPr>
                <w:rFonts w:eastAsia="Arial Unicode MS"/>
              </w:rPr>
              <w:t>Shell Oil Products US and Equilon Enterprises LLC</w:t>
            </w:r>
          </w:p>
        </w:tc>
        <w:tc>
          <w:tcPr>
            <w:tcW w:w="2493" w:type="dxa"/>
            <w:shd w:val="clear" w:color="auto" w:fill="auto"/>
            <w:vAlign w:val="center"/>
          </w:tcPr>
          <w:p w14:paraId="60FFB5D5" w14:textId="752B9B2D" w:rsidR="00D05E9C" w:rsidRDefault="00031972" w:rsidP="00031972">
            <w:r>
              <w:t>Gordon M. Johnson</w:t>
            </w:r>
            <w:r w:rsidR="00D05E9C">
              <w:t>,</w:t>
            </w:r>
          </w:p>
          <w:p w14:paraId="4CEF90A2" w14:textId="64B3AB2A" w:rsidR="00D05E9C" w:rsidRPr="00340C37" w:rsidRDefault="00031972" w:rsidP="00031972">
            <w:r>
              <w:t>Manager of Environmental Affairs</w:t>
            </w:r>
          </w:p>
          <w:p w14:paraId="1D8C720B" w14:textId="7B06A9EA" w:rsidR="00D05E9C" w:rsidRPr="00340C37" w:rsidRDefault="00D05E9C" w:rsidP="00031972">
            <w:r w:rsidRPr="00340C37">
              <w:t>(925) 313-3</w:t>
            </w:r>
            <w:r w:rsidR="00031972">
              <w:t>705</w:t>
            </w:r>
          </w:p>
        </w:tc>
        <w:tc>
          <w:tcPr>
            <w:tcW w:w="2169" w:type="dxa"/>
            <w:shd w:val="clear" w:color="auto" w:fill="auto"/>
            <w:vAlign w:val="center"/>
          </w:tcPr>
          <w:p w14:paraId="2FFFC5A5" w14:textId="77777777" w:rsidR="00D05E9C" w:rsidRPr="0031592A" w:rsidRDefault="00D05E9C" w:rsidP="00031972">
            <w:r w:rsidRPr="0031592A">
              <w:t>3485 Pacheco Blvd</w:t>
            </w:r>
          </w:p>
          <w:p w14:paraId="024E26E2" w14:textId="77777777" w:rsidR="00D05E9C" w:rsidRPr="0031592A" w:rsidRDefault="00D05E9C" w:rsidP="00031972">
            <w:r w:rsidRPr="0031592A">
              <w:t>Martinez CA 94553</w:t>
            </w:r>
          </w:p>
          <w:p w14:paraId="0B365AB6" w14:textId="77777777" w:rsidR="00D05E9C" w:rsidRPr="00340C37" w:rsidRDefault="00D05E9C" w:rsidP="00031972">
            <w:r w:rsidRPr="0031592A">
              <w:t>Contra Costa County</w:t>
            </w:r>
          </w:p>
        </w:tc>
        <w:tc>
          <w:tcPr>
            <w:tcW w:w="1458" w:type="dxa"/>
            <w:shd w:val="clear" w:color="auto" w:fill="auto"/>
            <w:vAlign w:val="center"/>
          </w:tcPr>
          <w:p w14:paraId="3F42AAD9" w14:textId="0839AC72" w:rsidR="00D05E9C" w:rsidRPr="00340C37" w:rsidRDefault="00F745AE" w:rsidP="00031972">
            <w:pPr>
              <w:jc w:val="center"/>
            </w:pPr>
            <w:r>
              <w:t>No</w:t>
            </w:r>
          </w:p>
        </w:tc>
        <w:tc>
          <w:tcPr>
            <w:tcW w:w="1395" w:type="dxa"/>
            <w:tcBorders>
              <w:right w:val="single" w:sz="12" w:space="0" w:color="auto"/>
            </w:tcBorders>
            <w:shd w:val="clear" w:color="auto" w:fill="auto"/>
            <w:vAlign w:val="center"/>
          </w:tcPr>
          <w:p w14:paraId="7BA1102D" w14:textId="20123A7F" w:rsidR="00D05E9C" w:rsidRPr="00340C37" w:rsidRDefault="00D05E9C" w:rsidP="00031972">
            <w:pPr>
              <w:jc w:val="center"/>
              <w:rPr>
                <w:vertAlign w:val="superscript"/>
              </w:rPr>
            </w:pPr>
            <w:r>
              <w:t>Estuarine</w:t>
            </w:r>
          </w:p>
        </w:tc>
      </w:tr>
      <w:tr w:rsidR="00D05E9C" w:rsidRPr="00340C37" w14:paraId="081B399F" w14:textId="77777777" w:rsidTr="00031972">
        <w:trPr>
          <w:cantSplit/>
        </w:trPr>
        <w:tc>
          <w:tcPr>
            <w:tcW w:w="3168" w:type="dxa"/>
            <w:tcBorders>
              <w:left w:val="single" w:sz="12" w:space="0" w:color="auto"/>
            </w:tcBorders>
            <w:shd w:val="clear" w:color="auto" w:fill="auto"/>
            <w:vAlign w:val="center"/>
          </w:tcPr>
          <w:p w14:paraId="467D4EF0" w14:textId="77777777" w:rsidR="00D05E9C" w:rsidRPr="00340C37" w:rsidRDefault="00D05E9C" w:rsidP="00031972">
            <w:pPr>
              <w:rPr>
                <w:rFonts w:eastAsia="Arial Unicode MS"/>
              </w:rPr>
            </w:pPr>
            <w:r w:rsidRPr="00340C37">
              <w:rPr>
                <w:rFonts w:eastAsia="Arial Unicode MS"/>
              </w:rPr>
              <w:t>Tesoro Refining &amp; Marketing Co.</w:t>
            </w:r>
          </w:p>
        </w:tc>
        <w:tc>
          <w:tcPr>
            <w:tcW w:w="2493" w:type="dxa"/>
            <w:shd w:val="clear" w:color="auto" w:fill="auto"/>
            <w:vAlign w:val="center"/>
          </w:tcPr>
          <w:p w14:paraId="504A206F" w14:textId="1F9F4892" w:rsidR="00D05E9C" w:rsidRPr="00340C37" w:rsidRDefault="00031972" w:rsidP="00031972">
            <w:r>
              <w:t>Matthew Buell</w:t>
            </w:r>
            <w:r w:rsidR="00D05E9C">
              <w:t>,</w:t>
            </w:r>
          </w:p>
          <w:p w14:paraId="46CB1498" w14:textId="06191D51" w:rsidR="00D05E9C" w:rsidRPr="00340C37" w:rsidRDefault="00D05E9C" w:rsidP="00031972">
            <w:r w:rsidRPr="00340C37">
              <w:t xml:space="preserve">Environmental </w:t>
            </w:r>
            <w:r w:rsidR="00031972">
              <w:t>Manager</w:t>
            </w:r>
          </w:p>
          <w:p w14:paraId="77E1F5FD" w14:textId="1CC2F5D2" w:rsidR="00D05E9C" w:rsidRPr="00340C37" w:rsidRDefault="00D05E9C" w:rsidP="00031972">
            <w:r w:rsidRPr="00340C37">
              <w:t xml:space="preserve">(925) </w:t>
            </w:r>
            <w:r w:rsidR="00031972">
              <w:t>370</w:t>
            </w:r>
            <w:r w:rsidRPr="00340C37">
              <w:t>-3</w:t>
            </w:r>
            <w:r w:rsidR="00031972">
              <w:t>275</w:t>
            </w:r>
          </w:p>
        </w:tc>
        <w:tc>
          <w:tcPr>
            <w:tcW w:w="2169" w:type="dxa"/>
            <w:shd w:val="clear" w:color="auto" w:fill="auto"/>
            <w:vAlign w:val="center"/>
          </w:tcPr>
          <w:p w14:paraId="32A6E4E5" w14:textId="77777777" w:rsidR="00D05E9C" w:rsidRPr="0031592A" w:rsidRDefault="00D05E9C" w:rsidP="00031972">
            <w:r w:rsidRPr="0031592A">
              <w:t>150 Solano Way</w:t>
            </w:r>
          </w:p>
          <w:p w14:paraId="47A7F3F1" w14:textId="77777777" w:rsidR="00D05E9C" w:rsidRPr="0031592A" w:rsidRDefault="00D05E9C" w:rsidP="00031972">
            <w:r w:rsidRPr="0031592A">
              <w:t>Martinez, CA 94553</w:t>
            </w:r>
          </w:p>
          <w:p w14:paraId="11463AB9" w14:textId="77777777" w:rsidR="00D05E9C" w:rsidRPr="00340C37" w:rsidRDefault="00D05E9C" w:rsidP="00031972">
            <w:r w:rsidRPr="0031592A">
              <w:t>Contra Costa County</w:t>
            </w:r>
          </w:p>
        </w:tc>
        <w:tc>
          <w:tcPr>
            <w:tcW w:w="1458" w:type="dxa"/>
            <w:shd w:val="clear" w:color="auto" w:fill="auto"/>
            <w:vAlign w:val="center"/>
          </w:tcPr>
          <w:p w14:paraId="4E477A56" w14:textId="64E10828" w:rsidR="00D05E9C" w:rsidRPr="00340C37" w:rsidRDefault="00F745AE" w:rsidP="00031972">
            <w:pPr>
              <w:jc w:val="center"/>
            </w:pPr>
            <w:r>
              <w:t>No</w:t>
            </w:r>
          </w:p>
        </w:tc>
        <w:tc>
          <w:tcPr>
            <w:tcW w:w="1395" w:type="dxa"/>
            <w:tcBorders>
              <w:right w:val="single" w:sz="12" w:space="0" w:color="auto"/>
            </w:tcBorders>
            <w:shd w:val="clear" w:color="auto" w:fill="auto"/>
            <w:vAlign w:val="center"/>
          </w:tcPr>
          <w:p w14:paraId="272D18C0" w14:textId="383B55BF" w:rsidR="00D05E9C" w:rsidRPr="00340C37" w:rsidRDefault="00D05E9C" w:rsidP="00031972">
            <w:pPr>
              <w:jc w:val="center"/>
            </w:pPr>
            <w:r>
              <w:t>Estuarine</w:t>
            </w:r>
          </w:p>
        </w:tc>
      </w:tr>
      <w:tr w:rsidR="00D05E9C" w:rsidRPr="00340C37" w14:paraId="1ED1BD39" w14:textId="77777777" w:rsidTr="00031972">
        <w:trPr>
          <w:cantSplit/>
        </w:trPr>
        <w:tc>
          <w:tcPr>
            <w:tcW w:w="3168" w:type="dxa"/>
            <w:tcBorders>
              <w:left w:val="single" w:sz="12" w:space="0" w:color="auto"/>
              <w:bottom w:val="single" w:sz="12" w:space="0" w:color="auto"/>
            </w:tcBorders>
            <w:shd w:val="clear" w:color="auto" w:fill="auto"/>
            <w:vAlign w:val="center"/>
          </w:tcPr>
          <w:p w14:paraId="177E4143" w14:textId="77777777" w:rsidR="00D05E9C" w:rsidRPr="00340C37" w:rsidRDefault="00D05E9C" w:rsidP="00031972">
            <w:pPr>
              <w:rPr>
                <w:rFonts w:eastAsia="Arial Unicode MS"/>
              </w:rPr>
            </w:pPr>
            <w:r w:rsidRPr="00340C37">
              <w:rPr>
                <w:rFonts w:eastAsia="Arial Unicode MS"/>
              </w:rPr>
              <w:t>Valero Refining Company</w:t>
            </w:r>
          </w:p>
        </w:tc>
        <w:tc>
          <w:tcPr>
            <w:tcW w:w="2493" w:type="dxa"/>
            <w:tcBorders>
              <w:bottom w:val="single" w:sz="12" w:space="0" w:color="auto"/>
            </w:tcBorders>
            <w:shd w:val="clear" w:color="auto" w:fill="auto"/>
            <w:vAlign w:val="center"/>
          </w:tcPr>
          <w:p w14:paraId="619A592A" w14:textId="10BF3BB8" w:rsidR="00D05E9C" w:rsidRPr="00340C37" w:rsidRDefault="00031972" w:rsidP="00031972">
            <w:r>
              <w:t>Donald W. Cuffel</w:t>
            </w:r>
            <w:r w:rsidR="00D05E9C">
              <w:t>,</w:t>
            </w:r>
          </w:p>
          <w:p w14:paraId="795B9871" w14:textId="7125C9CC" w:rsidR="00D05E9C" w:rsidRPr="00340C37" w:rsidRDefault="001E71BC" w:rsidP="00031972">
            <w:r>
              <w:t>Director of Health, Safety, Environmental, and Governmental Affairs</w:t>
            </w:r>
          </w:p>
          <w:p w14:paraId="49F40E60" w14:textId="2A2FC92A" w:rsidR="00D05E9C" w:rsidRPr="00340C37" w:rsidRDefault="00D05E9C" w:rsidP="001E71BC">
            <w:r w:rsidRPr="00340C37">
              <w:t>(707) 745-7</w:t>
            </w:r>
            <w:r w:rsidR="001E71BC">
              <w:t>545</w:t>
            </w:r>
          </w:p>
        </w:tc>
        <w:tc>
          <w:tcPr>
            <w:tcW w:w="2169" w:type="dxa"/>
            <w:tcBorders>
              <w:bottom w:val="single" w:sz="12" w:space="0" w:color="auto"/>
            </w:tcBorders>
            <w:shd w:val="clear" w:color="auto" w:fill="auto"/>
            <w:vAlign w:val="center"/>
          </w:tcPr>
          <w:p w14:paraId="32D8654C" w14:textId="77777777" w:rsidR="00D05E9C" w:rsidRPr="0031592A" w:rsidRDefault="00D05E9C" w:rsidP="00031972">
            <w:r w:rsidRPr="0031592A">
              <w:t>3400 East Second Street</w:t>
            </w:r>
          </w:p>
          <w:p w14:paraId="32B2E815" w14:textId="77777777" w:rsidR="00D05E9C" w:rsidRPr="0031592A" w:rsidRDefault="00D05E9C" w:rsidP="00031972">
            <w:r w:rsidRPr="0031592A">
              <w:t>Benicia, CA 94510-1005</w:t>
            </w:r>
          </w:p>
          <w:p w14:paraId="147E2E72" w14:textId="77777777" w:rsidR="00D05E9C" w:rsidRPr="00340C37" w:rsidRDefault="00D05E9C" w:rsidP="00031972">
            <w:r w:rsidRPr="0031592A">
              <w:t>Solano County</w:t>
            </w:r>
          </w:p>
        </w:tc>
        <w:tc>
          <w:tcPr>
            <w:tcW w:w="1458" w:type="dxa"/>
            <w:tcBorders>
              <w:bottom w:val="single" w:sz="12" w:space="0" w:color="auto"/>
            </w:tcBorders>
            <w:shd w:val="clear" w:color="auto" w:fill="auto"/>
            <w:vAlign w:val="center"/>
          </w:tcPr>
          <w:p w14:paraId="47C88376" w14:textId="54C6BD40" w:rsidR="00D05E9C" w:rsidRPr="00340C37" w:rsidRDefault="00F745AE" w:rsidP="00031972">
            <w:pPr>
              <w:jc w:val="center"/>
            </w:pPr>
            <w:r>
              <w:t>No</w:t>
            </w:r>
          </w:p>
        </w:tc>
        <w:tc>
          <w:tcPr>
            <w:tcW w:w="1395" w:type="dxa"/>
            <w:tcBorders>
              <w:bottom w:val="single" w:sz="12" w:space="0" w:color="auto"/>
              <w:right w:val="single" w:sz="12" w:space="0" w:color="auto"/>
            </w:tcBorders>
            <w:shd w:val="clear" w:color="auto" w:fill="auto"/>
            <w:vAlign w:val="center"/>
          </w:tcPr>
          <w:p w14:paraId="72681A9C" w14:textId="0376BA3D" w:rsidR="00D05E9C" w:rsidRPr="00340C37" w:rsidRDefault="00D05E9C" w:rsidP="00031972">
            <w:pPr>
              <w:jc w:val="center"/>
            </w:pPr>
            <w:r>
              <w:t>Estuarine</w:t>
            </w:r>
          </w:p>
        </w:tc>
      </w:tr>
    </w:tbl>
    <w:p w14:paraId="635FD410" w14:textId="4713D074" w:rsidR="007F4001" w:rsidRPr="001A6E8B" w:rsidRDefault="00D05E9C" w:rsidP="001A6E8B">
      <w:pPr>
        <w:keepNext/>
        <w:tabs>
          <w:tab w:val="left" w:pos="360"/>
        </w:tabs>
        <w:outlineLvl w:val="0"/>
        <w:rPr>
          <w:rFonts w:ascii="Arial" w:hAnsi="Arial" w:cs="Arial"/>
          <w:b/>
        </w:rPr>
      </w:pPr>
      <w:r w:rsidRPr="00340C37">
        <w:rPr>
          <w:rFonts w:ascii="Arial" w:hAnsi="Arial" w:cs="Arial"/>
          <w:b/>
        </w:rPr>
        <w:br w:type="page"/>
      </w:r>
    </w:p>
    <w:p w14:paraId="6721BB2F" w14:textId="2A85F3DA" w:rsidR="00D715BB" w:rsidRPr="00570B42" w:rsidRDefault="00D34786" w:rsidP="00A31E71">
      <w:pPr>
        <w:pStyle w:val="H-indent2525"/>
        <w:rPr>
          <w:rFonts w:ascii="Times New Roman" w:hAnsi="Times New Roman" w:cs="Times New Roman"/>
          <w:sz w:val="24"/>
        </w:rPr>
      </w:pPr>
      <w:r w:rsidRPr="00570B42">
        <w:rPr>
          <w:rFonts w:ascii="Times New Roman" w:hAnsi="Times New Roman" w:cs="Times New Roman"/>
          <w:b/>
          <w:sz w:val="24"/>
          <w:lang w:val="en-CA"/>
        </w:rPr>
        <w:lastRenderedPageBreak/>
        <w:t>A.</w:t>
      </w:r>
      <w:r w:rsidRPr="00570B42">
        <w:rPr>
          <w:rFonts w:ascii="Times New Roman" w:hAnsi="Times New Roman" w:cs="Times New Roman"/>
          <w:b/>
          <w:sz w:val="24"/>
          <w:lang w:val="en-CA"/>
        </w:rPr>
        <w:tab/>
      </w:r>
      <w:r w:rsidR="005D7010">
        <w:rPr>
          <w:rFonts w:ascii="Times New Roman" w:hAnsi="Times New Roman" w:cs="Times New Roman"/>
          <w:sz w:val="24"/>
          <w:lang w:val="en-CA"/>
        </w:rPr>
        <w:t xml:space="preserve">Municipal </w:t>
      </w:r>
      <w:r w:rsidR="00761CB0">
        <w:rPr>
          <w:rFonts w:ascii="Times New Roman" w:hAnsi="Times New Roman" w:cs="Times New Roman"/>
          <w:sz w:val="24"/>
          <w:lang w:val="en-CA"/>
        </w:rPr>
        <w:t xml:space="preserve">Dischargers listed in Table 1A </w:t>
      </w:r>
      <w:r w:rsidR="005D7010">
        <w:rPr>
          <w:rFonts w:ascii="Times New Roman" w:hAnsi="Times New Roman" w:cs="Times New Roman"/>
          <w:sz w:val="24"/>
          <w:lang w:val="en-CA"/>
        </w:rPr>
        <w:t xml:space="preserve">and Industrial Dischargers listed in </w:t>
      </w:r>
      <w:r w:rsidR="00761CB0">
        <w:rPr>
          <w:rFonts w:ascii="Times New Roman" w:hAnsi="Times New Roman" w:cs="Times New Roman"/>
          <w:sz w:val="24"/>
          <w:lang w:val="en-CA"/>
        </w:rPr>
        <w:t>Table</w:t>
      </w:r>
      <w:r w:rsidR="005D7010">
        <w:rPr>
          <w:rFonts w:ascii="Times New Roman" w:hAnsi="Times New Roman" w:cs="Times New Roman"/>
          <w:sz w:val="24"/>
          <w:lang w:val="en-CA"/>
        </w:rPr>
        <w:t xml:space="preserve"> 1B </w:t>
      </w:r>
      <w:r w:rsidR="00E63A9B" w:rsidRPr="00570B42">
        <w:rPr>
          <w:rFonts w:ascii="Times New Roman" w:hAnsi="Times New Roman" w:cs="Times New Roman"/>
          <w:sz w:val="24"/>
          <w:lang w:val="en-CA"/>
        </w:rPr>
        <w:t>(collectively, Discharger</w:t>
      </w:r>
      <w:r w:rsidR="005D7010">
        <w:rPr>
          <w:rFonts w:ascii="Times New Roman" w:hAnsi="Times New Roman" w:cs="Times New Roman"/>
          <w:sz w:val="24"/>
          <w:lang w:val="en-CA"/>
        </w:rPr>
        <w:t>s</w:t>
      </w:r>
      <w:r w:rsidR="00E63A9B" w:rsidRPr="00570B42">
        <w:rPr>
          <w:rFonts w:ascii="Times New Roman" w:hAnsi="Times New Roman" w:cs="Times New Roman"/>
          <w:sz w:val="24"/>
          <w:lang w:val="en-CA"/>
        </w:rPr>
        <w:t xml:space="preserve">) </w:t>
      </w:r>
      <w:r w:rsidR="005D7010">
        <w:rPr>
          <w:rFonts w:ascii="Times New Roman" w:hAnsi="Times New Roman" w:cs="Times New Roman"/>
          <w:sz w:val="24"/>
          <w:lang w:val="en-CA"/>
        </w:rPr>
        <w:t>own and operate their respective wastewater treatment plant</w:t>
      </w:r>
      <w:r w:rsidR="0033793E">
        <w:rPr>
          <w:rFonts w:ascii="Times New Roman" w:hAnsi="Times New Roman" w:cs="Times New Roman"/>
          <w:sz w:val="24"/>
          <w:lang w:val="en-CA"/>
        </w:rPr>
        <w:t xml:space="preserve">s </w:t>
      </w:r>
      <w:r w:rsidR="008932BB">
        <w:rPr>
          <w:rFonts w:ascii="Times New Roman" w:hAnsi="Times New Roman" w:cs="Times New Roman"/>
          <w:sz w:val="24"/>
          <w:lang w:val="en-CA"/>
        </w:rPr>
        <w:t xml:space="preserve">and collection systems </w:t>
      </w:r>
      <w:r w:rsidR="0033793E">
        <w:rPr>
          <w:rFonts w:ascii="Times New Roman" w:hAnsi="Times New Roman" w:cs="Times New Roman"/>
          <w:sz w:val="24"/>
          <w:lang w:val="en-CA"/>
        </w:rPr>
        <w:t xml:space="preserve">(collectively, Facilities).  Municipal Facilities provide secondary </w:t>
      </w:r>
      <w:r w:rsidR="00761CB0">
        <w:rPr>
          <w:rFonts w:ascii="Times New Roman" w:hAnsi="Times New Roman" w:cs="Times New Roman"/>
          <w:sz w:val="24"/>
          <w:lang w:val="en-CA"/>
        </w:rPr>
        <w:t xml:space="preserve">or advanced secondary </w:t>
      </w:r>
      <w:r w:rsidR="0033793E">
        <w:rPr>
          <w:rFonts w:ascii="Times New Roman" w:hAnsi="Times New Roman" w:cs="Times New Roman"/>
          <w:sz w:val="24"/>
          <w:lang w:val="en-CA"/>
        </w:rPr>
        <w:t>treatment of wastewater collected from thei</w:t>
      </w:r>
      <w:r w:rsidR="006B6FED">
        <w:rPr>
          <w:rFonts w:ascii="Times New Roman" w:hAnsi="Times New Roman" w:cs="Times New Roman"/>
          <w:sz w:val="24"/>
          <w:lang w:val="en-CA"/>
        </w:rPr>
        <w:t>r service areas</w:t>
      </w:r>
      <w:r w:rsidR="00D60B78">
        <w:rPr>
          <w:rFonts w:ascii="Times New Roman" w:hAnsi="Times New Roman" w:cs="Times New Roman"/>
          <w:sz w:val="24"/>
          <w:lang w:val="en-CA"/>
        </w:rPr>
        <w:t xml:space="preserve">, and Industrial Dischargers provide various levels of wastewater treatment depending on their activities. </w:t>
      </w:r>
      <w:r w:rsidR="006B6FED">
        <w:rPr>
          <w:rFonts w:ascii="Times New Roman" w:hAnsi="Times New Roman" w:cs="Times New Roman"/>
          <w:sz w:val="24"/>
          <w:lang w:val="en-CA"/>
        </w:rPr>
        <w:t xml:space="preserve"> </w:t>
      </w:r>
      <w:r w:rsidR="00D60B78">
        <w:rPr>
          <w:rFonts w:ascii="Times New Roman" w:hAnsi="Times New Roman" w:cs="Times New Roman"/>
          <w:sz w:val="24"/>
          <w:lang w:val="en-CA"/>
        </w:rPr>
        <w:t>After treatment, both Municipal and Industrial Dischargers</w:t>
      </w:r>
      <w:r w:rsidR="006B6FED">
        <w:rPr>
          <w:rFonts w:ascii="Times New Roman" w:hAnsi="Times New Roman" w:cs="Times New Roman"/>
          <w:sz w:val="24"/>
          <w:lang w:val="en-CA"/>
        </w:rPr>
        <w:t xml:space="preserve"> discharge </w:t>
      </w:r>
      <w:r w:rsidR="0033793E">
        <w:rPr>
          <w:rFonts w:ascii="Times New Roman" w:hAnsi="Times New Roman" w:cs="Times New Roman"/>
          <w:sz w:val="24"/>
          <w:lang w:val="en-CA"/>
        </w:rPr>
        <w:t>to San Francisco Bay and its tributaries</w:t>
      </w:r>
      <w:r w:rsidR="00D60B78">
        <w:rPr>
          <w:rFonts w:ascii="Times New Roman" w:hAnsi="Times New Roman" w:cs="Times New Roman"/>
          <w:sz w:val="24"/>
          <w:lang w:val="en-CA"/>
        </w:rPr>
        <w:t xml:space="preserve">. Details of the Municipal and Industrial wastewater treatment </w:t>
      </w:r>
      <w:r w:rsidR="00693FF3">
        <w:rPr>
          <w:rFonts w:ascii="Times New Roman" w:hAnsi="Times New Roman" w:cs="Times New Roman"/>
          <w:sz w:val="24"/>
          <w:lang w:val="en-CA"/>
        </w:rPr>
        <w:t xml:space="preserve">processes </w:t>
      </w:r>
      <w:r w:rsidR="00D60B78">
        <w:rPr>
          <w:rFonts w:ascii="Times New Roman" w:hAnsi="Times New Roman" w:cs="Times New Roman"/>
          <w:sz w:val="24"/>
          <w:lang w:val="en-CA"/>
        </w:rPr>
        <w:t>and discharges are</w:t>
      </w:r>
      <w:r w:rsidR="0033793E">
        <w:rPr>
          <w:rFonts w:ascii="Times New Roman" w:hAnsi="Times New Roman" w:cs="Times New Roman"/>
          <w:sz w:val="24"/>
          <w:lang w:val="en-CA"/>
        </w:rPr>
        <w:t xml:space="preserve"> </w:t>
      </w:r>
      <w:r w:rsidR="00D60B78">
        <w:rPr>
          <w:rFonts w:ascii="Times New Roman" w:hAnsi="Times New Roman" w:cs="Times New Roman"/>
          <w:sz w:val="24"/>
          <w:lang w:val="en-CA"/>
        </w:rPr>
        <w:t>described in the individual NPDES permits listed in Attachment B of this Order.</w:t>
      </w:r>
    </w:p>
    <w:p w14:paraId="1416DEC8" w14:textId="7E4C53F1" w:rsidR="00CE57B6" w:rsidRPr="00570B42" w:rsidRDefault="00CE57B6" w:rsidP="00943772">
      <w:pPr>
        <w:pStyle w:val="Indent50"/>
        <w:spacing w:after="0"/>
        <w:rPr>
          <w:sz w:val="24"/>
        </w:rPr>
      </w:pPr>
      <w:r w:rsidRPr="00570B42">
        <w:rPr>
          <w:sz w:val="24"/>
        </w:rPr>
        <w:t>For the purposes of this Order, references to “discharger” or “permittee” in applicable federal and State laws, regulations, plans, or polic</w:t>
      </w:r>
      <w:r w:rsidR="00577C4A" w:rsidRPr="00570B42">
        <w:rPr>
          <w:sz w:val="24"/>
        </w:rPr>
        <w:t>ies</w:t>
      </w:r>
      <w:r w:rsidRPr="00570B42">
        <w:rPr>
          <w:sz w:val="24"/>
        </w:rPr>
        <w:t xml:space="preserve"> are held to be equivalent to references to the Discharger</w:t>
      </w:r>
      <w:r w:rsidR="007A75A9">
        <w:rPr>
          <w:sz w:val="24"/>
        </w:rPr>
        <w:t>s</w:t>
      </w:r>
      <w:r w:rsidRPr="00570B42">
        <w:rPr>
          <w:sz w:val="24"/>
        </w:rPr>
        <w:t xml:space="preserve"> herein.</w:t>
      </w:r>
    </w:p>
    <w:p w14:paraId="4C6D56ED" w14:textId="77777777" w:rsidR="00DB4B4E" w:rsidRPr="00570B42" w:rsidRDefault="00DB4B4E" w:rsidP="00E27C27">
      <w:pPr>
        <w:rPr>
          <w:sz w:val="24"/>
          <w:szCs w:val="24"/>
        </w:rPr>
      </w:pPr>
    </w:p>
    <w:p w14:paraId="19ACABC0" w14:textId="34B89937" w:rsidR="00A47E23" w:rsidRPr="00570B42" w:rsidRDefault="00D34786" w:rsidP="00A47E23">
      <w:pPr>
        <w:pStyle w:val="H-indent2525"/>
        <w:rPr>
          <w:rFonts w:ascii="Times New Roman" w:hAnsi="Times New Roman" w:cs="Times New Roman"/>
          <w:sz w:val="24"/>
        </w:rPr>
      </w:pPr>
      <w:r w:rsidRPr="00570B42">
        <w:rPr>
          <w:rFonts w:ascii="Times New Roman" w:hAnsi="Times New Roman" w:cs="Times New Roman"/>
          <w:b/>
          <w:sz w:val="24"/>
        </w:rPr>
        <w:t>B.</w:t>
      </w:r>
      <w:r w:rsidRPr="00570B42">
        <w:rPr>
          <w:rFonts w:ascii="Times New Roman" w:hAnsi="Times New Roman" w:cs="Times New Roman"/>
          <w:sz w:val="24"/>
        </w:rPr>
        <w:tab/>
      </w:r>
      <w:r w:rsidR="00463CE2">
        <w:rPr>
          <w:rFonts w:ascii="Times New Roman" w:hAnsi="Times New Roman" w:cs="Times New Roman"/>
          <w:sz w:val="24"/>
        </w:rPr>
        <w:t>The Dischargers</w:t>
      </w:r>
      <w:r w:rsidR="00A221FA" w:rsidRPr="00570B42">
        <w:rPr>
          <w:rFonts w:ascii="Times New Roman" w:hAnsi="Times New Roman" w:cs="Times New Roman"/>
          <w:sz w:val="24"/>
        </w:rPr>
        <w:t xml:space="preserve"> </w:t>
      </w:r>
      <w:r w:rsidR="00463CE2">
        <w:rPr>
          <w:rFonts w:ascii="Times New Roman" w:hAnsi="Times New Roman" w:cs="Times New Roman"/>
          <w:sz w:val="24"/>
        </w:rPr>
        <w:t>are</w:t>
      </w:r>
      <w:r w:rsidR="00A221FA" w:rsidRPr="00570B42">
        <w:rPr>
          <w:rFonts w:ascii="Times New Roman" w:hAnsi="Times New Roman" w:cs="Times New Roman"/>
          <w:sz w:val="24"/>
        </w:rPr>
        <w:t xml:space="preserve"> regulated </w:t>
      </w:r>
      <w:r w:rsidR="008F286E" w:rsidRPr="00570B42">
        <w:rPr>
          <w:rFonts w:ascii="Times New Roman" w:hAnsi="Times New Roman" w:cs="Times New Roman"/>
          <w:sz w:val="24"/>
        </w:rPr>
        <w:t>pursuant to</w:t>
      </w:r>
      <w:r w:rsidR="00A221FA" w:rsidRPr="00570B42">
        <w:rPr>
          <w:rFonts w:ascii="Times New Roman" w:hAnsi="Times New Roman" w:cs="Times New Roman"/>
          <w:sz w:val="24"/>
        </w:rPr>
        <w:t xml:space="preserve"> </w:t>
      </w:r>
      <w:r w:rsidR="008F286E" w:rsidRPr="00570B42">
        <w:rPr>
          <w:rFonts w:ascii="Times New Roman" w:hAnsi="Times New Roman" w:cs="Times New Roman"/>
          <w:sz w:val="24"/>
        </w:rPr>
        <w:t>NPDES Permit No. </w:t>
      </w:r>
      <w:r w:rsidR="009C56D5" w:rsidRPr="00570B42">
        <w:rPr>
          <w:rFonts w:ascii="Times New Roman" w:hAnsi="Times New Roman" w:cs="Times New Roman"/>
          <w:sz w:val="24"/>
          <w:lang w:val="en-CA"/>
        </w:rPr>
        <w:t>CA003</w:t>
      </w:r>
      <w:r w:rsidR="00463CE2">
        <w:rPr>
          <w:rFonts w:ascii="Times New Roman" w:hAnsi="Times New Roman" w:cs="Times New Roman"/>
          <w:sz w:val="24"/>
          <w:lang w:val="en-CA"/>
        </w:rPr>
        <w:t>8849</w:t>
      </w:r>
      <w:r w:rsidR="00081FA0" w:rsidRPr="00570B42">
        <w:rPr>
          <w:rFonts w:ascii="Times New Roman" w:hAnsi="Times New Roman" w:cs="Times New Roman"/>
          <w:sz w:val="24"/>
          <w:lang w:val="en-CA"/>
        </w:rPr>
        <w:t>. The Discharger</w:t>
      </w:r>
      <w:r w:rsidR="00463CE2">
        <w:rPr>
          <w:rFonts w:ascii="Times New Roman" w:hAnsi="Times New Roman" w:cs="Times New Roman"/>
          <w:sz w:val="24"/>
          <w:lang w:val="en-CA"/>
        </w:rPr>
        <w:t>s</w:t>
      </w:r>
      <w:r w:rsidR="008F286E" w:rsidRPr="00570B42">
        <w:rPr>
          <w:rFonts w:ascii="Times New Roman" w:hAnsi="Times New Roman" w:cs="Times New Roman"/>
          <w:sz w:val="24"/>
          <w:lang w:val="en-CA"/>
        </w:rPr>
        <w:t xml:space="preserve"> w</w:t>
      </w:r>
      <w:r w:rsidR="00463CE2">
        <w:rPr>
          <w:rFonts w:ascii="Times New Roman" w:hAnsi="Times New Roman" w:cs="Times New Roman"/>
          <w:sz w:val="24"/>
          <w:lang w:val="en-CA"/>
        </w:rPr>
        <w:t>ere</w:t>
      </w:r>
      <w:r w:rsidR="008F286E" w:rsidRPr="00570B42">
        <w:rPr>
          <w:rFonts w:ascii="Times New Roman" w:hAnsi="Times New Roman" w:cs="Times New Roman"/>
          <w:sz w:val="24"/>
          <w:lang w:val="en-CA"/>
        </w:rPr>
        <w:t xml:space="preserve"> previously subject to </w:t>
      </w:r>
      <w:r w:rsidR="0005714F" w:rsidRPr="00570B42">
        <w:rPr>
          <w:rFonts w:ascii="Times New Roman" w:hAnsi="Times New Roman" w:cs="Times New Roman"/>
          <w:sz w:val="24"/>
        </w:rPr>
        <w:t>Order</w:t>
      </w:r>
      <w:r w:rsidR="00A221FA" w:rsidRPr="00570B42">
        <w:rPr>
          <w:rFonts w:ascii="Times New Roman" w:hAnsi="Times New Roman" w:cs="Times New Roman"/>
          <w:sz w:val="24"/>
        </w:rPr>
        <w:t xml:space="preserve"> </w:t>
      </w:r>
      <w:r w:rsidR="00354685" w:rsidRPr="00570B42">
        <w:rPr>
          <w:rFonts w:ascii="Times New Roman" w:hAnsi="Times New Roman" w:cs="Times New Roman"/>
          <w:sz w:val="24"/>
        </w:rPr>
        <w:t>No.</w:t>
      </w:r>
      <w:r w:rsidR="002703EC" w:rsidRPr="00570B42">
        <w:rPr>
          <w:rFonts w:ascii="Times New Roman" w:hAnsi="Times New Roman" w:cs="Times New Roman"/>
          <w:sz w:val="24"/>
        </w:rPr>
        <w:t> </w:t>
      </w:r>
      <w:r w:rsidR="00291357" w:rsidRPr="00570B42">
        <w:rPr>
          <w:rFonts w:ascii="Times New Roman" w:hAnsi="Times New Roman" w:cs="Times New Roman"/>
          <w:sz w:val="24"/>
        </w:rPr>
        <w:t>R2-201</w:t>
      </w:r>
      <w:r w:rsidR="00DE4D21" w:rsidRPr="00570B42">
        <w:rPr>
          <w:rFonts w:ascii="Times New Roman" w:hAnsi="Times New Roman" w:cs="Times New Roman"/>
          <w:sz w:val="24"/>
        </w:rPr>
        <w:t>2</w:t>
      </w:r>
      <w:r w:rsidR="00291357" w:rsidRPr="00570B42">
        <w:rPr>
          <w:rFonts w:ascii="Times New Roman" w:hAnsi="Times New Roman" w:cs="Times New Roman"/>
          <w:sz w:val="24"/>
        </w:rPr>
        <w:t>-00</w:t>
      </w:r>
      <w:r w:rsidR="00463CE2">
        <w:rPr>
          <w:rFonts w:ascii="Times New Roman" w:hAnsi="Times New Roman" w:cs="Times New Roman"/>
          <w:sz w:val="24"/>
        </w:rPr>
        <w:t>96</w:t>
      </w:r>
      <w:r w:rsidR="00DE4D21" w:rsidRPr="00570B42">
        <w:rPr>
          <w:rFonts w:ascii="Times New Roman" w:hAnsi="Times New Roman" w:cs="Times New Roman"/>
          <w:sz w:val="24"/>
        </w:rPr>
        <w:t xml:space="preserve"> </w:t>
      </w:r>
      <w:r w:rsidR="008F286E" w:rsidRPr="00570B42">
        <w:rPr>
          <w:rFonts w:ascii="Times New Roman" w:hAnsi="Times New Roman" w:cs="Times New Roman"/>
          <w:sz w:val="24"/>
        </w:rPr>
        <w:t>(</w:t>
      </w:r>
      <w:r w:rsidR="00A82820" w:rsidRPr="00570B42">
        <w:rPr>
          <w:rFonts w:ascii="Times New Roman" w:hAnsi="Times New Roman" w:cs="Times New Roman"/>
          <w:sz w:val="24"/>
        </w:rPr>
        <w:t>previous order)</w:t>
      </w:r>
      <w:r w:rsidR="00B109EC" w:rsidRPr="00570B42">
        <w:rPr>
          <w:rFonts w:ascii="Times New Roman" w:hAnsi="Times New Roman" w:cs="Times New Roman"/>
          <w:sz w:val="24"/>
        </w:rPr>
        <w:t>.</w:t>
      </w:r>
      <w:r w:rsidR="00A221FA" w:rsidRPr="00570B42">
        <w:rPr>
          <w:rFonts w:ascii="Times New Roman" w:hAnsi="Times New Roman" w:cs="Times New Roman"/>
          <w:sz w:val="24"/>
        </w:rPr>
        <w:t xml:space="preserve"> </w:t>
      </w:r>
      <w:r w:rsidR="00D545AC">
        <w:rPr>
          <w:rFonts w:ascii="Times New Roman" w:hAnsi="Times New Roman" w:cs="Times New Roman"/>
          <w:sz w:val="24"/>
        </w:rPr>
        <w:t>Order No. R2-2016-0008 amended Order No. R-2012-0096 to provide for an alternative monitoring program and remains in effect with this Order.</w:t>
      </w:r>
      <w:r w:rsidR="001E6943" w:rsidRPr="00570B42">
        <w:rPr>
          <w:i/>
          <w:color w:val="00B0F0"/>
          <w:sz w:val="24"/>
        </w:rPr>
        <w:br/>
      </w:r>
      <w:r w:rsidR="001E6943" w:rsidRPr="00570B42">
        <w:rPr>
          <w:rFonts w:ascii="Times New Roman" w:hAnsi="Times New Roman" w:cs="Times New Roman"/>
          <w:color w:val="00B0F0"/>
          <w:sz w:val="24"/>
        </w:rPr>
        <w:br/>
      </w:r>
      <w:r w:rsidR="00890BD7" w:rsidRPr="00570B42">
        <w:rPr>
          <w:rFonts w:ascii="Times New Roman" w:hAnsi="Times New Roman" w:cs="Times New Roman"/>
          <w:sz w:val="24"/>
        </w:rPr>
        <w:t>The Discharger</w:t>
      </w:r>
      <w:r w:rsidR="0013479B">
        <w:rPr>
          <w:rFonts w:ascii="Times New Roman" w:hAnsi="Times New Roman" w:cs="Times New Roman"/>
          <w:sz w:val="24"/>
        </w:rPr>
        <w:t>s are</w:t>
      </w:r>
      <w:r w:rsidR="00890BD7" w:rsidRPr="00570B42">
        <w:rPr>
          <w:rFonts w:ascii="Times New Roman" w:hAnsi="Times New Roman" w:cs="Times New Roman"/>
          <w:sz w:val="24"/>
        </w:rPr>
        <w:t xml:space="preserve"> authorized to discharge subject to </w:t>
      </w:r>
      <w:r w:rsidR="0037744D" w:rsidRPr="00570B42">
        <w:rPr>
          <w:rFonts w:ascii="Times New Roman" w:hAnsi="Times New Roman" w:cs="Times New Roman"/>
          <w:sz w:val="24"/>
        </w:rPr>
        <w:t>WDRs</w:t>
      </w:r>
      <w:r w:rsidR="00890BD7" w:rsidRPr="00570B42">
        <w:rPr>
          <w:rFonts w:ascii="Times New Roman" w:hAnsi="Times New Roman" w:cs="Times New Roman"/>
          <w:sz w:val="24"/>
        </w:rPr>
        <w:t xml:space="preserve"> in this Order at the discharge location</w:t>
      </w:r>
      <w:r w:rsidR="0013479B">
        <w:rPr>
          <w:rFonts w:ascii="Times New Roman" w:hAnsi="Times New Roman" w:cs="Times New Roman"/>
          <w:sz w:val="24"/>
        </w:rPr>
        <w:t>s</w:t>
      </w:r>
      <w:r w:rsidR="00890BD7" w:rsidRPr="00570B42">
        <w:rPr>
          <w:rFonts w:ascii="Times New Roman" w:hAnsi="Times New Roman" w:cs="Times New Roman"/>
          <w:sz w:val="24"/>
        </w:rPr>
        <w:t xml:space="preserve"> described in Table</w:t>
      </w:r>
      <w:r w:rsidR="0013479B">
        <w:rPr>
          <w:rFonts w:ascii="Times New Roman" w:hAnsi="Times New Roman" w:cs="Times New Roman"/>
          <w:sz w:val="24"/>
        </w:rPr>
        <w:t>s</w:t>
      </w:r>
      <w:r w:rsidR="00890BD7" w:rsidRPr="00570B42">
        <w:rPr>
          <w:rFonts w:ascii="Times New Roman" w:hAnsi="Times New Roman" w:cs="Times New Roman"/>
          <w:sz w:val="24"/>
        </w:rPr>
        <w:t xml:space="preserve"> 2</w:t>
      </w:r>
      <w:r w:rsidR="0013479B">
        <w:rPr>
          <w:rFonts w:ascii="Times New Roman" w:hAnsi="Times New Roman" w:cs="Times New Roman"/>
          <w:sz w:val="24"/>
        </w:rPr>
        <w:t>A and 2B</w:t>
      </w:r>
      <w:r w:rsidR="00890BD7" w:rsidRPr="00570B42">
        <w:rPr>
          <w:rFonts w:ascii="Times New Roman" w:hAnsi="Times New Roman" w:cs="Times New Roman"/>
          <w:sz w:val="24"/>
        </w:rPr>
        <w:t xml:space="preserve"> of this Order. Regulations at 40 C.F.R. section 122.46 limit the duration of NPDES permits to a fixed term not to exceed five years. Accordingly, Table 3 of this Order limits the effective period for the discharge authorization. Pursuant to California Code of Regulations, title</w:t>
      </w:r>
      <w:r w:rsidR="004330C0" w:rsidRPr="00570B42">
        <w:rPr>
          <w:rFonts w:ascii="Times New Roman" w:hAnsi="Times New Roman" w:cs="Times New Roman"/>
          <w:sz w:val="24"/>
        </w:rPr>
        <w:t> </w:t>
      </w:r>
      <w:r w:rsidR="00890BD7" w:rsidRPr="00570B42">
        <w:rPr>
          <w:rFonts w:ascii="Times New Roman" w:hAnsi="Times New Roman" w:cs="Times New Roman"/>
          <w:sz w:val="24"/>
        </w:rPr>
        <w:t>23, section 2235.4, the terms and conditions of an expired permit are automatically continued pending reissuance of the permit if the Discharger</w:t>
      </w:r>
      <w:r w:rsidR="0013479B">
        <w:rPr>
          <w:rFonts w:ascii="Times New Roman" w:hAnsi="Times New Roman" w:cs="Times New Roman"/>
          <w:sz w:val="24"/>
        </w:rPr>
        <w:t>s comply</w:t>
      </w:r>
      <w:r w:rsidR="00890BD7" w:rsidRPr="00570B42">
        <w:rPr>
          <w:rFonts w:ascii="Times New Roman" w:hAnsi="Times New Roman" w:cs="Times New Roman"/>
          <w:sz w:val="24"/>
        </w:rPr>
        <w:t xml:space="preserve"> with all requirements for continuation of expired permits.</w:t>
      </w:r>
      <w:r w:rsidR="00F401E9" w:rsidRPr="00570B42">
        <w:rPr>
          <w:rFonts w:ascii="Times New Roman" w:hAnsi="Times New Roman" w:cs="Times New Roman"/>
          <w:sz w:val="24"/>
        </w:rPr>
        <w:t xml:space="preserve"> </w:t>
      </w:r>
      <w:r w:rsidR="007B282D" w:rsidRPr="00570B42">
        <w:rPr>
          <w:rFonts w:ascii="Times New Roman" w:hAnsi="Times New Roman" w:cs="Times New Roman"/>
          <w:sz w:val="24"/>
        </w:rPr>
        <w:t>(40 C.F.R § 122.6</w:t>
      </w:r>
      <w:r w:rsidR="006B16EF" w:rsidRPr="00570B42">
        <w:rPr>
          <w:rFonts w:ascii="Times New Roman" w:hAnsi="Times New Roman" w:cs="Times New Roman"/>
          <w:sz w:val="24"/>
        </w:rPr>
        <w:t>[</w:t>
      </w:r>
      <w:r w:rsidR="007B282D" w:rsidRPr="00570B42">
        <w:rPr>
          <w:rFonts w:ascii="Times New Roman" w:hAnsi="Times New Roman" w:cs="Times New Roman"/>
          <w:sz w:val="24"/>
        </w:rPr>
        <w:t>d</w:t>
      </w:r>
      <w:r w:rsidR="006B16EF" w:rsidRPr="00570B42">
        <w:rPr>
          <w:rFonts w:ascii="Times New Roman" w:hAnsi="Times New Roman" w:cs="Times New Roman"/>
          <w:sz w:val="24"/>
        </w:rPr>
        <w:t>]</w:t>
      </w:r>
      <w:r w:rsidR="007B282D" w:rsidRPr="00570B42">
        <w:rPr>
          <w:rFonts w:ascii="Times New Roman" w:hAnsi="Times New Roman" w:cs="Times New Roman"/>
          <w:sz w:val="24"/>
        </w:rPr>
        <w:t>.)</w:t>
      </w:r>
    </w:p>
    <w:p w14:paraId="10459C93" w14:textId="7D29E3F2" w:rsidR="00C772F3" w:rsidRPr="00570B42" w:rsidRDefault="00A47E23" w:rsidP="00A47E23">
      <w:pPr>
        <w:pStyle w:val="H-indent2525"/>
        <w:rPr>
          <w:rFonts w:ascii="Times New Roman" w:hAnsi="Times New Roman" w:cs="Times New Roman"/>
          <w:sz w:val="24"/>
        </w:rPr>
      </w:pPr>
      <w:r w:rsidRPr="00570B42">
        <w:rPr>
          <w:rFonts w:ascii="Times New Roman" w:hAnsi="Times New Roman" w:cs="Times New Roman"/>
          <w:b/>
          <w:sz w:val="24"/>
        </w:rPr>
        <w:t>C.</w:t>
      </w:r>
      <w:r w:rsidR="0016676B">
        <w:rPr>
          <w:rFonts w:ascii="Times New Roman" w:hAnsi="Times New Roman" w:cs="Times New Roman"/>
          <w:sz w:val="24"/>
        </w:rPr>
        <w:tab/>
      </w:r>
      <w:r w:rsidRPr="00570B42">
        <w:rPr>
          <w:rFonts w:ascii="Times New Roman" w:hAnsi="Times New Roman" w:cs="Times New Roman"/>
          <w:sz w:val="24"/>
        </w:rPr>
        <w:t xml:space="preserve">This Order </w:t>
      </w:r>
      <w:r w:rsidR="0016676B">
        <w:rPr>
          <w:rFonts w:ascii="Times New Roman" w:hAnsi="Times New Roman" w:cs="Times New Roman"/>
          <w:sz w:val="24"/>
        </w:rPr>
        <w:t xml:space="preserve">continues to implement the wasteload allocations and implementation requirements of the </w:t>
      </w:r>
      <w:r w:rsidR="003B3F50">
        <w:rPr>
          <w:rFonts w:ascii="Times New Roman" w:hAnsi="Times New Roman" w:cs="Times New Roman"/>
          <w:sz w:val="24"/>
        </w:rPr>
        <w:t>Mercury TMDL</w:t>
      </w:r>
      <w:r w:rsidR="0016676B">
        <w:rPr>
          <w:rFonts w:ascii="Times New Roman" w:hAnsi="Times New Roman" w:cs="Times New Roman"/>
          <w:sz w:val="24"/>
        </w:rPr>
        <w:t xml:space="preserve"> (adopted August 9, 2006) and PCBs TMDL (adopted February 13, 2008).</w:t>
      </w:r>
      <w:r w:rsidR="00B540E3" w:rsidRPr="00570B42">
        <w:rPr>
          <w:rFonts w:ascii="Times New Roman" w:hAnsi="Times New Roman" w:cs="Times New Roman"/>
          <w:sz w:val="24"/>
        </w:rPr>
        <w:t xml:space="preserve"> </w:t>
      </w:r>
    </w:p>
    <w:p w14:paraId="5994733D" w14:textId="77777777" w:rsidR="00820953" w:rsidRPr="00570B42" w:rsidRDefault="009C56D5" w:rsidP="00A47E23">
      <w:pPr>
        <w:tabs>
          <w:tab w:val="left" w:pos="720"/>
        </w:tabs>
        <w:spacing w:after="240"/>
        <w:ind w:left="720" w:hanging="360"/>
        <w:rPr>
          <w:rFonts w:eastAsia="PMingLiU"/>
          <w:sz w:val="24"/>
          <w:szCs w:val="24"/>
        </w:rPr>
      </w:pPr>
      <w:r w:rsidRPr="00570B42">
        <w:rPr>
          <w:b/>
          <w:sz w:val="24"/>
          <w:szCs w:val="24"/>
        </w:rPr>
        <w:t>D</w:t>
      </w:r>
      <w:r w:rsidR="00F401E9" w:rsidRPr="00570B42">
        <w:rPr>
          <w:b/>
          <w:sz w:val="24"/>
          <w:szCs w:val="24"/>
        </w:rPr>
        <w:t>.</w:t>
      </w:r>
      <w:r w:rsidR="00F401E9" w:rsidRPr="00570B42">
        <w:rPr>
          <w:sz w:val="24"/>
          <w:szCs w:val="24"/>
        </w:rPr>
        <w:tab/>
      </w:r>
      <w:r w:rsidR="00081FA0" w:rsidRPr="00570B42">
        <w:rPr>
          <w:sz w:val="24"/>
          <w:szCs w:val="24"/>
        </w:rPr>
        <w:t>When applicable, State law requires dischargers to file a petition with the State Water Resources Control Board (State Water Board), Division of Water Rights, and receive approval for any change in the point of discharge, place of use, or purpose of use of treated wastewater that decreases the flow in any portion of a watercourse. The State Water Board retains separate jurisdictional authority to enforce such requirements under Water Code 1211. This is not an NPDES permit requirement.</w:t>
      </w:r>
      <w:r w:rsidR="00463632" w:rsidRPr="00570B42">
        <w:rPr>
          <w:sz w:val="24"/>
          <w:szCs w:val="24"/>
        </w:rPr>
        <w:t xml:space="preserve"> </w:t>
      </w:r>
    </w:p>
    <w:p w14:paraId="2F15E213" w14:textId="77777777" w:rsidR="00D34786" w:rsidRPr="00570B42" w:rsidRDefault="00D34786" w:rsidP="00D34786">
      <w:pPr>
        <w:pStyle w:val="Heading1-F"/>
        <w:rPr>
          <w:rFonts w:ascii="Times New Roman" w:hAnsi="Times New Roman"/>
          <w:sz w:val="24"/>
        </w:rPr>
      </w:pPr>
      <w:bookmarkStart w:id="186" w:name="_Toc85803940"/>
      <w:bookmarkStart w:id="187" w:name="_Toc87088831"/>
      <w:bookmarkStart w:id="188" w:name="_Toc92870793"/>
      <w:bookmarkStart w:id="189" w:name="_Toc125358797"/>
      <w:bookmarkStart w:id="190" w:name="_Toc140484489"/>
      <w:bookmarkStart w:id="191" w:name="_Toc338152907"/>
      <w:bookmarkStart w:id="192" w:name="_Toc340137633"/>
      <w:bookmarkStart w:id="193" w:name="_Toc487829685"/>
      <w:r w:rsidRPr="00570B42">
        <w:rPr>
          <w:rFonts w:ascii="Times New Roman" w:hAnsi="Times New Roman"/>
          <w:sz w:val="24"/>
        </w:rPr>
        <w:t>II.</w:t>
      </w:r>
      <w:r w:rsidRPr="00570B42">
        <w:rPr>
          <w:rFonts w:ascii="Times New Roman" w:hAnsi="Times New Roman"/>
          <w:sz w:val="24"/>
        </w:rPr>
        <w:tab/>
        <w:t>Facility Description</w:t>
      </w:r>
      <w:bookmarkEnd w:id="186"/>
      <w:bookmarkEnd w:id="187"/>
      <w:bookmarkEnd w:id="188"/>
      <w:bookmarkEnd w:id="189"/>
      <w:bookmarkEnd w:id="190"/>
      <w:bookmarkEnd w:id="191"/>
      <w:bookmarkEnd w:id="192"/>
      <w:bookmarkEnd w:id="193"/>
    </w:p>
    <w:p w14:paraId="758EB07E" w14:textId="6A41A279" w:rsidR="004C3164" w:rsidRPr="00570B42" w:rsidRDefault="00D34786" w:rsidP="00AE7663">
      <w:pPr>
        <w:pStyle w:val="Heading2-F"/>
        <w:rPr>
          <w:rFonts w:ascii="Times New Roman" w:hAnsi="Times New Roman" w:cs="Times New Roman"/>
          <w:sz w:val="24"/>
          <w:szCs w:val="24"/>
        </w:rPr>
      </w:pPr>
      <w:bookmarkStart w:id="194" w:name="_Toc125358798"/>
      <w:bookmarkStart w:id="195" w:name="_Toc140484490"/>
      <w:bookmarkStart w:id="196" w:name="_Toc338152908"/>
      <w:bookmarkStart w:id="197" w:name="_Toc340137634"/>
      <w:bookmarkStart w:id="198" w:name="_Toc487829686"/>
      <w:r w:rsidRPr="00570B42">
        <w:rPr>
          <w:rFonts w:ascii="Times New Roman" w:hAnsi="Times New Roman" w:cs="Times New Roman"/>
          <w:sz w:val="24"/>
          <w:szCs w:val="24"/>
        </w:rPr>
        <w:t>A.</w:t>
      </w:r>
      <w:r w:rsidRPr="00570B42">
        <w:rPr>
          <w:rFonts w:ascii="Times New Roman" w:hAnsi="Times New Roman" w:cs="Times New Roman"/>
          <w:sz w:val="24"/>
          <w:szCs w:val="24"/>
        </w:rPr>
        <w:tab/>
      </w:r>
      <w:bookmarkEnd w:id="194"/>
      <w:bookmarkEnd w:id="195"/>
      <w:bookmarkEnd w:id="196"/>
      <w:bookmarkEnd w:id="197"/>
      <w:r w:rsidR="004C3164" w:rsidRPr="00570B42">
        <w:rPr>
          <w:rFonts w:ascii="Times New Roman" w:hAnsi="Times New Roman" w:cs="Times New Roman"/>
          <w:sz w:val="24"/>
          <w:szCs w:val="24"/>
        </w:rPr>
        <w:t>Wastewater Treatment</w:t>
      </w:r>
      <w:bookmarkStart w:id="199" w:name="_Toc85803942"/>
      <w:bookmarkStart w:id="200" w:name="_Toc92870795"/>
      <w:bookmarkStart w:id="201" w:name="_Toc125358799"/>
      <w:bookmarkStart w:id="202" w:name="_Toc140484491"/>
      <w:bookmarkEnd w:id="198"/>
    </w:p>
    <w:p w14:paraId="222BA35A" w14:textId="17C09FA0" w:rsidR="00B9064F" w:rsidRDefault="000106ED" w:rsidP="00F009DF">
      <w:pPr>
        <w:pStyle w:val="ListParagraph"/>
        <w:numPr>
          <w:ilvl w:val="0"/>
          <w:numId w:val="27"/>
        </w:numPr>
        <w:spacing w:after="120"/>
        <w:rPr>
          <w:sz w:val="24"/>
          <w:szCs w:val="24"/>
        </w:rPr>
      </w:pPr>
      <w:r w:rsidRPr="00440A12">
        <w:rPr>
          <w:b/>
          <w:sz w:val="24"/>
          <w:szCs w:val="24"/>
        </w:rPr>
        <w:t>Location</w:t>
      </w:r>
      <w:r w:rsidR="00AE2429" w:rsidRPr="00440A12">
        <w:rPr>
          <w:b/>
          <w:sz w:val="24"/>
          <w:szCs w:val="24"/>
        </w:rPr>
        <w:t>s</w:t>
      </w:r>
      <w:r w:rsidRPr="00440A12">
        <w:rPr>
          <w:b/>
          <w:sz w:val="24"/>
          <w:szCs w:val="24"/>
        </w:rPr>
        <w:t xml:space="preserve"> and Service Area</w:t>
      </w:r>
      <w:r w:rsidR="00AE2429" w:rsidRPr="00440A12">
        <w:rPr>
          <w:b/>
          <w:sz w:val="24"/>
          <w:szCs w:val="24"/>
        </w:rPr>
        <w:t>s</w:t>
      </w:r>
      <w:r w:rsidRPr="00440A12">
        <w:rPr>
          <w:sz w:val="24"/>
          <w:szCs w:val="24"/>
        </w:rPr>
        <w:t xml:space="preserve">. </w:t>
      </w:r>
      <w:r w:rsidR="00440A12" w:rsidRPr="00440A12">
        <w:rPr>
          <w:sz w:val="24"/>
          <w:szCs w:val="24"/>
        </w:rPr>
        <w:t>The Municipal wastewater treatment plants are located througho</w:t>
      </w:r>
      <w:r w:rsidR="00440A12">
        <w:rPr>
          <w:sz w:val="24"/>
          <w:szCs w:val="24"/>
        </w:rPr>
        <w:t>ut</w:t>
      </w:r>
      <w:r w:rsidR="0053697B">
        <w:rPr>
          <w:sz w:val="24"/>
          <w:szCs w:val="24"/>
        </w:rPr>
        <w:t xml:space="preserve"> and</w:t>
      </w:r>
      <w:r w:rsidR="00440A12">
        <w:rPr>
          <w:sz w:val="24"/>
          <w:szCs w:val="24"/>
        </w:rPr>
        <w:t xml:space="preserve"> the entire San Francisco Bay region</w:t>
      </w:r>
      <w:r w:rsidR="0053697B">
        <w:rPr>
          <w:sz w:val="24"/>
          <w:szCs w:val="24"/>
        </w:rPr>
        <w:t>. The</w:t>
      </w:r>
      <w:r w:rsidR="00440A12">
        <w:rPr>
          <w:sz w:val="24"/>
          <w:szCs w:val="24"/>
        </w:rPr>
        <w:t xml:space="preserve"> Industrial wastewater treatment plants are located </w:t>
      </w:r>
      <w:r w:rsidR="0053697B">
        <w:rPr>
          <w:sz w:val="24"/>
          <w:szCs w:val="24"/>
        </w:rPr>
        <w:t>around</w:t>
      </w:r>
      <w:r w:rsidR="00440A12">
        <w:rPr>
          <w:sz w:val="24"/>
          <w:szCs w:val="24"/>
        </w:rPr>
        <w:t xml:space="preserve"> San Pablo Bay, Carquinez Strait, and Suisun Bay. </w:t>
      </w:r>
    </w:p>
    <w:p w14:paraId="00760778" w14:textId="7F6D9F6D" w:rsidR="004E242D" w:rsidRPr="00570B42" w:rsidRDefault="004E242D" w:rsidP="00033C74">
      <w:pPr>
        <w:rPr>
          <w:sz w:val="24"/>
          <w:szCs w:val="24"/>
        </w:rPr>
      </w:pPr>
    </w:p>
    <w:p w14:paraId="4B093B45" w14:textId="56F38814" w:rsidR="001411D9" w:rsidRPr="00570B42" w:rsidRDefault="000106ED" w:rsidP="00F009DF">
      <w:pPr>
        <w:pStyle w:val="ListParagraph"/>
        <w:numPr>
          <w:ilvl w:val="0"/>
          <w:numId w:val="27"/>
        </w:numPr>
        <w:tabs>
          <w:tab w:val="left" w:pos="7830"/>
        </w:tabs>
        <w:rPr>
          <w:sz w:val="24"/>
          <w:szCs w:val="24"/>
        </w:rPr>
      </w:pPr>
      <w:r w:rsidRPr="00570B42">
        <w:rPr>
          <w:b/>
          <w:sz w:val="24"/>
          <w:szCs w:val="24"/>
        </w:rPr>
        <w:t>Wastewater Treatment</w:t>
      </w:r>
      <w:r w:rsidR="00033C74" w:rsidRPr="00570B42">
        <w:rPr>
          <w:b/>
          <w:sz w:val="24"/>
          <w:szCs w:val="24"/>
        </w:rPr>
        <w:t xml:space="preserve">. </w:t>
      </w:r>
      <w:r w:rsidR="00431B57">
        <w:rPr>
          <w:sz w:val="24"/>
          <w:szCs w:val="24"/>
        </w:rPr>
        <w:t xml:space="preserve">Municipal wastewater treatment plants provide secondary treatment, which includes screening, </w:t>
      </w:r>
      <w:r w:rsidR="00DB2C6B">
        <w:rPr>
          <w:sz w:val="24"/>
          <w:szCs w:val="24"/>
        </w:rPr>
        <w:t xml:space="preserve">skimming, </w:t>
      </w:r>
      <w:r w:rsidR="00431B57">
        <w:rPr>
          <w:sz w:val="24"/>
          <w:szCs w:val="24"/>
        </w:rPr>
        <w:t xml:space="preserve">settling, and biological treatment.  </w:t>
      </w:r>
      <w:r w:rsidR="00431B57" w:rsidRPr="00431B57">
        <w:rPr>
          <w:sz w:val="24"/>
          <w:szCs w:val="24"/>
        </w:rPr>
        <w:t xml:space="preserve">Some plants also provide advanced </w:t>
      </w:r>
      <w:r w:rsidR="00431B57">
        <w:rPr>
          <w:sz w:val="24"/>
          <w:szCs w:val="24"/>
        </w:rPr>
        <w:t xml:space="preserve">secondary </w:t>
      </w:r>
      <w:r w:rsidR="00431B57" w:rsidRPr="00431B57">
        <w:rPr>
          <w:sz w:val="24"/>
          <w:szCs w:val="24"/>
        </w:rPr>
        <w:t xml:space="preserve">treatment, which removes additional solids often with sand filtration. Removing additional solids removes additional pollutants, </w:t>
      </w:r>
      <w:r w:rsidR="00431B57">
        <w:rPr>
          <w:sz w:val="24"/>
          <w:szCs w:val="24"/>
        </w:rPr>
        <w:t>including</w:t>
      </w:r>
      <w:r w:rsidR="00431B57" w:rsidRPr="00431B57">
        <w:rPr>
          <w:sz w:val="24"/>
          <w:szCs w:val="24"/>
        </w:rPr>
        <w:t xml:space="preserve"> </w:t>
      </w:r>
      <w:r w:rsidR="00431B57" w:rsidRPr="00431B57">
        <w:rPr>
          <w:sz w:val="24"/>
          <w:szCs w:val="24"/>
        </w:rPr>
        <w:lastRenderedPageBreak/>
        <w:t>mercury and PCBs</w:t>
      </w:r>
      <w:r w:rsidR="00431B57">
        <w:rPr>
          <w:sz w:val="24"/>
          <w:szCs w:val="24"/>
        </w:rPr>
        <w:t xml:space="preserve"> that</w:t>
      </w:r>
      <w:r w:rsidR="00693FF3">
        <w:rPr>
          <w:sz w:val="24"/>
          <w:szCs w:val="24"/>
        </w:rPr>
        <w:t xml:space="preserve"> adhere to particles. </w:t>
      </w:r>
      <w:r w:rsidR="00431B57" w:rsidRPr="00431B57">
        <w:rPr>
          <w:sz w:val="24"/>
          <w:szCs w:val="24"/>
        </w:rPr>
        <w:t xml:space="preserve">Municipal wastewater treatment plants generally remove over </w:t>
      </w:r>
      <w:r w:rsidR="00431B57">
        <w:rPr>
          <w:sz w:val="24"/>
          <w:szCs w:val="24"/>
        </w:rPr>
        <w:t>90 percent</w:t>
      </w:r>
      <w:r w:rsidR="00431B57" w:rsidRPr="00431B57">
        <w:rPr>
          <w:sz w:val="24"/>
          <w:szCs w:val="24"/>
        </w:rPr>
        <w:t xml:space="preserve"> of the mercury and PCBs in their influent. While the removed mercury and PCBs are not directly discharged to water, some is returned to the environment through landfills, incinerators, or soil amendments. The primary sources of mercury in municipal wastewater are expected to be human waste and </w:t>
      </w:r>
      <w:r w:rsidR="00431B57">
        <w:rPr>
          <w:sz w:val="24"/>
          <w:szCs w:val="24"/>
        </w:rPr>
        <w:t>m</w:t>
      </w:r>
      <w:r w:rsidR="00693FF3">
        <w:rPr>
          <w:sz w:val="24"/>
          <w:szCs w:val="24"/>
        </w:rPr>
        <w:t xml:space="preserve">edical and dental facilities. </w:t>
      </w:r>
    </w:p>
    <w:p w14:paraId="3C339425" w14:textId="1288B185" w:rsidR="00033C74" w:rsidRDefault="00033C74" w:rsidP="00431B57">
      <w:pPr>
        <w:pStyle w:val="ListParagraph"/>
        <w:tabs>
          <w:tab w:val="left" w:pos="7830"/>
        </w:tabs>
        <w:ind w:left="1080"/>
        <w:rPr>
          <w:sz w:val="24"/>
          <w:szCs w:val="24"/>
        </w:rPr>
      </w:pPr>
    </w:p>
    <w:p w14:paraId="210F08DF" w14:textId="1DB6BEF1" w:rsidR="00693FF3" w:rsidRPr="00693FF3" w:rsidRDefault="00693FF3" w:rsidP="00693FF3">
      <w:pPr>
        <w:pStyle w:val="ListParagraph"/>
        <w:tabs>
          <w:tab w:val="left" w:pos="7830"/>
        </w:tabs>
        <w:ind w:left="1080"/>
        <w:rPr>
          <w:sz w:val="24"/>
          <w:szCs w:val="24"/>
        </w:rPr>
      </w:pPr>
      <w:r w:rsidRPr="00693FF3">
        <w:rPr>
          <w:sz w:val="24"/>
          <w:szCs w:val="24"/>
        </w:rPr>
        <w:t xml:space="preserve">Industrial Dischargers include petroleum refineries, chemical plants, and other large industrial facilities. Their mercury and PCBs loads depend on the types of activities in which </w:t>
      </w:r>
      <w:r w:rsidR="00C6038C">
        <w:rPr>
          <w:sz w:val="24"/>
          <w:szCs w:val="24"/>
        </w:rPr>
        <w:t>they</w:t>
      </w:r>
      <w:r w:rsidRPr="00693FF3">
        <w:rPr>
          <w:sz w:val="24"/>
          <w:szCs w:val="24"/>
        </w:rPr>
        <w:t xml:space="preserve"> engage. The primary sources of PCBs are expected to be human waste and wastewater generated from old industrial equipment that may contain PCBs.</w:t>
      </w:r>
    </w:p>
    <w:p w14:paraId="6E0C3D68" w14:textId="29DA25E1" w:rsidR="00AF404A" w:rsidRPr="00570B42" w:rsidRDefault="00AF404A" w:rsidP="00AF404A">
      <w:pPr>
        <w:tabs>
          <w:tab w:val="left" w:pos="7830"/>
        </w:tabs>
        <w:rPr>
          <w:sz w:val="24"/>
          <w:szCs w:val="24"/>
        </w:rPr>
      </w:pPr>
    </w:p>
    <w:p w14:paraId="40F61963" w14:textId="77777777" w:rsidR="00D34786" w:rsidRPr="00570B42" w:rsidRDefault="00D34786" w:rsidP="00D34786">
      <w:pPr>
        <w:pStyle w:val="Heading2-F"/>
        <w:rPr>
          <w:rFonts w:ascii="Times New Roman" w:hAnsi="Times New Roman"/>
          <w:bCs/>
          <w:sz w:val="24"/>
          <w:szCs w:val="24"/>
        </w:rPr>
      </w:pPr>
      <w:bookmarkStart w:id="203" w:name="_Toc338152909"/>
      <w:bookmarkStart w:id="204" w:name="_Toc340137635"/>
      <w:bookmarkStart w:id="205" w:name="_Toc487829687"/>
      <w:r w:rsidRPr="00570B42">
        <w:rPr>
          <w:rFonts w:ascii="Times New Roman" w:hAnsi="Times New Roman"/>
          <w:bCs/>
          <w:sz w:val="24"/>
          <w:szCs w:val="24"/>
        </w:rPr>
        <w:t>B.</w:t>
      </w:r>
      <w:r w:rsidRPr="00570B42">
        <w:rPr>
          <w:rFonts w:ascii="Times New Roman" w:hAnsi="Times New Roman"/>
          <w:bCs/>
          <w:sz w:val="24"/>
          <w:szCs w:val="24"/>
        </w:rPr>
        <w:tab/>
        <w:t>Discharge Point and Receiving Waters</w:t>
      </w:r>
      <w:bookmarkEnd w:id="199"/>
      <w:bookmarkEnd w:id="200"/>
      <w:bookmarkEnd w:id="201"/>
      <w:bookmarkEnd w:id="202"/>
      <w:bookmarkEnd w:id="203"/>
      <w:bookmarkEnd w:id="204"/>
      <w:bookmarkEnd w:id="205"/>
    </w:p>
    <w:p w14:paraId="3C38B7EB" w14:textId="4DA96E22" w:rsidR="00CA000F" w:rsidRPr="0053697B" w:rsidRDefault="0053697B" w:rsidP="00DE2AD7">
      <w:pPr>
        <w:pStyle w:val="Indent50"/>
        <w:rPr>
          <w:bCs w:val="0"/>
          <w:sz w:val="24"/>
        </w:rPr>
      </w:pPr>
      <w:r>
        <w:rPr>
          <w:bCs w:val="0"/>
          <w:sz w:val="24"/>
        </w:rPr>
        <w:t xml:space="preserve">The Municipal wastewater treatment plants discharge </w:t>
      </w:r>
      <w:r w:rsidR="00DE2AD7">
        <w:rPr>
          <w:bCs w:val="0"/>
          <w:sz w:val="24"/>
        </w:rPr>
        <w:t xml:space="preserve">all throughout San Francisco Bay, </w:t>
      </w:r>
      <w:r w:rsidRPr="0053697B">
        <w:rPr>
          <w:bCs w:val="0"/>
          <w:sz w:val="24"/>
        </w:rPr>
        <w:t>including Lower South Bay, South Bay, Central Bay, San Pablo Bay, Carquinez Strait, Suisun Bay, and connected tributaries.</w:t>
      </w:r>
      <w:r w:rsidR="00DE2AD7">
        <w:rPr>
          <w:bCs w:val="0"/>
          <w:sz w:val="24"/>
        </w:rPr>
        <w:t xml:space="preserve"> Most Industrial wastewater treatment plants discharge to San Pablo Bay, Carquinez Strait, and Suisun Bay. </w:t>
      </w:r>
      <w:r w:rsidR="00DE2AD7" w:rsidRPr="00DE2AD7">
        <w:rPr>
          <w:bCs w:val="0"/>
          <w:sz w:val="24"/>
        </w:rPr>
        <w:t xml:space="preserve">Tables 2A and 2B of this Order </w:t>
      </w:r>
      <w:r w:rsidR="00DE2AD7">
        <w:rPr>
          <w:bCs w:val="0"/>
          <w:sz w:val="24"/>
        </w:rPr>
        <w:t xml:space="preserve">specify the discharge locations for each </w:t>
      </w:r>
      <w:r w:rsidR="000141EE">
        <w:rPr>
          <w:bCs w:val="0"/>
          <w:sz w:val="24"/>
        </w:rPr>
        <w:t>facility</w:t>
      </w:r>
      <w:r w:rsidR="00DE2AD7">
        <w:rPr>
          <w:bCs w:val="0"/>
          <w:sz w:val="24"/>
        </w:rPr>
        <w:t xml:space="preserve">. </w:t>
      </w:r>
      <w:r w:rsidR="00DE2AD7">
        <w:rPr>
          <w:sz w:val="24"/>
        </w:rPr>
        <w:t>Attachment C shows a map of the</w:t>
      </w:r>
      <w:r w:rsidR="000141EE">
        <w:rPr>
          <w:sz w:val="24"/>
        </w:rPr>
        <w:t>se</w:t>
      </w:r>
      <w:r w:rsidR="00DE2AD7">
        <w:rPr>
          <w:sz w:val="24"/>
        </w:rPr>
        <w:t xml:space="preserve"> discharge locations.</w:t>
      </w:r>
    </w:p>
    <w:p w14:paraId="66F47AC0" w14:textId="02F05341" w:rsidR="00D34786" w:rsidRPr="00570B42" w:rsidRDefault="00B8496E" w:rsidP="00D34786">
      <w:pPr>
        <w:pStyle w:val="Heading2-F"/>
        <w:rPr>
          <w:rFonts w:ascii="Times New Roman" w:hAnsi="Times New Roman" w:cs="Times New Roman"/>
          <w:sz w:val="24"/>
          <w:szCs w:val="24"/>
        </w:rPr>
      </w:pPr>
      <w:bookmarkStart w:id="206" w:name="_Toc487829688"/>
      <w:bookmarkStart w:id="207" w:name="_Toc85803943"/>
      <w:bookmarkStart w:id="208" w:name="_Toc92870796"/>
      <w:bookmarkStart w:id="209" w:name="_Toc125358800"/>
      <w:bookmarkStart w:id="210" w:name="_Toc140484492"/>
      <w:bookmarkStart w:id="211" w:name="_Toc338152910"/>
      <w:bookmarkStart w:id="212" w:name="_Toc340137636"/>
      <w:r w:rsidRPr="00570B42">
        <w:rPr>
          <w:rFonts w:ascii="Times New Roman" w:hAnsi="Times New Roman" w:cs="Times New Roman"/>
          <w:sz w:val="24"/>
          <w:szCs w:val="24"/>
        </w:rPr>
        <w:t>C</w:t>
      </w:r>
      <w:r w:rsidR="00D34786" w:rsidRPr="00570B42">
        <w:rPr>
          <w:rFonts w:ascii="Times New Roman" w:hAnsi="Times New Roman" w:cs="Times New Roman"/>
          <w:sz w:val="24"/>
          <w:szCs w:val="24"/>
        </w:rPr>
        <w:t>.</w:t>
      </w:r>
      <w:r w:rsidR="00D34786" w:rsidRPr="00570B42">
        <w:rPr>
          <w:rFonts w:ascii="Times New Roman" w:hAnsi="Times New Roman" w:cs="Times New Roman"/>
          <w:sz w:val="24"/>
          <w:szCs w:val="24"/>
        </w:rPr>
        <w:tab/>
      </w:r>
      <w:r w:rsidR="007F32B4" w:rsidRPr="00570B42">
        <w:rPr>
          <w:rFonts w:ascii="Times New Roman" w:hAnsi="Times New Roman" w:cs="Times New Roman"/>
          <w:sz w:val="24"/>
          <w:szCs w:val="24"/>
        </w:rPr>
        <w:t>Previous</w:t>
      </w:r>
      <w:r w:rsidR="00D34786" w:rsidRPr="00570B42">
        <w:rPr>
          <w:rFonts w:ascii="Times New Roman" w:hAnsi="Times New Roman" w:cs="Times New Roman"/>
          <w:sz w:val="24"/>
          <w:szCs w:val="24"/>
        </w:rPr>
        <w:t xml:space="preserve"> Requirements</w:t>
      </w:r>
      <w:bookmarkEnd w:id="206"/>
      <w:r w:rsidR="00D34786" w:rsidRPr="00570B42">
        <w:rPr>
          <w:rFonts w:ascii="Times New Roman" w:hAnsi="Times New Roman" w:cs="Times New Roman"/>
          <w:sz w:val="24"/>
          <w:szCs w:val="24"/>
        </w:rPr>
        <w:t xml:space="preserve"> </w:t>
      </w:r>
      <w:bookmarkEnd w:id="207"/>
      <w:bookmarkEnd w:id="208"/>
      <w:bookmarkEnd w:id="209"/>
      <w:bookmarkEnd w:id="210"/>
      <w:bookmarkEnd w:id="211"/>
      <w:bookmarkEnd w:id="212"/>
    </w:p>
    <w:p w14:paraId="4377A6AD" w14:textId="3AEB2959" w:rsidR="00241157" w:rsidRPr="00275220" w:rsidRDefault="00275220" w:rsidP="00275220">
      <w:pPr>
        <w:pStyle w:val="BodyText"/>
        <w:ind w:left="720"/>
        <w:rPr>
          <w:rFonts w:ascii="Times New Roman" w:hAnsi="Times New Roman" w:cs="Times New Roman"/>
          <w:sz w:val="24"/>
        </w:rPr>
      </w:pPr>
      <w:r>
        <w:rPr>
          <w:rFonts w:ascii="Times New Roman" w:hAnsi="Times New Roman" w:cs="Times New Roman"/>
          <w:sz w:val="24"/>
        </w:rPr>
        <w:t>The effluent</w:t>
      </w:r>
      <w:r w:rsidR="00343542">
        <w:rPr>
          <w:rFonts w:ascii="Times New Roman" w:hAnsi="Times New Roman" w:cs="Times New Roman"/>
          <w:sz w:val="24"/>
        </w:rPr>
        <w:t xml:space="preserve"> limitations from the previous o</w:t>
      </w:r>
      <w:r>
        <w:rPr>
          <w:rFonts w:ascii="Times New Roman" w:hAnsi="Times New Roman" w:cs="Times New Roman"/>
          <w:sz w:val="24"/>
        </w:rPr>
        <w:t xml:space="preserve">rder term remain unchanged in this Order. </w:t>
      </w:r>
      <w:bookmarkStart w:id="213" w:name="_GoBack"/>
      <w:bookmarkEnd w:id="213"/>
    </w:p>
    <w:p w14:paraId="60422193" w14:textId="77777777" w:rsidR="00D77645" w:rsidRPr="00570B42" w:rsidRDefault="00B8496E" w:rsidP="00D77645">
      <w:pPr>
        <w:pStyle w:val="Heading2-F"/>
        <w:rPr>
          <w:rFonts w:ascii="Times New Roman" w:hAnsi="Times New Roman" w:cs="Times New Roman"/>
          <w:sz w:val="24"/>
          <w:szCs w:val="24"/>
        </w:rPr>
      </w:pPr>
      <w:bookmarkStart w:id="214" w:name="_Toc85803944"/>
      <w:bookmarkStart w:id="215" w:name="_Toc92870797"/>
      <w:bookmarkStart w:id="216" w:name="_Toc125358801"/>
      <w:bookmarkStart w:id="217" w:name="_Toc140484493"/>
      <w:bookmarkStart w:id="218" w:name="_Toc338152911"/>
      <w:bookmarkStart w:id="219" w:name="_Toc340137637"/>
      <w:bookmarkStart w:id="220" w:name="_Toc487829689"/>
      <w:r w:rsidRPr="00570B42">
        <w:rPr>
          <w:rFonts w:ascii="Times New Roman" w:hAnsi="Times New Roman" w:cs="Times New Roman"/>
          <w:sz w:val="24"/>
          <w:szCs w:val="24"/>
        </w:rPr>
        <w:t>D</w:t>
      </w:r>
      <w:r w:rsidR="00D77645" w:rsidRPr="00570B42">
        <w:rPr>
          <w:rFonts w:ascii="Times New Roman" w:hAnsi="Times New Roman" w:cs="Times New Roman"/>
          <w:sz w:val="24"/>
          <w:szCs w:val="24"/>
        </w:rPr>
        <w:t>.</w:t>
      </w:r>
      <w:r w:rsidR="00D77645" w:rsidRPr="00570B42">
        <w:rPr>
          <w:rFonts w:ascii="Times New Roman" w:hAnsi="Times New Roman" w:cs="Times New Roman"/>
          <w:sz w:val="24"/>
          <w:szCs w:val="24"/>
        </w:rPr>
        <w:tab/>
        <w:t>Compliance Summary</w:t>
      </w:r>
      <w:bookmarkEnd w:id="214"/>
      <w:bookmarkEnd w:id="215"/>
      <w:bookmarkEnd w:id="216"/>
      <w:bookmarkEnd w:id="217"/>
      <w:bookmarkEnd w:id="218"/>
      <w:bookmarkEnd w:id="219"/>
      <w:bookmarkEnd w:id="220"/>
    </w:p>
    <w:p w14:paraId="76EE7B1A" w14:textId="4E1B6464" w:rsidR="003A7B62" w:rsidRDefault="002616E7" w:rsidP="00F009DF">
      <w:pPr>
        <w:pStyle w:val="ListParagraph"/>
        <w:keepNext/>
        <w:numPr>
          <w:ilvl w:val="0"/>
          <w:numId w:val="32"/>
        </w:numPr>
        <w:tabs>
          <w:tab w:val="left" w:pos="1080"/>
        </w:tabs>
        <w:spacing w:after="240"/>
        <w:contextualSpacing w:val="0"/>
        <w:rPr>
          <w:sz w:val="24"/>
          <w:szCs w:val="24"/>
        </w:rPr>
      </w:pPr>
      <w:r>
        <w:rPr>
          <w:b/>
          <w:sz w:val="24"/>
          <w:szCs w:val="24"/>
        </w:rPr>
        <w:t>Mercury</w:t>
      </w:r>
      <w:r w:rsidR="00033C74" w:rsidRPr="00570B42">
        <w:rPr>
          <w:b/>
          <w:sz w:val="24"/>
          <w:szCs w:val="24"/>
        </w:rPr>
        <w:t>.</w:t>
      </w:r>
      <w:r w:rsidR="00033C74" w:rsidRPr="00570B42">
        <w:rPr>
          <w:sz w:val="24"/>
          <w:szCs w:val="24"/>
        </w:rPr>
        <w:t xml:space="preserve"> </w:t>
      </w:r>
      <w:r>
        <w:rPr>
          <w:sz w:val="24"/>
          <w:szCs w:val="24"/>
        </w:rPr>
        <w:t xml:space="preserve">Mercury loads for Municipal and Industrial Dischargers have been well below their mass allocations since the previous </w:t>
      </w:r>
      <w:r w:rsidR="00C937DA">
        <w:rPr>
          <w:sz w:val="24"/>
          <w:szCs w:val="24"/>
        </w:rPr>
        <w:t xml:space="preserve">order </w:t>
      </w:r>
      <w:r>
        <w:rPr>
          <w:sz w:val="24"/>
          <w:szCs w:val="24"/>
        </w:rPr>
        <w:t>became effective in 201</w:t>
      </w:r>
      <w:r w:rsidR="005267B5">
        <w:rPr>
          <w:sz w:val="24"/>
          <w:szCs w:val="24"/>
        </w:rPr>
        <w:t>3</w:t>
      </w:r>
      <w:r w:rsidR="003A7B62">
        <w:rPr>
          <w:sz w:val="24"/>
          <w:szCs w:val="24"/>
        </w:rPr>
        <w:t xml:space="preserve">, </w:t>
      </w:r>
      <w:r w:rsidR="00B00210">
        <w:rPr>
          <w:sz w:val="24"/>
          <w:szCs w:val="24"/>
        </w:rPr>
        <w:t xml:space="preserve">and </w:t>
      </w:r>
      <w:r w:rsidR="00073844">
        <w:rPr>
          <w:sz w:val="24"/>
          <w:szCs w:val="24"/>
        </w:rPr>
        <w:t xml:space="preserve">has been </w:t>
      </w:r>
      <w:r w:rsidR="00B00210">
        <w:rPr>
          <w:sz w:val="24"/>
          <w:szCs w:val="24"/>
        </w:rPr>
        <w:t xml:space="preserve">consistently low in the years </w:t>
      </w:r>
      <w:r w:rsidR="00073844">
        <w:rPr>
          <w:sz w:val="24"/>
          <w:szCs w:val="24"/>
        </w:rPr>
        <w:t>prior to 201</w:t>
      </w:r>
      <w:r w:rsidR="005267B5">
        <w:rPr>
          <w:sz w:val="24"/>
          <w:szCs w:val="24"/>
        </w:rPr>
        <w:t>3</w:t>
      </w:r>
      <w:r w:rsidR="00B00210">
        <w:rPr>
          <w:sz w:val="24"/>
          <w:szCs w:val="24"/>
        </w:rPr>
        <w:t xml:space="preserve">, </w:t>
      </w:r>
      <w:r w:rsidR="003A7B62">
        <w:rPr>
          <w:sz w:val="24"/>
          <w:szCs w:val="24"/>
        </w:rPr>
        <w:t>as shown in the charts below.</w:t>
      </w:r>
    </w:p>
    <w:p w14:paraId="640EDF5D" w14:textId="57C2CB00" w:rsidR="00033C74" w:rsidRDefault="00AC1B66" w:rsidP="003A7B62">
      <w:pPr>
        <w:pStyle w:val="ListParagraph"/>
        <w:keepNext/>
        <w:tabs>
          <w:tab w:val="left" w:pos="1080"/>
        </w:tabs>
        <w:spacing w:after="240"/>
        <w:ind w:left="1080"/>
        <w:contextualSpacing w:val="0"/>
        <w:rPr>
          <w:sz w:val="24"/>
          <w:szCs w:val="24"/>
        </w:rPr>
      </w:pPr>
      <w:r>
        <w:rPr>
          <w:noProof/>
        </w:rPr>
        <w:drawing>
          <wp:inline distT="0" distB="0" distL="0" distR="0" wp14:anchorId="6A887302" wp14:editId="484A0C46">
            <wp:extent cx="2794958" cy="1689705"/>
            <wp:effectExtent l="0" t="0" r="571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2812503" cy="1700312"/>
                    </a:xfrm>
                    <a:prstGeom prst="rect">
                      <a:avLst/>
                    </a:prstGeom>
                  </pic:spPr>
                </pic:pic>
              </a:graphicData>
            </a:graphic>
          </wp:inline>
        </w:drawing>
      </w:r>
      <w:r w:rsidR="00F01029">
        <w:rPr>
          <w:noProof/>
          <w:sz w:val="24"/>
          <w:szCs w:val="24"/>
        </w:rPr>
        <w:drawing>
          <wp:inline distT="0" distB="0" distL="0" distR="0" wp14:anchorId="6115F18E" wp14:editId="0A2888B3">
            <wp:extent cx="2807266" cy="169904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835059" cy="1715864"/>
                    </a:xfrm>
                    <a:prstGeom prst="rect">
                      <a:avLst/>
                    </a:prstGeom>
                    <a:noFill/>
                    <a:ln>
                      <a:noFill/>
                    </a:ln>
                  </pic:spPr>
                </pic:pic>
              </a:graphicData>
            </a:graphic>
          </wp:inline>
        </w:drawing>
      </w:r>
      <w:r w:rsidR="002616E7">
        <w:rPr>
          <w:sz w:val="24"/>
          <w:szCs w:val="24"/>
        </w:rPr>
        <w:t xml:space="preserve"> </w:t>
      </w:r>
      <w:r w:rsidR="00033C74" w:rsidRPr="00570B42">
        <w:rPr>
          <w:sz w:val="24"/>
          <w:szCs w:val="24"/>
        </w:rPr>
        <w:t xml:space="preserve"> </w:t>
      </w:r>
    </w:p>
    <w:p w14:paraId="5E104DFE" w14:textId="1ACDA885" w:rsidR="00FF1970" w:rsidRDefault="008B5E73" w:rsidP="008B5E73">
      <w:pPr>
        <w:pStyle w:val="H-indent5025"/>
        <w:tabs>
          <w:tab w:val="clear" w:pos="1080"/>
          <w:tab w:val="left" w:pos="1440"/>
        </w:tabs>
        <w:spacing w:after="0"/>
        <w:ind w:left="1440"/>
        <w:rPr>
          <w:rFonts w:ascii="Times New Roman" w:hAnsi="Times New Roman" w:cs="Times New Roman"/>
        </w:rPr>
      </w:pPr>
      <w:r w:rsidRPr="00570B42">
        <w:rPr>
          <w:rFonts w:ascii="Times New Roman" w:hAnsi="Times New Roman" w:cs="Times New Roman"/>
          <w:b/>
        </w:rPr>
        <w:t>a.</w:t>
      </w:r>
      <w:r w:rsidRPr="00570B42">
        <w:rPr>
          <w:rFonts w:ascii="Times New Roman" w:hAnsi="Times New Roman" w:cs="Times New Roman"/>
        </w:rPr>
        <w:tab/>
      </w:r>
      <w:r>
        <w:rPr>
          <w:rFonts w:ascii="Times New Roman" w:hAnsi="Times New Roman" w:cs="Times New Roman"/>
          <w:b/>
        </w:rPr>
        <w:t>Municipal Dischargers</w:t>
      </w:r>
      <w:r w:rsidRPr="00570B42">
        <w:rPr>
          <w:rFonts w:ascii="Times New Roman" w:hAnsi="Times New Roman" w:cs="Times New Roman"/>
          <w:b/>
        </w:rPr>
        <w:t xml:space="preserve"> —</w:t>
      </w:r>
      <w:r>
        <w:rPr>
          <w:rFonts w:ascii="Times New Roman" w:hAnsi="Times New Roman" w:cs="Times New Roman"/>
        </w:rPr>
        <w:t xml:space="preserve"> </w:t>
      </w:r>
      <w:r w:rsidRPr="008B5E73">
        <w:rPr>
          <w:rFonts w:ascii="Times New Roman" w:hAnsi="Times New Roman" w:cs="Times New Roman"/>
        </w:rPr>
        <w:t xml:space="preserve">In 2015, the municipal load was 2.2 kg/year, the lowest loading yet recorded. </w:t>
      </w:r>
      <w:r w:rsidR="00447AC7" w:rsidRPr="00447AC7">
        <w:rPr>
          <w:rFonts w:ascii="Times New Roman" w:hAnsi="Times New Roman" w:cs="Times New Roman"/>
        </w:rPr>
        <w:t>In 2016, the municipal load was 2.9 kg/year, which is comparable to the performance throughout the previous order term. The average municipal load of the previous order term was 75 percent below the mass allocation of 11 kg/year.</w:t>
      </w:r>
    </w:p>
    <w:p w14:paraId="61BD9CF5" w14:textId="5CA4B9B7" w:rsidR="00D267F1" w:rsidRDefault="00D267F1" w:rsidP="008B5E73">
      <w:pPr>
        <w:pStyle w:val="H-indent5025"/>
        <w:tabs>
          <w:tab w:val="clear" w:pos="1080"/>
          <w:tab w:val="left" w:pos="1440"/>
        </w:tabs>
        <w:spacing w:after="0"/>
        <w:ind w:left="1440"/>
        <w:rPr>
          <w:rFonts w:ascii="Times New Roman" w:hAnsi="Times New Roman" w:cs="Times New Roman"/>
        </w:rPr>
      </w:pPr>
    </w:p>
    <w:p w14:paraId="1E7ACB11" w14:textId="6AF19ACD" w:rsidR="00447AC7" w:rsidRDefault="00447AC7" w:rsidP="00447AC7">
      <w:pPr>
        <w:pStyle w:val="H-indent5025"/>
        <w:tabs>
          <w:tab w:val="clear" w:pos="1080"/>
          <w:tab w:val="left" w:pos="1440"/>
        </w:tabs>
        <w:spacing w:after="0"/>
        <w:ind w:left="1440"/>
        <w:rPr>
          <w:rFonts w:ascii="Times New Roman" w:hAnsi="Times New Roman" w:cs="Times New Roman"/>
        </w:rPr>
      </w:pPr>
      <w:r>
        <w:rPr>
          <w:rFonts w:ascii="Times New Roman" w:hAnsi="Times New Roman" w:cs="Times New Roman"/>
        </w:rPr>
        <w:tab/>
        <w:t>In the last order term, t</w:t>
      </w:r>
      <w:r w:rsidRPr="00FF1970">
        <w:rPr>
          <w:rFonts w:ascii="Times New Roman" w:hAnsi="Times New Roman" w:cs="Times New Roman"/>
        </w:rPr>
        <w:t xml:space="preserve">he most significant exceedance of mercury effluent limitations </w:t>
      </w:r>
      <w:r>
        <w:rPr>
          <w:rFonts w:ascii="Times New Roman" w:hAnsi="Times New Roman" w:cs="Times New Roman"/>
        </w:rPr>
        <w:t xml:space="preserve">occurred </w:t>
      </w:r>
      <w:r w:rsidRPr="00FF1970">
        <w:rPr>
          <w:rFonts w:ascii="Times New Roman" w:hAnsi="Times New Roman" w:cs="Times New Roman"/>
        </w:rPr>
        <w:t xml:space="preserve">from the U.S. Department of Navy Treasure Island Wastewater Treatment Plant, which violated </w:t>
      </w:r>
      <w:r w:rsidR="00E46DD4">
        <w:rPr>
          <w:rFonts w:ascii="Times New Roman" w:hAnsi="Times New Roman" w:cs="Times New Roman"/>
        </w:rPr>
        <w:t>its average weekly effluent limitation three times and its average monthly effluent limitation twice</w:t>
      </w:r>
      <w:r w:rsidRPr="00FF1970">
        <w:rPr>
          <w:rFonts w:ascii="Times New Roman" w:hAnsi="Times New Roman" w:cs="Times New Roman"/>
        </w:rPr>
        <w:t xml:space="preserve"> between January and </w:t>
      </w:r>
      <w:r w:rsidR="00E46DD4">
        <w:rPr>
          <w:rFonts w:ascii="Times New Roman" w:hAnsi="Times New Roman" w:cs="Times New Roman"/>
        </w:rPr>
        <w:t>February</w:t>
      </w:r>
      <w:r w:rsidRPr="00FF1970">
        <w:rPr>
          <w:rFonts w:ascii="Times New Roman" w:hAnsi="Times New Roman" w:cs="Times New Roman"/>
        </w:rPr>
        <w:t xml:space="preserve"> 2013. The U.S. Department of </w:t>
      </w:r>
      <w:r w:rsidRPr="00FF1970">
        <w:rPr>
          <w:rFonts w:ascii="Times New Roman" w:hAnsi="Times New Roman" w:cs="Times New Roman"/>
        </w:rPr>
        <w:lastRenderedPageBreak/>
        <w:t xml:space="preserve">Navy </w:t>
      </w:r>
      <w:r>
        <w:rPr>
          <w:rFonts w:ascii="Times New Roman" w:hAnsi="Times New Roman" w:cs="Times New Roman"/>
        </w:rPr>
        <w:t>determined that mercury-</w:t>
      </w:r>
      <w:r w:rsidRPr="00FF1970">
        <w:rPr>
          <w:rFonts w:ascii="Times New Roman" w:hAnsi="Times New Roman" w:cs="Times New Roman"/>
        </w:rPr>
        <w:t>contaminated sediment may be present at its treatment plant</w:t>
      </w:r>
      <w:r>
        <w:rPr>
          <w:rFonts w:ascii="Times New Roman" w:hAnsi="Times New Roman" w:cs="Times New Roman"/>
        </w:rPr>
        <w:t xml:space="preserve"> and cleaned out sediment from the potential onsite sources (e.g., sumps, junction box).</w:t>
      </w:r>
      <w:r w:rsidRPr="00FF1970">
        <w:rPr>
          <w:rFonts w:ascii="Times New Roman" w:hAnsi="Times New Roman" w:cs="Times New Roman"/>
        </w:rPr>
        <w:t xml:space="preserve"> </w:t>
      </w:r>
      <w:r>
        <w:rPr>
          <w:rFonts w:ascii="Times New Roman" w:hAnsi="Times New Roman" w:cs="Times New Roman"/>
        </w:rPr>
        <w:t>There have been no exceedances of mercury limitations or triggers since March 2013.</w:t>
      </w:r>
    </w:p>
    <w:p w14:paraId="36759060" w14:textId="77777777" w:rsidR="00447AC7" w:rsidRPr="008B5E73" w:rsidRDefault="00447AC7" w:rsidP="008B5E73">
      <w:pPr>
        <w:pStyle w:val="H-indent5025"/>
        <w:tabs>
          <w:tab w:val="clear" w:pos="1080"/>
          <w:tab w:val="left" w:pos="1440"/>
        </w:tabs>
        <w:spacing w:after="0"/>
        <w:ind w:left="1440"/>
        <w:rPr>
          <w:rFonts w:ascii="Times New Roman" w:hAnsi="Times New Roman" w:cs="Times New Roman"/>
        </w:rPr>
      </w:pPr>
    </w:p>
    <w:p w14:paraId="3345EB08" w14:textId="05C2E021" w:rsidR="00D267F1" w:rsidRDefault="00D267F1" w:rsidP="00D267F1">
      <w:pPr>
        <w:pStyle w:val="H-indent5025"/>
        <w:tabs>
          <w:tab w:val="clear" w:pos="1080"/>
          <w:tab w:val="left" w:pos="1440"/>
        </w:tabs>
        <w:spacing w:after="0"/>
        <w:ind w:left="1440"/>
        <w:rPr>
          <w:rFonts w:ascii="Times New Roman" w:hAnsi="Times New Roman" w:cs="Times New Roman"/>
        </w:rPr>
      </w:pPr>
      <w:r>
        <w:rPr>
          <w:rFonts w:ascii="Times New Roman" w:hAnsi="Times New Roman" w:cs="Times New Roman"/>
          <w:b/>
        </w:rPr>
        <w:t>b</w:t>
      </w:r>
      <w:r w:rsidRPr="00570B42">
        <w:rPr>
          <w:rFonts w:ascii="Times New Roman" w:hAnsi="Times New Roman" w:cs="Times New Roman"/>
          <w:b/>
        </w:rPr>
        <w:t>.</w:t>
      </w:r>
      <w:r w:rsidRPr="00570B42">
        <w:rPr>
          <w:rFonts w:ascii="Times New Roman" w:hAnsi="Times New Roman" w:cs="Times New Roman"/>
        </w:rPr>
        <w:tab/>
      </w:r>
      <w:r>
        <w:rPr>
          <w:rFonts w:ascii="Times New Roman" w:hAnsi="Times New Roman" w:cs="Times New Roman"/>
          <w:b/>
        </w:rPr>
        <w:t>Industrial Dischargers</w:t>
      </w:r>
      <w:r w:rsidRPr="00570B42">
        <w:rPr>
          <w:rFonts w:ascii="Times New Roman" w:hAnsi="Times New Roman" w:cs="Times New Roman"/>
          <w:b/>
        </w:rPr>
        <w:t xml:space="preserve"> —</w:t>
      </w:r>
      <w:r w:rsidRPr="008B5E73">
        <w:rPr>
          <w:rFonts w:ascii="Times New Roman" w:hAnsi="Times New Roman" w:cs="Times New Roman"/>
        </w:rPr>
        <w:t xml:space="preserve">In 2015, the </w:t>
      </w:r>
      <w:r w:rsidR="004C5F47">
        <w:rPr>
          <w:rFonts w:ascii="Times New Roman" w:hAnsi="Times New Roman" w:cs="Times New Roman"/>
        </w:rPr>
        <w:t>industrial</w:t>
      </w:r>
      <w:r w:rsidRPr="008B5E73">
        <w:rPr>
          <w:rFonts w:ascii="Times New Roman" w:hAnsi="Times New Roman" w:cs="Times New Roman"/>
        </w:rPr>
        <w:t xml:space="preserve"> load was </w:t>
      </w:r>
      <w:r>
        <w:rPr>
          <w:rFonts w:ascii="Times New Roman" w:hAnsi="Times New Roman" w:cs="Times New Roman"/>
        </w:rPr>
        <w:t>0.29</w:t>
      </w:r>
      <w:r w:rsidRPr="008B5E73">
        <w:rPr>
          <w:rFonts w:ascii="Times New Roman" w:hAnsi="Times New Roman" w:cs="Times New Roman"/>
        </w:rPr>
        <w:t xml:space="preserve"> kg/year, the lowest loading </w:t>
      </w:r>
      <w:r>
        <w:rPr>
          <w:rFonts w:ascii="Times New Roman" w:hAnsi="Times New Roman" w:cs="Times New Roman"/>
        </w:rPr>
        <w:t>in the previous order term</w:t>
      </w:r>
      <w:r w:rsidRPr="008B5E73">
        <w:rPr>
          <w:rFonts w:ascii="Times New Roman" w:hAnsi="Times New Roman" w:cs="Times New Roman"/>
        </w:rPr>
        <w:t xml:space="preserve">. In 2016, the </w:t>
      </w:r>
      <w:r w:rsidR="00071D55">
        <w:rPr>
          <w:rFonts w:ascii="Times New Roman" w:hAnsi="Times New Roman" w:cs="Times New Roman"/>
        </w:rPr>
        <w:t>industrial</w:t>
      </w:r>
      <w:r w:rsidR="00071D55" w:rsidRPr="008B5E73">
        <w:rPr>
          <w:rFonts w:ascii="Times New Roman" w:hAnsi="Times New Roman" w:cs="Times New Roman"/>
        </w:rPr>
        <w:t xml:space="preserve"> </w:t>
      </w:r>
      <w:r w:rsidRPr="008B5E73">
        <w:rPr>
          <w:rFonts w:ascii="Times New Roman" w:hAnsi="Times New Roman" w:cs="Times New Roman"/>
        </w:rPr>
        <w:t xml:space="preserve">load was </w:t>
      </w:r>
      <w:r>
        <w:rPr>
          <w:rFonts w:ascii="Times New Roman" w:hAnsi="Times New Roman" w:cs="Times New Roman"/>
        </w:rPr>
        <w:t>0.31</w:t>
      </w:r>
      <w:r w:rsidRPr="008B5E73">
        <w:rPr>
          <w:rFonts w:ascii="Times New Roman" w:hAnsi="Times New Roman" w:cs="Times New Roman"/>
        </w:rPr>
        <w:t xml:space="preserve"> kg/year, which is comparable to</w:t>
      </w:r>
      <w:r>
        <w:rPr>
          <w:rFonts w:ascii="Times New Roman" w:hAnsi="Times New Roman" w:cs="Times New Roman"/>
        </w:rPr>
        <w:t xml:space="preserve"> most of</w:t>
      </w:r>
      <w:r w:rsidRPr="008B5E73">
        <w:rPr>
          <w:rFonts w:ascii="Times New Roman" w:hAnsi="Times New Roman" w:cs="Times New Roman"/>
        </w:rPr>
        <w:t xml:space="preserve"> the performance throughout the previous order term. The average </w:t>
      </w:r>
      <w:r w:rsidR="004C5F47">
        <w:rPr>
          <w:rFonts w:ascii="Times New Roman" w:hAnsi="Times New Roman" w:cs="Times New Roman"/>
        </w:rPr>
        <w:t>industrial</w:t>
      </w:r>
      <w:r w:rsidRPr="008B5E73">
        <w:rPr>
          <w:rFonts w:ascii="Times New Roman" w:hAnsi="Times New Roman" w:cs="Times New Roman"/>
        </w:rPr>
        <w:t xml:space="preserve"> load of the previous order term </w:t>
      </w:r>
      <w:r>
        <w:rPr>
          <w:rFonts w:ascii="Times New Roman" w:hAnsi="Times New Roman" w:cs="Times New Roman"/>
        </w:rPr>
        <w:t>was</w:t>
      </w:r>
      <w:r w:rsidRPr="008B5E73">
        <w:rPr>
          <w:rFonts w:ascii="Times New Roman" w:hAnsi="Times New Roman" w:cs="Times New Roman"/>
        </w:rPr>
        <w:t xml:space="preserve"> </w:t>
      </w:r>
      <w:r>
        <w:rPr>
          <w:rFonts w:ascii="Times New Roman" w:hAnsi="Times New Roman" w:cs="Times New Roman"/>
        </w:rPr>
        <w:t>59</w:t>
      </w:r>
      <w:r w:rsidRPr="008B5E73">
        <w:rPr>
          <w:rFonts w:ascii="Times New Roman" w:hAnsi="Times New Roman" w:cs="Times New Roman"/>
        </w:rPr>
        <w:t xml:space="preserve"> percent below the mass allocation of 1</w:t>
      </w:r>
      <w:r>
        <w:rPr>
          <w:rFonts w:ascii="Times New Roman" w:hAnsi="Times New Roman" w:cs="Times New Roman"/>
        </w:rPr>
        <w:t>.0</w:t>
      </w:r>
      <w:r w:rsidRPr="008B5E73">
        <w:rPr>
          <w:rFonts w:ascii="Times New Roman" w:hAnsi="Times New Roman" w:cs="Times New Roman"/>
        </w:rPr>
        <w:t xml:space="preserve"> kg/year.</w:t>
      </w:r>
    </w:p>
    <w:p w14:paraId="1CF62706" w14:textId="79E7FAD4" w:rsidR="00447AC7" w:rsidRDefault="00447AC7" w:rsidP="00D267F1">
      <w:pPr>
        <w:pStyle w:val="H-indent5025"/>
        <w:tabs>
          <w:tab w:val="clear" w:pos="1080"/>
          <w:tab w:val="left" w:pos="1440"/>
        </w:tabs>
        <w:spacing w:after="0"/>
        <w:ind w:left="1440"/>
        <w:rPr>
          <w:rFonts w:ascii="Times New Roman" w:hAnsi="Times New Roman" w:cs="Times New Roman"/>
          <w:b/>
        </w:rPr>
      </w:pPr>
      <w:r>
        <w:rPr>
          <w:rFonts w:ascii="Times New Roman" w:hAnsi="Times New Roman" w:cs="Times New Roman"/>
          <w:b/>
        </w:rPr>
        <w:tab/>
      </w:r>
    </w:p>
    <w:p w14:paraId="538E8D8D" w14:textId="3A331523" w:rsidR="00447AC7" w:rsidRPr="00680D43" w:rsidRDefault="00447AC7" w:rsidP="00680D43">
      <w:pPr>
        <w:pStyle w:val="H-indent5025"/>
        <w:tabs>
          <w:tab w:val="clear" w:pos="1080"/>
          <w:tab w:val="left" w:pos="1440"/>
        </w:tabs>
        <w:spacing w:after="0"/>
        <w:ind w:left="1440"/>
        <w:rPr>
          <w:rFonts w:ascii="Times New Roman" w:hAnsi="Times New Roman" w:cs="Times New Roman"/>
        </w:rPr>
      </w:pPr>
      <w:r>
        <w:rPr>
          <w:rFonts w:ascii="Times New Roman" w:hAnsi="Times New Roman" w:cs="Times New Roman"/>
          <w:b/>
        </w:rPr>
        <w:tab/>
      </w:r>
      <w:r>
        <w:rPr>
          <w:rFonts w:ascii="Times New Roman" w:hAnsi="Times New Roman" w:cs="Times New Roman"/>
        </w:rPr>
        <w:t>In the last order term, the most significant exceedance of mercury effluent limitations occurred from</w:t>
      </w:r>
      <w:r w:rsidR="00DC7F34">
        <w:rPr>
          <w:rFonts w:ascii="Times New Roman" w:hAnsi="Times New Roman" w:cs="Times New Roman"/>
        </w:rPr>
        <w:t xml:space="preserve"> the</w:t>
      </w:r>
      <w:r>
        <w:rPr>
          <w:rFonts w:ascii="Times New Roman" w:hAnsi="Times New Roman" w:cs="Times New Roman"/>
        </w:rPr>
        <w:t xml:space="preserve"> </w:t>
      </w:r>
      <w:r w:rsidR="00DC7F34">
        <w:rPr>
          <w:rFonts w:ascii="Times New Roman" w:hAnsi="Times New Roman" w:cs="Times New Roman"/>
        </w:rPr>
        <w:t>Shell Martinez Refinery</w:t>
      </w:r>
      <w:r w:rsidR="00680D43">
        <w:rPr>
          <w:rFonts w:ascii="Times New Roman" w:hAnsi="Times New Roman" w:cs="Times New Roman"/>
        </w:rPr>
        <w:t>, which violated its maximum daily and average monthly effluent limitations twice between January and February 2017. Shell</w:t>
      </w:r>
      <w:r w:rsidR="00521F1D">
        <w:rPr>
          <w:rFonts w:ascii="Times New Roman" w:hAnsi="Times New Roman" w:cs="Times New Roman"/>
        </w:rPr>
        <w:t xml:space="preserve"> Martinez Refinery</w:t>
      </w:r>
      <w:r w:rsidR="00680D43">
        <w:rPr>
          <w:rFonts w:ascii="Times New Roman" w:hAnsi="Times New Roman" w:cs="Times New Roman"/>
        </w:rPr>
        <w:t xml:space="preserve"> reported the high mercury concentrations were caused from heavy rains that resulted in</w:t>
      </w:r>
      <w:r w:rsidR="00680D43" w:rsidRPr="00680D43">
        <w:rPr>
          <w:rFonts w:ascii="Times New Roman" w:hAnsi="Times New Roman" w:cs="Times New Roman"/>
        </w:rPr>
        <w:t xml:space="preserve"> poor solids removal</w:t>
      </w:r>
      <w:r w:rsidR="00680D43">
        <w:rPr>
          <w:rFonts w:ascii="Times New Roman" w:hAnsi="Times New Roman" w:cs="Times New Roman"/>
        </w:rPr>
        <w:t>. Shell</w:t>
      </w:r>
      <w:r w:rsidR="00521F1D">
        <w:rPr>
          <w:rFonts w:ascii="Times New Roman" w:hAnsi="Times New Roman" w:cs="Times New Roman"/>
        </w:rPr>
        <w:t xml:space="preserve"> Martinez Refinery</w:t>
      </w:r>
      <w:r w:rsidR="00680D43">
        <w:rPr>
          <w:rFonts w:ascii="Times New Roman" w:hAnsi="Times New Roman" w:cs="Times New Roman"/>
        </w:rPr>
        <w:t xml:space="preserve"> reseeded its biotreater with healthier material, increased the frequency of </w:t>
      </w:r>
      <w:r w:rsidR="00680D43" w:rsidRPr="00680D43">
        <w:rPr>
          <w:rFonts w:ascii="Times New Roman" w:hAnsi="Times New Roman" w:cs="Times New Roman"/>
        </w:rPr>
        <w:t>carbon change-outs of granular activated carbon units, and increased the rate of solids removal</w:t>
      </w:r>
      <w:r w:rsidR="00680D43">
        <w:rPr>
          <w:rFonts w:ascii="Times New Roman" w:hAnsi="Times New Roman" w:cs="Times New Roman"/>
        </w:rPr>
        <w:t xml:space="preserve"> at one of its treatment ponds. </w:t>
      </w:r>
    </w:p>
    <w:p w14:paraId="0BD03A29" w14:textId="77777777" w:rsidR="00CC3EB1" w:rsidRPr="008B5E73" w:rsidRDefault="00CC3EB1" w:rsidP="00D267F1">
      <w:pPr>
        <w:pStyle w:val="H-indent5025"/>
        <w:tabs>
          <w:tab w:val="clear" w:pos="1080"/>
          <w:tab w:val="left" w:pos="1440"/>
        </w:tabs>
        <w:spacing w:after="0"/>
        <w:ind w:left="1440"/>
        <w:rPr>
          <w:rFonts w:ascii="Times New Roman" w:hAnsi="Times New Roman" w:cs="Times New Roman"/>
        </w:rPr>
      </w:pPr>
    </w:p>
    <w:p w14:paraId="3ACD730E" w14:textId="412F3588" w:rsidR="00CC3EB1" w:rsidRDefault="00CC3EB1" w:rsidP="00F009DF">
      <w:pPr>
        <w:pStyle w:val="ListParagraph"/>
        <w:keepNext/>
        <w:numPr>
          <w:ilvl w:val="0"/>
          <w:numId w:val="32"/>
        </w:numPr>
        <w:tabs>
          <w:tab w:val="left" w:pos="1080"/>
        </w:tabs>
        <w:spacing w:after="240"/>
        <w:contextualSpacing w:val="0"/>
        <w:rPr>
          <w:sz w:val="24"/>
          <w:szCs w:val="24"/>
        </w:rPr>
      </w:pPr>
      <w:r>
        <w:rPr>
          <w:b/>
          <w:sz w:val="24"/>
          <w:szCs w:val="24"/>
        </w:rPr>
        <w:t>PCBs</w:t>
      </w:r>
      <w:r w:rsidRPr="00570B42">
        <w:rPr>
          <w:b/>
          <w:sz w:val="24"/>
          <w:szCs w:val="24"/>
        </w:rPr>
        <w:t>.</w:t>
      </w:r>
      <w:r w:rsidRPr="00570B42">
        <w:rPr>
          <w:sz w:val="24"/>
          <w:szCs w:val="24"/>
        </w:rPr>
        <w:t xml:space="preserve"> </w:t>
      </w:r>
      <w:r w:rsidR="002C533D">
        <w:rPr>
          <w:sz w:val="24"/>
          <w:szCs w:val="24"/>
        </w:rPr>
        <w:t xml:space="preserve">PCBs </w:t>
      </w:r>
      <w:r>
        <w:rPr>
          <w:sz w:val="24"/>
          <w:szCs w:val="24"/>
        </w:rPr>
        <w:t xml:space="preserve">loads for Municipal and Industrial Dischargers have been well below their mass allocations since the previous </w:t>
      </w:r>
      <w:r w:rsidR="00521F1D">
        <w:rPr>
          <w:sz w:val="24"/>
          <w:szCs w:val="24"/>
        </w:rPr>
        <w:t xml:space="preserve">order </w:t>
      </w:r>
      <w:r>
        <w:rPr>
          <w:sz w:val="24"/>
          <w:szCs w:val="24"/>
        </w:rPr>
        <w:t xml:space="preserve">became effective in 2012, </w:t>
      </w:r>
      <w:r w:rsidR="007C4F91">
        <w:rPr>
          <w:sz w:val="24"/>
          <w:szCs w:val="24"/>
        </w:rPr>
        <w:t>as</w:t>
      </w:r>
      <w:r>
        <w:rPr>
          <w:sz w:val="24"/>
          <w:szCs w:val="24"/>
        </w:rPr>
        <w:t xml:space="preserve"> shown in the charts below.</w:t>
      </w:r>
    </w:p>
    <w:p w14:paraId="50129E5D" w14:textId="0AAB5EC8" w:rsidR="008B5E73" w:rsidRDefault="002C533D" w:rsidP="003A7B62">
      <w:pPr>
        <w:pStyle w:val="ListParagraph"/>
        <w:keepNext/>
        <w:tabs>
          <w:tab w:val="left" w:pos="1080"/>
        </w:tabs>
        <w:spacing w:after="240"/>
        <w:ind w:left="1080"/>
        <w:contextualSpacing w:val="0"/>
        <w:rPr>
          <w:noProof/>
        </w:rPr>
      </w:pPr>
      <w:r>
        <w:rPr>
          <w:noProof/>
        </w:rPr>
        <w:drawing>
          <wp:inline distT="0" distB="0" distL="0" distR="0" wp14:anchorId="0A7ADB7F" wp14:editId="188AB28A">
            <wp:extent cx="2833370" cy="1702471"/>
            <wp:effectExtent l="0" t="0" r="508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2836241" cy="1704196"/>
                    </a:xfrm>
                    <a:prstGeom prst="rect">
                      <a:avLst/>
                    </a:prstGeom>
                  </pic:spPr>
                </pic:pic>
              </a:graphicData>
            </a:graphic>
          </wp:inline>
        </w:drawing>
      </w:r>
      <w:r w:rsidRPr="002C533D">
        <w:rPr>
          <w:noProof/>
        </w:rPr>
        <w:t xml:space="preserve"> </w:t>
      </w:r>
      <w:r>
        <w:rPr>
          <w:noProof/>
        </w:rPr>
        <w:drawing>
          <wp:inline distT="0" distB="0" distL="0" distR="0" wp14:anchorId="35D76429" wp14:editId="217B28C8">
            <wp:extent cx="2828925" cy="1700862"/>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2841242" cy="1708267"/>
                    </a:xfrm>
                    <a:prstGeom prst="rect">
                      <a:avLst/>
                    </a:prstGeom>
                  </pic:spPr>
                </pic:pic>
              </a:graphicData>
            </a:graphic>
          </wp:inline>
        </w:drawing>
      </w:r>
    </w:p>
    <w:p w14:paraId="4A53C9B9" w14:textId="602E0997" w:rsidR="006E67FB" w:rsidRDefault="006E67FB" w:rsidP="00CA59F8">
      <w:pPr>
        <w:pStyle w:val="H-indent5025"/>
        <w:tabs>
          <w:tab w:val="clear" w:pos="1080"/>
          <w:tab w:val="left" w:pos="1440"/>
        </w:tabs>
        <w:spacing w:after="0"/>
        <w:ind w:left="1440"/>
        <w:rPr>
          <w:rFonts w:ascii="Times New Roman" w:hAnsi="Times New Roman" w:cs="Times New Roman"/>
        </w:rPr>
      </w:pPr>
      <w:r w:rsidRPr="00570B42">
        <w:rPr>
          <w:rFonts w:ascii="Times New Roman" w:hAnsi="Times New Roman" w:cs="Times New Roman"/>
          <w:b/>
        </w:rPr>
        <w:t>a.</w:t>
      </w:r>
      <w:r w:rsidRPr="00570B42">
        <w:rPr>
          <w:rFonts w:ascii="Times New Roman" w:hAnsi="Times New Roman" w:cs="Times New Roman"/>
        </w:rPr>
        <w:tab/>
      </w:r>
      <w:r>
        <w:rPr>
          <w:rFonts w:ascii="Times New Roman" w:hAnsi="Times New Roman" w:cs="Times New Roman"/>
          <w:b/>
        </w:rPr>
        <w:t>Municipal Dischargers</w:t>
      </w:r>
      <w:r w:rsidRPr="00570B42">
        <w:rPr>
          <w:rFonts w:ascii="Times New Roman" w:hAnsi="Times New Roman" w:cs="Times New Roman"/>
          <w:b/>
        </w:rPr>
        <w:t xml:space="preserve"> —</w:t>
      </w:r>
      <w:r w:rsidRPr="008B5E73">
        <w:rPr>
          <w:rFonts w:ascii="Times New Roman" w:hAnsi="Times New Roman" w:cs="Times New Roman"/>
        </w:rPr>
        <w:t>In 2016, the municipal</w:t>
      </w:r>
      <w:r w:rsidR="00865A63">
        <w:rPr>
          <w:rFonts w:ascii="Times New Roman" w:hAnsi="Times New Roman" w:cs="Times New Roman"/>
        </w:rPr>
        <w:t xml:space="preserve"> PCBs</w:t>
      </w:r>
      <w:r w:rsidRPr="008B5E73">
        <w:rPr>
          <w:rFonts w:ascii="Times New Roman" w:hAnsi="Times New Roman" w:cs="Times New Roman"/>
        </w:rPr>
        <w:t xml:space="preserve"> load was </w:t>
      </w:r>
      <w:r w:rsidR="00317927">
        <w:rPr>
          <w:rFonts w:ascii="Times New Roman" w:hAnsi="Times New Roman" w:cs="Times New Roman"/>
        </w:rPr>
        <w:t>0.72</w:t>
      </w:r>
      <w:r w:rsidRPr="008B5E73">
        <w:rPr>
          <w:rFonts w:ascii="Times New Roman" w:hAnsi="Times New Roman" w:cs="Times New Roman"/>
        </w:rPr>
        <w:t xml:space="preserve"> kg/year, which is comparable to the performance throughout the previous order term. </w:t>
      </w:r>
      <w:r w:rsidR="00CA59F8">
        <w:rPr>
          <w:rFonts w:ascii="Times New Roman" w:hAnsi="Times New Roman" w:cs="Times New Roman"/>
        </w:rPr>
        <w:t xml:space="preserve">The </w:t>
      </w:r>
      <w:r w:rsidR="006E0E96">
        <w:rPr>
          <w:rFonts w:ascii="Times New Roman" w:hAnsi="Times New Roman" w:cs="Times New Roman"/>
        </w:rPr>
        <w:t>increase</w:t>
      </w:r>
      <w:r w:rsidR="00CA59F8">
        <w:rPr>
          <w:rFonts w:ascii="Times New Roman" w:hAnsi="Times New Roman" w:cs="Times New Roman"/>
        </w:rPr>
        <w:t xml:space="preserve"> in PCBs between 2013 and the remainder of the previous order term could be due to timing of the quarterly samples, analytical variability, or mobilization of solids with legacy PCBs from the collection system during cleaning. Three of the largest municipal dischargers accounted for about 70 percent of the increase between 2013 and 2014. </w:t>
      </w:r>
      <w:r w:rsidRPr="008B5E73">
        <w:rPr>
          <w:rFonts w:ascii="Times New Roman" w:hAnsi="Times New Roman" w:cs="Times New Roman"/>
        </w:rPr>
        <w:t>The average municipal loa</w:t>
      </w:r>
      <w:r>
        <w:rPr>
          <w:rFonts w:ascii="Times New Roman" w:hAnsi="Times New Roman" w:cs="Times New Roman"/>
        </w:rPr>
        <w:t>d of the previous order term was</w:t>
      </w:r>
      <w:r w:rsidRPr="008B5E73">
        <w:rPr>
          <w:rFonts w:ascii="Times New Roman" w:hAnsi="Times New Roman" w:cs="Times New Roman"/>
        </w:rPr>
        <w:t xml:space="preserve"> </w:t>
      </w:r>
      <w:r w:rsidR="00CA59F8">
        <w:rPr>
          <w:rFonts w:ascii="Times New Roman" w:hAnsi="Times New Roman" w:cs="Times New Roman"/>
        </w:rPr>
        <w:t xml:space="preserve">64 </w:t>
      </w:r>
      <w:r w:rsidRPr="008B5E73">
        <w:rPr>
          <w:rFonts w:ascii="Times New Roman" w:hAnsi="Times New Roman" w:cs="Times New Roman"/>
        </w:rPr>
        <w:t xml:space="preserve">percent below the mass allocation of </w:t>
      </w:r>
      <w:r w:rsidR="00CA59F8">
        <w:rPr>
          <w:rFonts w:ascii="Times New Roman" w:hAnsi="Times New Roman" w:cs="Times New Roman"/>
        </w:rPr>
        <w:t>2.0</w:t>
      </w:r>
      <w:r w:rsidRPr="008B5E73">
        <w:rPr>
          <w:rFonts w:ascii="Times New Roman" w:hAnsi="Times New Roman" w:cs="Times New Roman"/>
        </w:rPr>
        <w:t xml:space="preserve"> kg/year.</w:t>
      </w:r>
      <w:r w:rsidR="00CA59F8">
        <w:rPr>
          <w:rFonts w:ascii="Times New Roman" w:hAnsi="Times New Roman" w:cs="Times New Roman"/>
        </w:rPr>
        <w:t xml:space="preserve"> </w:t>
      </w:r>
      <w:r w:rsidR="006E0E96">
        <w:rPr>
          <w:rFonts w:ascii="Times New Roman" w:hAnsi="Times New Roman" w:cs="Times New Roman"/>
        </w:rPr>
        <w:t xml:space="preserve">All </w:t>
      </w:r>
      <w:r w:rsidR="00CA59F8">
        <w:rPr>
          <w:rFonts w:ascii="Times New Roman" w:hAnsi="Times New Roman" w:cs="Times New Roman"/>
        </w:rPr>
        <w:t>Municipal Dischargers remained compliant with their PCBs effluent limitations in the previous order term.</w:t>
      </w:r>
    </w:p>
    <w:p w14:paraId="0B6EA264" w14:textId="77777777" w:rsidR="006E67FB" w:rsidRPr="008B5E73" w:rsidRDefault="006E67FB" w:rsidP="006E67FB">
      <w:pPr>
        <w:pStyle w:val="H-indent5025"/>
        <w:tabs>
          <w:tab w:val="clear" w:pos="1080"/>
          <w:tab w:val="left" w:pos="1440"/>
        </w:tabs>
        <w:spacing w:after="0"/>
        <w:ind w:left="1440"/>
        <w:rPr>
          <w:rFonts w:ascii="Times New Roman" w:hAnsi="Times New Roman" w:cs="Times New Roman"/>
        </w:rPr>
      </w:pPr>
    </w:p>
    <w:p w14:paraId="1645758B" w14:textId="3D695418" w:rsidR="00844952" w:rsidRDefault="006E67FB" w:rsidP="00BE31E6">
      <w:pPr>
        <w:pStyle w:val="H-indent5025"/>
        <w:tabs>
          <w:tab w:val="clear" w:pos="1080"/>
          <w:tab w:val="left" w:pos="1440"/>
        </w:tabs>
        <w:spacing w:after="0"/>
        <w:ind w:left="1440"/>
        <w:rPr>
          <w:rFonts w:ascii="Times New Roman" w:hAnsi="Times New Roman" w:cs="Times New Roman"/>
        </w:rPr>
      </w:pPr>
      <w:r>
        <w:rPr>
          <w:rFonts w:ascii="Times New Roman" w:hAnsi="Times New Roman" w:cs="Times New Roman"/>
          <w:b/>
        </w:rPr>
        <w:t>b</w:t>
      </w:r>
      <w:r w:rsidRPr="00570B42">
        <w:rPr>
          <w:rFonts w:ascii="Times New Roman" w:hAnsi="Times New Roman" w:cs="Times New Roman"/>
          <w:b/>
        </w:rPr>
        <w:t>.</w:t>
      </w:r>
      <w:r w:rsidRPr="00570B42">
        <w:rPr>
          <w:rFonts w:ascii="Times New Roman" w:hAnsi="Times New Roman" w:cs="Times New Roman"/>
        </w:rPr>
        <w:tab/>
      </w:r>
      <w:r>
        <w:rPr>
          <w:rFonts w:ascii="Times New Roman" w:hAnsi="Times New Roman" w:cs="Times New Roman"/>
          <w:b/>
        </w:rPr>
        <w:t>Industrial Dischargers</w:t>
      </w:r>
      <w:r w:rsidRPr="00570B42">
        <w:rPr>
          <w:rFonts w:ascii="Times New Roman" w:hAnsi="Times New Roman" w:cs="Times New Roman"/>
          <w:b/>
        </w:rPr>
        <w:t xml:space="preserve"> —</w:t>
      </w:r>
      <w:r w:rsidR="005F1287">
        <w:rPr>
          <w:rFonts w:ascii="Times New Roman" w:hAnsi="Times New Roman" w:cs="Times New Roman"/>
        </w:rPr>
        <w:t xml:space="preserve"> In 2016</w:t>
      </w:r>
      <w:r>
        <w:rPr>
          <w:rFonts w:ascii="Times New Roman" w:hAnsi="Times New Roman" w:cs="Times New Roman"/>
        </w:rPr>
        <w:t xml:space="preserve">, the industrial </w:t>
      </w:r>
      <w:r w:rsidR="00865A63">
        <w:rPr>
          <w:rFonts w:ascii="Times New Roman" w:hAnsi="Times New Roman" w:cs="Times New Roman"/>
        </w:rPr>
        <w:t xml:space="preserve">PCBs </w:t>
      </w:r>
      <w:r>
        <w:rPr>
          <w:rFonts w:ascii="Times New Roman" w:hAnsi="Times New Roman" w:cs="Times New Roman"/>
        </w:rPr>
        <w:t xml:space="preserve">load </w:t>
      </w:r>
      <w:r w:rsidR="00AB4ABC">
        <w:rPr>
          <w:rFonts w:ascii="Times New Roman" w:hAnsi="Times New Roman" w:cs="Times New Roman"/>
        </w:rPr>
        <w:t>was</w:t>
      </w:r>
      <w:r>
        <w:rPr>
          <w:rFonts w:ascii="Times New Roman" w:hAnsi="Times New Roman" w:cs="Times New Roman"/>
        </w:rPr>
        <w:t xml:space="preserve"> 0.</w:t>
      </w:r>
      <w:r w:rsidR="005F1287">
        <w:rPr>
          <w:rFonts w:ascii="Times New Roman" w:hAnsi="Times New Roman" w:cs="Times New Roman"/>
        </w:rPr>
        <w:t>01</w:t>
      </w:r>
      <w:r>
        <w:rPr>
          <w:rFonts w:ascii="Times New Roman" w:hAnsi="Times New Roman" w:cs="Times New Roman"/>
        </w:rPr>
        <w:t xml:space="preserve">2 kg/year, </w:t>
      </w:r>
      <w:r w:rsidR="005F1287" w:rsidRPr="008B5E73">
        <w:rPr>
          <w:rFonts w:ascii="Times New Roman" w:hAnsi="Times New Roman" w:cs="Times New Roman"/>
        </w:rPr>
        <w:t>which is comparable to the performance throughout the previous order term</w:t>
      </w:r>
      <w:r>
        <w:rPr>
          <w:rFonts w:ascii="Times New Roman" w:hAnsi="Times New Roman" w:cs="Times New Roman"/>
        </w:rPr>
        <w:t xml:space="preserve">. </w:t>
      </w:r>
      <w:r w:rsidRPr="008B5E73">
        <w:rPr>
          <w:rFonts w:ascii="Times New Roman" w:hAnsi="Times New Roman" w:cs="Times New Roman"/>
        </w:rPr>
        <w:t xml:space="preserve">The average </w:t>
      </w:r>
      <w:r>
        <w:rPr>
          <w:rFonts w:ascii="Times New Roman" w:hAnsi="Times New Roman" w:cs="Times New Roman"/>
        </w:rPr>
        <w:t>industrial</w:t>
      </w:r>
      <w:r w:rsidRPr="008B5E73">
        <w:rPr>
          <w:rFonts w:ascii="Times New Roman" w:hAnsi="Times New Roman" w:cs="Times New Roman"/>
        </w:rPr>
        <w:t xml:space="preserve"> load of the previous order term </w:t>
      </w:r>
      <w:r>
        <w:rPr>
          <w:rFonts w:ascii="Times New Roman" w:hAnsi="Times New Roman" w:cs="Times New Roman"/>
        </w:rPr>
        <w:t>was</w:t>
      </w:r>
      <w:r w:rsidRPr="008B5E73">
        <w:rPr>
          <w:rFonts w:ascii="Times New Roman" w:hAnsi="Times New Roman" w:cs="Times New Roman"/>
        </w:rPr>
        <w:t xml:space="preserve"> </w:t>
      </w:r>
      <w:r w:rsidR="005F1287">
        <w:rPr>
          <w:rFonts w:ascii="Times New Roman" w:hAnsi="Times New Roman" w:cs="Times New Roman"/>
        </w:rPr>
        <w:t>58</w:t>
      </w:r>
      <w:r w:rsidRPr="008B5E73">
        <w:rPr>
          <w:rFonts w:ascii="Times New Roman" w:hAnsi="Times New Roman" w:cs="Times New Roman"/>
        </w:rPr>
        <w:t xml:space="preserve"> percent below the mass allocation of </w:t>
      </w:r>
      <w:r w:rsidR="005F1287">
        <w:rPr>
          <w:rFonts w:ascii="Times New Roman" w:hAnsi="Times New Roman" w:cs="Times New Roman"/>
        </w:rPr>
        <w:lastRenderedPageBreak/>
        <w:t xml:space="preserve">0.031 </w:t>
      </w:r>
      <w:r w:rsidRPr="008B5E73">
        <w:rPr>
          <w:rFonts w:ascii="Times New Roman" w:hAnsi="Times New Roman" w:cs="Times New Roman"/>
        </w:rPr>
        <w:t>kg/year.</w:t>
      </w:r>
      <w:r w:rsidR="005F1287">
        <w:rPr>
          <w:rFonts w:ascii="Times New Roman" w:hAnsi="Times New Roman" w:cs="Times New Roman"/>
        </w:rPr>
        <w:t xml:space="preserve"> All Industrial Dischargers remained compliant with their PCBs effluent limitations in the previous order term.</w:t>
      </w:r>
    </w:p>
    <w:p w14:paraId="7982CB27" w14:textId="77777777" w:rsidR="006E67FB" w:rsidRPr="006E67FB" w:rsidRDefault="006E67FB" w:rsidP="006E67FB">
      <w:pPr>
        <w:pStyle w:val="H-indent5025"/>
        <w:tabs>
          <w:tab w:val="clear" w:pos="1080"/>
          <w:tab w:val="left" w:pos="1440"/>
        </w:tabs>
        <w:spacing w:after="0"/>
        <w:ind w:left="1440"/>
        <w:rPr>
          <w:rFonts w:ascii="Times New Roman" w:hAnsi="Times New Roman" w:cs="Times New Roman"/>
        </w:rPr>
      </w:pPr>
    </w:p>
    <w:p w14:paraId="69251816" w14:textId="77777777" w:rsidR="00D34786" w:rsidRPr="00570B42" w:rsidRDefault="00D34786" w:rsidP="0037186E">
      <w:pPr>
        <w:pStyle w:val="Heading1-F"/>
        <w:rPr>
          <w:rFonts w:ascii="Times New Roman" w:hAnsi="Times New Roman"/>
          <w:sz w:val="24"/>
        </w:rPr>
      </w:pPr>
      <w:bookmarkStart w:id="221" w:name="_Toc338152914"/>
      <w:bookmarkStart w:id="222" w:name="_Toc340137640"/>
      <w:bookmarkStart w:id="223" w:name="_Toc487829690"/>
      <w:r w:rsidRPr="00570B42">
        <w:rPr>
          <w:rFonts w:ascii="Times New Roman" w:hAnsi="Times New Roman"/>
          <w:sz w:val="24"/>
        </w:rPr>
        <w:t>III.</w:t>
      </w:r>
      <w:r w:rsidRPr="00570B42">
        <w:rPr>
          <w:rFonts w:ascii="Times New Roman" w:hAnsi="Times New Roman"/>
          <w:sz w:val="24"/>
        </w:rPr>
        <w:tab/>
        <w:t>Applicable Plans, Policies, and Regulations</w:t>
      </w:r>
      <w:bookmarkEnd w:id="221"/>
      <w:bookmarkEnd w:id="222"/>
      <w:bookmarkEnd w:id="223"/>
    </w:p>
    <w:p w14:paraId="4F19EEC4" w14:textId="77777777" w:rsidR="00D34786" w:rsidRPr="00570B42" w:rsidRDefault="00D34786" w:rsidP="00943772">
      <w:pPr>
        <w:pStyle w:val="H-indent5025"/>
        <w:keepNext/>
        <w:tabs>
          <w:tab w:val="clear" w:pos="1080"/>
          <w:tab w:val="left" w:pos="720"/>
        </w:tabs>
        <w:ind w:left="720"/>
        <w:rPr>
          <w:rFonts w:ascii="Times New Roman" w:hAnsi="Times New Roman" w:cs="Times New Roman"/>
          <w:b/>
        </w:rPr>
      </w:pPr>
      <w:bookmarkStart w:id="224" w:name="_Toc125358807"/>
      <w:bookmarkStart w:id="225" w:name="_Toc140484498"/>
      <w:bookmarkStart w:id="226" w:name="_Toc338152915"/>
      <w:bookmarkStart w:id="227" w:name="_Toc340137641"/>
      <w:r w:rsidRPr="00570B42">
        <w:rPr>
          <w:rFonts w:ascii="Times New Roman" w:hAnsi="Times New Roman" w:cs="Times New Roman"/>
          <w:b/>
        </w:rPr>
        <w:t>A.</w:t>
      </w:r>
      <w:r w:rsidRPr="00570B42">
        <w:rPr>
          <w:rFonts w:ascii="Times New Roman" w:hAnsi="Times New Roman" w:cs="Times New Roman"/>
          <w:b/>
        </w:rPr>
        <w:tab/>
      </w:r>
      <w:bookmarkStart w:id="228" w:name="_Toc92870800"/>
      <w:r w:rsidRPr="00570B42">
        <w:rPr>
          <w:rFonts w:ascii="Times New Roman" w:hAnsi="Times New Roman" w:cs="Times New Roman"/>
          <w:b/>
        </w:rPr>
        <w:t>Legal Authorities</w:t>
      </w:r>
      <w:bookmarkEnd w:id="224"/>
      <w:bookmarkEnd w:id="225"/>
      <w:bookmarkEnd w:id="226"/>
      <w:bookmarkEnd w:id="227"/>
      <w:bookmarkEnd w:id="228"/>
    </w:p>
    <w:p w14:paraId="30E9A8D3" w14:textId="3B64C87D" w:rsidR="00D34786" w:rsidRPr="00570B42" w:rsidRDefault="0050417B" w:rsidP="0050417B">
      <w:pPr>
        <w:pStyle w:val="H-indent5025"/>
        <w:tabs>
          <w:tab w:val="clear" w:pos="1080"/>
          <w:tab w:val="left" w:pos="720"/>
        </w:tabs>
        <w:ind w:left="720"/>
        <w:rPr>
          <w:rFonts w:ascii="Times New Roman" w:hAnsi="Times New Roman" w:cs="Times New Roman"/>
        </w:rPr>
      </w:pPr>
      <w:r w:rsidRPr="00570B42">
        <w:rPr>
          <w:rFonts w:ascii="Times New Roman" w:hAnsi="Times New Roman" w:cs="Times New Roman"/>
        </w:rPr>
        <w:tab/>
      </w:r>
      <w:r w:rsidR="001F3E9E" w:rsidRPr="00570B42">
        <w:rPr>
          <w:rFonts w:ascii="Times New Roman" w:hAnsi="Times New Roman" w:cs="Times New Roman"/>
        </w:rPr>
        <w:t xml:space="preserve">This </w:t>
      </w:r>
      <w:r w:rsidR="0005714F" w:rsidRPr="00570B42">
        <w:rPr>
          <w:rFonts w:ascii="Times New Roman" w:hAnsi="Times New Roman" w:cs="Times New Roman"/>
        </w:rPr>
        <w:t>Order</w:t>
      </w:r>
      <w:r w:rsidR="00BC468B" w:rsidRPr="00570B42">
        <w:rPr>
          <w:rFonts w:ascii="Times New Roman" w:hAnsi="Times New Roman" w:cs="Times New Roman"/>
        </w:rPr>
        <w:t xml:space="preserve"> </w:t>
      </w:r>
      <w:r w:rsidR="001F3E9E" w:rsidRPr="00570B42">
        <w:rPr>
          <w:rFonts w:ascii="Times New Roman" w:hAnsi="Times New Roman" w:cs="Times New Roman"/>
        </w:rPr>
        <w:t xml:space="preserve">serves as WDRs pursuant to California Water Code article 4, chapter 4, division 7 (commencing with </w:t>
      </w:r>
      <w:r w:rsidR="00AB20D4" w:rsidRPr="00570B42">
        <w:rPr>
          <w:rFonts w:ascii="Times New Roman" w:hAnsi="Times New Roman" w:cs="Times New Roman"/>
        </w:rPr>
        <w:t>§</w:t>
      </w:r>
      <w:r w:rsidR="001F3E9E" w:rsidRPr="00570B42">
        <w:rPr>
          <w:rFonts w:ascii="Times New Roman" w:hAnsi="Times New Roman" w:cs="Times New Roman"/>
        </w:rPr>
        <w:t xml:space="preserve"> 13260)</w:t>
      </w:r>
      <w:r w:rsidR="00781FED" w:rsidRPr="00570B42">
        <w:rPr>
          <w:rFonts w:ascii="Times New Roman" w:hAnsi="Times New Roman" w:cs="Times New Roman"/>
        </w:rPr>
        <w:t xml:space="preserve"> for discharges to waters of the State</w:t>
      </w:r>
      <w:r w:rsidR="001F3E9E" w:rsidRPr="00570B42">
        <w:rPr>
          <w:rFonts w:ascii="Times New Roman" w:hAnsi="Times New Roman" w:cs="Times New Roman"/>
        </w:rPr>
        <w:t xml:space="preserve">. This </w:t>
      </w:r>
      <w:r w:rsidR="0005714F" w:rsidRPr="00570B42">
        <w:rPr>
          <w:rFonts w:ascii="Times New Roman" w:hAnsi="Times New Roman" w:cs="Times New Roman"/>
        </w:rPr>
        <w:t>Order</w:t>
      </w:r>
      <w:r w:rsidR="001F3E9E" w:rsidRPr="00570B42">
        <w:rPr>
          <w:rFonts w:ascii="Times New Roman" w:hAnsi="Times New Roman" w:cs="Times New Roman"/>
        </w:rPr>
        <w:t xml:space="preserve"> is also issued pursuant to Clean Water Act (CWA) section 402 and implementing regulations adopted by U.S.</w:t>
      </w:r>
      <w:r w:rsidR="00315C37" w:rsidRPr="00570B42">
        <w:rPr>
          <w:rFonts w:ascii="Times New Roman" w:hAnsi="Times New Roman" w:cs="Times New Roman"/>
        </w:rPr>
        <w:t> </w:t>
      </w:r>
      <w:r w:rsidR="001F3E9E" w:rsidRPr="00570B42">
        <w:rPr>
          <w:rFonts w:ascii="Times New Roman" w:hAnsi="Times New Roman" w:cs="Times New Roman"/>
        </w:rPr>
        <w:t>EPA, and Water Code chapter 5.5, division 7 (commencing with</w:t>
      </w:r>
      <w:r w:rsidR="00AB20D4" w:rsidRPr="00570B42">
        <w:rPr>
          <w:rFonts w:ascii="Times New Roman" w:hAnsi="Times New Roman" w:cs="Times New Roman"/>
        </w:rPr>
        <w:t xml:space="preserve"> §</w:t>
      </w:r>
      <w:r w:rsidR="001F3E9E" w:rsidRPr="00570B42">
        <w:rPr>
          <w:rFonts w:ascii="Times New Roman" w:hAnsi="Times New Roman" w:cs="Times New Roman"/>
        </w:rPr>
        <w:t xml:space="preserve"> 13370). It shall serve as an NPDES permit</w:t>
      </w:r>
      <w:r w:rsidR="00BA08B8">
        <w:rPr>
          <w:rFonts w:ascii="Times New Roman" w:hAnsi="Times New Roman" w:cs="Times New Roman"/>
        </w:rPr>
        <w:t xml:space="preserve"> for point sources discharges of mercury and PCBs from the</w:t>
      </w:r>
      <w:r w:rsidR="004C110C">
        <w:rPr>
          <w:rFonts w:ascii="Times New Roman" w:hAnsi="Times New Roman" w:cs="Times New Roman"/>
        </w:rPr>
        <w:t xml:space="preserve"> Dischargers’</w:t>
      </w:r>
      <w:r w:rsidR="00BA08B8">
        <w:rPr>
          <w:rFonts w:ascii="Times New Roman" w:hAnsi="Times New Roman" w:cs="Times New Roman"/>
        </w:rPr>
        <w:t xml:space="preserve"> facilities listed in</w:t>
      </w:r>
      <w:r w:rsidR="004C110C">
        <w:rPr>
          <w:rFonts w:ascii="Times New Roman" w:hAnsi="Times New Roman" w:cs="Times New Roman"/>
        </w:rPr>
        <w:t xml:space="preserve"> Attachment B</w:t>
      </w:r>
      <w:r w:rsidR="00BA08B8">
        <w:rPr>
          <w:rFonts w:ascii="Times New Roman" w:hAnsi="Times New Roman" w:cs="Times New Roman"/>
        </w:rPr>
        <w:t xml:space="preserve"> to surface waters. </w:t>
      </w:r>
    </w:p>
    <w:p w14:paraId="0EFE7568" w14:textId="77777777" w:rsidR="00D34786" w:rsidRPr="00570B42" w:rsidRDefault="00D34786" w:rsidP="00D72DE0">
      <w:pPr>
        <w:pStyle w:val="H-indent5025"/>
        <w:keepNext/>
        <w:tabs>
          <w:tab w:val="clear" w:pos="1080"/>
          <w:tab w:val="left" w:pos="720"/>
        </w:tabs>
        <w:ind w:left="720"/>
        <w:rPr>
          <w:rFonts w:ascii="Times New Roman" w:hAnsi="Times New Roman" w:cs="Times New Roman"/>
          <w:b/>
        </w:rPr>
      </w:pPr>
      <w:bookmarkStart w:id="229" w:name="_Toc338152916"/>
      <w:bookmarkStart w:id="230" w:name="_Toc340137642"/>
      <w:r w:rsidRPr="00570B42">
        <w:rPr>
          <w:rFonts w:ascii="Times New Roman" w:hAnsi="Times New Roman" w:cs="Times New Roman"/>
          <w:b/>
        </w:rPr>
        <w:t>B.</w:t>
      </w:r>
      <w:r w:rsidRPr="00570B42">
        <w:rPr>
          <w:rFonts w:ascii="Times New Roman" w:hAnsi="Times New Roman" w:cs="Times New Roman"/>
          <w:b/>
        </w:rPr>
        <w:tab/>
      </w:r>
      <w:bookmarkStart w:id="231" w:name="_Toc92870801"/>
      <w:bookmarkStart w:id="232" w:name="_Toc125358808"/>
      <w:bookmarkStart w:id="233" w:name="_Toc140484499"/>
      <w:r w:rsidRPr="00570B42">
        <w:rPr>
          <w:rFonts w:ascii="Times New Roman" w:hAnsi="Times New Roman" w:cs="Times New Roman"/>
          <w:b/>
        </w:rPr>
        <w:t>California Environmental Quality Act</w:t>
      </w:r>
      <w:bookmarkEnd w:id="229"/>
      <w:bookmarkEnd w:id="230"/>
      <w:bookmarkEnd w:id="231"/>
      <w:bookmarkEnd w:id="232"/>
      <w:bookmarkEnd w:id="233"/>
    </w:p>
    <w:p w14:paraId="52EAC696" w14:textId="772967E8" w:rsidR="00D34786" w:rsidRPr="00570B42" w:rsidRDefault="0050417B" w:rsidP="0050417B">
      <w:pPr>
        <w:pStyle w:val="H-indent5025"/>
        <w:tabs>
          <w:tab w:val="clear" w:pos="1080"/>
          <w:tab w:val="left" w:pos="720"/>
        </w:tabs>
        <w:ind w:left="720"/>
        <w:rPr>
          <w:rFonts w:ascii="Times New Roman" w:hAnsi="Times New Roman" w:cs="Times New Roman"/>
        </w:rPr>
      </w:pPr>
      <w:bookmarkStart w:id="234" w:name="_Toc92870802"/>
      <w:bookmarkStart w:id="235" w:name="_Toc125358809"/>
      <w:bookmarkStart w:id="236" w:name="_Toc140484500"/>
      <w:r w:rsidRPr="00570B42">
        <w:rPr>
          <w:rFonts w:ascii="Times New Roman" w:hAnsi="Times New Roman" w:cs="Times New Roman"/>
        </w:rPr>
        <w:tab/>
      </w:r>
      <w:r w:rsidR="00E81A86" w:rsidRPr="00570B42">
        <w:rPr>
          <w:rFonts w:ascii="Times New Roman" w:hAnsi="Times New Roman" w:cs="Times New Roman"/>
        </w:rPr>
        <w:t>Under Water Code section 13389, this action to adopt an NPDES permit is exempt from the provisions of the California Environmental Quality Act</w:t>
      </w:r>
      <w:r w:rsidR="00187748" w:rsidRPr="00570B42">
        <w:rPr>
          <w:rFonts w:ascii="Times New Roman" w:hAnsi="Times New Roman" w:cs="Times New Roman"/>
        </w:rPr>
        <w:t xml:space="preserve"> (CEQA)</w:t>
      </w:r>
      <w:r w:rsidR="00E81A86" w:rsidRPr="00570B42">
        <w:rPr>
          <w:rFonts w:ascii="Times New Roman" w:hAnsi="Times New Roman" w:cs="Times New Roman"/>
        </w:rPr>
        <w:t>, Public Resources Code division 13, chapter 3 (commencing with § 21100).</w:t>
      </w:r>
      <w:r w:rsidR="00B0359E" w:rsidRPr="00570B42">
        <w:rPr>
          <w:rFonts w:ascii="Times New Roman" w:hAnsi="Times New Roman" w:cs="Times New Roman"/>
        </w:rPr>
        <w:t xml:space="preserve"> </w:t>
      </w:r>
    </w:p>
    <w:p w14:paraId="13D13DFD" w14:textId="77777777" w:rsidR="00D34786" w:rsidRPr="00570B42" w:rsidRDefault="00D34786" w:rsidP="00C95F0A">
      <w:pPr>
        <w:pStyle w:val="H-indent5025"/>
        <w:tabs>
          <w:tab w:val="clear" w:pos="1080"/>
          <w:tab w:val="left" w:pos="720"/>
        </w:tabs>
        <w:ind w:left="720"/>
        <w:rPr>
          <w:rFonts w:ascii="Times New Roman" w:hAnsi="Times New Roman" w:cs="Times New Roman"/>
          <w:b/>
        </w:rPr>
      </w:pPr>
      <w:bookmarkStart w:id="237" w:name="_Toc338152917"/>
      <w:bookmarkStart w:id="238" w:name="_Toc340137643"/>
      <w:r w:rsidRPr="00570B42">
        <w:rPr>
          <w:rFonts w:ascii="Times New Roman" w:hAnsi="Times New Roman" w:cs="Times New Roman"/>
          <w:b/>
        </w:rPr>
        <w:t>C.</w:t>
      </w:r>
      <w:r w:rsidRPr="00570B42">
        <w:rPr>
          <w:rFonts w:ascii="Times New Roman" w:hAnsi="Times New Roman" w:cs="Times New Roman"/>
          <w:b/>
        </w:rPr>
        <w:tab/>
        <w:t>State and Federal Regulations, Policies, and Plans</w:t>
      </w:r>
      <w:bookmarkEnd w:id="234"/>
      <w:bookmarkEnd w:id="235"/>
      <w:bookmarkEnd w:id="236"/>
      <w:bookmarkEnd w:id="237"/>
      <w:bookmarkEnd w:id="238"/>
    </w:p>
    <w:p w14:paraId="327BF79B" w14:textId="0E17B79D" w:rsidR="00EB2E8C" w:rsidRPr="00EB2E8C" w:rsidRDefault="00D34786" w:rsidP="00571D04">
      <w:pPr>
        <w:pStyle w:val="H-indent5025"/>
        <w:spacing w:after="120"/>
        <w:rPr>
          <w:rFonts w:ascii="Times New Roman" w:hAnsi="Times New Roman" w:cs="Times New Roman"/>
          <w:bCs/>
        </w:rPr>
      </w:pPr>
      <w:bookmarkStart w:id="239" w:name="_Toc125358810"/>
      <w:bookmarkStart w:id="240" w:name="_Toc140484501"/>
      <w:r w:rsidRPr="00570B42">
        <w:rPr>
          <w:rFonts w:ascii="Times New Roman" w:hAnsi="Times New Roman" w:cs="Times New Roman"/>
          <w:b/>
        </w:rPr>
        <w:t>1.</w:t>
      </w:r>
      <w:r w:rsidRPr="00570B42">
        <w:rPr>
          <w:rFonts w:ascii="Times New Roman" w:hAnsi="Times New Roman" w:cs="Times New Roman"/>
        </w:rPr>
        <w:tab/>
      </w:r>
      <w:r w:rsidRPr="00570B42">
        <w:rPr>
          <w:rFonts w:ascii="Times New Roman" w:hAnsi="Times New Roman" w:cs="Times New Roman"/>
          <w:b/>
        </w:rPr>
        <w:t>Water Quality Control Plan</w:t>
      </w:r>
      <w:bookmarkEnd w:id="239"/>
      <w:bookmarkEnd w:id="240"/>
      <w:r w:rsidRPr="00570B42">
        <w:rPr>
          <w:rFonts w:ascii="Times New Roman" w:hAnsi="Times New Roman" w:cs="Times New Roman"/>
          <w:b/>
        </w:rPr>
        <w:t>.</w:t>
      </w:r>
      <w:r w:rsidRPr="00570B42">
        <w:rPr>
          <w:rFonts w:ascii="Times New Roman" w:hAnsi="Times New Roman" w:cs="Times New Roman"/>
        </w:rPr>
        <w:t xml:space="preserve"> </w:t>
      </w:r>
      <w:r w:rsidR="00524228" w:rsidRPr="00570B42">
        <w:rPr>
          <w:rFonts w:ascii="Times New Roman" w:hAnsi="Times New Roman" w:cs="Times New Roman"/>
        </w:rPr>
        <w:t xml:space="preserve">The Regional Water Board adopted </w:t>
      </w:r>
      <w:r w:rsidR="003A0344" w:rsidRPr="00570B42">
        <w:rPr>
          <w:rFonts w:ascii="Times New Roman" w:hAnsi="Times New Roman" w:cs="Times New Roman"/>
        </w:rPr>
        <w:t>the</w:t>
      </w:r>
      <w:r w:rsidR="00524228" w:rsidRPr="00570B42">
        <w:rPr>
          <w:rFonts w:ascii="Times New Roman" w:hAnsi="Times New Roman" w:cs="Times New Roman"/>
        </w:rPr>
        <w:t xml:space="preserve"> </w:t>
      </w:r>
      <w:r w:rsidR="00524228" w:rsidRPr="00570B42">
        <w:rPr>
          <w:rFonts w:ascii="Times New Roman" w:hAnsi="Times New Roman" w:cs="Times New Roman"/>
          <w:i/>
        </w:rPr>
        <w:t>Water Quality Control Plan for the San Francisco Bay Basin</w:t>
      </w:r>
      <w:r w:rsidR="00524228" w:rsidRPr="00570B42">
        <w:rPr>
          <w:rFonts w:ascii="Times New Roman" w:hAnsi="Times New Roman" w:cs="Times New Roman"/>
        </w:rPr>
        <w:t xml:space="preserve"> (Basin Plan)</w:t>
      </w:r>
      <w:r w:rsidR="003A0344" w:rsidRPr="00570B42">
        <w:rPr>
          <w:rFonts w:ascii="Times New Roman" w:hAnsi="Times New Roman" w:cs="Times New Roman"/>
        </w:rPr>
        <w:t>, which</w:t>
      </w:r>
      <w:r w:rsidR="00524228" w:rsidRPr="00570B42">
        <w:rPr>
          <w:rFonts w:ascii="Times New Roman" w:hAnsi="Times New Roman" w:cs="Times New Roman"/>
        </w:rPr>
        <w:t xml:space="preserve"> designates beneficial uses, establishes water quality objectives</w:t>
      </w:r>
      <w:r w:rsidR="00A7593B" w:rsidRPr="00570B42">
        <w:rPr>
          <w:rFonts w:ascii="Times New Roman" w:hAnsi="Times New Roman" w:cs="Times New Roman"/>
        </w:rPr>
        <w:t xml:space="preserve"> (WQOs)</w:t>
      </w:r>
      <w:r w:rsidR="00524228" w:rsidRPr="00570B42">
        <w:rPr>
          <w:rFonts w:ascii="Times New Roman" w:hAnsi="Times New Roman" w:cs="Times New Roman"/>
        </w:rPr>
        <w:t xml:space="preserve">, and contains implementation programs and policies to achieve those objectives for all waters addressed through the plan. Requirements in this </w:t>
      </w:r>
      <w:r w:rsidR="0005714F" w:rsidRPr="00570B42">
        <w:rPr>
          <w:rFonts w:ascii="Times New Roman" w:hAnsi="Times New Roman" w:cs="Times New Roman"/>
        </w:rPr>
        <w:t>Order</w:t>
      </w:r>
      <w:r w:rsidR="00524228" w:rsidRPr="00570B42">
        <w:rPr>
          <w:rFonts w:ascii="Times New Roman" w:hAnsi="Times New Roman" w:cs="Times New Roman"/>
        </w:rPr>
        <w:t xml:space="preserve"> implement the Basin Plan. In addition, th</w:t>
      </w:r>
      <w:r w:rsidR="00FE42E9" w:rsidRPr="00570B42">
        <w:rPr>
          <w:rFonts w:ascii="Times New Roman" w:hAnsi="Times New Roman" w:cs="Times New Roman"/>
        </w:rPr>
        <w:t xml:space="preserve">is </w:t>
      </w:r>
      <w:r w:rsidR="0005714F" w:rsidRPr="00570B42">
        <w:rPr>
          <w:rFonts w:ascii="Times New Roman" w:hAnsi="Times New Roman" w:cs="Times New Roman"/>
        </w:rPr>
        <w:t>Order</w:t>
      </w:r>
      <w:r w:rsidR="00BC468B" w:rsidRPr="00570B42">
        <w:rPr>
          <w:rFonts w:ascii="Times New Roman" w:hAnsi="Times New Roman" w:cs="Times New Roman"/>
        </w:rPr>
        <w:t xml:space="preserve"> </w:t>
      </w:r>
      <w:r w:rsidR="00524228" w:rsidRPr="00570B42">
        <w:rPr>
          <w:rFonts w:ascii="Times New Roman" w:hAnsi="Times New Roman" w:cs="Times New Roman"/>
        </w:rPr>
        <w:t>implements Sta</w:t>
      </w:r>
      <w:r w:rsidR="003A0344" w:rsidRPr="00570B42">
        <w:rPr>
          <w:rFonts w:ascii="Times New Roman" w:hAnsi="Times New Roman" w:cs="Times New Roman"/>
        </w:rPr>
        <w:t>te Water Board Resolution </w:t>
      </w:r>
      <w:r w:rsidR="00551B92" w:rsidRPr="00570B42">
        <w:rPr>
          <w:rFonts w:ascii="Times New Roman" w:hAnsi="Times New Roman" w:cs="Times New Roman"/>
        </w:rPr>
        <w:t xml:space="preserve">No. </w:t>
      </w:r>
      <w:r w:rsidR="00FE42E9" w:rsidRPr="00570B42">
        <w:rPr>
          <w:rFonts w:ascii="Times New Roman" w:hAnsi="Times New Roman" w:cs="Times New Roman"/>
        </w:rPr>
        <w:t>88</w:t>
      </w:r>
      <w:r w:rsidR="00FE42E9" w:rsidRPr="00570B42">
        <w:rPr>
          <w:rFonts w:ascii="Times New Roman" w:hAnsi="Times New Roman" w:cs="Times New Roman"/>
        </w:rPr>
        <w:noBreakHyphen/>
      </w:r>
      <w:r w:rsidR="00524228" w:rsidRPr="00570B42">
        <w:rPr>
          <w:rFonts w:ascii="Times New Roman" w:hAnsi="Times New Roman" w:cs="Times New Roman"/>
        </w:rPr>
        <w:t xml:space="preserve">63, which </w:t>
      </w:r>
      <w:r w:rsidR="00F1562C" w:rsidRPr="00570B42">
        <w:rPr>
          <w:rFonts w:ascii="Times New Roman" w:hAnsi="Times New Roman" w:cs="Times New Roman"/>
        </w:rPr>
        <w:t xml:space="preserve">establishes </w:t>
      </w:r>
      <w:r w:rsidR="00787C81" w:rsidRPr="00570B42">
        <w:rPr>
          <w:rFonts w:ascii="Times New Roman" w:hAnsi="Times New Roman" w:cs="Times New Roman"/>
        </w:rPr>
        <w:t>S</w:t>
      </w:r>
      <w:r w:rsidR="00524228" w:rsidRPr="00570B42">
        <w:rPr>
          <w:rFonts w:ascii="Times New Roman" w:hAnsi="Times New Roman" w:cs="Times New Roman"/>
        </w:rPr>
        <w:t xml:space="preserve">tate policy that all waters, with certain exceptions, should be considered suitable or potentially suitable for municipal or domestic supply. </w:t>
      </w:r>
      <w:r w:rsidR="004330C0" w:rsidRPr="00570B42">
        <w:rPr>
          <w:rFonts w:ascii="Times New Roman" w:hAnsi="Times New Roman" w:cs="Times New Roman"/>
          <w:bCs/>
        </w:rPr>
        <w:t>B</w:t>
      </w:r>
      <w:r w:rsidR="005B534F" w:rsidRPr="00570B42">
        <w:rPr>
          <w:rFonts w:ascii="Times New Roman" w:hAnsi="Times New Roman" w:cs="Times New Roman"/>
        </w:rPr>
        <w:t xml:space="preserve">eneficial uses </w:t>
      </w:r>
      <w:r w:rsidR="00F1562C" w:rsidRPr="00570B42">
        <w:rPr>
          <w:rFonts w:ascii="Times New Roman" w:hAnsi="Times New Roman" w:cs="Times New Roman"/>
        </w:rPr>
        <w:t xml:space="preserve">applicable </w:t>
      </w:r>
      <w:r w:rsidR="00BE31E6">
        <w:rPr>
          <w:rFonts w:ascii="Times New Roman" w:hAnsi="Times New Roman" w:cs="Times New Roman"/>
        </w:rPr>
        <w:t>to</w:t>
      </w:r>
      <w:r w:rsidR="00D76160" w:rsidRPr="00570B42">
        <w:rPr>
          <w:rFonts w:ascii="Times New Roman" w:hAnsi="Times New Roman" w:cs="Times New Roman"/>
        </w:rPr>
        <w:t xml:space="preserve"> San Francisco Bay</w:t>
      </w:r>
      <w:r w:rsidR="004330C0" w:rsidRPr="00570B42">
        <w:rPr>
          <w:rFonts w:ascii="Times New Roman" w:hAnsi="Times New Roman" w:cs="Times New Roman"/>
        </w:rPr>
        <w:t xml:space="preserve"> are </w:t>
      </w:r>
      <w:r w:rsidR="00851125">
        <w:rPr>
          <w:rFonts w:ascii="Times New Roman" w:hAnsi="Times New Roman" w:cs="Times New Roman"/>
        </w:rPr>
        <w:t xml:space="preserve">as shown in Table F-3. </w:t>
      </w:r>
    </w:p>
    <w:p w14:paraId="0D9164F5" w14:textId="6D219102" w:rsidR="00D34786" w:rsidRPr="00570B42" w:rsidRDefault="00D34786" w:rsidP="00571D04">
      <w:pPr>
        <w:pStyle w:val="TableHeader1F"/>
        <w:keepNext/>
        <w:widowControl w:val="0"/>
        <w:jc w:val="center"/>
        <w:rPr>
          <w:rFonts w:ascii="Times New Roman" w:hAnsi="Times New Roman" w:cs="Times New Roman"/>
          <w:sz w:val="24"/>
          <w:szCs w:val="24"/>
        </w:rPr>
      </w:pPr>
      <w:bookmarkStart w:id="241" w:name="_Toc338152961"/>
      <w:bookmarkStart w:id="242" w:name="_Toc487829735"/>
      <w:r w:rsidRPr="00570B42">
        <w:rPr>
          <w:rFonts w:ascii="Times New Roman" w:hAnsi="Times New Roman" w:cs="Times New Roman"/>
          <w:sz w:val="24"/>
          <w:szCs w:val="24"/>
        </w:rPr>
        <w:lastRenderedPageBreak/>
        <w:t>Table F-</w:t>
      </w:r>
      <w:r w:rsidR="003F7454">
        <w:rPr>
          <w:rFonts w:ascii="Times New Roman" w:hAnsi="Times New Roman" w:cs="Times New Roman"/>
          <w:sz w:val="24"/>
          <w:szCs w:val="24"/>
        </w:rPr>
        <w:t>3</w:t>
      </w:r>
      <w:r w:rsidRPr="00570B42">
        <w:rPr>
          <w:rFonts w:ascii="Times New Roman" w:hAnsi="Times New Roman" w:cs="Times New Roman"/>
          <w:sz w:val="24"/>
          <w:szCs w:val="24"/>
        </w:rPr>
        <w:t>. Beneficial Uses</w:t>
      </w:r>
      <w:bookmarkEnd w:id="241"/>
      <w:bookmarkEnd w:id="242"/>
    </w:p>
    <w:tbl>
      <w:tblPr>
        <w:tblW w:w="0" w:type="auto"/>
        <w:jc w:val="center"/>
        <w:tblBorders>
          <w:top w:val="single" w:sz="12" w:space="0" w:color="000000"/>
          <w:left w:val="single" w:sz="12" w:space="0" w:color="000000"/>
          <w:bottom w:val="single" w:sz="12" w:space="0" w:color="auto"/>
          <w:right w:val="single" w:sz="12" w:space="0" w:color="000000"/>
          <w:insideH w:val="single" w:sz="6" w:space="0" w:color="000000"/>
          <w:insideV w:val="single" w:sz="6" w:space="0" w:color="000000"/>
        </w:tblBorders>
        <w:tblLayout w:type="fixed"/>
        <w:tblLook w:val="0080" w:firstRow="0" w:lastRow="0" w:firstColumn="1" w:lastColumn="0" w:noHBand="0" w:noVBand="0"/>
      </w:tblPr>
      <w:tblGrid>
        <w:gridCol w:w="1440"/>
        <w:gridCol w:w="2160"/>
        <w:gridCol w:w="5760"/>
      </w:tblGrid>
      <w:tr w:rsidR="00EE3A03" w:rsidRPr="00DB0907" w14:paraId="709D0996" w14:textId="77777777" w:rsidTr="00943772">
        <w:trPr>
          <w:cantSplit/>
          <w:trHeight w:val="366"/>
          <w:tblHeader/>
          <w:jc w:val="center"/>
        </w:trPr>
        <w:tc>
          <w:tcPr>
            <w:tcW w:w="1440" w:type="dxa"/>
            <w:tcBorders>
              <w:top w:val="single" w:sz="12" w:space="0" w:color="000000"/>
            </w:tcBorders>
            <w:vAlign w:val="center"/>
          </w:tcPr>
          <w:p w14:paraId="1DDAC381" w14:textId="77777777" w:rsidR="00EE3A03" w:rsidRPr="00DB0907" w:rsidRDefault="00EE3A03" w:rsidP="00571D04">
            <w:pPr>
              <w:pStyle w:val="TableText"/>
              <w:keepNext/>
              <w:rPr>
                <w:rFonts w:ascii="Times New Roman" w:hAnsi="Times New Roman" w:cs="Times New Roman"/>
                <w:b/>
                <w:bCs/>
              </w:rPr>
            </w:pPr>
            <w:bookmarkStart w:id="243" w:name="_Toc125358812"/>
            <w:bookmarkStart w:id="244" w:name="_Toc140484503"/>
            <w:r w:rsidRPr="00DB0907">
              <w:rPr>
                <w:rFonts w:ascii="Times New Roman" w:hAnsi="Times New Roman" w:cs="Times New Roman"/>
                <w:b/>
                <w:bCs/>
              </w:rPr>
              <w:t>Discharge Point</w:t>
            </w:r>
          </w:p>
        </w:tc>
        <w:tc>
          <w:tcPr>
            <w:tcW w:w="2160" w:type="dxa"/>
            <w:tcBorders>
              <w:top w:val="single" w:sz="12" w:space="0" w:color="000000"/>
            </w:tcBorders>
            <w:vAlign w:val="center"/>
          </w:tcPr>
          <w:p w14:paraId="6C8ADDB0" w14:textId="77777777" w:rsidR="00EE3A03" w:rsidRPr="00DB0907" w:rsidRDefault="00EE3A03" w:rsidP="00571D04">
            <w:pPr>
              <w:pStyle w:val="TableText"/>
              <w:keepNext/>
              <w:rPr>
                <w:rFonts w:ascii="Times New Roman" w:hAnsi="Times New Roman" w:cs="Times New Roman"/>
                <w:b/>
                <w:bCs/>
              </w:rPr>
            </w:pPr>
            <w:r w:rsidRPr="00DB0907">
              <w:rPr>
                <w:rFonts w:ascii="Times New Roman" w:hAnsi="Times New Roman" w:cs="Times New Roman"/>
                <w:b/>
                <w:bCs/>
              </w:rPr>
              <w:t>Receiving Water Name</w:t>
            </w:r>
          </w:p>
        </w:tc>
        <w:tc>
          <w:tcPr>
            <w:tcW w:w="5760" w:type="dxa"/>
            <w:tcBorders>
              <w:top w:val="single" w:sz="12" w:space="0" w:color="000000"/>
            </w:tcBorders>
            <w:vAlign w:val="center"/>
          </w:tcPr>
          <w:p w14:paraId="2667A120" w14:textId="77777777" w:rsidR="00EE3A03" w:rsidRPr="00DB0907" w:rsidRDefault="00EE3A03" w:rsidP="00571D04">
            <w:pPr>
              <w:pStyle w:val="TableText"/>
              <w:keepNext/>
              <w:rPr>
                <w:rFonts w:ascii="Times New Roman" w:hAnsi="Times New Roman" w:cs="Times New Roman"/>
                <w:b/>
                <w:bCs/>
              </w:rPr>
            </w:pPr>
            <w:r w:rsidRPr="00DB0907">
              <w:rPr>
                <w:rFonts w:ascii="Times New Roman" w:hAnsi="Times New Roman" w:cs="Times New Roman"/>
                <w:b/>
                <w:bCs/>
              </w:rPr>
              <w:t>Beneficial Uses</w:t>
            </w:r>
          </w:p>
        </w:tc>
      </w:tr>
      <w:tr w:rsidR="00EE3A03" w:rsidRPr="00DB0907" w14:paraId="465438C3" w14:textId="77777777" w:rsidTr="00943772">
        <w:trPr>
          <w:cantSplit/>
          <w:trHeight w:val="77"/>
          <w:jc w:val="center"/>
        </w:trPr>
        <w:tc>
          <w:tcPr>
            <w:tcW w:w="1440" w:type="dxa"/>
            <w:vAlign w:val="center"/>
          </w:tcPr>
          <w:p w14:paraId="5385ABD6" w14:textId="77777777" w:rsidR="00EE3A03" w:rsidRPr="00DB0907" w:rsidRDefault="00EE3A03" w:rsidP="00272443">
            <w:pPr>
              <w:pStyle w:val="TableText"/>
              <w:rPr>
                <w:rFonts w:ascii="Times New Roman" w:hAnsi="Times New Roman" w:cs="Times New Roman"/>
                <w:lang w:val="fr-FR"/>
              </w:rPr>
            </w:pPr>
            <w:r w:rsidRPr="00DB0907">
              <w:rPr>
                <w:rFonts w:ascii="Times New Roman" w:hAnsi="Times New Roman" w:cs="Times New Roman"/>
                <w:lang w:val="fr-FR"/>
              </w:rPr>
              <w:t>001</w:t>
            </w:r>
          </w:p>
        </w:tc>
        <w:tc>
          <w:tcPr>
            <w:tcW w:w="2160" w:type="dxa"/>
            <w:vAlign w:val="center"/>
          </w:tcPr>
          <w:p w14:paraId="4A1E23C2" w14:textId="6B021F75" w:rsidR="00EE3A03" w:rsidRPr="00EF2EFB" w:rsidRDefault="00315C37" w:rsidP="00BE31E6">
            <w:pPr>
              <w:pStyle w:val="TableText"/>
              <w:rPr>
                <w:rFonts w:ascii="Times New Roman" w:hAnsi="Times New Roman" w:cs="Times New Roman"/>
              </w:rPr>
            </w:pPr>
            <w:r>
              <w:rPr>
                <w:rFonts w:ascii="Times New Roman" w:hAnsi="Times New Roman" w:cs="Times New Roman"/>
              </w:rPr>
              <w:br/>
            </w:r>
            <w:r w:rsidR="00EE3A03" w:rsidRPr="00EF2EFB">
              <w:rPr>
                <w:rFonts w:ascii="Times New Roman" w:hAnsi="Times New Roman" w:cs="Times New Roman"/>
              </w:rPr>
              <w:t>San Francisco Bay</w:t>
            </w:r>
            <w:r w:rsidR="00BE31E6">
              <w:rPr>
                <w:rFonts w:ascii="Times New Roman" w:hAnsi="Times New Roman" w:cs="Times New Roman"/>
              </w:rPr>
              <w:t xml:space="preserve"> and its tributaries </w:t>
            </w:r>
            <w:r w:rsidR="00BE31E6">
              <w:rPr>
                <w:rFonts w:ascii="Times New Roman" w:hAnsi="Times New Roman" w:cs="Times New Roman"/>
                <w:vertAlign w:val="superscript"/>
              </w:rPr>
              <w:t>[1]</w:t>
            </w:r>
            <w:r w:rsidR="00BE31E6">
              <w:rPr>
                <w:rFonts w:ascii="Times New Roman" w:hAnsi="Times New Roman" w:cs="Times New Roman"/>
              </w:rPr>
              <w:t xml:space="preserve"> </w:t>
            </w:r>
          </w:p>
        </w:tc>
        <w:tc>
          <w:tcPr>
            <w:tcW w:w="5760" w:type="dxa"/>
            <w:vAlign w:val="center"/>
          </w:tcPr>
          <w:p w14:paraId="4E682C4D" w14:textId="77777777" w:rsidR="00851125" w:rsidRDefault="007133C7" w:rsidP="00851125">
            <w:pPr>
              <w:pStyle w:val="TableText"/>
              <w:ind w:left="72"/>
              <w:jc w:val="left"/>
              <w:rPr>
                <w:rFonts w:ascii="Times New Roman" w:hAnsi="Times New Roman" w:cs="Times New Roman"/>
              </w:rPr>
            </w:pPr>
            <w:r>
              <w:rPr>
                <w:rFonts w:ascii="Times New Roman" w:hAnsi="Times New Roman" w:cs="Times New Roman"/>
              </w:rPr>
              <w:t>Agricultural Supply (AGR)</w:t>
            </w:r>
          </w:p>
          <w:p w14:paraId="63D52143" w14:textId="3F12C6FA" w:rsidR="007133C7" w:rsidRDefault="007133C7" w:rsidP="00851125">
            <w:pPr>
              <w:pStyle w:val="TableText"/>
              <w:ind w:left="72"/>
              <w:jc w:val="left"/>
              <w:rPr>
                <w:rFonts w:ascii="Times New Roman" w:hAnsi="Times New Roman" w:cs="Times New Roman"/>
              </w:rPr>
            </w:pPr>
            <w:r>
              <w:rPr>
                <w:rFonts w:ascii="Times New Roman" w:hAnsi="Times New Roman" w:cs="Times New Roman"/>
              </w:rPr>
              <w:t>Cold Freshwater Habitat (COLD)</w:t>
            </w:r>
          </w:p>
          <w:p w14:paraId="2B02B22F" w14:textId="77777777" w:rsidR="007133C7" w:rsidRDefault="007133C7" w:rsidP="00272443">
            <w:pPr>
              <w:pStyle w:val="TableText"/>
              <w:ind w:left="72"/>
              <w:jc w:val="left"/>
              <w:rPr>
                <w:rFonts w:ascii="Times New Roman" w:hAnsi="Times New Roman" w:cs="Times New Roman"/>
              </w:rPr>
            </w:pPr>
            <w:r w:rsidRPr="007133C7">
              <w:rPr>
                <w:rFonts w:ascii="Times New Roman" w:hAnsi="Times New Roman" w:cs="Times New Roman"/>
              </w:rPr>
              <w:t>Ocean, Commercial, and Sport Fishing (C</w:t>
            </w:r>
            <w:r>
              <w:rPr>
                <w:rFonts w:ascii="Times New Roman" w:hAnsi="Times New Roman" w:cs="Times New Roman"/>
              </w:rPr>
              <w:t>OMM)</w:t>
            </w:r>
          </w:p>
          <w:p w14:paraId="33BF5A81" w14:textId="77777777" w:rsidR="007133C7" w:rsidRDefault="007133C7" w:rsidP="00272443">
            <w:pPr>
              <w:pStyle w:val="TableText"/>
              <w:ind w:left="72"/>
              <w:jc w:val="left"/>
              <w:rPr>
                <w:rFonts w:ascii="Times New Roman" w:hAnsi="Times New Roman" w:cs="Times New Roman"/>
              </w:rPr>
            </w:pPr>
            <w:r>
              <w:rPr>
                <w:rFonts w:ascii="Times New Roman" w:hAnsi="Times New Roman" w:cs="Times New Roman"/>
              </w:rPr>
              <w:t>Estuarine Habitat (EST)</w:t>
            </w:r>
          </w:p>
          <w:p w14:paraId="7288D704" w14:textId="77777777" w:rsidR="007133C7" w:rsidRDefault="007133C7" w:rsidP="00272443">
            <w:pPr>
              <w:pStyle w:val="TableText"/>
              <w:ind w:left="72"/>
              <w:jc w:val="left"/>
              <w:rPr>
                <w:rFonts w:ascii="Times New Roman" w:hAnsi="Times New Roman" w:cs="Times New Roman"/>
              </w:rPr>
            </w:pPr>
            <w:r w:rsidRPr="007133C7">
              <w:rPr>
                <w:rFonts w:ascii="Times New Roman" w:hAnsi="Times New Roman" w:cs="Times New Roman"/>
              </w:rPr>
              <w:t>I</w:t>
            </w:r>
            <w:r>
              <w:rPr>
                <w:rFonts w:ascii="Times New Roman" w:hAnsi="Times New Roman" w:cs="Times New Roman"/>
              </w:rPr>
              <w:t>ndustrial Service Supply (IND)</w:t>
            </w:r>
          </w:p>
          <w:p w14:paraId="68AB37A8" w14:textId="77777777" w:rsidR="007133C7" w:rsidRDefault="007133C7" w:rsidP="00272443">
            <w:pPr>
              <w:pStyle w:val="TableText"/>
              <w:ind w:left="72"/>
              <w:jc w:val="left"/>
              <w:rPr>
                <w:rFonts w:ascii="Times New Roman" w:hAnsi="Times New Roman" w:cs="Times New Roman"/>
              </w:rPr>
            </w:pPr>
            <w:r>
              <w:rPr>
                <w:rFonts w:ascii="Times New Roman" w:hAnsi="Times New Roman" w:cs="Times New Roman"/>
              </w:rPr>
              <w:t>Marine Habitat (MAR)</w:t>
            </w:r>
          </w:p>
          <w:p w14:paraId="162689E8" w14:textId="6BB08800" w:rsidR="007133C7" w:rsidRDefault="007133C7" w:rsidP="00272443">
            <w:pPr>
              <w:pStyle w:val="TableText"/>
              <w:ind w:left="72"/>
              <w:jc w:val="left"/>
              <w:rPr>
                <w:rFonts w:ascii="Times New Roman" w:hAnsi="Times New Roman" w:cs="Times New Roman"/>
              </w:rPr>
            </w:pPr>
            <w:r>
              <w:rPr>
                <w:rFonts w:ascii="Times New Roman" w:hAnsi="Times New Roman" w:cs="Times New Roman"/>
              </w:rPr>
              <w:t>Fish Migration (MIGR)</w:t>
            </w:r>
          </w:p>
          <w:p w14:paraId="226F8E75" w14:textId="77777777" w:rsidR="007133C7" w:rsidRDefault="007133C7" w:rsidP="00272443">
            <w:pPr>
              <w:pStyle w:val="TableText"/>
              <w:ind w:left="72"/>
              <w:jc w:val="left"/>
              <w:rPr>
                <w:rFonts w:ascii="Times New Roman" w:hAnsi="Times New Roman" w:cs="Times New Roman"/>
              </w:rPr>
            </w:pPr>
            <w:r>
              <w:rPr>
                <w:rFonts w:ascii="Times New Roman" w:hAnsi="Times New Roman" w:cs="Times New Roman"/>
              </w:rPr>
              <w:t>Municipal and Domestic Supply (MUN)</w:t>
            </w:r>
          </w:p>
          <w:p w14:paraId="4F2643D1" w14:textId="77777777" w:rsidR="007133C7" w:rsidRDefault="007133C7" w:rsidP="00272443">
            <w:pPr>
              <w:pStyle w:val="TableText"/>
              <w:ind w:left="72"/>
              <w:jc w:val="left"/>
              <w:rPr>
                <w:rFonts w:ascii="Times New Roman" w:hAnsi="Times New Roman" w:cs="Times New Roman"/>
              </w:rPr>
            </w:pPr>
            <w:r>
              <w:rPr>
                <w:rFonts w:ascii="Times New Roman" w:hAnsi="Times New Roman" w:cs="Times New Roman"/>
              </w:rPr>
              <w:t>Navigation (NAV)</w:t>
            </w:r>
          </w:p>
          <w:p w14:paraId="1EC0FA28" w14:textId="77777777" w:rsidR="007133C7" w:rsidRDefault="007133C7" w:rsidP="00272443">
            <w:pPr>
              <w:pStyle w:val="TableText"/>
              <w:ind w:left="72"/>
              <w:jc w:val="left"/>
              <w:rPr>
                <w:rFonts w:ascii="Times New Roman" w:hAnsi="Times New Roman" w:cs="Times New Roman"/>
              </w:rPr>
            </w:pPr>
            <w:r w:rsidRPr="007133C7">
              <w:rPr>
                <w:rFonts w:ascii="Times New Roman" w:hAnsi="Times New Roman" w:cs="Times New Roman"/>
              </w:rPr>
              <w:t>In</w:t>
            </w:r>
            <w:r>
              <w:rPr>
                <w:rFonts w:ascii="Times New Roman" w:hAnsi="Times New Roman" w:cs="Times New Roman"/>
              </w:rPr>
              <w:t>dustrial Process Supply (PROC)</w:t>
            </w:r>
          </w:p>
          <w:p w14:paraId="3C42DA39" w14:textId="77777777" w:rsidR="007133C7" w:rsidRDefault="007133C7" w:rsidP="00272443">
            <w:pPr>
              <w:pStyle w:val="TableText"/>
              <w:ind w:left="72"/>
              <w:jc w:val="left"/>
              <w:rPr>
                <w:rFonts w:ascii="Times New Roman" w:hAnsi="Times New Roman" w:cs="Times New Roman"/>
              </w:rPr>
            </w:pPr>
            <w:r w:rsidRPr="007133C7">
              <w:rPr>
                <w:rFonts w:ascii="Times New Roman" w:hAnsi="Times New Roman" w:cs="Times New Roman"/>
              </w:rPr>
              <w:t>Preservation of Rare</w:t>
            </w:r>
            <w:r>
              <w:rPr>
                <w:rFonts w:ascii="Times New Roman" w:hAnsi="Times New Roman" w:cs="Times New Roman"/>
              </w:rPr>
              <w:t xml:space="preserve"> and Endangered Species (RARE)</w:t>
            </w:r>
          </w:p>
          <w:p w14:paraId="5B474102" w14:textId="77777777" w:rsidR="007133C7" w:rsidRDefault="007133C7" w:rsidP="00272443">
            <w:pPr>
              <w:pStyle w:val="TableText"/>
              <w:ind w:left="72"/>
              <w:jc w:val="left"/>
              <w:rPr>
                <w:rFonts w:ascii="Times New Roman" w:hAnsi="Times New Roman" w:cs="Times New Roman"/>
              </w:rPr>
            </w:pPr>
            <w:r w:rsidRPr="007133C7">
              <w:rPr>
                <w:rFonts w:ascii="Times New Roman" w:hAnsi="Times New Roman" w:cs="Times New Roman"/>
              </w:rPr>
              <w:t xml:space="preserve">Water </w:t>
            </w:r>
            <w:r>
              <w:rPr>
                <w:rFonts w:ascii="Times New Roman" w:hAnsi="Times New Roman" w:cs="Times New Roman"/>
              </w:rPr>
              <w:t>Contact Recreation (REC1)</w:t>
            </w:r>
          </w:p>
          <w:p w14:paraId="7F2FFB5A" w14:textId="426D58F7" w:rsidR="007133C7" w:rsidRDefault="007133C7" w:rsidP="00272443">
            <w:pPr>
              <w:pStyle w:val="TableText"/>
              <w:ind w:left="72"/>
              <w:jc w:val="left"/>
              <w:rPr>
                <w:rFonts w:ascii="Times New Roman" w:hAnsi="Times New Roman" w:cs="Times New Roman"/>
              </w:rPr>
            </w:pPr>
            <w:r w:rsidRPr="007133C7">
              <w:rPr>
                <w:rFonts w:ascii="Times New Roman" w:hAnsi="Times New Roman" w:cs="Times New Roman"/>
              </w:rPr>
              <w:t>Non</w:t>
            </w:r>
            <w:r>
              <w:rPr>
                <w:rFonts w:ascii="Times New Roman" w:hAnsi="Times New Roman" w:cs="Times New Roman"/>
              </w:rPr>
              <w:t>-Contact Water Recreation (REC2)</w:t>
            </w:r>
          </w:p>
          <w:p w14:paraId="3FC49BD6" w14:textId="77777777" w:rsidR="007133C7" w:rsidRDefault="007133C7" w:rsidP="00272443">
            <w:pPr>
              <w:pStyle w:val="TableText"/>
              <w:ind w:left="72"/>
              <w:jc w:val="left"/>
              <w:rPr>
                <w:rFonts w:ascii="Times New Roman" w:hAnsi="Times New Roman" w:cs="Times New Roman"/>
              </w:rPr>
            </w:pPr>
            <w:r>
              <w:rPr>
                <w:rFonts w:ascii="Times New Roman" w:hAnsi="Times New Roman" w:cs="Times New Roman"/>
              </w:rPr>
              <w:t>Shellfish Harvesting (SHELL)</w:t>
            </w:r>
          </w:p>
          <w:p w14:paraId="7101EE4F" w14:textId="77777777" w:rsidR="007133C7" w:rsidRDefault="007133C7" w:rsidP="00272443">
            <w:pPr>
              <w:pStyle w:val="TableText"/>
              <w:ind w:left="72"/>
              <w:jc w:val="left"/>
              <w:rPr>
                <w:rFonts w:ascii="Times New Roman" w:hAnsi="Times New Roman" w:cs="Times New Roman"/>
              </w:rPr>
            </w:pPr>
            <w:r>
              <w:rPr>
                <w:rFonts w:ascii="Times New Roman" w:hAnsi="Times New Roman" w:cs="Times New Roman"/>
              </w:rPr>
              <w:t>Fish Spawning (SPWN)</w:t>
            </w:r>
          </w:p>
          <w:p w14:paraId="2E573DCF" w14:textId="77777777" w:rsidR="007133C7" w:rsidRDefault="007133C7" w:rsidP="00272443">
            <w:pPr>
              <w:pStyle w:val="TableText"/>
              <w:ind w:left="72"/>
              <w:jc w:val="left"/>
              <w:rPr>
                <w:rFonts w:ascii="Times New Roman" w:hAnsi="Times New Roman" w:cs="Times New Roman"/>
              </w:rPr>
            </w:pPr>
            <w:r w:rsidRPr="007133C7">
              <w:rPr>
                <w:rFonts w:ascii="Times New Roman" w:hAnsi="Times New Roman" w:cs="Times New Roman"/>
              </w:rPr>
              <w:t>Warm Freshwater Habitat (WARM)</w:t>
            </w:r>
          </w:p>
          <w:p w14:paraId="1F5CCDE9" w14:textId="5E383BB3" w:rsidR="007133C7" w:rsidRPr="00EF2EFB" w:rsidRDefault="007133C7" w:rsidP="00272443">
            <w:pPr>
              <w:pStyle w:val="TableText"/>
              <w:ind w:left="72"/>
              <w:jc w:val="left"/>
              <w:rPr>
                <w:rFonts w:ascii="Times New Roman" w:hAnsi="Times New Roman" w:cs="Times New Roman"/>
              </w:rPr>
            </w:pPr>
            <w:r w:rsidRPr="007133C7">
              <w:rPr>
                <w:rFonts w:ascii="Times New Roman" w:hAnsi="Times New Roman" w:cs="Times New Roman"/>
              </w:rPr>
              <w:t>Wildlife Habitat (WILD)</w:t>
            </w:r>
          </w:p>
        </w:tc>
      </w:tr>
    </w:tbl>
    <w:p w14:paraId="3C7313B8" w14:textId="77777777" w:rsidR="00BE31E6" w:rsidRPr="00AA7908" w:rsidRDefault="00BE31E6" w:rsidP="00BE31E6">
      <w:pPr>
        <w:keepNext/>
        <w:spacing w:before="60" w:after="60"/>
        <w:ind w:left="810" w:hanging="270"/>
        <w:rPr>
          <w:sz w:val="18"/>
          <w:szCs w:val="18"/>
          <w:u w:val="single"/>
        </w:rPr>
      </w:pPr>
      <w:r w:rsidRPr="00AA7908">
        <w:rPr>
          <w:sz w:val="18"/>
          <w:szCs w:val="18"/>
          <w:u w:val="single"/>
        </w:rPr>
        <w:t>Footnote:</w:t>
      </w:r>
    </w:p>
    <w:p w14:paraId="281277DE" w14:textId="0E891D9E" w:rsidR="00D34786" w:rsidRDefault="00BE31E6" w:rsidP="00BE31E6">
      <w:pPr>
        <w:spacing w:before="60" w:after="240"/>
        <w:ind w:left="810" w:hanging="270"/>
        <w:rPr>
          <w:sz w:val="18"/>
          <w:szCs w:val="18"/>
        </w:rPr>
      </w:pPr>
      <w:r w:rsidRPr="00AA7908">
        <w:rPr>
          <w:sz w:val="18"/>
          <w:szCs w:val="18"/>
          <w:vertAlign w:val="superscript"/>
        </w:rPr>
        <w:t>[1]</w:t>
      </w:r>
      <w:r>
        <w:rPr>
          <w:sz w:val="18"/>
          <w:szCs w:val="18"/>
        </w:rPr>
        <w:tab/>
        <w:t xml:space="preserve">Specific beneficial uses that apply to each Discharger are </w:t>
      </w:r>
      <w:r w:rsidR="00CD7A7A">
        <w:rPr>
          <w:sz w:val="18"/>
          <w:szCs w:val="18"/>
        </w:rPr>
        <w:t xml:space="preserve">included </w:t>
      </w:r>
      <w:r>
        <w:rPr>
          <w:sz w:val="18"/>
          <w:szCs w:val="18"/>
        </w:rPr>
        <w:t>in the individual NPDES permits listed in Attachment B of</w:t>
      </w:r>
      <w:r w:rsidRPr="00AA7908">
        <w:rPr>
          <w:sz w:val="18"/>
          <w:szCs w:val="18"/>
        </w:rPr>
        <w:t xml:space="preserve"> this Order.</w:t>
      </w:r>
    </w:p>
    <w:p w14:paraId="0AF44724" w14:textId="5A5E4D18" w:rsidR="00EB2E8C" w:rsidRDefault="00EB2E8C" w:rsidP="00EB2E8C">
      <w:pPr>
        <w:pStyle w:val="H-indent5025"/>
        <w:rPr>
          <w:rFonts w:ascii="Times New Roman" w:hAnsi="Times New Roman" w:cs="Times New Roman"/>
        </w:rPr>
      </w:pPr>
      <w:r>
        <w:rPr>
          <w:sz w:val="18"/>
          <w:szCs w:val="18"/>
        </w:rPr>
        <w:tab/>
      </w:r>
      <w:r w:rsidRPr="00EB2E8C">
        <w:rPr>
          <w:rFonts w:ascii="Times New Roman" w:hAnsi="Times New Roman" w:cs="Times New Roman"/>
        </w:rPr>
        <w:t xml:space="preserve">The Regional Water Board adopted a Basin Plan Amendment on </w:t>
      </w:r>
      <w:r>
        <w:rPr>
          <w:rFonts w:ascii="Times New Roman" w:hAnsi="Times New Roman" w:cs="Times New Roman"/>
        </w:rPr>
        <w:t>August 9, 2006, that established</w:t>
      </w:r>
      <w:r w:rsidRPr="00EB2E8C">
        <w:rPr>
          <w:rFonts w:ascii="Times New Roman" w:hAnsi="Times New Roman" w:cs="Times New Roman"/>
        </w:rPr>
        <w:t xml:space="preserve"> </w:t>
      </w:r>
      <w:r w:rsidR="00FB2148">
        <w:rPr>
          <w:rFonts w:ascii="Times New Roman" w:hAnsi="Times New Roman" w:cs="Times New Roman"/>
        </w:rPr>
        <w:t xml:space="preserve">new </w:t>
      </w:r>
      <w:r w:rsidRPr="00EB2E8C">
        <w:rPr>
          <w:rFonts w:ascii="Times New Roman" w:hAnsi="Times New Roman" w:cs="Times New Roman"/>
        </w:rPr>
        <w:t>water quality objectives for mercury</w:t>
      </w:r>
      <w:r>
        <w:rPr>
          <w:rFonts w:ascii="Times New Roman" w:hAnsi="Times New Roman" w:cs="Times New Roman"/>
        </w:rPr>
        <w:t xml:space="preserve"> in addition to</w:t>
      </w:r>
      <w:r w:rsidRPr="00EB2E8C">
        <w:rPr>
          <w:rFonts w:ascii="Times New Roman" w:hAnsi="Times New Roman" w:cs="Times New Roman"/>
        </w:rPr>
        <w:t xml:space="preserve"> the San Francisco Bay </w:t>
      </w:r>
      <w:r w:rsidR="003B3F50">
        <w:rPr>
          <w:rFonts w:ascii="Times New Roman" w:hAnsi="Times New Roman" w:cs="Times New Roman"/>
        </w:rPr>
        <w:t>Mercury TMDL</w:t>
      </w:r>
      <w:r w:rsidRPr="00EB2E8C">
        <w:rPr>
          <w:rFonts w:ascii="Times New Roman" w:hAnsi="Times New Roman" w:cs="Times New Roman"/>
        </w:rPr>
        <w:t xml:space="preserve"> to attain the </w:t>
      </w:r>
      <w:r w:rsidR="00FB2148">
        <w:rPr>
          <w:rFonts w:ascii="Times New Roman" w:hAnsi="Times New Roman" w:cs="Times New Roman"/>
        </w:rPr>
        <w:t>new</w:t>
      </w:r>
      <w:r w:rsidRPr="00EB2E8C">
        <w:rPr>
          <w:rFonts w:ascii="Times New Roman" w:hAnsi="Times New Roman" w:cs="Times New Roman"/>
        </w:rPr>
        <w:t xml:space="preserve"> objectives in Sa</w:t>
      </w:r>
      <w:r>
        <w:rPr>
          <w:rFonts w:ascii="Times New Roman" w:hAnsi="Times New Roman" w:cs="Times New Roman"/>
        </w:rPr>
        <w:t>n Francisco Bay and contiguous B</w:t>
      </w:r>
      <w:r w:rsidRPr="00EB2E8C">
        <w:rPr>
          <w:rFonts w:ascii="Times New Roman" w:hAnsi="Times New Roman" w:cs="Times New Roman"/>
        </w:rPr>
        <w:t xml:space="preserve">ay segments. The Regional Water Board’s Executive Officer made corrections on May 23, 2007, and the State Water Board approved the Basin Plan Amendment (as corrected) and </w:t>
      </w:r>
      <w:r>
        <w:rPr>
          <w:rFonts w:ascii="Times New Roman" w:hAnsi="Times New Roman" w:cs="Times New Roman"/>
        </w:rPr>
        <w:t xml:space="preserve">the </w:t>
      </w:r>
      <w:r w:rsidRPr="00EB2E8C">
        <w:rPr>
          <w:rFonts w:ascii="Times New Roman" w:hAnsi="Times New Roman" w:cs="Times New Roman"/>
        </w:rPr>
        <w:t>water quality objectives on July 17, 2007. The U</w:t>
      </w:r>
      <w:r>
        <w:rPr>
          <w:rFonts w:ascii="Times New Roman" w:hAnsi="Times New Roman" w:cs="Times New Roman"/>
        </w:rPr>
        <w:t>.</w:t>
      </w:r>
      <w:r w:rsidRPr="00EB2E8C">
        <w:rPr>
          <w:rFonts w:ascii="Times New Roman" w:hAnsi="Times New Roman" w:cs="Times New Roman"/>
        </w:rPr>
        <w:t>S</w:t>
      </w:r>
      <w:r>
        <w:rPr>
          <w:rFonts w:ascii="Times New Roman" w:hAnsi="Times New Roman" w:cs="Times New Roman"/>
        </w:rPr>
        <w:t xml:space="preserve">. </w:t>
      </w:r>
      <w:r w:rsidRPr="00EB2E8C">
        <w:rPr>
          <w:rFonts w:ascii="Times New Roman" w:hAnsi="Times New Roman" w:cs="Times New Roman"/>
        </w:rPr>
        <w:t xml:space="preserve">EPA approved the new water quality objectives on February 12, 2008.  </w:t>
      </w:r>
    </w:p>
    <w:p w14:paraId="68F453DA" w14:textId="0F4B3545" w:rsidR="00EB2E8C" w:rsidRDefault="00EB2E8C" w:rsidP="00EB2E8C">
      <w:pPr>
        <w:pStyle w:val="H-indent5025"/>
        <w:rPr>
          <w:rFonts w:ascii="Times New Roman" w:hAnsi="Times New Roman" w:cs="Times New Roman"/>
        </w:rPr>
      </w:pPr>
      <w:r>
        <w:rPr>
          <w:rFonts w:ascii="Times New Roman" w:hAnsi="Times New Roman" w:cs="Times New Roman"/>
        </w:rPr>
        <w:tab/>
      </w:r>
      <w:r w:rsidRPr="00EB2E8C">
        <w:rPr>
          <w:rFonts w:ascii="Times New Roman" w:hAnsi="Times New Roman" w:cs="Times New Roman"/>
        </w:rPr>
        <w:t>The Regional Water Board also adopted a Basin Plan Amendment on February 13, 2008, that established waste load allocations for PCBs in Sa</w:t>
      </w:r>
      <w:r>
        <w:rPr>
          <w:rFonts w:ascii="Times New Roman" w:hAnsi="Times New Roman" w:cs="Times New Roman"/>
        </w:rPr>
        <w:t>n Francisco Bay and contiguous B</w:t>
      </w:r>
      <w:r w:rsidRPr="00EB2E8C">
        <w:rPr>
          <w:rFonts w:ascii="Times New Roman" w:hAnsi="Times New Roman" w:cs="Times New Roman"/>
        </w:rPr>
        <w:t>ay segments. The State Water Board approved the Basin Plan amendment on October 20, 2009. The U</w:t>
      </w:r>
      <w:r>
        <w:rPr>
          <w:rFonts w:ascii="Times New Roman" w:hAnsi="Times New Roman" w:cs="Times New Roman"/>
        </w:rPr>
        <w:t>.</w:t>
      </w:r>
      <w:r w:rsidRPr="00EB2E8C">
        <w:rPr>
          <w:rFonts w:ascii="Times New Roman" w:hAnsi="Times New Roman" w:cs="Times New Roman"/>
        </w:rPr>
        <w:t>S</w:t>
      </w:r>
      <w:r>
        <w:rPr>
          <w:rFonts w:ascii="Times New Roman" w:hAnsi="Times New Roman" w:cs="Times New Roman"/>
        </w:rPr>
        <w:t xml:space="preserve">. </w:t>
      </w:r>
      <w:r w:rsidRPr="00EB2E8C">
        <w:rPr>
          <w:rFonts w:ascii="Times New Roman" w:hAnsi="Times New Roman" w:cs="Times New Roman"/>
        </w:rPr>
        <w:t>EPA approved the amendment on March 29, 2010.</w:t>
      </w:r>
    </w:p>
    <w:p w14:paraId="47EF38A4" w14:textId="77777777" w:rsidR="002F25C6" w:rsidRPr="00EE3A03" w:rsidRDefault="002F25C6" w:rsidP="002F25C6">
      <w:pPr>
        <w:pStyle w:val="H-indent5025"/>
        <w:rPr>
          <w:rFonts w:ascii="Times New Roman" w:hAnsi="Times New Roman" w:cs="Times New Roman"/>
        </w:rPr>
      </w:pPr>
      <w:r w:rsidRPr="00EE3A03">
        <w:rPr>
          <w:rFonts w:ascii="TimesNewRomanPSMT" w:hAnsi="TimesNewRomanPSMT" w:cs="TimesNewRomanPSMT"/>
          <w:b/>
        </w:rPr>
        <w:t>2.</w:t>
      </w:r>
      <w:r w:rsidRPr="00EE3A03">
        <w:rPr>
          <w:rFonts w:ascii="TimesNewRomanPSMT" w:hAnsi="TimesNewRomanPSMT" w:cs="TimesNewRomanPSMT"/>
          <w:b/>
        </w:rPr>
        <w:tab/>
      </w:r>
      <w:r w:rsidRPr="00EE3A03">
        <w:rPr>
          <w:rFonts w:ascii="Times New Roman" w:hAnsi="Times New Roman" w:cs="Times New Roman"/>
          <w:b/>
        </w:rPr>
        <w:t>Sediment Quality.</w:t>
      </w:r>
      <w:r w:rsidRPr="00EE3A03">
        <w:rPr>
          <w:rFonts w:ascii="Times New Roman" w:hAnsi="Times New Roman" w:cs="Times New Roman"/>
        </w:rPr>
        <w:t xml:space="preserve"> The State Water Board adopted the </w:t>
      </w:r>
      <w:r w:rsidRPr="00EE3A03">
        <w:rPr>
          <w:rFonts w:ascii="Times New Roman" w:hAnsi="Times New Roman" w:cs="Times New Roman"/>
          <w:i/>
        </w:rPr>
        <w:t>Water Quality Control Plan for Enclosed Bays and Estuaries – Part 1, Sediment Quality</w:t>
      </w:r>
      <w:r w:rsidRPr="00EE3A03">
        <w:rPr>
          <w:rFonts w:ascii="Times New Roman" w:hAnsi="Times New Roman" w:cs="Times New Roman"/>
        </w:rPr>
        <w:t xml:space="preserve"> on September 16, 2008, and it became effective on August 25, 2009. This plan supersedes other narrative sediment quality objectives, and establishes new sediment quality objectives and related implementation provisions for specifically defined sediments in most bays and estuaries. This Order implements the sediment quality objectives of this plan.</w:t>
      </w:r>
    </w:p>
    <w:p w14:paraId="534751C3" w14:textId="0ECA67DD" w:rsidR="002F25C6" w:rsidRPr="00EB2E8C" w:rsidRDefault="002F25C6" w:rsidP="002F25C6">
      <w:pPr>
        <w:pStyle w:val="H-indent5025"/>
        <w:rPr>
          <w:rFonts w:ascii="Times New Roman" w:hAnsi="Times New Roman" w:cs="Times New Roman"/>
        </w:rPr>
      </w:pPr>
      <w:r w:rsidRPr="00EE3A03">
        <w:rPr>
          <w:rFonts w:ascii="Times New Roman" w:hAnsi="Times New Roman" w:cs="Times New Roman"/>
          <w:b/>
        </w:rPr>
        <w:t>3.</w:t>
      </w:r>
      <w:r w:rsidRPr="00EE3A03">
        <w:rPr>
          <w:rFonts w:ascii="Times New Roman" w:hAnsi="Times New Roman" w:cs="Times New Roman"/>
          <w:b/>
        </w:rPr>
        <w:tab/>
      </w:r>
      <w:r w:rsidRPr="00EE3A03">
        <w:rPr>
          <w:rFonts w:ascii="Times New Roman" w:hAnsi="Times New Roman" w:cs="Times New Roman"/>
          <w:b/>
          <w:bCs/>
        </w:rPr>
        <w:t>National Toxics Rule (NTR) and California Toxics Rule (CTR).</w:t>
      </w:r>
      <w:r w:rsidRPr="00EE3A03">
        <w:rPr>
          <w:rFonts w:ascii="Times New Roman" w:hAnsi="Times New Roman" w:cs="Times New Roman"/>
        </w:rPr>
        <w:t xml:space="preserve"> U.S. EPA adopted the NTR on December 22, 1992, and amended it on May 4, 1995, and November 9, 1999. About 40 criteria in the NTR apply in California. On May 18, 2000, U.S. EPA adopted the CTR. The CTR promulgated new toxics criteria for California and incorporated the previously adopted NTR criteria that applied in the State. U.S. EPA amended the CTR on February 13, </w:t>
      </w:r>
      <w:r w:rsidRPr="006C0913">
        <w:rPr>
          <w:rFonts w:ascii="Times New Roman" w:hAnsi="Times New Roman" w:cs="Times New Roman"/>
        </w:rPr>
        <w:t xml:space="preserve">2001. These rules contain </w:t>
      </w:r>
      <w:r>
        <w:rPr>
          <w:rFonts w:ascii="Times New Roman" w:hAnsi="Times New Roman" w:cs="Times New Roman"/>
        </w:rPr>
        <w:t xml:space="preserve">federal </w:t>
      </w:r>
      <w:r w:rsidRPr="006C0913">
        <w:rPr>
          <w:rFonts w:ascii="Times New Roman" w:hAnsi="Times New Roman" w:cs="Times New Roman"/>
        </w:rPr>
        <w:t>water quality criteria for priority pollutants.</w:t>
      </w:r>
    </w:p>
    <w:p w14:paraId="5BC264AF" w14:textId="77777777" w:rsidR="004C6570" w:rsidRPr="006C0913" w:rsidRDefault="004705F8" w:rsidP="001E57B3">
      <w:pPr>
        <w:pStyle w:val="H-indent5025"/>
        <w:rPr>
          <w:rFonts w:ascii="Times New Roman" w:hAnsi="Times New Roman" w:cs="Times New Roman"/>
        </w:rPr>
      </w:pPr>
      <w:bookmarkStart w:id="245" w:name="_Toc125358813"/>
      <w:bookmarkStart w:id="246" w:name="_Toc140484504"/>
      <w:bookmarkStart w:id="247" w:name="_Toc102376462"/>
      <w:bookmarkEnd w:id="243"/>
      <w:bookmarkEnd w:id="244"/>
      <w:r w:rsidRPr="006C0913">
        <w:rPr>
          <w:rFonts w:ascii="Times New Roman" w:hAnsi="Times New Roman" w:cs="Times New Roman"/>
          <w:b/>
        </w:rPr>
        <w:lastRenderedPageBreak/>
        <w:t>4</w:t>
      </w:r>
      <w:r w:rsidR="00D34786" w:rsidRPr="006C0913">
        <w:rPr>
          <w:rFonts w:ascii="Times New Roman" w:hAnsi="Times New Roman" w:cs="Times New Roman"/>
          <w:b/>
        </w:rPr>
        <w:t>.</w:t>
      </w:r>
      <w:r w:rsidR="00D34786" w:rsidRPr="006C0913">
        <w:rPr>
          <w:rFonts w:ascii="Times New Roman" w:hAnsi="Times New Roman" w:cs="Times New Roman"/>
        </w:rPr>
        <w:tab/>
      </w:r>
      <w:r w:rsidR="00D34786" w:rsidRPr="006C0913">
        <w:rPr>
          <w:rFonts w:ascii="Times New Roman" w:hAnsi="Times New Roman" w:cs="Times New Roman"/>
          <w:b/>
          <w:bCs/>
        </w:rPr>
        <w:t>State Implementation Policy</w:t>
      </w:r>
      <w:bookmarkEnd w:id="245"/>
      <w:bookmarkEnd w:id="246"/>
      <w:r w:rsidR="00D34786" w:rsidRPr="006C0913">
        <w:rPr>
          <w:rFonts w:ascii="Times New Roman" w:hAnsi="Times New Roman" w:cs="Times New Roman"/>
          <w:b/>
          <w:bCs/>
        </w:rPr>
        <w:t>.</w:t>
      </w:r>
      <w:r w:rsidR="00D34786" w:rsidRPr="006C0913">
        <w:rPr>
          <w:rFonts w:ascii="Times New Roman" w:hAnsi="Times New Roman" w:cs="Times New Roman"/>
        </w:rPr>
        <w:t xml:space="preserve"> </w:t>
      </w:r>
      <w:r w:rsidRPr="006C0913">
        <w:rPr>
          <w:rFonts w:ascii="Times New Roman" w:hAnsi="Times New Roman" w:cs="Times New Roman"/>
        </w:rPr>
        <w:t xml:space="preserve">On March 2, 2000, the State Water Board adopted the </w:t>
      </w:r>
      <w:r w:rsidRPr="006C0913">
        <w:rPr>
          <w:rFonts w:ascii="Times New Roman" w:hAnsi="Times New Roman" w:cs="Times New Roman"/>
          <w:i/>
        </w:rPr>
        <w:t>Policy for Implementation of Toxics Standards for Inland Surface Waters, Enclosed Bays, and Estuaries of California</w:t>
      </w:r>
      <w:r w:rsidRPr="006C0913">
        <w:rPr>
          <w:rFonts w:ascii="Times New Roman" w:hAnsi="Times New Roman" w:cs="Times New Roman"/>
        </w:rPr>
        <w:t xml:space="preserve"> (State Implementation Policy or SIP). The SIP became effective on April 28, 2000, with respect to the priority pollutant criteria </w:t>
      </w:r>
      <w:r w:rsidR="00162145" w:rsidRPr="006C0913">
        <w:rPr>
          <w:rFonts w:ascii="Times New Roman" w:hAnsi="Times New Roman" w:cs="Times New Roman"/>
        </w:rPr>
        <w:t xml:space="preserve">U.S. EPA </w:t>
      </w:r>
      <w:r w:rsidRPr="006C0913">
        <w:rPr>
          <w:rFonts w:ascii="Times New Roman" w:hAnsi="Times New Roman" w:cs="Times New Roman"/>
        </w:rPr>
        <w:t xml:space="preserve">promulgated for California through the NTR and the priority pollutant objectives </w:t>
      </w:r>
      <w:r w:rsidR="00162145" w:rsidRPr="006C0913">
        <w:rPr>
          <w:rFonts w:ascii="Times New Roman" w:hAnsi="Times New Roman" w:cs="Times New Roman"/>
        </w:rPr>
        <w:t xml:space="preserve">the Regional Water Board </w:t>
      </w:r>
      <w:r w:rsidRPr="006C0913">
        <w:rPr>
          <w:rFonts w:ascii="Times New Roman" w:hAnsi="Times New Roman" w:cs="Times New Roman"/>
        </w:rPr>
        <w:t xml:space="preserve">established in the Basin Plan. The SIP became effective on May 18, 2000, with respect to the priority pollutant criteria </w:t>
      </w:r>
      <w:r w:rsidR="00162145" w:rsidRPr="006C0913">
        <w:rPr>
          <w:rFonts w:ascii="Times New Roman" w:hAnsi="Times New Roman" w:cs="Times New Roman"/>
        </w:rPr>
        <w:t xml:space="preserve">U.S. EPA </w:t>
      </w:r>
      <w:r w:rsidRPr="006C0913">
        <w:rPr>
          <w:rFonts w:ascii="Times New Roman" w:hAnsi="Times New Roman" w:cs="Times New Roman"/>
        </w:rPr>
        <w:t>promulgated through the CTR. The State Water Board adopted amendments to the SIP on February 24, 2005, that became effective on July</w:t>
      </w:r>
      <w:r w:rsidR="00BE6B46" w:rsidRPr="006C0913">
        <w:rPr>
          <w:rFonts w:ascii="Times New Roman" w:hAnsi="Times New Roman" w:cs="Times New Roman"/>
        </w:rPr>
        <w:t> </w:t>
      </w:r>
      <w:r w:rsidRPr="006C0913">
        <w:rPr>
          <w:rFonts w:ascii="Times New Roman" w:hAnsi="Times New Roman" w:cs="Times New Roman"/>
        </w:rPr>
        <w:t>13,</w:t>
      </w:r>
      <w:r w:rsidR="00BE6B46" w:rsidRPr="006C0913">
        <w:rPr>
          <w:rFonts w:ascii="Times New Roman" w:hAnsi="Times New Roman" w:cs="Times New Roman"/>
        </w:rPr>
        <w:t> </w:t>
      </w:r>
      <w:r w:rsidRPr="006C0913">
        <w:rPr>
          <w:rFonts w:ascii="Times New Roman" w:hAnsi="Times New Roman" w:cs="Times New Roman"/>
        </w:rPr>
        <w:t>2005. The SIP establishes implementation provisions for priority pollutant criteria and objectives</w:t>
      </w:r>
      <w:r w:rsidR="008A4B4E" w:rsidRPr="006C0913">
        <w:rPr>
          <w:rFonts w:ascii="Times New Roman" w:hAnsi="Times New Roman" w:cs="Times New Roman"/>
        </w:rPr>
        <w:t>,</w:t>
      </w:r>
      <w:r w:rsidRPr="006C0913">
        <w:rPr>
          <w:rFonts w:ascii="Times New Roman" w:hAnsi="Times New Roman" w:cs="Times New Roman"/>
        </w:rPr>
        <w:t xml:space="preserve"> and provisions for chronic toxicity control. Requirements of this </w:t>
      </w:r>
      <w:r w:rsidR="0005714F" w:rsidRPr="006C0913">
        <w:rPr>
          <w:rFonts w:ascii="Times New Roman" w:hAnsi="Times New Roman" w:cs="Times New Roman"/>
        </w:rPr>
        <w:t>Order</w:t>
      </w:r>
      <w:r w:rsidR="00BC468B" w:rsidRPr="006C0913">
        <w:rPr>
          <w:rFonts w:ascii="Times New Roman" w:hAnsi="Times New Roman" w:cs="Times New Roman"/>
        </w:rPr>
        <w:t xml:space="preserve"> </w:t>
      </w:r>
      <w:r w:rsidRPr="006C0913">
        <w:rPr>
          <w:rFonts w:ascii="Times New Roman" w:hAnsi="Times New Roman" w:cs="Times New Roman"/>
        </w:rPr>
        <w:t>implement the SIP.</w:t>
      </w:r>
    </w:p>
    <w:p w14:paraId="4B9D79B2" w14:textId="77777777" w:rsidR="00162145" w:rsidRPr="006C0913" w:rsidRDefault="00493E5F" w:rsidP="00D34786">
      <w:pPr>
        <w:pStyle w:val="H-indent7525"/>
        <w:ind w:left="1080"/>
        <w:rPr>
          <w:spacing w:val="-2"/>
        </w:rPr>
      </w:pPr>
      <w:bookmarkStart w:id="248" w:name="_Toc125358814"/>
      <w:bookmarkStart w:id="249" w:name="_Toc140484505"/>
      <w:bookmarkEnd w:id="247"/>
      <w:r w:rsidRPr="006C0913">
        <w:rPr>
          <w:b/>
          <w:spacing w:val="-2"/>
        </w:rPr>
        <w:t>5</w:t>
      </w:r>
      <w:r w:rsidR="00D34786" w:rsidRPr="006C0913">
        <w:rPr>
          <w:b/>
          <w:spacing w:val="-2"/>
        </w:rPr>
        <w:t>.</w:t>
      </w:r>
      <w:r w:rsidR="00D34786" w:rsidRPr="006C0913">
        <w:rPr>
          <w:spacing w:val="-2"/>
        </w:rPr>
        <w:tab/>
      </w:r>
      <w:r w:rsidR="00D34786" w:rsidRPr="006C0913">
        <w:rPr>
          <w:b/>
          <w:spacing w:val="-2"/>
        </w:rPr>
        <w:t>Antidegradation Policy</w:t>
      </w:r>
      <w:bookmarkEnd w:id="248"/>
      <w:bookmarkEnd w:id="249"/>
      <w:r w:rsidR="00D34786" w:rsidRPr="006C0913">
        <w:rPr>
          <w:b/>
          <w:spacing w:val="-2"/>
        </w:rPr>
        <w:t>.</w:t>
      </w:r>
      <w:r w:rsidR="00D34786" w:rsidRPr="006C0913">
        <w:rPr>
          <w:spacing w:val="-2"/>
        </w:rPr>
        <w:t xml:space="preserve"> </w:t>
      </w:r>
      <w:r w:rsidR="00162145" w:rsidRPr="006C0913">
        <w:rPr>
          <w:spacing w:val="-2"/>
        </w:rPr>
        <w:t>Federal regulation</w:t>
      </w:r>
      <w:r w:rsidR="008A4B4E" w:rsidRPr="006C0913">
        <w:rPr>
          <w:spacing w:val="-2"/>
        </w:rPr>
        <w:t>s at</w:t>
      </w:r>
      <w:r w:rsidR="00162145" w:rsidRPr="006C0913">
        <w:rPr>
          <w:spacing w:val="-2"/>
        </w:rPr>
        <w:t xml:space="preserve"> 40 C.F.R. section 131.12 require that state water quality standards include an antidegradation policy consistent with the federal policy. The State Water Board established California’s antidegradation policy through State Water Board Resolution </w:t>
      </w:r>
      <w:r w:rsidR="00551B92" w:rsidRPr="006C0913">
        <w:rPr>
          <w:spacing w:val="-2"/>
        </w:rPr>
        <w:t xml:space="preserve">No. </w:t>
      </w:r>
      <w:r w:rsidR="00162145" w:rsidRPr="006C0913">
        <w:rPr>
          <w:spacing w:val="-2"/>
        </w:rPr>
        <w:t>68-16</w:t>
      </w:r>
      <w:r w:rsidR="00312778" w:rsidRPr="006C0913">
        <w:rPr>
          <w:spacing w:val="-2"/>
        </w:rPr>
        <w:t xml:space="preserve">, </w:t>
      </w:r>
      <w:r w:rsidR="00312778" w:rsidRPr="006C0913">
        <w:rPr>
          <w:i/>
          <w:spacing w:val="-2"/>
        </w:rPr>
        <w:t>Statement of Policy with Respect to Maintaining High Quality of Waters in California,</w:t>
      </w:r>
      <w:r w:rsidR="00162145" w:rsidRPr="006C0913">
        <w:rPr>
          <w:spacing w:val="-2"/>
        </w:rPr>
        <w:t xml:space="preserve"> which is deemed to incorporate the federal antidegradation policy where the federal policy applies under federal law. Resolution </w:t>
      </w:r>
      <w:r w:rsidR="00551B92" w:rsidRPr="006C0913">
        <w:rPr>
          <w:spacing w:val="-2"/>
        </w:rPr>
        <w:t xml:space="preserve">No. </w:t>
      </w:r>
      <w:r w:rsidR="00162145" w:rsidRPr="006C0913">
        <w:rPr>
          <w:spacing w:val="-2"/>
        </w:rPr>
        <w:t>68</w:t>
      </w:r>
      <w:r w:rsidR="008A4B4E" w:rsidRPr="006C0913">
        <w:rPr>
          <w:spacing w:val="-2"/>
        </w:rPr>
        <w:t>-</w:t>
      </w:r>
      <w:r w:rsidR="00162145" w:rsidRPr="006C0913">
        <w:rPr>
          <w:spacing w:val="-2"/>
        </w:rPr>
        <w:t>16 requires that existing water quality be maintained unless degradation is justified based on specific findings. The Basin Plan implements, and incorporates by reference, both the State and federal antidegradation policies. Permitted discharges must be consistent with the antidegradation provision</w:t>
      </w:r>
      <w:r w:rsidR="00222472" w:rsidRPr="006C0913">
        <w:rPr>
          <w:spacing w:val="-2"/>
        </w:rPr>
        <w:t>s</w:t>
      </w:r>
      <w:r w:rsidR="00162145" w:rsidRPr="006C0913">
        <w:rPr>
          <w:spacing w:val="-2"/>
        </w:rPr>
        <w:t xml:space="preserve"> of 40 C.F.R. section 131.12 and State Water Board Resolution </w:t>
      </w:r>
      <w:r w:rsidR="00551B92" w:rsidRPr="006C0913">
        <w:rPr>
          <w:spacing w:val="-2"/>
        </w:rPr>
        <w:t xml:space="preserve">No. </w:t>
      </w:r>
      <w:r w:rsidR="00162145" w:rsidRPr="006C0913">
        <w:rPr>
          <w:spacing w:val="-2"/>
        </w:rPr>
        <w:t>68-16.</w:t>
      </w:r>
      <w:r w:rsidR="0061002B" w:rsidRPr="006C0913">
        <w:rPr>
          <w:spacing w:val="-2"/>
        </w:rPr>
        <w:t xml:space="preserve"> </w:t>
      </w:r>
      <w:r w:rsidR="00ED79F1">
        <w:rPr>
          <w:spacing w:val="-2"/>
        </w:rPr>
        <w:t>(See Fact Sheet section IV.D.2.)</w:t>
      </w:r>
    </w:p>
    <w:p w14:paraId="73527F9F" w14:textId="3A09351E" w:rsidR="00222472" w:rsidRDefault="00493E5F" w:rsidP="00222472">
      <w:pPr>
        <w:pStyle w:val="H-indent5025"/>
        <w:rPr>
          <w:rFonts w:ascii="Times New Roman" w:hAnsi="Times New Roman" w:cs="Times New Roman"/>
        </w:rPr>
      </w:pPr>
      <w:bookmarkStart w:id="250" w:name="_Toc125358815"/>
      <w:bookmarkStart w:id="251" w:name="_Toc140484506"/>
      <w:bookmarkStart w:id="252" w:name="_Toc125358818"/>
      <w:bookmarkStart w:id="253" w:name="_Toc140484509"/>
      <w:bookmarkStart w:id="254" w:name="_Toc338152918"/>
      <w:bookmarkStart w:id="255" w:name="_Toc340137644"/>
      <w:r w:rsidRPr="006C0913">
        <w:rPr>
          <w:rFonts w:ascii="Times New Roman" w:hAnsi="Times New Roman" w:cs="Times New Roman"/>
          <w:b/>
        </w:rPr>
        <w:t>6</w:t>
      </w:r>
      <w:r w:rsidR="00222472" w:rsidRPr="006C0913">
        <w:rPr>
          <w:rFonts w:ascii="Times New Roman" w:hAnsi="Times New Roman" w:cs="Times New Roman"/>
          <w:b/>
        </w:rPr>
        <w:t>.</w:t>
      </w:r>
      <w:r w:rsidR="00222472" w:rsidRPr="006C0913">
        <w:rPr>
          <w:rFonts w:ascii="Times New Roman" w:hAnsi="Times New Roman" w:cs="Times New Roman"/>
        </w:rPr>
        <w:tab/>
      </w:r>
      <w:r w:rsidR="00222472" w:rsidRPr="006C0913">
        <w:rPr>
          <w:rFonts w:ascii="Times New Roman" w:hAnsi="Times New Roman" w:cs="Times New Roman"/>
          <w:b/>
          <w:bCs/>
        </w:rPr>
        <w:t>Anti-Backsliding Requirements</w:t>
      </w:r>
      <w:bookmarkEnd w:id="250"/>
      <w:bookmarkEnd w:id="251"/>
      <w:r w:rsidR="00222472" w:rsidRPr="006C0913">
        <w:rPr>
          <w:rFonts w:ascii="Times New Roman" w:hAnsi="Times New Roman" w:cs="Times New Roman"/>
          <w:b/>
          <w:bCs/>
        </w:rPr>
        <w:t>.</w:t>
      </w:r>
      <w:r w:rsidR="00222472" w:rsidRPr="006C0913">
        <w:rPr>
          <w:rFonts w:ascii="Times New Roman" w:hAnsi="Times New Roman" w:cs="Times New Roman"/>
        </w:rPr>
        <w:t xml:space="preserve"> CWA sections 402(o) and 303(d)(4) and 40 C.F.R. section 122.44(l) restrict backsliding in NPDES permits. These anti-backsliding provisions require that effluent limitations in a reissued permit be as stringent as those in the previous </w:t>
      </w:r>
      <w:r w:rsidR="001235E0">
        <w:rPr>
          <w:rFonts w:ascii="Times New Roman" w:hAnsi="Times New Roman" w:cs="Times New Roman"/>
        </w:rPr>
        <w:t>order</w:t>
      </w:r>
      <w:r w:rsidR="00222472" w:rsidRPr="006C0913">
        <w:rPr>
          <w:rFonts w:ascii="Times New Roman" w:hAnsi="Times New Roman" w:cs="Times New Roman"/>
        </w:rPr>
        <w:t>, with some exceptions in which limitations may be relaxed.</w:t>
      </w:r>
      <w:r w:rsidR="00D272DE" w:rsidRPr="006C0913">
        <w:rPr>
          <w:rFonts w:ascii="Times New Roman" w:hAnsi="Times New Roman" w:cs="Times New Roman"/>
        </w:rPr>
        <w:t xml:space="preserve"> </w:t>
      </w:r>
      <w:r w:rsidR="00ED79F1">
        <w:rPr>
          <w:rFonts w:ascii="Times New Roman" w:hAnsi="Times New Roman" w:cs="Times New Roman"/>
        </w:rPr>
        <w:t>(See Fact Sheet section IV.D.1.)</w:t>
      </w:r>
    </w:p>
    <w:p w14:paraId="3EF6EE6C" w14:textId="77777777" w:rsidR="00ED79F1" w:rsidRDefault="00ED79F1" w:rsidP="00ED79F1">
      <w:pPr>
        <w:pStyle w:val="H-indent5025"/>
        <w:rPr>
          <w:rFonts w:ascii="Times New Roman" w:hAnsi="Times New Roman" w:cs="Times New Roman"/>
        </w:rPr>
      </w:pPr>
      <w:r>
        <w:rPr>
          <w:rFonts w:ascii="Times New Roman" w:hAnsi="Times New Roman" w:cs="Times New Roman"/>
          <w:b/>
        </w:rPr>
        <w:t>7.</w:t>
      </w:r>
      <w:r>
        <w:rPr>
          <w:rFonts w:ascii="Times New Roman" w:hAnsi="Times New Roman" w:cs="Times New Roman"/>
        </w:rPr>
        <w:tab/>
      </w:r>
      <w:r w:rsidRPr="00126E9A">
        <w:rPr>
          <w:rFonts w:ascii="Times New Roman" w:hAnsi="Times New Roman" w:cs="Times New Roman"/>
          <w:b/>
        </w:rPr>
        <w:t>Endangered Species Act Requirements.</w:t>
      </w:r>
      <w:r w:rsidRPr="00126E9A">
        <w:rPr>
          <w:rFonts w:ascii="Times New Roman" w:hAnsi="Times New Roman" w:cs="Times New Roman"/>
        </w:rPr>
        <w:t xml:space="preserve"> This Order does not authorize any act that results in the taking of a threatened or endangered species or any act that is now prohibited, or becomes prohibited in the future, under either the California Endangered Species Act (Fish and Game Code §§ 2050 to 2097) or the Federal Endangered Species Act (16 U.S.C.A. §§</w:t>
      </w:r>
      <w:r>
        <w:rPr>
          <w:rFonts w:ascii="Times New Roman" w:hAnsi="Times New Roman" w:cs="Times New Roman"/>
        </w:rPr>
        <w:t> </w:t>
      </w:r>
      <w:r w:rsidRPr="00126E9A">
        <w:rPr>
          <w:rFonts w:ascii="Times New Roman" w:hAnsi="Times New Roman" w:cs="Times New Roman"/>
        </w:rPr>
        <w:t>1531 to 1544). This Order requires compliance with effluent limits, receiving water limits, and other requirements to protect beneficial uses, including protecting rare, threatened, or endangered species. The Discharger is responsible for meeting all Endangered Species Act</w:t>
      </w:r>
      <w:r>
        <w:rPr>
          <w:rFonts w:ascii="Times New Roman" w:hAnsi="Times New Roman" w:cs="Times New Roman"/>
        </w:rPr>
        <w:t xml:space="preserve"> requirements</w:t>
      </w:r>
      <w:r w:rsidRPr="00126E9A">
        <w:rPr>
          <w:rFonts w:ascii="Times New Roman" w:hAnsi="Times New Roman" w:cs="Times New Roman"/>
        </w:rPr>
        <w:t>.</w:t>
      </w:r>
    </w:p>
    <w:p w14:paraId="14018825" w14:textId="77777777" w:rsidR="00D34786" w:rsidRPr="00570B42" w:rsidRDefault="00D34786" w:rsidP="00CD39E5">
      <w:pPr>
        <w:pStyle w:val="H-indent5025"/>
        <w:keepNext/>
        <w:tabs>
          <w:tab w:val="clear" w:pos="1080"/>
          <w:tab w:val="left" w:pos="720"/>
        </w:tabs>
        <w:ind w:left="720"/>
        <w:rPr>
          <w:rFonts w:ascii="Times New Roman" w:hAnsi="Times New Roman" w:cs="Times New Roman"/>
          <w:b/>
        </w:rPr>
      </w:pPr>
      <w:r w:rsidRPr="00570B42">
        <w:rPr>
          <w:rFonts w:ascii="Times New Roman" w:hAnsi="Times New Roman" w:cs="Times New Roman"/>
          <w:b/>
        </w:rPr>
        <w:t>D.</w:t>
      </w:r>
      <w:r w:rsidRPr="00570B42">
        <w:rPr>
          <w:rFonts w:ascii="Times New Roman" w:hAnsi="Times New Roman" w:cs="Times New Roman"/>
          <w:b/>
        </w:rPr>
        <w:tab/>
        <w:t>Impaired Waters on CWA 303(d) List</w:t>
      </w:r>
      <w:bookmarkEnd w:id="252"/>
      <w:bookmarkEnd w:id="253"/>
      <w:bookmarkEnd w:id="254"/>
      <w:bookmarkEnd w:id="255"/>
    </w:p>
    <w:p w14:paraId="19D0B934" w14:textId="7205B0D5" w:rsidR="00D34786" w:rsidRPr="00570B42" w:rsidRDefault="00D34786" w:rsidP="00D34786">
      <w:pPr>
        <w:autoSpaceDE w:val="0"/>
        <w:autoSpaceDN w:val="0"/>
        <w:adjustRightInd w:val="0"/>
        <w:ind w:left="720"/>
        <w:rPr>
          <w:sz w:val="24"/>
          <w:szCs w:val="24"/>
        </w:rPr>
      </w:pPr>
      <w:r w:rsidRPr="00570B42">
        <w:rPr>
          <w:sz w:val="24"/>
          <w:szCs w:val="24"/>
        </w:rPr>
        <w:t xml:space="preserve">In </w:t>
      </w:r>
      <w:r w:rsidR="00FB0440" w:rsidRPr="00570B42">
        <w:rPr>
          <w:sz w:val="24"/>
          <w:szCs w:val="24"/>
        </w:rPr>
        <w:t>July 2015</w:t>
      </w:r>
      <w:r w:rsidRPr="00570B42">
        <w:rPr>
          <w:sz w:val="24"/>
          <w:szCs w:val="24"/>
        </w:rPr>
        <w:t xml:space="preserve">, </w:t>
      </w:r>
      <w:r w:rsidR="00DB409E" w:rsidRPr="00570B42">
        <w:rPr>
          <w:sz w:val="24"/>
          <w:szCs w:val="24"/>
        </w:rPr>
        <w:t>U.S. EPA</w:t>
      </w:r>
      <w:r w:rsidRPr="00570B42">
        <w:rPr>
          <w:sz w:val="24"/>
          <w:szCs w:val="24"/>
        </w:rPr>
        <w:t xml:space="preserve"> approved a revised list of impaired waters prepared pursuant to CWA section 303(d), which requires identification of specific water bodies where it is expected that water quality standards will not be met after implementation of technology-based effluent limitations on point sources. Where it has not done so already, the Regional Water Board plans to adopt TMDLs for pollutants on the 303(d) list. TMDLs establish wasteload allocations for point sources and load allocations for non-point sources</w:t>
      </w:r>
      <w:r w:rsidR="00B01CB4" w:rsidRPr="00570B42">
        <w:rPr>
          <w:sz w:val="24"/>
          <w:szCs w:val="24"/>
        </w:rPr>
        <w:t>,</w:t>
      </w:r>
      <w:r w:rsidRPr="00570B42">
        <w:rPr>
          <w:sz w:val="24"/>
          <w:szCs w:val="24"/>
        </w:rPr>
        <w:t xml:space="preserve"> and are established to achieve the water quality standards for the impaired waters.</w:t>
      </w:r>
    </w:p>
    <w:p w14:paraId="775DB77C" w14:textId="77777777" w:rsidR="00D34786" w:rsidRPr="00570B42" w:rsidRDefault="00D34786" w:rsidP="00D34786">
      <w:pPr>
        <w:autoSpaceDE w:val="0"/>
        <w:autoSpaceDN w:val="0"/>
        <w:adjustRightInd w:val="0"/>
        <w:ind w:left="720"/>
        <w:rPr>
          <w:rFonts w:ascii="TimesNewRomanPSMT" w:hAnsi="TimesNewRomanPSMT" w:cs="TimesNewRomanPSMT"/>
          <w:color w:val="00B0F0"/>
          <w:sz w:val="24"/>
          <w:szCs w:val="24"/>
        </w:rPr>
      </w:pPr>
    </w:p>
    <w:p w14:paraId="0C933FA1" w14:textId="5A01B14F" w:rsidR="000D6FC6" w:rsidRDefault="006C0913" w:rsidP="000537D1">
      <w:pPr>
        <w:autoSpaceDE w:val="0"/>
        <w:autoSpaceDN w:val="0"/>
        <w:adjustRightInd w:val="0"/>
        <w:ind w:left="720"/>
        <w:rPr>
          <w:sz w:val="24"/>
          <w:szCs w:val="24"/>
        </w:rPr>
      </w:pPr>
      <w:bookmarkStart w:id="256" w:name="_Toc85803950"/>
      <w:bookmarkStart w:id="257" w:name="_Toc87088833"/>
      <w:bookmarkStart w:id="258" w:name="_Toc92870804"/>
      <w:bookmarkStart w:id="259" w:name="_Toc125358822"/>
      <w:bookmarkStart w:id="260" w:name="_Toc140484513"/>
      <w:r w:rsidRPr="00570B42">
        <w:rPr>
          <w:sz w:val="24"/>
          <w:szCs w:val="24"/>
        </w:rPr>
        <w:lastRenderedPageBreak/>
        <w:t xml:space="preserve">San Francisco Bay </w:t>
      </w:r>
      <w:r w:rsidR="00A97D8F" w:rsidRPr="00570B42">
        <w:rPr>
          <w:sz w:val="24"/>
          <w:szCs w:val="24"/>
        </w:rPr>
        <w:t xml:space="preserve">is listed as impaired by </w:t>
      </w:r>
      <w:r w:rsidR="00DE0674" w:rsidRPr="00570B42">
        <w:rPr>
          <w:sz w:val="24"/>
          <w:szCs w:val="24"/>
        </w:rPr>
        <w:t>m</w:t>
      </w:r>
      <w:r w:rsidR="00C87F10">
        <w:rPr>
          <w:sz w:val="24"/>
          <w:szCs w:val="24"/>
        </w:rPr>
        <w:t xml:space="preserve">ercury and </w:t>
      </w:r>
      <w:r w:rsidRPr="00570B42">
        <w:rPr>
          <w:sz w:val="24"/>
          <w:szCs w:val="24"/>
        </w:rPr>
        <w:t>PCBs</w:t>
      </w:r>
      <w:r w:rsidR="000D6FC6" w:rsidRPr="00570B42">
        <w:rPr>
          <w:sz w:val="24"/>
          <w:szCs w:val="24"/>
        </w:rPr>
        <w:t>. On February 12, 2008, U.S. EPA approved a TMDL for mercury in San Francisco Bay. On March</w:t>
      </w:r>
      <w:r w:rsidR="00D82FCB" w:rsidRPr="00570B42">
        <w:rPr>
          <w:sz w:val="24"/>
          <w:szCs w:val="24"/>
        </w:rPr>
        <w:t> </w:t>
      </w:r>
      <w:r w:rsidR="000D6FC6" w:rsidRPr="00570B42">
        <w:rPr>
          <w:sz w:val="24"/>
          <w:szCs w:val="24"/>
        </w:rPr>
        <w:t xml:space="preserve">29, 2010, U.S. EPA approved a TMDL for PCBs in San Francisco Bay. </w:t>
      </w:r>
      <w:r w:rsidRPr="00570B42">
        <w:rPr>
          <w:sz w:val="24"/>
          <w:szCs w:val="24"/>
        </w:rPr>
        <w:t xml:space="preserve">The </w:t>
      </w:r>
      <w:r w:rsidR="003B3F50">
        <w:rPr>
          <w:sz w:val="24"/>
          <w:szCs w:val="24"/>
        </w:rPr>
        <w:t>Mercury and PCBs TMDLs</w:t>
      </w:r>
      <w:r w:rsidR="00B01CB4" w:rsidRPr="00570B42">
        <w:rPr>
          <w:sz w:val="24"/>
          <w:szCs w:val="24"/>
        </w:rPr>
        <w:t xml:space="preserve"> </w:t>
      </w:r>
      <w:r w:rsidR="00B83EA0" w:rsidRPr="00570B42">
        <w:rPr>
          <w:sz w:val="24"/>
          <w:szCs w:val="24"/>
        </w:rPr>
        <w:t>apply</w:t>
      </w:r>
      <w:r w:rsidRPr="00570B42">
        <w:rPr>
          <w:sz w:val="24"/>
          <w:szCs w:val="24"/>
        </w:rPr>
        <w:t xml:space="preserve"> to this discharge</w:t>
      </w:r>
      <w:r w:rsidR="00B83EA0" w:rsidRPr="00570B42">
        <w:rPr>
          <w:sz w:val="24"/>
          <w:szCs w:val="24"/>
        </w:rPr>
        <w:t xml:space="preserve"> and are implemented through </w:t>
      </w:r>
      <w:r w:rsidR="004F56DD">
        <w:rPr>
          <w:sz w:val="24"/>
          <w:szCs w:val="24"/>
        </w:rPr>
        <w:t>this Order (</w:t>
      </w:r>
      <w:r w:rsidR="00B83EA0" w:rsidRPr="00570B42">
        <w:rPr>
          <w:sz w:val="24"/>
          <w:szCs w:val="24"/>
        </w:rPr>
        <w:t>NPDES Permit No. CA0038849</w:t>
      </w:r>
      <w:r w:rsidR="004F56DD">
        <w:rPr>
          <w:sz w:val="24"/>
          <w:szCs w:val="24"/>
        </w:rPr>
        <w:t>)</w:t>
      </w:r>
      <w:r w:rsidRPr="00570B42">
        <w:rPr>
          <w:sz w:val="24"/>
          <w:szCs w:val="24"/>
        </w:rPr>
        <w:t xml:space="preserve">. </w:t>
      </w:r>
    </w:p>
    <w:p w14:paraId="0D61BD7A" w14:textId="77777777" w:rsidR="000537D1" w:rsidRPr="000537D1" w:rsidRDefault="000537D1" w:rsidP="000537D1">
      <w:pPr>
        <w:autoSpaceDE w:val="0"/>
        <w:autoSpaceDN w:val="0"/>
        <w:adjustRightInd w:val="0"/>
        <w:ind w:left="720"/>
        <w:rPr>
          <w:sz w:val="24"/>
          <w:szCs w:val="24"/>
        </w:rPr>
      </w:pPr>
    </w:p>
    <w:p w14:paraId="07FCBB17" w14:textId="77777777" w:rsidR="00DE1E8E" w:rsidRPr="00570B42" w:rsidRDefault="00DE1E8E" w:rsidP="00DE1E8E">
      <w:pPr>
        <w:pStyle w:val="Heading1-F"/>
        <w:rPr>
          <w:rFonts w:ascii="Times New Roman" w:hAnsi="Times New Roman"/>
          <w:bCs/>
          <w:sz w:val="24"/>
        </w:rPr>
      </w:pPr>
      <w:bookmarkStart w:id="261" w:name="_Toc338152919"/>
      <w:bookmarkStart w:id="262" w:name="_Toc340137645"/>
      <w:bookmarkStart w:id="263" w:name="_Toc367981348"/>
      <w:bookmarkStart w:id="264" w:name="_Toc487829691"/>
      <w:bookmarkStart w:id="265" w:name="_Toc85803965"/>
      <w:bookmarkStart w:id="266" w:name="_Toc87088834"/>
      <w:bookmarkStart w:id="267" w:name="_Toc92870819"/>
      <w:bookmarkStart w:id="268" w:name="_Toc125358847"/>
      <w:bookmarkStart w:id="269" w:name="_Toc140484518"/>
      <w:bookmarkStart w:id="270" w:name="_Toc338152932"/>
      <w:bookmarkStart w:id="271" w:name="_Toc340137658"/>
      <w:bookmarkEnd w:id="256"/>
      <w:bookmarkEnd w:id="257"/>
      <w:bookmarkEnd w:id="258"/>
      <w:bookmarkEnd w:id="259"/>
      <w:bookmarkEnd w:id="260"/>
      <w:r w:rsidRPr="00570B42">
        <w:rPr>
          <w:rFonts w:ascii="Times New Roman" w:hAnsi="Times New Roman"/>
          <w:bCs/>
          <w:sz w:val="24"/>
        </w:rPr>
        <w:t>IV.</w:t>
      </w:r>
      <w:r w:rsidRPr="00570B42">
        <w:rPr>
          <w:rFonts w:ascii="Times New Roman" w:hAnsi="Times New Roman"/>
          <w:bCs/>
          <w:sz w:val="24"/>
        </w:rPr>
        <w:tab/>
        <w:t>Rationale For Effluent Limitations and Discharge Specifications</w:t>
      </w:r>
      <w:bookmarkEnd w:id="261"/>
      <w:bookmarkEnd w:id="262"/>
      <w:bookmarkEnd w:id="263"/>
      <w:bookmarkEnd w:id="264"/>
    </w:p>
    <w:p w14:paraId="05A20C4B" w14:textId="77777777" w:rsidR="00DE1E8E" w:rsidRPr="00570B42" w:rsidRDefault="00DE1E8E" w:rsidP="00DE1E8E">
      <w:pPr>
        <w:pStyle w:val="paratextindented"/>
        <w:rPr>
          <w:rFonts w:ascii="Times New Roman" w:hAnsi="Times New Roman" w:cs="Times New Roman"/>
          <w:szCs w:val="24"/>
        </w:rPr>
      </w:pPr>
      <w:bookmarkStart w:id="272" w:name="_Toc125358823"/>
      <w:bookmarkStart w:id="273" w:name="_Toc140484514"/>
      <w:r w:rsidRPr="00570B42">
        <w:rPr>
          <w:rFonts w:ascii="Times New Roman" w:hAnsi="Times New Roman" w:cs="Times New Roman"/>
          <w:szCs w:val="24"/>
        </w:rPr>
        <w:t>The CWA requires point source dischargers to control the amount of conventional,</w:t>
      </w:r>
      <w:r w:rsidR="00424D67" w:rsidRPr="00570B42">
        <w:rPr>
          <w:rFonts w:ascii="Times New Roman" w:hAnsi="Times New Roman" w:cs="Times New Roman"/>
          <w:szCs w:val="24"/>
        </w:rPr>
        <w:t xml:space="preserve"> </w:t>
      </w:r>
      <w:r w:rsidRPr="00570B42">
        <w:rPr>
          <w:rFonts w:ascii="Times New Roman" w:hAnsi="Times New Roman" w:cs="Times New Roman"/>
          <w:szCs w:val="24"/>
        </w:rPr>
        <w:t>non</w:t>
      </w:r>
      <w:r w:rsidR="00203452" w:rsidRPr="00570B42">
        <w:rPr>
          <w:rFonts w:ascii="Times New Roman" w:hAnsi="Times New Roman" w:cs="Times New Roman"/>
          <w:szCs w:val="24"/>
        </w:rPr>
        <w:noBreakHyphen/>
      </w:r>
      <w:r w:rsidRPr="00570B42">
        <w:rPr>
          <w:rFonts w:ascii="Times New Roman" w:hAnsi="Times New Roman" w:cs="Times New Roman"/>
          <w:szCs w:val="24"/>
        </w:rPr>
        <w:t>conventional, and toxic pollutants discharged into waters of the United States. The control of pollutants discharged is established through effluent limitations and other requirements in NPDES permits. There are two principal bases for effluent limitations: 40 C.F.R. section 122.44(a) requires that permits include applicable technology-based limitations and standards; and 40 C.F.R. section 122.44(d) requires that permits include water quality-based effluent limitations to attain and maintain applicable numeric and narrative water quality criteria to protect the beneficial uses of receiving waters.</w:t>
      </w:r>
    </w:p>
    <w:p w14:paraId="79CB5C90" w14:textId="35BEBB49" w:rsidR="00DE1E8E" w:rsidRPr="00570B42" w:rsidRDefault="00946CDF" w:rsidP="00DE1E8E">
      <w:pPr>
        <w:pStyle w:val="Heading2-F"/>
        <w:rPr>
          <w:rFonts w:ascii="Times New Roman" w:hAnsi="Times New Roman"/>
          <w:bCs/>
          <w:sz w:val="24"/>
          <w:szCs w:val="24"/>
        </w:rPr>
      </w:pPr>
      <w:bookmarkStart w:id="274" w:name="_Toc125358827"/>
      <w:bookmarkStart w:id="275" w:name="_Toc92870809"/>
      <w:bookmarkStart w:id="276" w:name="_Toc85803954"/>
      <w:bookmarkStart w:id="277" w:name="_Toc338152924"/>
      <w:bookmarkStart w:id="278" w:name="_Toc340137650"/>
      <w:bookmarkStart w:id="279" w:name="_Toc367981353"/>
      <w:bookmarkStart w:id="280" w:name="_Toc487829692"/>
      <w:bookmarkStart w:id="281" w:name="_Toc125358845"/>
      <w:bookmarkEnd w:id="272"/>
      <w:bookmarkEnd w:id="273"/>
      <w:r>
        <w:rPr>
          <w:rFonts w:ascii="Times New Roman" w:hAnsi="Times New Roman"/>
          <w:bCs/>
          <w:sz w:val="24"/>
          <w:szCs w:val="24"/>
        </w:rPr>
        <w:t>A</w:t>
      </w:r>
      <w:r w:rsidR="00DE1E8E" w:rsidRPr="00570B42">
        <w:rPr>
          <w:rFonts w:ascii="Times New Roman" w:hAnsi="Times New Roman"/>
          <w:bCs/>
          <w:sz w:val="24"/>
          <w:szCs w:val="24"/>
        </w:rPr>
        <w:t>.</w:t>
      </w:r>
      <w:r w:rsidR="00DE1E8E" w:rsidRPr="00570B42">
        <w:rPr>
          <w:rFonts w:ascii="Times New Roman" w:hAnsi="Times New Roman"/>
          <w:bCs/>
          <w:sz w:val="24"/>
          <w:szCs w:val="24"/>
        </w:rPr>
        <w:tab/>
      </w:r>
      <w:bookmarkEnd w:id="274"/>
      <w:bookmarkEnd w:id="275"/>
      <w:bookmarkEnd w:id="276"/>
      <w:r w:rsidR="0008567A" w:rsidRPr="00570B42">
        <w:rPr>
          <w:rFonts w:ascii="Times New Roman" w:hAnsi="Times New Roman"/>
          <w:bCs/>
          <w:sz w:val="24"/>
          <w:szCs w:val="24"/>
        </w:rPr>
        <w:t>Water Quality-Based</w:t>
      </w:r>
      <w:r w:rsidR="00DE1E8E" w:rsidRPr="00570B42">
        <w:rPr>
          <w:rFonts w:ascii="Times New Roman" w:hAnsi="Times New Roman"/>
          <w:bCs/>
          <w:sz w:val="24"/>
          <w:szCs w:val="24"/>
        </w:rPr>
        <w:t xml:space="preserve"> Effluent Limitations</w:t>
      </w:r>
      <w:bookmarkEnd w:id="277"/>
      <w:bookmarkEnd w:id="278"/>
      <w:bookmarkEnd w:id="279"/>
      <w:r w:rsidR="0008567A" w:rsidRPr="00570B42">
        <w:rPr>
          <w:rFonts w:ascii="Times New Roman" w:hAnsi="Times New Roman"/>
          <w:bCs/>
          <w:sz w:val="24"/>
          <w:szCs w:val="24"/>
        </w:rPr>
        <w:t xml:space="preserve"> (WQBELs)</w:t>
      </w:r>
      <w:bookmarkEnd w:id="280"/>
    </w:p>
    <w:p w14:paraId="09AAF37B" w14:textId="77777777" w:rsidR="00DE1E8E" w:rsidRPr="00570B42" w:rsidRDefault="00DE1E8E" w:rsidP="00F009DF">
      <w:pPr>
        <w:pStyle w:val="Heading3-F"/>
        <w:numPr>
          <w:ilvl w:val="0"/>
          <w:numId w:val="15"/>
        </w:numPr>
        <w:rPr>
          <w:sz w:val="24"/>
        </w:rPr>
      </w:pPr>
      <w:bookmarkStart w:id="282" w:name="_Toc367981354"/>
      <w:bookmarkStart w:id="283" w:name="_Toc487829693"/>
      <w:r w:rsidRPr="00570B42">
        <w:rPr>
          <w:sz w:val="24"/>
        </w:rPr>
        <w:t>Scope and Authority</w:t>
      </w:r>
      <w:bookmarkEnd w:id="282"/>
      <w:bookmarkEnd w:id="283"/>
    </w:p>
    <w:p w14:paraId="7E4B7033" w14:textId="3D4DA0ED" w:rsidR="004E6C23" w:rsidRPr="00570B42" w:rsidRDefault="004E6C23" w:rsidP="004E6C23">
      <w:pPr>
        <w:tabs>
          <w:tab w:val="left" w:pos="1080"/>
        </w:tabs>
        <w:spacing w:after="240"/>
        <w:ind w:left="1080"/>
        <w:rPr>
          <w:sz w:val="24"/>
          <w:szCs w:val="24"/>
        </w:rPr>
      </w:pPr>
      <w:bookmarkStart w:id="284" w:name="_Toc291771357"/>
      <w:bookmarkStart w:id="285" w:name="_Toc260386169"/>
      <w:bookmarkStart w:id="286" w:name="_Toc125358829"/>
      <w:bookmarkStart w:id="287" w:name="_Toc102376473"/>
      <w:bookmarkStart w:id="288" w:name="_Toc338152926"/>
      <w:bookmarkStart w:id="289" w:name="_Toc340137652"/>
      <w:bookmarkStart w:id="290" w:name="_Toc367981355"/>
      <w:bookmarkStart w:id="291" w:name="_Toc125358836"/>
      <w:bookmarkStart w:id="292" w:name="_Toc92870813"/>
      <w:bookmarkStart w:id="293" w:name="_Toc85803959"/>
      <w:r w:rsidRPr="00570B42">
        <w:rPr>
          <w:bCs/>
          <w:spacing w:val="-3"/>
          <w:sz w:val="24"/>
          <w:szCs w:val="24"/>
        </w:rPr>
        <w:t xml:space="preserve">CWA section 301(b) and 40 C.F.R. section 122.44(d) require that permits include limitations more stringent than federal technology-based requirements where necessary to achieve applicable water quality standards. </w:t>
      </w:r>
      <w:r w:rsidR="003446B4" w:rsidRPr="003446B4">
        <w:rPr>
          <w:bCs/>
          <w:spacing w:val="-3"/>
          <w:sz w:val="24"/>
          <w:szCs w:val="24"/>
        </w:rPr>
        <w:t xml:space="preserve">Water quality-based effluent limitations are included in this permit to implement wasteload allocations which are part of the San Francisco Bay </w:t>
      </w:r>
      <w:r w:rsidR="003B3F50">
        <w:rPr>
          <w:bCs/>
          <w:spacing w:val="-3"/>
          <w:sz w:val="24"/>
          <w:szCs w:val="24"/>
        </w:rPr>
        <w:t>Mercury and PCBs TMDLs</w:t>
      </w:r>
      <w:r w:rsidR="003446B4" w:rsidRPr="003446B4">
        <w:rPr>
          <w:bCs/>
          <w:spacing w:val="-3"/>
          <w:sz w:val="24"/>
          <w:szCs w:val="24"/>
        </w:rPr>
        <w:t>.</w:t>
      </w:r>
    </w:p>
    <w:p w14:paraId="2F1C4F69" w14:textId="6A8E10EC" w:rsidR="00DE1E8E" w:rsidRPr="00570B42" w:rsidRDefault="00DE1E8E" w:rsidP="00DE1E8E">
      <w:pPr>
        <w:pStyle w:val="Heading3-F"/>
        <w:rPr>
          <w:bCs w:val="0"/>
          <w:sz w:val="24"/>
        </w:rPr>
      </w:pPr>
      <w:bookmarkStart w:id="294" w:name="_Toc487829694"/>
      <w:r w:rsidRPr="00570B42">
        <w:rPr>
          <w:bCs w:val="0"/>
          <w:sz w:val="24"/>
        </w:rPr>
        <w:t>2.</w:t>
      </w:r>
      <w:r w:rsidRPr="00570B42">
        <w:rPr>
          <w:bCs w:val="0"/>
          <w:sz w:val="24"/>
        </w:rPr>
        <w:tab/>
      </w:r>
      <w:bookmarkEnd w:id="284"/>
      <w:bookmarkEnd w:id="285"/>
      <w:bookmarkEnd w:id="286"/>
      <w:bookmarkEnd w:id="287"/>
      <w:r w:rsidRPr="00570B42">
        <w:rPr>
          <w:bCs w:val="0"/>
          <w:sz w:val="24"/>
        </w:rPr>
        <w:t>Beneficial Uses and Water Quality Criteria and Objectives</w:t>
      </w:r>
      <w:bookmarkEnd w:id="288"/>
      <w:bookmarkEnd w:id="289"/>
      <w:bookmarkEnd w:id="290"/>
      <w:bookmarkEnd w:id="294"/>
    </w:p>
    <w:p w14:paraId="6C1F44C9" w14:textId="45B4B774" w:rsidR="009427FC" w:rsidRPr="00570B42" w:rsidRDefault="009427FC" w:rsidP="009427FC">
      <w:pPr>
        <w:spacing w:after="120"/>
        <w:ind w:left="1080"/>
        <w:rPr>
          <w:sz w:val="24"/>
          <w:szCs w:val="24"/>
        </w:rPr>
      </w:pPr>
      <w:r w:rsidRPr="00570B42">
        <w:rPr>
          <w:bCs/>
          <w:sz w:val="24"/>
          <w:szCs w:val="24"/>
        </w:rPr>
        <w:t>Fact Sheet section III.C.1, above, identifies the beneficial uses of San Francisco Bay. Water quality criteria and objectives to protect these beneficial uses are described below</w:t>
      </w:r>
      <w:r w:rsidRPr="00570B42">
        <w:rPr>
          <w:sz w:val="24"/>
          <w:szCs w:val="24"/>
        </w:rPr>
        <w:t>:</w:t>
      </w:r>
    </w:p>
    <w:p w14:paraId="069EC477" w14:textId="42D895AF" w:rsidR="003031CA" w:rsidRPr="00570B42" w:rsidRDefault="003446B4" w:rsidP="00F009DF">
      <w:pPr>
        <w:pStyle w:val="ListParagraph"/>
        <w:numPr>
          <w:ilvl w:val="0"/>
          <w:numId w:val="31"/>
        </w:numPr>
        <w:spacing w:after="240"/>
        <w:rPr>
          <w:sz w:val="24"/>
          <w:szCs w:val="24"/>
        </w:rPr>
      </w:pPr>
      <w:r>
        <w:rPr>
          <w:b/>
          <w:sz w:val="24"/>
          <w:szCs w:val="24"/>
        </w:rPr>
        <w:t>Mercury</w:t>
      </w:r>
      <w:r w:rsidR="006C6ED7">
        <w:rPr>
          <w:b/>
          <w:sz w:val="24"/>
          <w:szCs w:val="24"/>
        </w:rPr>
        <w:t xml:space="preserve"> </w:t>
      </w:r>
      <w:r w:rsidR="006C6ED7" w:rsidRPr="00570B42">
        <w:rPr>
          <w:b/>
        </w:rPr>
        <w:t>—</w:t>
      </w:r>
      <w:r w:rsidR="006C6ED7">
        <w:t xml:space="preserve"> </w:t>
      </w:r>
      <w:r w:rsidR="009427FC" w:rsidRPr="00570B42">
        <w:rPr>
          <w:sz w:val="24"/>
          <w:szCs w:val="24"/>
        </w:rPr>
        <w:t xml:space="preserve">Basin Plan </w:t>
      </w:r>
      <w:r>
        <w:rPr>
          <w:sz w:val="24"/>
          <w:szCs w:val="24"/>
        </w:rPr>
        <w:t xml:space="preserve">Table 3-3B </w:t>
      </w:r>
      <w:r w:rsidR="009427FC" w:rsidRPr="00570B42">
        <w:rPr>
          <w:sz w:val="24"/>
          <w:szCs w:val="24"/>
        </w:rPr>
        <w:t xml:space="preserve">specifies </w:t>
      </w:r>
      <w:r w:rsidR="00D42709">
        <w:rPr>
          <w:sz w:val="24"/>
          <w:szCs w:val="24"/>
        </w:rPr>
        <w:t>two mercury</w:t>
      </w:r>
      <w:r w:rsidR="0008567A" w:rsidRPr="00570B42">
        <w:rPr>
          <w:sz w:val="24"/>
          <w:szCs w:val="24"/>
        </w:rPr>
        <w:t xml:space="preserve"> water quality objectives, </w:t>
      </w:r>
      <w:r w:rsidR="00D42709">
        <w:rPr>
          <w:sz w:val="24"/>
          <w:szCs w:val="24"/>
        </w:rPr>
        <w:t>which apply to all segments of San Francisco Bay, including all marine and estuarine waters contiguous to San Francisco Bay</w:t>
      </w:r>
      <w:r w:rsidR="009427FC" w:rsidRPr="00570B42">
        <w:rPr>
          <w:sz w:val="24"/>
          <w:szCs w:val="24"/>
        </w:rPr>
        <w:t xml:space="preserve">. </w:t>
      </w:r>
    </w:p>
    <w:p w14:paraId="13E3BD02" w14:textId="77777777" w:rsidR="00DE1E8E" w:rsidRPr="00570B42" w:rsidRDefault="00DE1E8E" w:rsidP="00A63464">
      <w:pPr>
        <w:pStyle w:val="ListParagraph"/>
        <w:spacing w:after="240"/>
        <w:ind w:left="1440"/>
        <w:rPr>
          <w:sz w:val="24"/>
          <w:szCs w:val="24"/>
        </w:rPr>
      </w:pPr>
    </w:p>
    <w:p w14:paraId="22D6BCE9" w14:textId="5C8C23B2" w:rsidR="0096554B" w:rsidRPr="006C6ED7" w:rsidRDefault="00D42709" w:rsidP="00F009DF">
      <w:pPr>
        <w:pStyle w:val="ListParagraph"/>
        <w:numPr>
          <w:ilvl w:val="0"/>
          <w:numId w:val="37"/>
        </w:numPr>
        <w:shd w:val="clear" w:color="auto" w:fill="FFFFFF"/>
        <w:tabs>
          <w:tab w:val="left" w:pos="1710"/>
        </w:tabs>
        <w:spacing w:after="240"/>
        <w:ind w:left="1710"/>
        <w:rPr>
          <w:rFonts w:cs="Arial"/>
          <w:b/>
          <w:sz w:val="24"/>
          <w:szCs w:val="24"/>
        </w:rPr>
      </w:pPr>
      <w:r>
        <w:rPr>
          <w:rFonts w:cs="Arial"/>
          <w:b/>
          <w:sz w:val="24"/>
          <w:szCs w:val="24"/>
        </w:rPr>
        <w:t>Protection of Human Health</w:t>
      </w:r>
      <w:r w:rsidR="003031CA" w:rsidRPr="00570B42">
        <w:rPr>
          <w:rFonts w:cs="Arial"/>
          <w:b/>
          <w:sz w:val="24"/>
          <w:szCs w:val="24"/>
        </w:rPr>
        <w:t>.</w:t>
      </w:r>
      <w:r w:rsidR="003031CA" w:rsidRPr="00570B42">
        <w:rPr>
          <w:rFonts w:cs="Arial"/>
          <w:sz w:val="24"/>
          <w:szCs w:val="24"/>
        </w:rPr>
        <w:t xml:space="preserve"> </w:t>
      </w:r>
      <w:r>
        <w:rPr>
          <w:rFonts w:cs="Arial"/>
          <w:sz w:val="24"/>
          <w:szCs w:val="24"/>
        </w:rPr>
        <w:t>The mercury water quality objective for protection of human health during fish consumption is 0.2 milligram</w:t>
      </w:r>
      <w:r w:rsidR="006E0B58">
        <w:rPr>
          <w:rFonts w:cs="Arial"/>
          <w:sz w:val="24"/>
          <w:szCs w:val="24"/>
        </w:rPr>
        <w:t>s</w:t>
      </w:r>
      <w:r>
        <w:rPr>
          <w:rFonts w:cs="Arial"/>
          <w:sz w:val="24"/>
          <w:szCs w:val="24"/>
        </w:rPr>
        <w:t xml:space="preserve"> (mg) mercury per kilogram (kg) fish tissue</w:t>
      </w:r>
      <w:r w:rsidR="006E0B58">
        <w:rPr>
          <w:rFonts w:cs="Arial"/>
          <w:sz w:val="24"/>
          <w:szCs w:val="24"/>
        </w:rPr>
        <w:t xml:space="preserve"> (</w:t>
      </w:r>
      <w:r w:rsidR="006E0B58" w:rsidRPr="006E0B58">
        <w:rPr>
          <w:rFonts w:cs="Arial"/>
          <w:sz w:val="24"/>
          <w:szCs w:val="24"/>
        </w:rPr>
        <w:t>average wet weight concentration measured in the muscle tissue of fish large enough to be consumed by humans</w:t>
      </w:r>
      <w:r w:rsidR="006E0B58">
        <w:rPr>
          <w:rFonts w:cs="Arial"/>
          <w:sz w:val="24"/>
          <w:szCs w:val="24"/>
        </w:rPr>
        <w:t xml:space="preserve">). </w:t>
      </w:r>
    </w:p>
    <w:p w14:paraId="07423E42" w14:textId="0645EAF1" w:rsidR="006C6ED7" w:rsidRPr="006E0B58" w:rsidRDefault="006C6ED7" w:rsidP="000A5445">
      <w:pPr>
        <w:pStyle w:val="ListParagraph"/>
        <w:shd w:val="clear" w:color="auto" w:fill="FFFFFF"/>
        <w:tabs>
          <w:tab w:val="left" w:pos="1710"/>
        </w:tabs>
        <w:spacing w:after="240"/>
        <w:ind w:left="1710" w:hanging="180"/>
        <w:rPr>
          <w:rFonts w:cs="Arial"/>
          <w:b/>
          <w:sz w:val="24"/>
          <w:szCs w:val="24"/>
        </w:rPr>
      </w:pPr>
    </w:p>
    <w:p w14:paraId="315166A6" w14:textId="1FA65873" w:rsidR="00627C93" w:rsidRPr="00627C93" w:rsidRDefault="006C6ED7" w:rsidP="00F009DF">
      <w:pPr>
        <w:pStyle w:val="ListParagraph"/>
        <w:numPr>
          <w:ilvl w:val="0"/>
          <w:numId w:val="37"/>
        </w:numPr>
        <w:shd w:val="clear" w:color="auto" w:fill="FFFFFF"/>
        <w:tabs>
          <w:tab w:val="left" w:pos="1710"/>
        </w:tabs>
        <w:spacing w:after="240"/>
        <w:ind w:left="1710"/>
        <w:rPr>
          <w:rFonts w:cs="Arial"/>
          <w:b/>
          <w:sz w:val="24"/>
          <w:szCs w:val="24"/>
        </w:rPr>
      </w:pPr>
      <w:r>
        <w:rPr>
          <w:rFonts w:cs="Arial"/>
          <w:b/>
          <w:sz w:val="24"/>
          <w:szCs w:val="24"/>
        </w:rPr>
        <w:t xml:space="preserve">Protection of Aquatic Organisms and Wildlife. </w:t>
      </w:r>
      <w:r>
        <w:rPr>
          <w:rFonts w:cs="Arial"/>
          <w:sz w:val="24"/>
          <w:szCs w:val="24"/>
        </w:rPr>
        <w:t xml:space="preserve">The mercury water quality objective for protection of aquatic organisms and wildlife is 0.3 mg mercury per kg fish (average wet weight concentration measured in whole fish 3 to 5 centimeters (cm) in length. </w:t>
      </w:r>
    </w:p>
    <w:p w14:paraId="5367098A" w14:textId="77777777" w:rsidR="00627C93" w:rsidRPr="00570B42" w:rsidRDefault="00627C93" w:rsidP="00627C93">
      <w:pPr>
        <w:pStyle w:val="ListParagraph"/>
        <w:shd w:val="clear" w:color="auto" w:fill="FFFFFF"/>
        <w:tabs>
          <w:tab w:val="left" w:pos="1800"/>
        </w:tabs>
        <w:spacing w:after="240"/>
        <w:ind w:left="2160"/>
        <w:rPr>
          <w:rFonts w:cs="Arial"/>
          <w:b/>
          <w:sz w:val="24"/>
          <w:szCs w:val="24"/>
        </w:rPr>
      </w:pPr>
    </w:p>
    <w:p w14:paraId="31D9D2AE" w14:textId="6E080BC7" w:rsidR="00DE1E8E" w:rsidRPr="00231A37" w:rsidRDefault="00627C93" w:rsidP="00F009DF">
      <w:pPr>
        <w:pStyle w:val="ListParagraph"/>
        <w:numPr>
          <w:ilvl w:val="0"/>
          <w:numId w:val="31"/>
        </w:numPr>
        <w:spacing w:after="240"/>
        <w:rPr>
          <w:sz w:val="24"/>
          <w:szCs w:val="24"/>
        </w:rPr>
      </w:pPr>
      <w:r>
        <w:rPr>
          <w:b/>
          <w:sz w:val="24"/>
          <w:szCs w:val="24"/>
        </w:rPr>
        <w:t xml:space="preserve">PCBs </w:t>
      </w:r>
      <w:r w:rsidRPr="00570B42">
        <w:rPr>
          <w:b/>
        </w:rPr>
        <w:t>—</w:t>
      </w:r>
      <w:r>
        <w:t xml:space="preserve"> </w:t>
      </w:r>
      <w:r w:rsidR="00DF177F">
        <w:rPr>
          <w:sz w:val="24"/>
          <w:szCs w:val="24"/>
        </w:rPr>
        <w:t xml:space="preserve">Basin Plan section 7.2.3.1 </w:t>
      </w:r>
      <w:r w:rsidR="00856981">
        <w:rPr>
          <w:sz w:val="24"/>
          <w:szCs w:val="24"/>
        </w:rPr>
        <w:t>includes a</w:t>
      </w:r>
      <w:r w:rsidR="00DA2992">
        <w:rPr>
          <w:sz w:val="24"/>
          <w:szCs w:val="24"/>
        </w:rPr>
        <w:t xml:space="preserve"> narrative water quality objective that </w:t>
      </w:r>
      <w:r w:rsidR="00856981">
        <w:rPr>
          <w:sz w:val="24"/>
          <w:szCs w:val="24"/>
        </w:rPr>
        <w:t xml:space="preserve">states </w:t>
      </w:r>
      <w:r w:rsidR="00DA2992">
        <w:rPr>
          <w:sz w:val="24"/>
          <w:szCs w:val="24"/>
        </w:rPr>
        <w:t xml:space="preserve">controllable water quality factors shall not cause a detrimental increase in toxic substances found in bottom sediments or aquatic life. </w:t>
      </w:r>
      <w:r w:rsidR="00DA2992" w:rsidRPr="00DA2992">
        <w:rPr>
          <w:sz w:val="24"/>
          <w:szCs w:val="24"/>
        </w:rPr>
        <w:t xml:space="preserve">The PCBs TMDL and implementation plan are designed to resolve PCB impairment in all segments of San </w:t>
      </w:r>
      <w:r w:rsidR="00DA2992" w:rsidRPr="00DA2992">
        <w:rPr>
          <w:sz w:val="24"/>
          <w:szCs w:val="24"/>
        </w:rPr>
        <w:lastRenderedPageBreak/>
        <w:t>Francisco Bay. For municipal and industrial wastewater discharges</w:t>
      </w:r>
      <w:r w:rsidR="009B6517">
        <w:rPr>
          <w:sz w:val="24"/>
          <w:szCs w:val="24"/>
        </w:rPr>
        <w:t>,</w:t>
      </w:r>
      <w:r w:rsidR="00DA2992" w:rsidRPr="00DA2992">
        <w:rPr>
          <w:sz w:val="24"/>
          <w:szCs w:val="24"/>
        </w:rPr>
        <w:t xml:space="preserve"> this means limiting loads to 2.0 kg/year and 0.035 kg/year, respectively.</w:t>
      </w:r>
      <w:bookmarkStart w:id="295" w:name="_Toc92870812"/>
      <w:bookmarkStart w:id="296" w:name="_Toc85803957"/>
    </w:p>
    <w:p w14:paraId="0C741B08" w14:textId="77777777" w:rsidR="00DE1E8E" w:rsidRPr="00570B42" w:rsidRDefault="00DE1E8E" w:rsidP="00DE1E8E">
      <w:pPr>
        <w:pStyle w:val="Heading3-F"/>
        <w:rPr>
          <w:bCs w:val="0"/>
          <w:sz w:val="24"/>
        </w:rPr>
      </w:pPr>
      <w:bookmarkStart w:id="297" w:name="_Toc291771358"/>
      <w:bookmarkStart w:id="298" w:name="_Toc260386170"/>
      <w:bookmarkStart w:id="299" w:name="_Toc125358830"/>
      <w:bookmarkStart w:id="300" w:name="_Toc338152927"/>
      <w:bookmarkStart w:id="301" w:name="_Toc340137653"/>
      <w:bookmarkStart w:id="302" w:name="_Toc367981356"/>
      <w:bookmarkStart w:id="303" w:name="_Toc487829695"/>
      <w:r w:rsidRPr="00570B42">
        <w:rPr>
          <w:bCs w:val="0"/>
          <w:sz w:val="24"/>
        </w:rPr>
        <w:t>3.</w:t>
      </w:r>
      <w:r w:rsidRPr="00570B42">
        <w:rPr>
          <w:bCs w:val="0"/>
          <w:sz w:val="24"/>
        </w:rPr>
        <w:tab/>
        <w:t xml:space="preserve">Need for </w:t>
      </w:r>
      <w:bookmarkEnd w:id="295"/>
      <w:bookmarkEnd w:id="296"/>
      <w:bookmarkEnd w:id="297"/>
      <w:bookmarkEnd w:id="298"/>
      <w:bookmarkEnd w:id="299"/>
      <w:bookmarkEnd w:id="300"/>
      <w:bookmarkEnd w:id="301"/>
      <w:r w:rsidR="0040566B" w:rsidRPr="00570B42">
        <w:rPr>
          <w:sz w:val="24"/>
        </w:rPr>
        <w:t>WQBELs</w:t>
      </w:r>
      <w:r w:rsidRPr="00570B42">
        <w:rPr>
          <w:sz w:val="24"/>
        </w:rPr>
        <w:t xml:space="preserve"> (Reasonable Potential Analysis)</w:t>
      </w:r>
      <w:bookmarkEnd w:id="302"/>
      <w:bookmarkEnd w:id="303"/>
    </w:p>
    <w:p w14:paraId="7F7B3A41" w14:textId="7ABFF090" w:rsidR="005977F2" w:rsidRPr="005977F2" w:rsidRDefault="001F3189" w:rsidP="005977F2">
      <w:pPr>
        <w:spacing w:after="240"/>
        <w:ind w:left="1440"/>
        <w:rPr>
          <w:bCs/>
          <w:sz w:val="24"/>
          <w:szCs w:val="24"/>
        </w:rPr>
      </w:pPr>
      <w:bookmarkStart w:id="304" w:name="_Toc291838951"/>
      <w:bookmarkStart w:id="305" w:name="_Toc261860595"/>
      <w:bookmarkEnd w:id="291"/>
      <w:bookmarkEnd w:id="292"/>
      <w:bookmarkEnd w:id="293"/>
      <w:r>
        <w:rPr>
          <w:bCs/>
          <w:sz w:val="24"/>
          <w:szCs w:val="24"/>
        </w:rPr>
        <w:t>The</w:t>
      </w:r>
      <w:r w:rsidR="005977F2" w:rsidRPr="005977F2">
        <w:rPr>
          <w:bCs/>
          <w:sz w:val="24"/>
          <w:szCs w:val="24"/>
        </w:rPr>
        <w:t xml:space="preserve"> Regional Water Board is including WQBELs for mercury and PCBs in this Order that are consistent with the assumptions and require</w:t>
      </w:r>
      <w:r w:rsidR="005977F2">
        <w:rPr>
          <w:bCs/>
          <w:sz w:val="24"/>
          <w:szCs w:val="24"/>
        </w:rPr>
        <w:t xml:space="preserve">ments of the San Francisco Bay </w:t>
      </w:r>
      <w:r w:rsidR="003B3F50">
        <w:rPr>
          <w:bCs/>
          <w:sz w:val="24"/>
          <w:szCs w:val="24"/>
        </w:rPr>
        <w:t>Mercury and PCBs TMDLs</w:t>
      </w:r>
      <w:r w:rsidR="005977F2" w:rsidRPr="005977F2">
        <w:rPr>
          <w:bCs/>
          <w:sz w:val="24"/>
          <w:szCs w:val="24"/>
        </w:rPr>
        <w:t xml:space="preserve">. Based on the water quality monitoring done at the time of these TMDL adoptions, which set the wasteload allocations for mercury and PCBs at levels necessary to attain water quality standards, the Regional Water Board has determined that the WQBELs are consistent with the assumptions of these TMDLs. </w:t>
      </w:r>
      <w:r w:rsidR="005977F2">
        <w:rPr>
          <w:bCs/>
          <w:sz w:val="24"/>
          <w:szCs w:val="24"/>
        </w:rPr>
        <w:t>Therefore</w:t>
      </w:r>
      <w:r w:rsidR="005977F2" w:rsidRPr="005977F2">
        <w:rPr>
          <w:bCs/>
          <w:sz w:val="24"/>
          <w:szCs w:val="24"/>
        </w:rPr>
        <w:t>, compliance with the effluent limitations will satisfy the requirements of the TMDL.</w:t>
      </w:r>
    </w:p>
    <w:p w14:paraId="059C359E" w14:textId="2C2608E0" w:rsidR="000A5445" w:rsidRPr="005977F2" w:rsidRDefault="005977F2" w:rsidP="000A5445">
      <w:pPr>
        <w:spacing w:after="240"/>
        <w:ind w:left="1440"/>
        <w:rPr>
          <w:bCs/>
          <w:sz w:val="24"/>
          <w:szCs w:val="24"/>
        </w:rPr>
      </w:pPr>
      <w:r w:rsidRPr="005977F2">
        <w:rPr>
          <w:bCs/>
          <w:sz w:val="24"/>
          <w:szCs w:val="24"/>
        </w:rPr>
        <w:t xml:space="preserve">The Regional Water Board has developed WQBELs for mercury and PCBs pursuant to </w:t>
      </w:r>
      <w:r>
        <w:rPr>
          <w:bCs/>
          <w:sz w:val="24"/>
          <w:szCs w:val="24"/>
        </w:rPr>
        <w:t>40 C.F.R. section 122.44(d)(1)(vii),</w:t>
      </w:r>
      <w:r w:rsidRPr="005977F2">
        <w:rPr>
          <w:bCs/>
          <w:sz w:val="24"/>
          <w:szCs w:val="24"/>
        </w:rPr>
        <w:t xml:space="preserve"> which do</w:t>
      </w:r>
      <w:r>
        <w:rPr>
          <w:bCs/>
          <w:sz w:val="24"/>
          <w:szCs w:val="24"/>
        </w:rPr>
        <w:t xml:space="preserve">es </w:t>
      </w:r>
      <w:r w:rsidRPr="005977F2">
        <w:rPr>
          <w:bCs/>
          <w:sz w:val="24"/>
          <w:szCs w:val="24"/>
        </w:rPr>
        <w:t>not</w:t>
      </w:r>
      <w:r>
        <w:rPr>
          <w:bCs/>
          <w:sz w:val="24"/>
          <w:szCs w:val="24"/>
        </w:rPr>
        <w:t xml:space="preserve"> require</w:t>
      </w:r>
      <w:r w:rsidRPr="005977F2">
        <w:rPr>
          <w:bCs/>
          <w:sz w:val="24"/>
          <w:szCs w:val="24"/>
        </w:rPr>
        <w:t xml:space="preserve"> a reasonable potential analysis. Similarly, </w:t>
      </w:r>
      <w:r>
        <w:rPr>
          <w:bCs/>
          <w:sz w:val="24"/>
          <w:szCs w:val="24"/>
        </w:rPr>
        <w:t>SIP section</w:t>
      </w:r>
      <w:r w:rsidRPr="005977F2">
        <w:rPr>
          <w:bCs/>
          <w:sz w:val="24"/>
          <w:szCs w:val="24"/>
        </w:rPr>
        <w:t xml:space="preserve"> 1.3 recognizes that </w:t>
      </w:r>
      <w:r>
        <w:rPr>
          <w:bCs/>
          <w:sz w:val="24"/>
          <w:szCs w:val="24"/>
        </w:rPr>
        <w:t xml:space="preserve">a </w:t>
      </w:r>
      <w:r w:rsidRPr="005977F2">
        <w:rPr>
          <w:bCs/>
          <w:sz w:val="24"/>
          <w:szCs w:val="24"/>
        </w:rPr>
        <w:t>reasonable potential analysis is not appropriate if a TMDL has been developed.</w:t>
      </w:r>
    </w:p>
    <w:p w14:paraId="743CFBBD" w14:textId="3C57060E" w:rsidR="005977F2" w:rsidRPr="000A5445" w:rsidRDefault="000A5445" w:rsidP="000A5445">
      <w:pPr>
        <w:pStyle w:val="Heading3-F"/>
        <w:rPr>
          <w:bCs w:val="0"/>
          <w:sz w:val="24"/>
        </w:rPr>
      </w:pPr>
      <w:bookmarkStart w:id="306" w:name="_Toc487829696"/>
      <w:r>
        <w:rPr>
          <w:bCs w:val="0"/>
          <w:sz w:val="24"/>
        </w:rPr>
        <w:t>4</w:t>
      </w:r>
      <w:r w:rsidRPr="00570B42">
        <w:rPr>
          <w:bCs w:val="0"/>
          <w:sz w:val="24"/>
        </w:rPr>
        <w:t>.</w:t>
      </w:r>
      <w:r w:rsidRPr="00570B42">
        <w:rPr>
          <w:bCs w:val="0"/>
          <w:sz w:val="24"/>
        </w:rPr>
        <w:tab/>
      </w:r>
      <w:r>
        <w:rPr>
          <w:bCs w:val="0"/>
          <w:sz w:val="24"/>
        </w:rPr>
        <w:t>WQBEL Calculations</w:t>
      </w:r>
      <w:bookmarkEnd w:id="306"/>
    </w:p>
    <w:p w14:paraId="6E3C5C51" w14:textId="00FDC7D5" w:rsidR="000A5445" w:rsidRPr="000A5445" w:rsidRDefault="000A5445" w:rsidP="000A5445">
      <w:pPr>
        <w:spacing w:after="120"/>
        <w:ind w:left="1440" w:hanging="360"/>
        <w:rPr>
          <w:bCs/>
          <w:sz w:val="24"/>
          <w:szCs w:val="24"/>
        </w:rPr>
      </w:pPr>
      <w:r>
        <w:rPr>
          <w:b/>
          <w:bCs/>
          <w:sz w:val="24"/>
          <w:szCs w:val="24"/>
        </w:rPr>
        <w:t>a</w:t>
      </w:r>
      <w:r w:rsidR="00DE1E8E" w:rsidRPr="00570B42">
        <w:rPr>
          <w:b/>
          <w:bCs/>
          <w:sz w:val="24"/>
          <w:szCs w:val="24"/>
        </w:rPr>
        <w:t>.</w:t>
      </w:r>
      <w:r w:rsidR="00DE1E8E" w:rsidRPr="00570B42">
        <w:rPr>
          <w:b/>
          <w:bCs/>
          <w:sz w:val="24"/>
          <w:szCs w:val="24"/>
        </w:rPr>
        <w:tab/>
      </w:r>
      <w:r>
        <w:rPr>
          <w:b/>
          <w:bCs/>
          <w:sz w:val="24"/>
          <w:szCs w:val="24"/>
        </w:rPr>
        <w:t xml:space="preserve">Mercury </w:t>
      </w:r>
      <w:r w:rsidRPr="00570B42">
        <w:rPr>
          <w:b/>
        </w:rPr>
        <w:t>—</w:t>
      </w:r>
      <w:r w:rsidR="007F1A13" w:rsidRPr="00570B42">
        <w:rPr>
          <w:b/>
          <w:bCs/>
          <w:sz w:val="24"/>
          <w:szCs w:val="24"/>
        </w:rPr>
        <w:t xml:space="preserve"> </w:t>
      </w:r>
      <w:r>
        <w:rPr>
          <w:bCs/>
          <w:sz w:val="24"/>
          <w:szCs w:val="24"/>
        </w:rPr>
        <w:t>This Order contains mass-based and concentration-based WQBELs</w:t>
      </w:r>
      <w:r w:rsidR="007F1A13" w:rsidRPr="00570B42">
        <w:rPr>
          <w:bCs/>
          <w:sz w:val="24"/>
          <w:szCs w:val="24"/>
        </w:rPr>
        <w:t>:</w:t>
      </w:r>
    </w:p>
    <w:p w14:paraId="370D0F8A" w14:textId="7001C0BF" w:rsidR="00C64921" w:rsidRPr="00C64921" w:rsidRDefault="00C64921" w:rsidP="00F009DF">
      <w:pPr>
        <w:pStyle w:val="ListParagraph"/>
        <w:numPr>
          <w:ilvl w:val="0"/>
          <w:numId w:val="38"/>
        </w:numPr>
        <w:shd w:val="clear" w:color="auto" w:fill="FFFFFF"/>
        <w:tabs>
          <w:tab w:val="left" w:pos="1710"/>
        </w:tabs>
        <w:spacing w:after="240"/>
        <w:ind w:left="1710"/>
        <w:rPr>
          <w:rFonts w:cs="Arial"/>
          <w:sz w:val="24"/>
          <w:szCs w:val="24"/>
        </w:rPr>
      </w:pPr>
      <w:r>
        <w:rPr>
          <w:rFonts w:cs="Arial"/>
          <w:b/>
          <w:sz w:val="24"/>
          <w:szCs w:val="24"/>
        </w:rPr>
        <w:t>Mass-based WQBELs</w:t>
      </w:r>
      <w:r w:rsidR="000A5445" w:rsidRPr="00570B42">
        <w:rPr>
          <w:rFonts w:cs="Arial"/>
          <w:b/>
          <w:sz w:val="24"/>
          <w:szCs w:val="24"/>
        </w:rPr>
        <w:t>.</w:t>
      </w:r>
      <w:r w:rsidR="000A5445" w:rsidRPr="00570B42">
        <w:rPr>
          <w:rFonts w:cs="Arial"/>
          <w:sz w:val="24"/>
          <w:szCs w:val="24"/>
        </w:rPr>
        <w:t xml:space="preserve"> </w:t>
      </w:r>
      <w:r w:rsidRPr="00C64921">
        <w:rPr>
          <w:rFonts w:cs="Arial"/>
          <w:sz w:val="24"/>
          <w:szCs w:val="24"/>
        </w:rPr>
        <w:t xml:space="preserve">The mass-based WQBELs are based on the established aggregate wasteload allocations for Municipal Dischargers and Industrial Dischargers that comprise a portion of the San Francisco Bay </w:t>
      </w:r>
      <w:r w:rsidR="003B3F50">
        <w:rPr>
          <w:rFonts w:cs="Arial"/>
          <w:sz w:val="24"/>
          <w:szCs w:val="24"/>
        </w:rPr>
        <w:t>Mercury TMDL</w:t>
      </w:r>
      <w:r w:rsidRPr="00C64921">
        <w:rPr>
          <w:rFonts w:cs="Arial"/>
          <w:sz w:val="24"/>
          <w:szCs w:val="24"/>
        </w:rPr>
        <w:t xml:space="preserve">. For the San Francisco Bay </w:t>
      </w:r>
      <w:r w:rsidR="003B3F50">
        <w:rPr>
          <w:rFonts w:cs="Arial"/>
          <w:sz w:val="24"/>
          <w:szCs w:val="24"/>
        </w:rPr>
        <w:t>Mercury TMDL</w:t>
      </w:r>
      <w:r w:rsidRPr="00C64921">
        <w:rPr>
          <w:rFonts w:cs="Arial"/>
          <w:sz w:val="24"/>
          <w:szCs w:val="24"/>
        </w:rPr>
        <w:t>, loads are expressed in terms of annual mercury loads because the adverse effects of mercury occur through long-term bioaccumulation. The loads are intended to represent long-term averages and account for long-term variability, including seasonal variability.</w:t>
      </w:r>
      <w:r w:rsidRPr="00C64921">
        <w:rPr>
          <w:rFonts w:cs="Arial"/>
          <w:b/>
          <w:sz w:val="24"/>
          <w:szCs w:val="24"/>
        </w:rPr>
        <w:t xml:space="preserve">      </w:t>
      </w:r>
    </w:p>
    <w:p w14:paraId="0B19F7C1" w14:textId="77777777" w:rsidR="00C64921" w:rsidRPr="00C64921" w:rsidRDefault="00C64921" w:rsidP="00C64921">
      <w:pPr>
        <w:pStyle w:val="ListParagraph"/>
        <w:shd w:val="clear" w:color="auto" w:fill="FFFFFF"/>
        <w:tabs>
          <w:tab w:val="left" w:pos="1710"/>
        </w:tabs>
        <w:spacing w:after="240"/>
        <w:ind w:left="1710"/>
        <w:rPr>
          <w:rFonts w:cs="Arial"/>
          <w:sz w:val="24"/>
          <w:szCs w:val="24"/>
        </w:rPr>
      </w:pPr>
    </w:p>
    <w:p w14:paraId="7E4259B0" w14:textId="1FE2994C" w:rsidR="00C64921" w:rsidRPr="00C64921" w:rsidRDefault="004D71EE" w:rsidP="00C64921">
      <w:pPr>
        <w:pStyle w:val="ListParagraph"/>
        <w:shd w:val="clear" w:color="auto" w:fill="FFFFFF"/>
        <w:tabs>
          <w:tab w:val="left" w:pos="1710"/>
        </w:tabs>
        <w:spacing w:after="240"/>
        <w:ind w:left="1710"/>
        <w:rPr>
          <w:rFonts w:cs="Arial"/>
          <w:sz w:val="24"/>
          <w:szCs w:val="24"/>
        </w:rPr>
      </w:pPr>
      <w:r>
        <w:rPr>
          <w:rFonts w:cs="Arial"/>
          <w:sz w:val="24"/>
          <w:szCs w:val="24"/>
        </w:rPr>
        <w:t xml:space="preserve">Basin Plan Table 7.2.2-3 specifies the </w:t>
      </w:r>
      <w:r w:rsidR="00C64921" w:rsidRPr="00C64921">
        <w:rPr>
          <w:rFonts w:cs="Arial"/>
          <w:sz w:val="24"/>
          <w:szCs w:val="24"/>
        </w:rPr>
        <w:t xml:space="preserve">San Francisco Bay </w:t>
      </w:r>
      <w:r w:rsidR="003B3F50">
        <w:rPr>
          <w:rFonts w:cs="Arial"/>
          <w:sz w:val="24"/>
          <w:szCs w:val="24"/>
        </w:rPr>
        <w:t>Mercury TMDL</w:t>
      </w:r>
      <w:r w:rsidR="00C64921" w:rsidRPr="00C64921">
        <w:rPr>
          <w:rFonts w:cs="Arial"/>
          <w:sz w:val="24"/>
          <w:szCs w:val="24"/>
        </w:rPr>
        <w:t xml:space="preserve">’s </w:t>
      </w:r>
      <w:r>
        <w:rPr>
          <w:rFonts w:cs="Arial"/>
          <w:sz w:val="24"/>
          <w:szCs w:val="24"/>
        </w:rPr>
        <w:t xml:space="preserve">final </w:t>
      </w:r>
      <w:r w:rsidR="00626BF5">
        <w:rPr>
          <w:rFonts w:cs="Arial"/>
          <w:sz w:val="24"/>
          <w:szCs w:val="24"/>
        </w:rPr>
        <w:t>a</w:t>
      </w:r>
      <w:r w:rsidR="00C64921" w:rsidRPr="00C64921">
        <w:rPr>
          <w:rFonts w:cs="Arial"/>
          <w:sz w:val="24"/>
          <w:szCs w:val="24"/>
        </w:rPr>
        <w:t xml:space="preserve">ggregate </w:t>
      </w:r>
      <w:r w:rsidR="00837535">
        <w:rPr>
          <w:rFonts w:cs="Arial"/>
          <w:sz w:val="24"/>
          <w:szCs w:val="24"/>
        </w:rPr>
        <w:t xml:space="preserve">mass emission </w:t>
      </w:r>
      <w:r w:rsidR="00C64921" w:rsidRPr="00C64921">
        <w:rPr>
          <w:rFonts w:cs="Arial"/>
          <w:sz w:val="24"/>
          <w:szCs w:val="24"/>
        </w:rPr>
        <w:t xml:space="preserve">limit and associated individual </w:t>
      </w:r>
      <w:r w:rsidR="00837535">
        <w:rPr>
          <w:rFonts w:cs="Arial"/>
          <w:sz w:val="24"/>
          <w:szCs w:val="24"/>
        </w:rPr>
        <w:t xml:space="preserve">mass emission </w:t>
      </w:r>
      <w:r w:rsidR="00C64921" w:rsidRPr="00C64921">
        <w:rPr>
          <w:rFonts w:cs="Arial"/>
          <w:sz w:val="24"/>
          <w:szCs w:val="24"/>
        </w:rPr>
        <w:t xml:space="preserve">limits for Municipal Dischargers </w:t>
      </w:r>
      <w:r>
        <w:rPr>
          <w:rFonts w:cs="Arial"/>
          <w:sz w:val="24"/>
          <w:szCs w:val="24"/>
        </w:rPr>
        <w:t>as</w:t>
      </w:r>
      <w:r w:rsidR="00C64921" w:rsidRPr="00C64921">
        <w:rPr>
          <w:rFonts w:cs="Arial"/>
          <w:sz w:val="24"/>
          <w:szCs w:val="24"/>
        </w:rPr>
        <w:t xml:space="preserve"> shown in Table F-</w:t>
      </w:r>
      <w:r w:rsidR="009321F6">
        <w:rPr>
          <w:rFonts w:cs="Arial"/>
          <w:sz w:val="24"/>
          <w:szCs w:val="24"/>
        </w:rPr>
        <w:t>4</w:t>
      </w:r>
      <w:r w:rsidR="00C64921" w:rsidRPr="00C64921">
        <w:rPr>
          <w:rFonts w:cs="Arial"/>
          <w:sz w:val="24"/>
          <w:szCs w:val="24"/>
        </w:rPr>
        <w:t xml:space="preserve"> below</w:t>
      </w:r>
      <w:r w:rsidR="009321F6">
        <w:rPr>
          <w:rFonts w:cs="Arial"/>
          <w:sz w:val="24"/>
          <w:szCs w:val="24"/>
        </w:rPr>
        <w:t>.</w:t>
      </w:r>
      <w:r w:rsidR="00C64921" w:rsidRPr="00C64921">
        <w:rPr>
          <w:rFonts w:cs="Arial"/>
          <w:sz w:val="24"/>
          <w:szCs w:val="24"/>
        </w:rPr>
        <w:t xml:space="preserve">  </w:t>
      </w:r>
    </w:p>
    <w:p w14:paraId="1CAE92DA" w14:textId="77AD1493" w:rsidR="000A5445" w:rsidRPr="00226F42" w:rsidRDefault="00226F42" w:rsidP="00226F42">
      <w:pPr>
        <w:pStyle w:val="TableHeader1F"/>
        <w:keepNext/>
        <w:contextualSpacing/>
        <w:jc w:val="center"/>
        <w:rPr>
          <w:rFonts w:ascii="Times New Roman" w:hAnsi="Times New Roman" w:cs="Times New Roman"/>
          <w:sz w:val="24"/>
          <w:szCs w:val="24"/>
        </w:rPr>
      </w:pPr>
      <w:bookmarkStart w:id="307" w:name="_Toc487829736"/>
      <w:r w:rsidRPr="00570B42">
        <w:rPr>
          <w:rFonts w:ascii="Times New Roman" w:hAnsi="Times New Roman" w:cs="Times New Roman"/>
          <w:sz w:val="24"/>
          <w:szCs w:val="24"/>
        </w:rPr>
        <w:t>Table F-</w:t>
      </w:r>
      <w:r>
        <w:rPr>
          <w:rFonts w:ascii="Times New Roman" w:hAnsi="Times New Roman" w:cs="Times New Roman"/>
          <w:sz w:val="24"/>
          <w:szCs w:val="24"/>
        </w:rPr>
        <w:t>4</w:t>
      </w:r>
      <w:r w:rsidRPr="00570B42">
        <w:rPr>
          <w:rFonts w:ascii="Times New Roman" w:hAnsi="Times New Roman" w:cs="Times New Roman"/>
          <w:sz w:val="24"/>
          <w:szCs w:val="24"/>
        </w:rPr>
        <w:t xml:space="preserve">. </w:t>
      </w:r>
      <w:r w:rsidR="00837535">
        <w:rPr>
          <w:rFonts w:ascii="Times New Roman" w:hAnsi="Times New Roman" w:cs="Times New Roman"/>
          <w:sz w:val="24"/>
          <w:szCs w:val="24"/>
        </w:rPr>
        <w:t>Mass Emission Allocations for Municipal Dischargers</w:t>
      </w:r>
      <w:bookmarkEnd w:id="307"/>
    </w:p>
    <w:tbl>
      <w:tblPr>
        <w:tblW w:w="790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776"/>
        <w:gridCol w:w="1659"/>
        <w:gridCol w:w="2470"/>
      </w:tblGrid>
      <w:tr w:rsidR="004D71EE" w:rsidRPr="00B55A80" w14:paraId="1EEC6440" w14:textId="77777777" w:rsidTr="004D71EE">
        <w:trPr>
          <w:cantSplit/>
          <w:tblHeader/>
          <w:jc w:val="center"/>
        </w:trPr>
        <w:tc>
          <w:tcPr>
            <w:tcW w:w="3776" w:type="dxa"/>
            <w:tcBorders>
              <w:top w:val="single" w:sz="12" w:space="0" w:color="auto"/>
              <w:bottom w:val="single" w:sz="12" w:space="0" w:color="auto"/>
            </w:tcBorders>
            <w:shd w:val="clear" w:color="auto" w:fill="auto"/>
            <w:vAlign w:val="center"/>
          </w:tcPr>
          <w:p w14:paraId="22F0649E" w14:textId="77777777" w:rsidR="004D71EE" w:rsidRPr="00B55A80" w:rsidRDefault="004D71EE" w:rsidP="00226F42">
            <w:pPr>
              <w:keepNext/>
              <w:contextualSpacing/>
              <w:jc w:val="center"/>
              <w:rPr>
                <w:b/>
                <w:color w:val="000000"/>
              </w:rPr>
            </w:pPr>
            <w:r w:rsidRPr="00B55A80">
              <w:rPr>
                <w:b/>
                <w:color w:val="000000"/>
              </w:rPr>
              <w:t>Discharger</w:t>
            </w:r>
          </w:p>
        </w:tc>
        <w:tc>
          <w:tcPr>
            <w:tcW w:w="1659" w:type="dxa"/>
            <w:tcBorders>
              <w:top w:val="single" w:sz="12" w:space="0" w:color="auto"/>
              <w:bottom w:val="single" w:sz="12" w:space="0" w:color="auto"/>
            </w:tcBorders>
            <w:shd w:val="clear" w:color="auto" w:fill="auto"/>
            <w:vAlign w:val="center"/>
          </w:tcPr>
          <w:p w14:paraId="7B50C8F4" w14:textId="77777777" w:rsidR="004D71EE" w:rsidRPr="00B55A80" w:rsidRDefault="004D71EE" w:rsidP="00226F42">
            <w:pPr>
              <w:keepNext/>
              <w:contextualSpacing/>
              <w:jc w:val="center"/>
              <w:rPr>
                <w:b/>
                <w:color w:val="000000"/>
              </w:rPr>
            </w:pPr>
            <w:r w:rsidRPr="00B55A80">
              <w:rPr>
                <w:b/>
                <w:color w:val="000000"/>
              </w:rPr>
              <w:t>NPDES Permit No.</w:t>
            </w:r>
          </w:p>
        </w:tc>
        <w:tc>
          <w:tcPr>
            <w:tcW w:w="2470" w:type="dxa"/>
            <w:tcBorders>
              <w:top w:val="single" w:sz="12" w:space="0" w:color="auto"/>
              <w:bottom w:val="single" w:sz="12" w:space="0" w:color="auto"/>
            </w:tcBorders>
            <w:shd w:val="clear" w:color="auto" w:fill="auto"/>
            <w:vAlign w:val="center"/>
          </w:tcPr>
          <w:p w14:paraId="4CF3FA11" w14:textId="77777777" w:rsidR="004D71EE" w:rsidRDefault="004D71EE" w:rsidP="00226F42">
            <w:pPr>
              <w:keepNext/>
              <w:contextualSpacing/>
              <w:jc w:val="center"/>
              <w:rPr>
                <w:b/>
                <w:color w:val="000000"/>
                <w:vertAlign w:val="superscript"/>
              </w:rPr>
            </w:pPr>
            <w:r w:rsidRPr="00591153">
              <w:rPr>
                <w:b/>
                <w:color w:val="000000"/>
              </w:rPr>
              <w:t>Average Annual  Effluent Limit for Mercury</w:t>
            </w:r>
            <w:r>
              <w:rPr>
                <w:b/>
                <w:color w:val="000000"/>
                <w:vertAlign w:val="superscript"/>
              </w:rPr>
              <w:t xml:space="preserve"> </w:t>
            </w:r>
          </w:p>
          <w:p w14:paraId="653A2463" w14:textId="427CE898" w:rsidR="004D71EE" w:rsidRPr="00B55A80" w:rsidRDefault="004D71EE" w:rsidP="00226F42">
            <w:pPr>
              <w:keepNext/>
              <w:contextualSpacing/>
              <w:jc w:val="center"/>
              <w:rPr>
                <w:b/>
                <w:color w:val="000000"/>
              </w:rPr>
            </w:pPr>
            <w:r w:rsidRPr="00591153">
              <w:rPr>
                <w:b/>
                <w:color w:val="000000"/>
              </w:rPr>
              <w:t>(kg/yr)</w:t>
            </w:r>
          </w:p>
        </w:tc>
      </w:tr>
      <w:tr w:rsidR="004D71EE" w:rsidRPr="00B55A80" w14:paraId="43E94E7F" w14:textId="77777777" w:rsidTr="004D71EE">
        <w:trPr>
          <w:cantSplit/>
          <w:jc w:val="center"/>
        </w:trPr>
        <w:tc>
          <w:tcPr>
            <w:tcW w:w="3776" w:type="dxa"/>
            <w:tcBorders>
              <w:top w:val="single" w:sz="12" w:space="0" w:color="auto"/>
            </w:tcBorders>
            <w:shd w:val="clear" w:color="auto" w:fill="auto"/>
          </w:tcPr>
          <w:p w14:paraId="1306AD92" w14:textId="77777777" w:rsidR="004D71EE" w:rsidRPr="00B55A80" w:rsidRDefault="004D71EE" w:rsidP="004D71EE">
            <w:r w:rsidRPr="00B55A80">
              <w:t>American Canyon, City of</w:t>
            </w:r>
          </w:p>
        </w:tc>
        <w:tc>
          <w:tcPr>
            <w:tcW w:w="1659" w:type="dxa"/>
            <w:tcBorders>
              <w:top w:val="single" w:sz="12" w:space="0" w:color="auto"/>
            </w:tcBorders>
            <w:shd w:val="clear" w:color="auto" w:fill="auto"/>
            <w:vAlign w:val="center"/>
          </w:tcPr>
          <w:p w14:paraId="023D856C" w14:textId="77777777" w:rsidR="004D71EE" w:rsidRPr="00B55A80" w:rsidRDefault="004D71EE" w:rsidP="004D71EE">
            <w:pPr>
              <w:jc w:val="center"/>
              <w:rPr>
                <w:color w:val="000000"/>
              </w:rPr>
            </w:pPr>
            <w:r w:rsidRPr="00B55A80">
              <w:rPr>
                <w:color w:val="000000"/>
              </w:rPr>
              <w:t>CA0038768</w:t>
            </w:r>
          </w:p>
        </w:tc>
        <w:tc>
          <w:tcPr>
            <w:tcW w:w="2470" w:type="dxa"/>
            <w:tcBorders>
              <w:top w:val="single" w:sz="12" w:space="0" w:color="auto"/>
            </w:tcBorders>
            <w:shd w:val="clear" w:color="auto" w:fill="auto"/>
            <w:vAlign w:val="center"/>
          </w:tcPr>
          <w:p w14:paraId="0D342960" w14:textId="7EEA98CA" w:rsidR="004D71EE" w:rsidRPr="00B55A80" w:rsidRDefault="004D71EE" w:rsidP="004D71EE">
            <w:pPr>
              <w:jc w:val="center"/>
              <w:rPr>
                <w:color w:val="000000"/>
              </w:rPr>
            </w:pPr>
            <w:r w:rsidRPr="00591153">
              <w:rPr>
                <w:color w:val="000000"/>
              </w:rPr>
              <w:t>0.095</w:t>
            </w:r>
          </w:p>
        </w:tc>
      </w:tr>
      <w:tr w:rsidR="004D71EE" w:rsidRPr="00B55A80" w14:paraId="3E6BF814" w14:textId="77777777" w:rsidTr="004D71EE">
        <w:trPr>
          <w:cantSplit/>
          <w:jc w:val="center"/>
        </w:trPr>
        <w:tc>
          <w:tcPr>
            <w:tcW w:w="3776" w:type="dxa"/>
            <w:shd w:val="clear" w:color="auto" w:fill="auto"/>
          </w:tcPr>
          <w:p w14:paraId="68753294" w14:textId="77777777" w:rsidR="004D71EE" w:rsidRPr="00B55A80" w:rsidRDefault="004D71EE" w:rsidP="004D71EE">
            <w:pPr>
              <w:rPr>
                <w:rFonts w:eastAsia="Arial Unicode MS"/>
              </w:rPr>
            </w:pPr>
            <w:r w:rsidRPr="00B55A80">
              <w:t>Benicia, City of</w:t>
            </w:r>
          </w:p>
        </w:tc>
        <w:tc>
          <w:tcPr>
            <w:tcW w:w="1659" w:type="dxa"/>
            <w:shd w:val="clear" w:color="auto" w:fill="auto"/>
            <w:vAlign w:val="center"/>
          </w:tcPr>
          <w:p w14:paraId="73224CCD" w14:textId="77777777" w:rsidR="004D71EE" w:rsidRPr="00B55A80" w:rsidRDefault="004D71EE" w:rsidP="004D71EE">
            <w:pPr>
              <w:jc w:val="center"/>
              <w:rPr>
                <w:color w:val="000000"/>
              </w:rPr>
            </w:pPr>
            <w:r w:rsidRPr="00B55A80">
              <w:rPr>
                <w:bCs/>
                <w:color w:val="000000"/>
              </w:rPr>
              <w:t>CA0038091</w:t>
            </w:r>
          </w:p>
        </w:tc>
        <w:tc>
          <w:tcPr>
            <w:tcW w:w="2470" w:type="dxa"/>
            <w:shd w:val="clear" w:color="auto" w:fill="auto"/>
            <w:vAlign w:val="center"/>
          </w:tcPr>
          <w:p w14:paraId="05E94A0A" w14:textId="289F1CED" w:rsidR="004D71EE" w:rsidRPr="00B55A80" w:rsidRDefault="004D71EE" w:rsidP="004D71EE">
            <w:pPr>
              <w:jc w:val="center"/>
              <w:rPr>
                <w:color w:val="000000"/>
                <w:vertAlign w:val="superscript"/>
              </w:rPr>
            </w:pPr>
            <w:r w:rsidRPr="00591153">
              <w:rPr>
                <w:color w:val="000000"/>
              </w:rPr>
              <w:t>0.088</w:t>
            </w:r>
          </w:p>
        </w:tc>
      </w:tr>
      <w:tr w:rsidR="004D71EE" w:rsidRPr="00B55A80" w14:paraId="79F3DF6F" w14:textId="77777777" w:rsidTr="004D71EE">
        <w:trPr>
          <w:cantSplit/>
          <w:jc w:val="center"/>
        </w:trPr>
        <w:tc>
          <w:tcPr>
            <w:tcW w:w="3776" w:type="dxa"/>
            <w:shd w:val="clear" w:color="auto" w:fill="auto"/>
          </w:tcPr>
          <w:p w14:paraId="4F18E4BE" w14:textId="77777777" w:rsidR="004D71EE" w:rsidRPr="00B55A80" w:rsidRDefault="004D71EE" w:rsidP="004D71EE">
            <w:pPr>
              <w:rPr>
                <w:rFonts w:eastAsia="Arial Unicode MS"/>
              </w:rPr>
            </w:pPr>
            <w:r w:rsidRPr="00B55A80">
              <w:t>Burlingame, City of</w:t>
            </w:r>
          </w:p>
        </w:tc>
        <w:tc>
          <w:tcPr>
            <w:tcW w:w="1659" w:type="dxa"/>
            <w:shd w:val="clear" w:color="auto" w:fill="auto"/>
            <w:vAlign w:val="center"/>
          </w:tcPr>
          <w:p w14:paraId="090C1FD3" w14:textId="77777777" w:rsidR="004D71EE" w:rsidRPr="00B55A80" w:rsidRDefault="004D71EE" w:rsidP="004D71EE">
            <w:pPr>
              <w:jc w:val="center"/>
              <w:rPr>
                <w:color w:val="000000"/>
              </w:rPr>
            </w:pPr>
            <w:r w:rsidRPr="00B55A80">
              <w:rPr>
                <w:color w:val="000000"/>
              </w:rPr>
              <w:t>CA0037788</w:t>
            </w:r>
          </w:p>
        </w:tc>
        <w:tc>
          <w:tcPr>
            <w:tcW w:w="2470" w:type="dxa"/>
            <w:shd w:val="clear" w:color="auto" w:fill="auto"/>
            <w:vAlign w:val="center"/>
          </w:tcPr>
          <w:p w14:paraId="312D8A1D" w14:textId="6A042F8A" w:rsidR="004D71EE" w:rsidRPr="00B55A80" w:rsidRDefault="004D71EE" w:rsidP="004D71EE">
            <w:pPr>
              <w:jc w:val="center"/>
              <w:rPr>
                <w:color w:val="000000"/>
              </w:rPr>
            </w:pPr>
            <w:r w:rsidRPr="00591153">
              <w:rPr>
                <w:color w:val="000000"/>
              </w:rPr>
              <w:t>0.089</w:t>
            </w:r>
          </w:p>
        </w:tc>
      </w:tr>
      <w:tr w:rsidR="00E869D9" w:rsidRPr="00B55A80" w14:paraId="078F2C22" w14:textId="77777777" w:rsidTr="004D71EE">
        <w:trPr>
          <w:cantSplit/>
          <w:jc w:val="center"/>
        </w:trPr>
        <w:tc>
          <w:tcPr>
            <w:tcW w:w="3776" w:type="dxa"/>
            <w:shd w:val="clear" w:color="auto" w:fill="auto"/>
          </w:tcPr>
          <w:p w14:paraId="480320DC" w14:textId="3E6B016B" w:rsidR="00E869D9" w:rsidRPr="00E869D9" w:rsidRDefault="00E869D9" w:rsidP="004D71EE">
            <w:r w:rsidRPr="00E869D9">
              <w:t>California Department of Parks and Recreation</w:t>
            </w:r>
            <w:r>
              <w:t xml:space="preserve"> (</w:t>
            </w:r>
            <w:r w:rsidRPr="00E869D9">
              <w:t>Angel Island State Park</w:t>
            </w:r>
            <w:r>
              <w:t>)</w:t>
            </w:r>
          </w:p>
        </w:tc>
        <w:tc>
          <w:tcPr>
            <w:tcW w:w="1659" w:type="dxa"/>
            <w:shd w:val="clear" w:color="auto" w:fill="auto"/>
            <w:vAlign w:val="center"/>
          </w:tcPr>
          <w:p w14:paraId="3B106553" w14:textId="0FC4FD20" w:rsidR="00E869D9" w:rsidRPr="00B55A80" w:rsidRDefault="00E869D9" w:rsidP="004D71EE">
            <w:pPr>
              <w:jc w:val="center"/>
              <w:rPr>
                <w:color w:val="000000"/>
              </w:rPr>
            </w:pPr>
            <w:r>
              <w:rPr>
                <w:color w:val="000000"/>
              </w:rPr>
              <w:t>-</w:t>
            </w:r>
          </w:p>
        </w:tc>
        <w:tc>
          <w:tcPr>
            <w:tcW w:w="2470" w:type="dxa"/>
            <w:shd w:val="clear" w:color="auto" w:fill="auto"/>
            <w:vAlign w:val="center"/>
          </w:tcPr>
          <w:p w14:paraId="7F0BECFA" w14:textId="6A9D1CA2" w:rsidR="00E869D9" w:rsidRPr="00591153" w:rsidRDefault="00E869D9" w:rsidP="004D71EE">
            <w:pPr>
              <w:jc w:val="center"/>
              <w:rPr>
                <w:color w:val="000000"/>
              </w:rPr>
            </w:pPr>
            <w:r>
              <w:rPr>
                <w:color w:val="000000"/>
              </w:rPr>
              <w:t>0013</w:t>
            </w:r>
          </w:p>
        </w:tc>
      </w:tr>
      <w:tr w:rsidR="004D71EE" w:rsidRPr="00B55A80" w14:paraId="44E053E7" w14:textId="77777777" w:rsidTr="004D71EE">
        <w:trPr>
          <w:cantSplit/>
          <w:jc w:val="center"/>
        </w:trPr>
        <w:tc>
          <w:tcPr>
            <w:tcW w:w="3776" w:type="dxa"/>
            <w:shd w:val="clear" w:color="auto" w:fill="auto"/>
          </w:tcPr>
          <w:p w14:paraId="1BCFAA66" w14:textId="77777777" w:rsidR="004D71EE" w:rsidRPr="00B55A80" w:rsidRDefault="004D71EE" w:rsidP="004D71EE">
            <w:pPr>
              <w:rPr>
                <w:rFonts w:eastAsia="Arial Unicode MS"/>
              </w:rPr>
            </w:pPr>
            <w:r w:rsidRPr="00B55A80">
              <w:t>Calistoga, City of</w:t>
            </w:r>
          </w:p>
        </w:tc>
        <w:tc>
          <w:tcPr>
            <w:tcW w:w="1659" w:type="dxa"/>
            <w:shd w:val="clear" w:color="auto" w:fill="auto"/>
            <w:vAlign w:val="center"/>
          </w:tcPr>
          <w:p w14:paraId="08C8D550" w14:textId="77777777" w:rsidR="004D71EE" w:rsidRPr="00B55A80" w:rsidRDefault="004D71EE" w:rsidP="004D71EE">
            <w:pPr>
              <w:jc w:val="center"/>
              <w:rPr>
                <w:color w:val="000000"/>
              </w:rPr>
            </w:pPr>
            <w:r w:rsidRPr="00B55A80">
              <w:rPr>
                <w:color w:val="000000"/>
              </w:rPr>
              <w:t>CA0037966</w:t>
            </w:r>
          </w:p>
        </w:tc>
        <w:tc>
          <w:tcPr>
            <w:tcW w:w="2470" w:type="dxa"/>
            <w:shd w:val="clear" w:color="auto" w:fill="auto"/>
            <w:vAlign w:val="center"/>
          </w:tcPr>
          <w:p w14:paraId="1BAC11C4" w14:textId="579F3A85" w:rsidR="004D71EE" w:rsidRPr="00B55A80" w:rsidRDefault="004D71EE" w:rsidP="004D71EE">
            <w:pPr>
              <w:jc w:val="center"/>
              <w:rPr>
                <w:color w:val="000000"/>
              </w:rPr>
            </w:pPr>
            <w:r w:rsidRPr="00591153">
              <w:rPr>
                <w:color w:val="000000"/>
              </w:rPr>
              <w:t>0.016</w:t>
            </w:r>
          </w:p>
        </w:tc>
      </w:tr>
      <w:tr w:rsidR="004D71EE" w:rsidRPr="00B55A80" w14:paraId="6CDA8AC3" w14:textId="77777777" w:rsidTr="004D71EE">
        <w:trPr>
          <w:cantSplit/>
          <w:jc w:val="center"/>
        </w:trPr>
        <w:tc>
          <w:tcPr>
            <w:tcW w:w="3776" w:type="dxa"/>
            <w:shd w:val="clear" w:color="auto" w:fill="auto"/>
          </w:tcPr>
          <w:p w14:paraId="6CFFAC77" w14:textId="77777777" w:rsidR="004D71EE" w:rsidRPr="00B55A80" w:rsidRDefault="004D71EE" w:rsidP="004D71EE">
            <w:pPr>
              <w:rPr>
                <w:rFonts w:eastAsia="Arial Unicode MS"/>
              </w:rPr>
            </w:pPr>
            <w:r w:rsidRPr="00B55A80">
              <w:t>Central Contra Costa Sanitary District</w:t>
            </w:r>
          </w:p>
        </w:tc>
        <w:tc>
          <w:tcPr>
            <w:tcW w:w="1659" w:type="dxa"/>
            <w:shd w:val="clear" w:color="auto" w:fill="auto"/>
            <w:vAlign w:val="center"/>
          </w:tcPr>
          <w:p w14:paraId="2788527C" w14:textId="77777777" w:rsidR="004D71EE" w:rsidRPr="00B55A80" w:rsidRDefault="004D71EE" w:rsidP="004D71EE">
            <w:pPr>
              <w:jc w:val="center"/>
              <w:rPr>
                <w:color w:val="000000"/>
              </w:rPr>
            </w:pPr>
            <w:r w:rsidRPr="00B55A80">
              <w:rPr>
                <w:color w:val="000000"/>
              </w:rPr>
              <w:t>CA0037648</w:t>
            </w:r>
          </w:p>
        </w:tc>
        <w:tc>
          <w:tcPr>
            <w:tcW w:w="2470" w:type="dxa"/>
            <w:shd w:val="clear" w:color="auto" w:fill="auto"/>
            <w:vAlign w:val="center"/>
          </w:tcPr>
          <w:p w14:paraId="33D11F43" w14:textId="77A3D29C" w:rsidR="004D71EE" w:rsidRPr="00B55A80" w:rsidRDefault="004D71EE" w:rsidP="004D71EE">
            <w:pPr>
              <w:jc w:val="center"/>
              <w:rPr>
                <w:color w:val="000000"/>
              </w:rPr>
            </w:pPr>
            <w:r w:rsidRPr="00591153">
              <w:rPr>
                <w:color w:val="000000"/>
              </w:rPr>
              <w:t>1.3</w:t>
            </w:r>
          </w:p>
        </w:tc>
      </w:tr>
      <w:tr w:rsidR="004D71EE" w:rsidRPr="00B55A80" w14:paraId="594EFB99" w14:textId="77777777" w:rsidTr="004D71EE">
        <w:trPr>
          <w:cantSplit/>
          <w:jc w:val="center"/>
        </w:trPr>
        <w:tc>
          <w:tcPr>
            <w:tcW w:w="3776" w:type="dxa"/>
            <w:shd w:val="clear" w:color="auto" w:fill="auto"/>
          </w:tcPr>
          <w:p w14:paraId="170A3CB3" w14:textId="77777777" w:rsidR="004D71EE" w:rsidRPr="00B55A80" w:rsidRDefault="004D71EE" w:rsidP="004D71EE">
            <w:pPr>
              <w:rPr>
                <w:rFonts w:eastAsia="Arial Unicode MS"/>
              </w:rPr>
            </w:pPr>
            <w:r w:rsidRPr="00B55A80">
              <w:t>Central Marin Sanitation Agency</w:t>
            </w:r>
          </w:p>
        </w:tc>
        <w:tc>
          <w:tcPr>
            <w:tcW w:w="1659" w:type="dxa"/>
            <w:shd w:val="clear" w:color="auto" w:fill="auto"/>
            <w:vAlign w:val="center"/>
          </w:tcPr>
          <w:p w14:paraId="7EC75B31" w14:textId="77777777" w:rsidR="004D71EE" w:rsidRPr="00B55A80" w:rsidRDefault="004D71EE" w:rsidP="004D71EE">
            <w:pPr>
              <w:jc w:val="center"/>
              <w:rPr>
                <w:color w:val="000000"/>
              </w:rPr>
            </w:pPr>
            <w:r w:rsidRPr="00B55A80">
              <w:rPr>
                <w:color w:val="000000"/>
              </w:rPr>
              <w:t>CA0038628</w:t>
            </w:r>
          </w:p>
        </w:tc>
        <w:tc>
          <w:tcPr>
            <w:tcW w:w="2470" w:type="dxa"/>
            <w:shd w:val="clear" w:color="auto" w:fill="auto"/>
            <w:vAlign w:val="center"/>
          </w:tcPr>
          <w:p w14:paraId="41026189" w14:textId="6A300912" w:rsidR="004D71EE" w:rsidRPr="00B55A80" w:rsidRDefault="004D71EE" w:rsidP="004D71EE">
            <w:pPr>
              <w:jc w:val="center"/>
              <w:rPr>
                <w:color w:val="000000"/>
              </w:rPr>
            </w:pPr>
            <w:r w:rsidRPr="00591153">
              <w:rPr>
                <w:color w:val="000000"/>
              </w:rPr>
              <w:t>0.11</w:t>
            </w:r>
          </w:p>
        </w:tc>
      </w:tr>
      <w:tr w:rsidR="004D71EE" w:rsidRPr="00B55A80" w14:paraId="13D788D7" w14:textId="77777777" w:rsidTr="004D71EE">
        <w:trPr>
          <w:cantSplit/>
          <w:jc w:val="center"/>
        </w:trPr>
        <w:tc>
          <w:tcPr>
            <w:tcW w:w="3776" w:type="dxa"/>
            <w:shd w:val="clear" w:color="auto" w:fill="auto"/>
            <w:vAlign w:val="center"/>
          </w:tcPr>
          <w:p w14:paraId="461703FC" w14:textId="77777777" w:rsidR="004D71EE" w:rsidRPr="00B55A80" w:rsidRDefault="004D71EE" w:rsidP="004D71EE">
            <w:r w:rsidRPr="00B55A80">
              <w:t>Crockett Community Services District, Port Costa Sanitary Dept.</w:t>
            </w:r>
          </w:p>
        </w:tc>
        <w:tc>
          <w:tcPr>
            <w:tcW w:w="1659" w:type="dxa"/>
            <w:shd w:val="clear" w:color="auto" w:fill="auto"/>
            <w:vAlign w:val="center"/>
          </w:tcPr>
          <w:p w14:paraId="7C00A77F" w14:textId="77777777" w:rsidR="004D71EE" w:rsidRPr="00B55A80" w:rsidRDefault="004D71EE" w:rsidP="004D71EE">
            <w:pPr>
              <w:jc w:val="center"/>
              <w:rPr>
                <w:color w:val="000000"/>
              </w:rPr>
            </w:pPr>
            <w:r w:rsidRPr="00B55A80">
              <w:rPr>
                <w:color w:val="000000"/>
              </w:rPr>
              <w:t>CA0037885</w:t>
            </w:r>
          </w:p>
        </w:tc>
        <w:tc>
          <w:tcPr>
            <w:tcW w:w="2470" w:type="dxa"/>
            <w:shd w:val="clear" w:color="auto" w:fill="auto"/>
            <w:vAlign w:val="center"/>
          </w:tcPr>
          <w:p w14:paraId="4026A1E2" w14:textId="51D5E37F" w:rsidR="004D71EE" w:rsidRPr="00B55A80" w:rsidRDefault="004D71EE" w:rsidP="004D71EE">
            <w:pPr>
              <w:jc w:val="center"/>
              <w:rPr>
                <w:color w:val="000000"/>
              </w:rPr>
            </w:pPr>
            <w:r w:rsidRPr="00591153">
              <w:rPr>
                <w:color w:val="000000"/>
              </w:rPr>
              <w:t>0.00072</w:t>
            </w:r>
          </w:p>
        </w:tc>
      </w:tr>
      <w:tr w:rsidR="004D71EE" w:rsidRPr="00B55A80" w14:paraId="1E2C1EDB" w14:textId="77777777" w:rsidTr="004D71EE">
        <w:trPr>
          <w:cantSplit/>
          <w:jc w:val="center"/>
        </w:trPr>
        <w:tc>
          <w:tcPr>
            <w:tcW w:w="3776" w:type="dxa"/>
            <w:shd w:val="clear" w:color="auto" w:fill="auto"/>
          </w:tcPr>
          <w:p w14:paraId="4EA95527" w14:textId="77777777" w:rsidR="004D71EE" w:rsidRPr="00B55A80" w:rsidRDefault="004D71EE" w:rsidP="004D71EE">
            <w:pPr>
              <w:rPr>
                <w:rFonts w:eastAsia="Arial Unicode MS"/>
              </w:rPr>
            </w:pPr>
            <w:r w:rsidRPr="00B55A80">
              <w:t>Delta Diablo Sanitation District</w:t>
            </w:r>
          </w:p>
        </w:tc>
        <w:tc>
          <w:tcPr>
            <w:tcW w:w="1659" w:type="dxa"/>
            <w:shd w:val="clear" w:color="auto" w:fill="auto"/>
            <w:vAlign w:val="center"/>
          </w:tcPr>
          <w:p w14:paraId="5134AA16" w14:textId="77777777" w:rsidR="004D71EE" w:rsidRPr="00B55A80" w:rsidRDefault="004D71EE" w:rsidP="004D71EE">
            <w:pPr>
              <w:jc w:val="center"/>
              <w:rPr>
                <w:color w:val="000000"/>
              </w:rPr>
            </w:pPr>
            <w:r w:rsidRPr="00B55A80">
              <w:rPr>
                <w:color w:val="000000"/>
              </w:rPr>
              <w:t>CA0038547</w:t>
            </w:r>
          </w:p>
        </w:tc>
        <w:tc>
          <w:tcPr>
            <w:tcW w:w="2470" w:type="dxa"/>
            <w:shd w:val="clear" w:color="auto" w:fill="auto"/>
            <w:vAlign w:val="center"/>
          </w:tcPr>
          <w:p w14:paraId="6C6DDD90" w14:textId="38A1D5C2" w:rsidR="004D71EE" w:rsidRPr="00B55A80" w:rsidRDefault="004D71EE" w:rsidP="004D71EE">
            <w:pPr>
              <w:jc w:val="center"/>
              <w:rPr>
                <w:color w:val="000000"/>
              </w:rPr>
            </w:pPr>
            <w:r w:rsidRPr="00591153">
              <w:rPr>
                <w:color w:val="000000"/>
              </w:rPr>
              <w:t>0.19</w:t>
            </w:r>
          </w:p>
        </w:tc>
      </w:tr>
      <w:tr w:rsidR="004D71EE" w:rsidRPr="00B55A80" w14:paraId="3EC53F79" w14:textId="77777777" w:rsidTr="004D71EE">
        <w:trPr>
          <w:cantSplit/>
          <w:jc w:val="center"/>
        </w:trPr>
        <w:tc>
          <w:tcPr>
            <w:tcW w:w="3776" w:type="dxa"/>
            <w:shd w:val="clear" w:color="auto" w:fill="auto"/>
          </w:tcPr>
          <w:p w14:paraId="1DA86EEF" w14:textId="77777777" w:rsidR="004D71EE" w:rsidRPr="00B55A80" w:rsidRDefault="004D71EE" w:rsidP="004D71EE">
            <w:r w:rsidRPr="00B55A80">
              <w:lastRenderedPageBreak/>
              <w:t>East Bay Dischargers Authority</w:t>
            </w:r>
          </w:p>
        </w:tc>
        <w:tc>
          <w:tcPr>
            <w:tcW w:w="1659" w:type="dxa"/>
            <w:shd w:val="clear" w:color="auto" w:fill="auto"/>
            <w:vAlign w:val="center"/>
          </w:tcPr>
          <w:p w14:paraId="61B48337" w14:textId="77777777" w:rsidR="004D71EE" w:rsidRPr="00B55A80" w:rsidRDefault="004D71EE" w:rsidP="004D71EE">
            <w:pPr>
              <w:jc w:val="center"/>
              <w:rPr>
                <w:color w:val="000000"/>
              </w:rPr>
            </w:pPr>
            <w:r w:rsidRPr="00B55A80">
              <w:rPr>
                <w:color w:val="000000"/>
              </w:rPr>
              <w:t>CA0037869</w:t>
            </w:r>
          </w:p>
        </w:tc>
        <w:tc>
          <w:tcPr>
            <w:tcW w:w="2470" w:type="dxa"/>
            <w:vMerge w:val="restart"/>
            <w:shd w:val="clear" w:color="auto" w:fill="auto"/>
            <w:vAlign w:val="center"/>
          </w:tcPr>
          <w:p w14:paraId="651ABE41" w14:textId="0531236F" w:rsidR="004D71EE" w:rsidRPr="00B55A80" w:rsidRDefault="004D71EE" w:rsidP="004167A5">
            <w:pPr>
              <w:jc w:val="center"/>
              <w:rPr>
                <w:color w:val="000000"/>
              </w:rPr>
            </w:pPr>
            <w:r w:rsidRPr="00591153">
              <w:rPr>
                <w:color w:val="000000"/>
              </w:rPr>
              <w:t>2.2</w:t>
            </w:r>
          </w:p>
        </w:tc>
      </w:tr>
      <w:tr w:rsidR="004D71EE" w:rsidRPr="00B55A80" w14:paraId="0FA034EA" w14:textId="77777777" w:rsidTr="004D71EE">
        <w:trPr>
          <w:cantSplit/>
          <w:trHeight w:val="224"/>
          <w:jc w:val="center"/>
        </w:trPr>
        <w:tc>
          <w:tcPr>
            <w:tcW w:w="3776" w:type="dxa"/>
            <w:shd w:val="clear" w:color="auto" w:fill="auto"/>
          </w:tcPr>
          <w:p w14:paraId="3020D428" w14:textId="77777777" w:rsidR="004D71EE" w:rsidRPr="00B55A80" w:rsidRDefault="004D71EE" w:rsidP="004D71EE">
            <w:r w:rsidRPr="00B55A80">
              <w:t xml:space="preserve">   Union S.D. Wet Weather Outfall</w:t>
            </w:r>
          </w:p>
        </w:tc>
        <w:tc>
          <w:tcPr>
            <w:tcW w:w="1659" w:type="dxa"/>
            <w:shd w:val="clear" w:color="auto" w:fill="auto"/>
            <w:vAlign w:val="center"/>
          </w:tcPr>
          <w:p w14:paraId="7677DC24" w14:textId="77777777" w:rsidR="004D71EE" w:rsidRPr="00B55A80" w:rsidRDefault="004D71EE" w:rsidP="004D71EE">
            <w:pPr>
              <w:jc w:val="center"/>
              <w:rPr>
                <w:color w:val="000000"/>
              </w:rPr>
            </w:pPr>
            <w:r w:rsidRPr="00B55A80">
              <w:rPr>
                <w:bCs/>
                <w:color w:val="000000"/>
              </w:rPr>
              <w:t>CA0038733</w:t>
            </w:r>
          </w:p>
        </w:tc>
        <w:tc>
          <w:tcPr>
            <w:tcW w:w="2470" w:type="dxa"/>
            <w:vMerge/>
            <w:shd w:val="clear" w:color="auto" w:fill="auto"/>
            <w:vAlign w:val="center"/>
          </w:tcPr>
          <w:p w14:paraId="6F455A92" w14:textId="474A619D" w:rsidR="004D71EE" w:rsidRPr="00B55A80" w:rsidRDefault="004D71EE" w:rsidP="004D71EE">
            <w:pPr>
              <w:jc w:val="center"/>
              <w:rPr>
                <w:color w:val="000000"/>
              </w:rPr>
            </w:pPr>
          </w:p>
        </w:tc>
      </w:tr>
      <w:tr w:rsidR="004D71EE" w:rsidRPr="00B55A80" w14:paraId="69356280" w14:textId="77777777" w:rsidTr="004D71EE">
        <w:trPr>
          <w:cantSplit/>
          <w:jc w:val="center"/>
        </w:trPr>
        <w:tc>
          <w:tcPr>
            <w:tcW w:w="3776" w:type="dxa"/>
            <w:shd w:val="clear" w:color="auto" w:fill="auto"/>
          </w:tcPr>
          <w:p w14:paraId="101AAE55" w14:textId="77777777" w:rsidR="004D71EE" w:rsidRPr="00B55A80" w:rsidRDefault="004D71EE" w:rsidP="004D71EE">
            <w:r w:rsidRPr="00B55A80">
              <w:t xml:space="preserve">   Union S.D. Hayward Marsh</w:t>
            </w:r>
          </w:p>
        </w:tc>
        <w:tc>
          <w:tcPr>
            <w:tcW w:w="1659" w:type="dxa"/>
            <w:shd w:val="clear" w:color="auto" w:fill="auto"/>
            <w:vAlign w:val="center"/>
          </w:tcPr>
          <w:p w14:paraId="6A9EA4A1" w14:textId="77777777" w:rsidR="004D71EE" w:rsidRPr="00B55A80" w:rsidRDefault="004D71EE" w:rsidP="004D71EE">
            <w:pPr>
              <w:jc w:val="center"/>
              <w:rPr>
                <w:color w:val="000000"/>
              </w:rPr>
            </w:pPr>
            <w:r w:rsidRPr="00B55A80">
              <w:rPr>
                <w:color w:val="000000"/>
              </w:rPr>
              <w:t>CA0038636</w:t>
            </w:r>
          </w:p>
        </w:tc>
        <w:tc>
          <w:tcPr>
            <w:tcW w:w="2470" w:type="dxa"/>
            <w:vMerge/>
            <w:shd w:val="clear" w:color="auto" w:fill="auto"/>
            <w:vAlign w:val="center"/>
          </w:tcPr>
          <w:p w14:paraId="631EA5B4" w14:textId="2C44CA73" w:rsidR="004D71EE" w:rsidRPr="00B55A80" w:rsidRDefault="004D71EE" w:rsidP="004D71EE">
            <w:pPr>
              <w:jc w:val="center"/>
              <w:rPr>
                <w:color w:val="000000"/>
              </w:rPr>
            </w:pPr>
          </w:p>
        </w:tc>
      </w:tr>
      <w:tr w:rsidR="004D71EE" w:rsidRPr="00B55A80" w14:paraId="7D08E805" w14:textId="77777777" w:rsidTr="004D71EE">
        <w:trPr>
          <w:cantSplit/>
          <w:jc w:val="center"/>
        </w:trPr>
        <w:tc>
          <w:tcPr>
            <w:tcW w:w="3776" w:type="dxa"/>
            <w:shd w:val="clear" w:color="auto" w:fill="auto"/>
          </w:tcPr>
          <w:p w14:paraId="4010C867" w14:textId="77777777" w:rsidR="004D71EE" w:rsidRPr="00B55A80" w:rsidRDefault="004D71EE" w:rsidP="004D71EE">
            <w:r w:rsidRPr="00B55A80">
              <w:t xml:space="preserve">   Dublin San Ramon Services District</w:t>
            </w:r>
          </w:p>
        </w:tc>
        <w:tc>
          <w:tcPr>
            <w:tcW w:w="1659" w:type="dxa"/>
            <w:shd w:val="clear" w:color="auto" w:fill="auto"/>
            <w:vAlign w:val="center"/>
          </w:tcPr>
          <w:p w14:paraId="5EE4F394" w14:textId="77777777" w:rsidR="004D71EE" w:rsidRPr="00B55A80" w:rsidRDefault="004D71EE" w:rsidP="004D71EE">
            <w:pPr>
              <w:jc w:val="center"/>
              <w:rPr>
                <w:color w:val="000000"/>
              </w:rPr>
            </w:pPr>
            <w:r w:rsidRPr="00B55A80">
              <w:rPr>
                <w:color w:val="000000"/>
              </w:rPr>
              <w:t>CA0037613</w:t>
            </w:r>
          </w:p>
        </w:tc>
        <w:tc>
          <w:tcPr>
            <w:tcW w:w="2470" w:type="dxa"/>
            <w:vMerge/>
            <w:shd w:val="clear" w:color="auto" w:fill="auto"/>
            <w:vAlign w:val="center"/>
          </w:tcPr>
          <w:p w14:paraId="10615EA4" w14:textId="72C68A7E" w:rsidR="004D71EE" w:rsidRPr="00B55A80" w:rsidRDefault="004D71EE" w:rsidP="004D71EE">
            <w:pPr>
              <w:jc w:val="center"/>
              <w:rPr>
                <w:color w:val="000000"/>
              </w:rPr>
            </w:pPr>
          </w:p>
        </w:tc>
      </w:tr>
      <w:tr w:rsidR="004D71EE" w:rsidRPr="00B55A80" w14:paraId="1895E861" w14:textId="77777777" w:rsidTr="004D71EE">
        <w:trPr>
          <w:cantSplit/>
          <w:jc w:val="center"/>
        </w:trPr>
        <w:tc>
          <w:tcPr>
            <w:tcW w:w="3776" w:type="dxa"/>
            <w:shd w:val="clear" w:color="auto" w:fill="auto"/>
          </w:tcPr>
          <w:p w14:paraId="59B9F835" w14:textId="77777777" w:rsidR="004D71EE" w:rsidRPr="00B55A80" w:rsidRDefault="004D71EE" w:rsidP="004D71EE">
            <w:r w:rsidRPr="00B55A80">
              <w:t xml:space="preserve">   City of Livermore</w:t>
            </w:r>
          </w:p>
        </w:tc>
        <w:tc>
          <w:tcPr>
            <w:tcW w:w="1659" w:type="dxa"/>
            <w:shd w:val="clear" w:color="auto" w:fill="auto"/>
            <w:vAlign w:val="center"/>
          </w:tcPr>
          <w:p w14:paraId="4E73F4C7" w14:textId="77777777" w:rsidR="004D71EE" w:rsidRPr="00B55A80" w:rsidRDefault="004D71EE" w:rsidP="004D71EE">
            <w:pPr>
              <w:jc w:val="center"/>
              <w:rPr>
                <w:color w:val="000000"/>
              </w:rPr>
            </w:pPr>
            <w:r w:rsidRPr="00B55A80">
              <w:rPr>
                <w:color w:val="000000"/>
              </w:rPr>
              <w:t>CA0038008</w:t>
            </w:r>
          </w:p>
        </w:tc>
        <w:tc>
          <w:tcPr>
            <w:tcW w:w="2470" w:type="dxa"/>
            <w:vMerge/>
            <w:shd w:val="clear" w:color="auto" w:fill="auto"/>
            <w:vAlign w:val="center"/>
          </w:tcPr>
          <w:p w14:paraId="518242DE" w14:textId="66E789A7" w:rsidR="004D71EE" w:rsidRPr="00B55A80" w:rsidRDefault="004D71EE" w:rsidP="004D71EE">
            <w:pPr>
              <w:jc w:val="center"/>
              <w:rPr>
                <w:color w:val="000000"/>
              </w:rPr>
            </w:pPr>
          </w:p>
        </w:tc>
      </w:tr>
      <w:tr w:rsidR="004D71EE" w:rsidRPr="00B55A80" w14:paraId="2C514522" w14:textId="77777777" w:rsidTr="004D71EE">
        <w:trPr>
          <w:cantSplit/>
          <w:jc w:val="center"/>
        </w:trPr>
        <w:tc>
          <w:tcPr>
            <w:tcW w:w="3776" w:type="dxa"/>
            <w:shd w:val="clear" w:color="auto" w:fill="auto"/>
          </w:tcPr>
          <w:p w14:paraId="4A008025" w14:textId="77777777" w:rsidR="004D71EE" w:rsidRPr="00B55A80" w:rsidRDefault="004D71EE" w:rsidP="004D71EE">
            <w:r w:rsidRPr="00B55A80">
              <w:t xml:space="preserve">   LAVWMA Wet Weather Outfall</w:t>
            </w:r>
          </w:p>
        </w:tc>
        <w:tc>
          <w:tcPr>
            <w:tcW w:w="1659" w:type="dxa"/>
            <w:shd w:val="clear" w:color="auto" w:fill="auto"/>
            <w:vAlign w:val="center"/>
          </w:tcPr>
          <w:p w14:paraId="1040DA0B" w14:textId="77777777" w:rsidR="004D71EE" w:rsidRPr="00B55A80" w:rsidRDefault="004D71EE" w:rsidP="004D71EE">
            <w:pPr>
              <w:jc w:val="center"/>
              <w:rPr>
                <w:color w:val="000000"/>
              </w:rPr>
            </w:pPr>
            <w:r w:rsidRPr="00B55A80">
              <w:rPr>
                <w:color w:val="000000"/>
              </w:rPr>
              <w:t>CA0038679</w:t>
            </w:r>
          </w:p>
        </w:tc>
        <w:tc>
          <w:tcPr>
            <w:tcW w:w="2470" w:type="dxa"/>
            <w:vMerge/>
            <w:shd w:val="clear" w:color="auto" w:fill="auto"/>
            <w:vAlign w:val="center"/>
          </w:tcPr>
          <w:p w14:paraId="22F9A03B" w14:textId="354B29CC" w:rsidR="004D71EE" w:rsidRPr="00B55A80" w:rsidRDefault="004D71EE" w:rsidP="004D71EE">
            <w:pPr>
              <w:jc w:val="center"/>
              <w:rPr>
                <w:color w:val="000000"/>
              </w:rPr>
            </w:pPr>
          </w:p>
        </w:tc>
      </w:tr>
      <w:tr w:rsidR="004D71EE" w:rsidRPr="00B55A80" w14:paraId="438E8672" w14:textId="77777777" w:rsidTr="004D71EE">
        <w:trPr>
          <w:cantSplit/>
          <w:jc w:val="center"/>
        </w:trPr>
        <w:tc>
          <w:tcPr>
            <w:tcW w:w="3776" w:type="dxa"/>
            <w:shd w:val="clear" w:color="auto" w:fill="auto"/>
          </w:tcPr>
          <w:p w14:paraId="44D5E4B2" w14:textId="77777777" w:rsidR="004D71EE" w:rsidRPr="00B55A80" w:rsidRDefault="004D71EE" w:rsidP="004D71EE">
            <w:pPr>
              <w:rPr>
                <w:rFonts w:eastAsia="Arial Unicode MS"/>
                <w:vertAlign w:val="superscript"/>
              </w:rPr>
            </w:pPr>
            <w:r w:rsidRPr="00B55A80">
              <w:t>East Bay Municipal Utility Dis</w:t>
            </w:r>
            <w:r>
              <w:t>trict</w:t>
            </w:r>
          </w:p>
        </w:tc>
        <w:tc>
          <w:tcPr>
            <w:tcW w:w="1659" w:type="dxa"/>
            <w:shd w:val="clear" w:color="auto" w:fill="auto"/>
            <w:vAlign w:val="center"/>
          </w:tcPr>
          <w:p w14:paraId="5CB3551B" w14:textId="77777777" w:rsidR="004D71EE" w:rsidRPr="00B55A80" w:rsidRDefault="004D71EE" w:rsidP="004D71EE">
            <w:pPr>
              <w:jc w:val="center"/>
              <w:rPr>
                <w:color w:val="000000"/>
              </w:rPr>
            </w:pPr>
            <w:r w:rsidRPr="00B55A80">
              <w:rPr>
                <w:color w:val="000000"/>
              </w:rPr>
              <w:t>CA0037702</w:t>
            </w:r>
          </w:p>
        </w:tc>
        <w:tc>
          <w:tcPr>
            <w:tcW w:w="2470" w:type="dxa"/>
            <w:shd w:val="clear" w:color="auto" w:fill="auto"/>
            <w:vAlign w:val="center"/>
          </w:tcPr>
          <w:p w14:paraId="66D4E1D8" w14:textId="20DEC052" w:rsidR="004D71EE" w:rsidRPr="00B55A80" w:rsidRDefault="004D71EE" w:rsidP="004D71EE">
            <w:pPr>
              <w:jc w:val="center"/>
              <w:rPr>
                <w:color w:val="000000"/>
              </w:rPr>
            </w:pPr>
            <w:r w:rsidRPr="00591153">
              <w:rPr>
                <w:color w:val="000000"/>
              </w:rPr>
              <w:t>1.5</w:t>
            </w:r>
          </w:p>
        </w:tc>
      </w:tr>
      <w:tr w:rsidR="004D71EE" w:rsidRPr="00B55A80" w14:paraId="56A91736" w14:textId="77777777" w:rsidTr="004D71EE">
        <w:trPr>
          <w:cantSplit/>
          <w:jc w:val="center"/>
        </w:trPr>
        <w:tc>
          <w:tcPr>
            <w:tcW w:w="3776" w:type="dxa"/>
            <w:shd w:val="clear" w:color="auto" w:fill="auto"/>
          </w:tcPr>
          <w:p w14:paraId="4DC8A93E" w14:textId="77777777" w:rsidR="004D71EE" w:rsidRPr="00B55A80" w:rsidRDefault="004D71EE" w:rsidP="004D71EE">
            <w:pPr>
              <w:rPr>
                <w:rFonts w:eastAsia="Arial Unicode MS"/>
              </w:rPr>
            </w:pPr>
            <w:r w:rsidRPr="00B55A80">
              <w:t>Fairfield-Suisun Sewer District</w:t>
            </w:r>
          </w:p>
        </w:tc>
        <w:tc>
          <w:tcPr>
            <w:tcW w:w="1659" w:type="dxa"/>
            <w:shd w:val="clear" w:color="auto" w:fill="auto"/>
            <w:vAlign w:val="center"/>
          </w:tcPr>
          <w:p w14:paraId="26118398" w14:textId="77777777" w:rsidR="004D71EE" w:rsidRPr="00B55A80" w:rsidRDefault="004D71EE" w:rsidP="004D71EE">
            <w:pPr>
              <w:jc w:val="center"/>
              <w:rPr>
                <w:color w:val="000000"/>
              </w:rPr>
            </w:pPr>
            <w:r w:rsidRPr="00B55A80">
              <w:rPr>
                <w:color w:val="000000"/>
              </w:rPr>
              <w:t>CA0038024</w:t>
            </w:r>
          </w:p>
        </w:tc>
        <w:tc>
          <w:tcPr>
            <w:tcW w:w="2470" w:type="dxa"/>
            <w:shd w:val="clear" w:color="auto" w:fill="auto"/>
            <w:vAlign w:val="center"/>
          </w:tcPr>
          <w:p w14:paraId="08F2306B" w14:textId="2D96D1C5" w:rsidR="004D71EE" w:rsidRPr="00B55A80" w:rsidRDefault="004D71EE" w:rsidP="004D71EE">
            <w:pPr>
              <w:jc w:val="center"/>
              <w:rPr>
                <w:color w:val="000000"/>
              </w:rPr>
            </w:pPr>
            <w:r w:rsidRPr="00591153">
              <w:rPr>
                <w:color w:val="000000"/>
              </w:rPr>
              <w:t>0.17</w:t>
            </w:r>
          </w:p>
        </w:tc>
      </w:tr>
      <w:tr w:rsidR="004D71EE" w:rsidRPr="00B55A80" w14:paraId="5EFE2382" w14:textId="77777777" w:rsidTr="004D71EE">
        <w:trPr>
          <w:cantSplit/>
          <w:jc w:val="center"/>
        </w:trPr>
        <w:tc>
          <w:tcPr>
            <w:tcW w:w="3776" w:type="dxa"/>
            <w:shd w:val="clear" w:color="auto" w:fill="auto"/>
          </w:tcPr>
          <w:p w14:paraId="2FEC4C4F" w14:textId="77777777" w:rsidR="004D71EE" w:rsidRPr="00B55A80" w:rsidRDefault="004D71EE" w:rsidP="004D71EE">
            <w:pPr>
              <w:tabs>
                <w:tab w:val="left" w:pos="459"/>
              </w:tabs>
              <w:rPr>
                <w:rFonts w:eastAsia="Arial Unicode MS"/>
              </w:rPr>
            </w:pPr>
            <w:r w:rsidRPr="00B55A80">
              <w:t>Las Gallinas Valley Sanitary District</w:t>
            </w:r>
          </w:p>
        </w:tc>
        <w:tc>
          <w:tcPr>
            <w:tcW w:w="1659" w:type="dxa"/>
            <w:shd w:val="clear" w:color="auto" w:fill="auto"/>
            <w:vAlign w:val="center"/>
          </w:tcPr>
          <w:p w14:paraId="17383670" w14:textId="77777777" w:rsidR="004D71EE" w:rsidRPr="00B55A80" w:rsidRDefault="004D71EE" w:rsidP="004D71EE">
            <w:pPr>
              <w:jc w:val="center"/>
              <w:rPr>
                <w:color w:val="000000"/>
              </w:rPr>
            </w:pPr>
            <w:r w:rsidRPr="00B55A80">
              <w:rPr>
                <w:color w:val="000000"/>
              </w:rPr>
              <w:t>CA0037851</w:t>
            </w:r>
          </w:p>
        </w:tc>
        <w:tc>
          <w:tcPr>
            <w:tcW w:w="2470" w:type="dxa"/>
            <w:shd w:val="clear" w:color="auto" w:fill="auto"/>
            <w:vAlign w:val="center"/>
          </w:tcPr>
          <w:p w14:paraId="628D21F4" w14:textId="54B41613" w:rsidR="004D71EE" w:rsidRPr="00B55A80" w:rsidRDefault="004D71EE" w:rsidP="004D71EE">
            <w:pPr>
              <w:jc w:val="center"/>
              <w:rPr>
                <w:color w:val="000000"/>
              </w:rPr>
            </w:pPr>
            <w:r w:rsidRPr="00591153">
              <w:rPr>
                <w:color w:val="000000"/>
              </w:rPr>
              <w:t>0.10</w:t>
            </w:r>
          </w:p>
        </w:tc>
      </w:tr>
      <w:tr w:rsidR="004D71EE" w:rsidRPr="00B55A80" w14:paraId="3F262817" w14:textId="77777777" w:rsidTr="004D71EE">
        <w:trPr>
          <w:cantSplit/>
          <w:jc w:val="center"/>
        </w:trPr>
        <w:tc>
          <w:tcPr>
            <w:tcW w:w="3776" w:type="dxa"/>
            <w:shd w:val="clear" w:color="auto" w:fill="auto"/>
          </w:tcPr>
          <w:p w14:paraId="56A50F5D" w14:textId="77777777" w:rsidR="004D71EE" w:rsidRPr="00B55A80" w:rsidRDefault="004D71EE" w:rsidP="004D71EE">
            <w:r w:rsidRPr="00B55A80">
              <w:t>Marin County (Paradise Cove), Sanitary District No. 5 of</w:t>
            </w:r>
          </w:p>
        </w:tc>
        <w:tc>
          <w:tcPr>
            <w:tcW w:w="1659" w:type="dxa"/>
            <w:shd w:val="clear" w:color="auto" w:fill="auto"/>
            <w:vAlign w:val="center"/>
          </w:tcPr>
          <w:p w14:paraId="154B3429" w14:textId="77777777" w:rsidR="004D71EE" w:rsidRPr="00B55A80" w:rsidRDefault="004D71EE" w:rsidP="004D71EE">
            <w:pPr>
              <w:jc w:val="center"/>
              <w:rPr>
                <w:color w:val="000000"/>
              </w:rPr>
            </w:pPr>
            <w:r w:rsidRPr="00B55A80">
              <w:rPr>
                <w:color w:val="000000"/>
              </w:rPr>
              <w:t>CA0037427</w:t>
            </w:r>
          </w:p>
        </w:tc>
        <w:tc>
          <w:tcPr>
            <w:tcW w:w="2470" w:type="dxa"/>
            <w:shd w:val="clear" w:color="auto" w:fill="auto"/>
            <w:vAlign w:val="center"/>
          </w:tcPr>
          <w:p w14:paraId="011CC66A" w14:textId="268CDC6F" w:rsidR="004D71EE" w:rsidRPr="00B55A80" w:rsidRDefault="004D71EE" w:rsidP="004D71EE">
            <w:pPr>
              <w:jc w:val="center"/>
              <w:rPr>
                <w:color w:val="000000"/>
              </w:rPr>
            </w:pPr>
            <w:r w:rsidRPr="00591153">
              <w:rPr>
                <w:color w:val="000000"/>
              </w:rPr>
              <w:t>0.00055</w:t>
            </w:r>
          </w:p>
        </w:tc>
      </w:tr>
      <w:tr w:rsidR="004D71EE" w:rsidRPr="00B55A80" w14:paraId="23C7968D" w14:textId="77777777" w:rsidTr="004D71EE">
        <w:trPr>
          <w:cantSplit/>
          <w:jc w:val="center"/>
        </w:trPr>
        <w:tc>
          <w:tcPr>
            <w:tcW w:w="3776" w:type="dxa"/>
            <w:shd w:val="clear" w:color="auto" w:fill="auto"/>
          </w:tcPr>
          <w:p w14:paraId="35DCD8EA" w14:textId="77777777" w:rsidR="004D71EE" w:rsidRPr="00B55A80" w:rsidRDefault="004D71EE" w:rsidP="004D71EE">
            <w:pPr>
              <w:rPr>
                <w:rFonts w:eastAsia="Arial Unicode MS"/>
              </w:rPr>
            </w:pPr>
            <w:r w:rsidRPr="00B55A80">
              <w:t>Marin County (Tiburon), Sanitary District No. 5 of</w:t>
            </w:r>
          </w:p>
        </w:tc>
        <w:tc>
          <w:tcPr>
            <w:tcW w:w="1659" w:type="dxa"/>
            <w:shd w:val="clear" w:color="auto" w:fill="auto"/>
            <w:vAlign w:val="center"/>
          </w:tcPr>
          <w:p w14:paraId="747A6BAF" w14:textId="77777777" w:rsidR="004D71EE" w:rsidRPr="00B55A80" w:rsidRDefault="004D71EE" w:rsidP="004D71EE">
            <w:pPr>
              <w:jc w:val="center"/>
              <w:rPr>
                <w:color w:val="000000"/>
              </w:rPr>
            </w:pPr>
            <w:r w:rsidRPr="00B55A80">
              <w:rPr>
                <w:color w:val="000000"/>
              </w:rPr>
              <w:t>CA0037753</w:t>
            </w:r>
          </w:p>
        </w:tc>
        <w:tc>
          <w:tcPr>
            <w:tcW w:w="2470" w:type="dxa"/>
            <w:shd w:val="clear" w:color="auto" w:fill="auto"/>
            <w:vAlign w:val="center"/>
          </w:tcPr>
          <w:p w14:paraId="1782213F" w14:textId="3B5B6EC2" w:rsidR="004D71EE" w:rsidRPr="00B55A80" w:rsidRDefault="004D71EE" w:rsidP="004D71EE">
            <w:pPr>
              <w:jc w:val="center"/>
              <w:rPr>
                <w:color w:val="000000"/>
              </w:rPr>
            </w:pPr>
            <w:r w:rsidRPr="00591153">
              <w:rPr>
                <w:color w:val="000000"/>
              </w:rPr>
              <w:t>0.0099</w:t>
            </w:r>
          </w:p>
        </w:tc>
      </w:tr>
      <w:tr w:rsidR="004D71EE" w:rsidRPr="00B55A80" w14:paraId="265937BF" w14:textId="77777777" w:rsidTr="004D71EE">
        <w:trPr>
          <w:cantSplit/>
          <w:jc w:val="center"/>
        </w:trPr>
        <w:tc>
          <w:tcPr>
            <w:tcW w:w="3776" w:type="dxa"/>
            <w:shd w:val="clear" w:color="auto" w:fill="auto"/>
          </w:tcPr>
          <w:p w14:paraId="3AE76A9A" w14:textId="77777777" w:rsidR="004D71EE" w:rsidRPr="00B55A80" w:rsidRDefault="004D71EE" w:rsidP="004D71EE">
            <w:pPr>
              <w:rPr>
                <w:rFonts w:eastAsia="Arial Unicode MS"/>
              </w:rPr>
            </w:pPr>
            <w:r w:rsidRPr="00B55A80">
              <w:t>Millbrae, City of</w:t>
            </w:r>
          </w:p>
        </w:tc>
        <w:tc>
          <w:tcPr>
            <w:tcW w:w="1659" w:type="dxa"/>
            <w:shd w:val="clear" w:color="auto" w:fill="auto"/>
            <w:vAlign w:val="center"/>
          </w:tcPr>
          <w:p w14:paraId="5AF16571" w14:textId="77777777" w:rsidR="004D71EE" w:rsidRPr="00B55A80" w:rsidRDefault="004D71EE" w:rsidP="004D71EE">
            <w:pPr>
              <w:jc w:val="center"/>
              <w:rPr>
                <w:color w:val="000000"/>
              </w:rPr>
            </w:pPr>
            <w:r w:rsidRPr="00B55A80">
              <w:rPr>
                <w:color w:val="000000"/>
              </w:rPr>
              <w:t>CA0037532</w:t>
            </w:r>
          </w:p>
        </w:tc>
        <w:tc>
          <w:tcPr>
            <w:tcW w:w="2470" w:type="dxa"/>
            <w:shd w:val="clear" w:color="auto" w:fill="auto"/>
            <w:vAlign w:val="center"/>
          </w:tcPr>
          <w:p w14:paraId="79CD9589" w14:textId="603B4502" w:rsidR="004D71EE" w:rsidRPr="00B55A80" w:rsidRDefault="004D71EE" w:rsidP="004D71EE">
            <w:pPr>
              <w:jc w:val="center"/>
              <w:rPr>
                <w:color w:val="000000"/>
              </w:rPr>
            </w:pPr>
            <w:r w:rsidRPr="00591153">
              <w:rPr>
                <w:color w:val="000000"/>
              </w:rPr>
              <w:t>0.052</w:t>
            </w:r>
          </w:p>
        </w:tc>
      </w:tr>
      <w:tr w:rsidR="004D71EE" w:rsidRPr="00B55A80" w14:paraId="0E856119" w14:textId="77777777" w:rsidTr="004D71EE">
        <w:trPr>
          <w:cantSplit/>
          <w:jc w:val="center"/>
        </w:trPr>
        <w:tc>
          <w:tcPr>
            <w:tcW w:w="3776" w:type="dxa"/>
            <w:shd w:val="clear" w:color="auto" w:fill="auto"/>
          </w:tcPr>
          <w:p w14:paraId="47BC66E3" w14:textId="77777777" w:rsidR="004D71EE" w:rsidRPr="00B55A80" w:rsidRDefault="004D71EE" w:rsidP="004D71EE">
            <w:pPr>
              <w:rPr>
                <w:rFonts w:eastAsia="Arial Unicode MS"/>
              </w:rPr>
            </w:pPr>
            <w:r w:rsidRPr="00B55A80">
              <w:t>Mt. View Sanitary District</w:t>
            </w:r>
          </w:p>
        </w:tc>
        <w:tc>
          <w:tcPr>
            <w:tcW w:w="1659" w:type="dxa"/>
            <w:shd w:val="clear" w:color="auto" w:fill="auto"/>
            <w:vAlign w:val="center"/>
          </w:tcPr>
          <w:p w14:paraId="21C3FDC4" w14:textId="77777777" w:rsidR="004D71EE" w:rsidRPr="00B55A80" w:rsidRDefault="004D71EE" w:rsidP="004D71EE">
            <w:pPr>
              <w:jc w:val="center"/>
              <w:rPr>
                <w:color w:val="000000"/>
              </w:rPr>
            </w:pPr>
            <w:r w:rsidRPr="00B55A80">
              <w:rPr>
                <w:color w:val="000000"/>
              </w:rPr>
              <w:t>CA0037770</w:t>
            </w:r>
          </w:p>
        </w:tc>
        <w:tc>
          <w:tcPr>
            <w:tcW w:w="2470" w:type="dxa"/>
            <w:shd w:val="clear" w:color="auto" w:fill="auto"/>
            <w:vAlign w:val="center"/>
          </w:tcPr>
          <w:p w14:paraId="76EAFFDF" w14:textId="31885F00" w:rsidR="004D71EE" w:rsidRPr="00B55A80" w:rsidRDefault="004D71EE" w:rsidP="004D71EE">
            <w:pPr>
              <w:jc w:val="center"/>
              <w:rPr>
                <w:color w:val="000000"/>
              </w:rPr>
            </w:pPr>
            <w:r w:rsidRPr="00591153">
              <w:rPr>
                <w:color w:val="000000"/>
              </w:rPr>
              <w:t>0.034</w:t>
            </w:r>
          </w:p>
        </w:tc>
      </w:tr>
      <w:tr w:rsidR="004D71EE" w:rsidRPr="00B55A80" w14:paraId="144522EC" w14:textId="77777777" w:rsidTr="004D71EE">
        <w:trPr>
          <w:cantSplit/>
          <w:jc w:val="center"/>
        </w:trPr>
        <w:tc>
          <w:tcPr>
            <w:tcW w:w="3776" w:type="dxa"/>
            <w:shd w:val="clear" w:color="auto" w:fill="auto"/>
          </w:tcPr>
          <w:p w14:paraId="2DEABA59" w14:textId="77777777" w:rsidR="004D71EE" w:rsidRPr="00B55A80" w:rsidRDefault="004D71EE" w:rsidP="004D71EE">
            <w:pPr>
              <w:rPr>
                <w:rFonts w:eastAsia="Arial Unicode MS"/>
              </w:rPr>
            </w:pPr>
            <w:r w:rsidRPr="00B55A80">
              <w:t>Napa Sanitation District</w:t>
            </w:r>
          </w:p>
        </w:tc>
        <w:tc>
          <w:tcPr>
            <w:tcW w:w="1659" w:type="dxa"/>
            <w:shd w:val="clear" w:color="auto" w:fill="auto"/>
            <w:vAlign w:val="center"/>
          </w:tcPr>
          <w:p w14:paraId="20FBC000" w14:textId="77777777" w:rsidR="004D71EE" w:rsidRPr="00B55A80" w:rsidRDefault="004D71EE" w:rsidP="004D71EE">
            <w:pPr>
              <w:jc w:val="center"/>
              <w:rPr>
                <w:color w:val="000000"/>
              </w:rPr>
            </w:pPr>
            <w:r w:rsidRPr="00B55A80">
              <w:rPr>
                <w:color w:val="000000"/>
              </w:rPr>
              <w:t>CA0037575</w:t>
            </w:r>
          </w:p>
        </w:tc>
        <w:tc>
          <w:tcPr>
            <w:tcW w:w="2470" w:type="dxa"/>
            <w:shd w:val="clear" w:color="auto" w:fill="auto"/>
            <w:vAlign w:val="center"/>
          </w:tcPr>
          <w:p w14:paraId="75018767" w14:textId="473B58B2" w:rsidR="004D71EE" w:rsidRPr="00B55A80" w:rsidRDefault="004D71EE" w:rsidP="004D71EE">
            <w:pPr>
              <w:jc w:val="center"/>
              <w:rPr>
                <w:color w:val="000000"/>
              </w:rPr>
            </w:pPr>
            <w:r w:rsidRPr="00591153">
              <w:rPr>
                <w:color w:val="000000"/>
              </w:rPr>
              <w:t>0.17</w:t>
            </w:r>
          </w:p>
        </w:tc>
      </w:tr>
      <w:tr w:rsidR="004D71EE" w:rsidRPr="00B55A80" w14:paraId="18CB0799" w14:textId="77777777" w:rsidTr="004D71EE">
        <w:trPr>
          <w:cantSplit/>
          <w:jc w:val="center"/>
        </w:trPr>
        <w:tc>
          <w:tcPr>
            <w:tcW w:w="3776" w:type="dxa"/>
            <w:shd w:val="clear" w:color="auto" w:fill="auto"/>
          </w:tcPr>
          <w:p w14:paraId="3B597374" w14:textId="77777777" w:rsidR="004D71EE" w:rsidRPr="00B55A80" w:rsidRDefault="004D71EE" w:rsidP="004D71EE">
            <w:pPr>
              <w:rPr>
                <w:rFonts w:eastAsia="Arial Unicode MS"/>
              </w:rPr>
            </w:pPr>
            <w:r w:rsidRPr="00B55A80">
              <w:t>Novato Sanitary District</w:t>
            </w:r>
          </w:p>
        </w:tc>
        <w:tc>
          <w:tcPr>
            <w:tcW w:w="1659" w:type="dxa"/>
            <w:shd w:val="clear" w:color="auto" w:fill="auto"/>
            <w:vAlign w:val="center"/>
          </w:tcPr>
          <w:p w14:paraId="71AEFA0F" w14:textId="77777777" w:rsidR="004D71EE" w:rsidRPr="00B55A80" w:rsidRDefault="004D71EE" w:rsidP="004D71EE">
            <w:pPr>
              <w:jc w:val="center"/>
              <w:rPr>
                <w:color w:val="000000"/>
              </w:rPr>
            </w:pPr>
            <w:r w:rsidRPr="00B55A80">
              <w:rPr>
                <w:color w:val="000000"/>
              </w:rPr>
              <w:t>CA0037958</w:t>
            </w:r>
          </w:p>
        </w:tc>
        <w:tc>
          <w:tcPr>
            <w:tcW w:w="2470" w:type="dxa"/>
            <w:shd w:val="clear" w:color="auto" w:fill="auto"/>
            <w:vAlign w:val="center"/>
          </w:tcPr>
          <w:p w14:paraId="60BC183E" w14:textId="3BE46D0E" w:rsidR="004D71EE" w:rsidRPr="00B55A80" w:rsidRDefault="004D71EE" w:rsidP="004D71EE">
            <w:pPr>
              <w:jc w:val="center"/>
              <w:rPr>
                <w:color w:val="000000"/>
              </w:rPr>
            </w:pPr>
            <w:r w:rsidRPr="00591153">
              <w:rPr>
                <w:color w:val="000000"/>
              </w:rPr>
              <w:t>0.079</w:t>
            </w:r>
          </w:p>
        </w:tc>
      </w:tr>
      <w:tr w:rsidR="004D71EE" w:rsidRPr="00B55A80" w14:paraId="772C8DC2" w14:textId="77777777" w:rsidTr="004D71EE">
        <w:trPr>
          <w:cantSplit/>
          <w:jc w:val="center"/>
        </w:trPr>
        <w:tc>
          <w:tcPr>
            <w:tcW w:w="3776" w:type="dxa"/>
            <w:shd w:val="clear" w:color="auto" w:fill="auto"/>
          </w:tcPr>
          <w:p w14:paraId="3FEF41CA" w14:textId="77777777" w:rsidR="004D71EE" w:rsidRPr="00B55A80" w:rsidRDefault="004D71EE" w:rsidP="004D71EE">
            <w:pPr>
              <w:rPr>
                <w:rFonts w:eastAsia="Arial Unicode MS"/>
              </w:rPr>
            </w:pPr>
            <w:r w:rsidRPr="00B55A80">
              <w:t>Palo Alto, City of</w:t>
            </w:r>
          </w:p>
        </w:tc>
        <w:tc>
          <w:tcPr>
            <w:tcW w:w="1659" w:type="dxa"/>
            <w:shd w:val="clear" w:color="auto" w:fill="auto"/>
            <w:vAlign w:val="center"/>
          </w:tcPr>
          <w:p w14:paraId="58BBA79E" w14:textId="77777777" w:rsidR="004D71EE" w:rsidRPr="00B55A80" w:rsidRDefault="004D71EE" w:rsidP="004D71EE">
            <w:pPr>
              <w:jc w:val="center"/>
              <w:rPr>
                <w:color w:val="000000"/>
              </w:rPr>
            </w:pPr>
            <w:r w:rsidRPr="00B55A80">
              <w:rPr>
                <w:color w:val="000000"/>
              </w:rPr>
              <w:t>CA0037834</w:t>
            </w:r>
          </w:p>
        </w:tc>
        <w:tc>
          <w:tcPr>
            <w:tcW w:w="2470" w:type="dxa"/>
            <w:shd w:val="clear" w:color="auto" w:fill="auto"/>
            <w:vAlign w:val="center"/>
          </w:tcPr>
          <w:p w14:paraId="321A2BF2" w14:textId="22043B50" w:rsidR="004D71EE" w:rsidRPr="00B55A80" w:rsidRDefault="004D71EE" w:rsidP="004D71EE">
            <w:pPr>
              <w:jc w:val="center"/>
              <w:rPr>
                <w:color w:val="000000"/>
              </w:rPr>
            </w:pPr>
            <w:r w:rsidRPr="00591153">
              <w:rPr>
                <w:color w:val="000000"/>
              </w:rPr>
              <w:t>0.31</w:t>
            </w:r>
          </w:p>
        </w:tc>
      </w:tr>
      <w:tr w:rsidR="004D71EE" w:rsidRPr="00B55A80" w14:paraId="1BD05F28" w14:textId="77777777" w:rsidTr="004D71EE">
        <w:trPr>
          <w:cantSplit/>
          <w:jc w:val="center"/>
        </w:trPr>
        <w:tc>
          <w:tcPr>
            <w:tcW w:w="3776" w:type="dxa"/>
            <w:shd w:val="clear" w:color="auto" w:fill="auto"/>
          </w:tcPr>
          <w:p w14:paraId="03473282" w14:textId="77777777" w:rsidR="004D71EE" w:rsidRPr="00B55A80" w:rsidRDefault="004D71EE" w:rsidP="004D71EE">
            <w:pPr>
              <w:rPr>
                <w:rFonts w:eastAsia="Arial Unicode MS"/>
              </w:rPr>
            </w:pPr>
            <w:r w:rsidRPr="00B55A80">
              <w:t>Petaluma, City of</w:t>
            </w:r>
          </w:p>
        </w:tc>
        <w:tc>
          <w:tcPr>
            <w:tcW w:w="1659" w:type="dxa"/>
            <w:shd w:val="clear" w:color="auto" w:fill="auto"/>
            <w:vAlign w:val="center"/>
          </w:tcPr>
          <w:p w14:paraId="5D695AF3" w14:textId="77777777" w:rsidR="004D71EE" w:rsidRPr="00B55A80" w:rsidRDefault="004D71EE" w:rsidP="004D71EE">
            <w:pPr>
              <w:jc w:val="center"/>
              <w:rPr>
                <w:color w:val="000000"/>
              </w:rPr>
            </w:pPr>
            <w:r w:rsidRPr="00B55A80">
              <w:rPr>
                <w:color w:val="000000"/>
              </w:rPr>
              <w:t>CA0037810</w:t>
            </w:r>
          </w:p>
        </w:tc>
        <w:tc>
          <w:tcPr>
            <w:tcW w:w="2470" w:type="dxa"/>
            <w:shd w:val="clear" w:color="auto" w:fill="auto"/>
            <w:vAlign w:val="center"/>
          </w:tcPr>
          <w:p w14:paraId="2DD2FF30" w14:textId="771AC2CD" w:rsidR="004D71EE" w:rsidRPr="00B55A80" w:rsidRDefault="004D71EE" w:rsidP="004D71EE">
            <w:pPr>
              <w:jc w:val="center"/>
              <w:rPr>
                <w:color w:val="000000"/>
              </w:rPr>
            </w:pPr>
            <w:r w:rsidRPr="00591153">
              <w:rPr>
                <w:color w:val="000000"/>
              </w:rPr>
              <w:t>0.063</w:t>
            </w:r>
          </w:p>
        </w:tc>
      </w:tr>
      <w:tr w:rsidR="004D71EE" w:rsidRPr="00B55A80" w14:paraId="52578AC8" w14:textId="77777777" w:rsidTr="004D71EE">
        <w:trPr>
          <w:cantSplit/>
          <w:jc w:val="center"/>
        </w:trPr>
        <w:tc>
          <w:tcPr>
            <w:tcW w:w="3776" w:type="dxa"/>
            <w:shd w:val="clear" w:color="auto" w:fill="auto"/>
          </w:tcPr>
          <w:p w14:paraId="23DF4917" w14:textId="77777777" w:rsidR="004D71EE" w:rsidRPr="00B55A80" w:rsidRDefault="004D71EE" w:rsidP="004D71EE">
            <w:pPr>
              <w:rPr>
                <w:rFonts w:eastAsia="Arial Unicode MS"/>
              </w:rPr>
            </w:pPr>
            <w:r w:rsidRPr="00B55A80">
              <w:t>Pinole, City of</w:t>
            </w:r>
          </w:p>
        </w:tc>
        <w:tc>
          <w:tcPr>
            <w:tcW w:w="1659" w:type="dxa"/>
            <w:shd w:val="clear" w:color="auto" w:fill="auto"/>
            <w:vAlign w:val="center"/>
          </w:tcPr>
          <w:p w14:paraId="4803BCBD" w14:textId="77777777" w:rsidR="004D71EE" w:rsidRPr="00B55A80" w:rsidRDefault="004D71EE" w:rsidP="004D71EE">
            <w:pPr>
              <w:jc w:val="center"/>
              <w:rPr>
                <w:color w:val="000000"/>
              </w:rPr>
            </w:pPr>
            <w:r w:rsidRPr="00B55A80">
              <w:rPr>
                <w:color w:val="000000"/>
              </w:rPr>
              <w:t>CA0037796</w:t>
            </w:r>
          </w:p>
        </w:tc>
        <w:tc>
          <w:tcPr>
            <w:tcW w:w="2470" w:type="dxa"/>
            <w:shd w:val="clear" w:color="auto" w:fill="auto"/>
            <w:vAlign w:val="center"/>
          </w:tcPr>
          <w:p w14:paraId="526C8024" w14:textId="7A83A95E" w:rsidR="004D71EE" w:rsidRPr="00B55A80" w:rsidRDefault="004D71EE" w:rsidP="004D71EE">
            <w:pPr>
              <w:jc w:val="center"/>
              <w:rPr>
                <w:color w:val="000000"/>
              </w:rPr>
            </w:pPr>
            <w:r w:rsidRPr="00591153">
              <w:rPr>
                <w:color w:val="000000"/>
              </w:rPr>
              <w:t>0.055</w:t>
            </w:r>
          </w:p>
        </w:tc>
      </w:tr>
      <w:tr w:rsidR="004D71EE" w:rsidRPr="00B55A80" w14:paraId="3C81297B" w14:textId="77777777" w:rsidTr="004D71EE">
        <w:trPr>
          <w:cantSplit/>
          <w:jc w:val="center"/>
        </w:trPr>
        <w:tc>
          <w:tcPr>
            <w:tcW w:w="3776" w:type="dxa"/>
            <w:shd w:val="clear" w:color="auto" w:fill="auto"/>
          </w:tcPr>
          <w:p w14:paraId="0373FEFD" w14:textId="77777777" w:rsidR="004D71EE" w:rsidRPr="00B55A80" w:rsidRDefault="004D71EE" w:rsidP="004D71EE">
            <w:pPr>
              <w:tabs>
                <w:tab w:val="left" w:pos="459"/>
              </w:tabs>
              <w:rPr>
                <w:rFonts w:eastAsia="Arial Unicode MS"/>
              </w:rPr>
            </w:pPr>
            <w:r w:rsidRPr="00B55A80">
              <w:t>Rodeo Sanitary District</w:t>
            </w:r>
          </w:p>
        </w:tc>
        <w:tc>
          <w:tcPr>
            <w:tcW w:w="1659" w:type="dxa"/>
            <w:shd w:val="clear" w:color="auto" w:fill="auto"/>
            <w:vAlign w:val="center"/>
          </w:tcPr>
          <w:p w14:paraId="1409EBB5" w14:textId="77777777" w:rsidR="004D71EE" w:rsidRPr="00B55A80" w:rsidRDefault="004D71EE" w:rsidP="004D71EE">
            <w:pPr>
              <w:jc w:val="center"/>
              <w:rPr>
                <w:color w:val="000000"/>
              </w:rPr>
            </w:pPr>
            <w:r w:rsidRPr="00B55A80">
              <w:rPr>
                <w:color w:val="000000"/>
              </w:rPr>
              <w:t>CA0037826</w:t>
            </w:r>
          </w:p>
        </w:tc>
        <w:tc>
          <w:tcPr>
            <w:tcW w:w="2470" w:type="dxa"/>
            <w:shd w:val="clear" w:color="auto" w:fill="auto"/>
            <w:vAlign w:val="center"/>
          </w:tcPr>
          <w:p w14:paraId="5BA43048" w14:textId="7448E9A6" w:rsidR="004D71EE" w:rsidRPr="00B55A80" w:rsidRDefault="004D71EE" w:rsidP="004D71EE">
            <w:pPr>
              <w:jc w:val="center"/>
              <w:rPr>
                <w:color w:val="000000"/>
              </w:rPr>
            </w:pPr>
            <w:r w:rsidRPr="00591153">
              <w:rPr>
                <w:color w:val="000000"/>
              </w:rPr>
              <w:t>0.060</w:t>
            </w:r>
          </w:p>
        </w:tc>
      </w:tr>
      <w:tr w:rsidR="004D71EE" w:rsidRPr="00B55A80" w14:paraId="4F60B06F" w14:textId="77777777" w:rsidTr="004D71EE">
        <w:trPr>
          <w:cantSplit/>
          <w:jc w:val="center"/>
        </w:trPr>
        <w:tc>
          <w:tcPr>
            <w:tcW w:w="3776" w:type="dxa"/>
            <w:shd w:val="clear" w:color="auto" w:fill="auto"/>
          </w:tcPr>
          <w:p w14:paraId="42212E6C" w14:textId="77777777" w:rsidR="004D71EE" w:rsidRPr="00B55A80" w:rsidRDefault="004D71EE" w:rsidP="004D71EE">
            <w:pPr>
              <w:rPr>
                <w:rFonts w:eastAsia="Arial Unicode MS"/>
              </w:rPr>
            </w:pPr>
            <w:r w:rsidRPr="00B55A80">
              <w:t>Saint Helena, City of</w:t>
            </w:r>
          </w:p>
        </w:tc>
        <w:tc>
          <w:tcPr>
            <w:tcW w:w="1659" w:type="dxa"/>
            <w:shd w:val="clear" w:color="auto" w:fill="auto"/>
            <w:vAlign w:val="center"/>
          </w:tcPr>
          <w:p w14:paraId="0DFEBDCE" w14:textId="77777777" w:rsidR="004D71EE" w:rsidRPr="00B55A80" w:rsidRDefault="004D71EE" w:rsidP="004D71EE">
            <w:pPr>
              <w:jc w:val="center"/>
              <w:rPr>
                <w:color w:val="000000"/>
              </w:rPr>
            </w:pPr>
            <w:r w:rsidRPr="00B55A80">
              <w:rPr>
                <w:color w:val="000000"/>
              </w:rPr>
              <w:t>CA0038016</w:t>
            </w:r>
          </w:p>
        </w:tc>
        <w:tc>
          <w:tcPr>
            <w:tcW w:w="2470" w:type="dxa"/>
            <w:shd w:val="clear" w:color="auto" w:fill="auto"/>
            <w:vAlign w:val="center"/>
          </w:tcPr>
          <w:p w14:paraId="00C42FC7" w14:textId="10833140" w:rsidR="004D71EE" w:rsidRPr="00B55A80" w:rsidRDefault="004D71EE" w:rsidP="004D71EE">
            <w:pPr>
              <w:jc w:val="center"/>
              <w:rPr>
                <w:color w:val="000000"/>
              </w:rPr>
            </w:pPr>
            <w:r w:rsidRPr="00591153">
              <w:rPr>
                <w:color w:val="000000"/>
              </w:rPr>
              <w:t>0.047</w:t>
            </w:r>
          </w:p>
        </w:tc>
      </w:tr>
      <w:tr w:rsidR="004D71EE" w:rsidRPr="00B55A80" w14:paraId="75DFE668" w14:textId="77777777" w:rsidTr="004D71EE">
        <w:trPr>
          <w:cantSplit/>
          <w:jc w:val="center"/>
        </w:trPr>
        <w:tc>
          <w:tcPr>
            <w:tcW w:w="3776" w:type="dxa"/>
            <w:shd w:val="clear" w:color="auto" w:fill="auto"/>
          </w:tcPr>
          <w:p w14:paraId="4B5D815E" w14:textId="77777777" w:rsidR="004D71EE" w:rsidRPr="00B55A80" w:rsidRDefault="004D71EE" w:rsidP="004D71EE">
            <w:pPr>
              <w:rPr>
                <w:rFonts w:eastAsia="Arial Unicode MS"/>
              </w:rPr>
            </w:pPr>
            <w:r w:rsidRPr="005465D4">
              <w:t>San Francisco</w:t>
            </w:r>
            <w:r>
              <w:t xml:space="preserve"> (San Francisco International Airport)</w:t>
            </w:r>
            <w:r w:rsidRPr="005465D4">
              <w:t>, City and County of</w:t>
            </w:r>
          </w:p>
        </w:tc>
        <w:tc>
          <w:tcPr>
            <w:tcW w:w="1659" w:type="dxa"/>
            <w:shd w:val="clear" w:color="auto" w:fill="auto"/>
            <w:vAlign w:val="center"/>
          </w:tcPr>
          <w:p w14:paraId="5D38D454" w14:textId="77777777" w:rsidR="004D71EE" w:rsidRPr="00B55A80" w:rsidRDefault="004D71EE" w:rsidP="004D71EE">
            <w:pPr>
              <w:jc w:val="center"/>
              <w:rPr>
                <w:color w:val="000000"/>
              </w:rPr>
            </w:pPr>
            <w:r w:rsidRPr="00B55A80">
              <w:rPr>
                <w:bCs/>
                <w:color w:val="000000"/>
              </w:rPr>
              <w:t>CA0038318</w:t>
            </w:r>
          </w:p>
        </w:tc>
        <w:tc>
          <w:tcPr>
            <w:tcW w:w="2470" w:type="dxa"/>
            <w:shd w:val="clear" w:color="auto" w:fill="auto"/>
            <w:vAlign w:val="center"/>
          </w:tcPr>
          <w:p w14:paraId="68368AE8" w14:textId="20CB3EFF" w:rsidR="004D71EE" w:rsidRPr="00B55A80" w:rsidRDefault="004D71EE" w:rsidP="004D71EE">
            <w:pPr>
              <w:jc w:val="center"/>
              <w:rPr>
                <w:color w:val="000000"/>
              </w:rPr>
            </w:pPr>
            <w:r w:rsidRPr="00591153">
              <w:rPr>
                <w:color w:val="000000"/>
              </w:rPr>
              <w:t>0.032</w:t>
            </w:r>
          </w:p>
        </w:tc>
      </w:tr>
      <w:tr w:rsidR="004D71EE" w:rsidRPr="00B55A80" w14:paraId="16639836" w14:textId="77777777" w:rsidTr="004D71EE">
        <w:trPr>
          <w:cantSplit/>
          <w:jc w:val="center"/>
        </w:trPr>
        <w:tc>
          <w:tcPr>
            <w:tcW w:w="3776" w:type="dxa"/>
            <w:shd w:val="clear" w:color="auto" w:fill="auto"/>
          </w:tcPr>
          <w:p w14:paraId="2997240F" w14:textId="77777777" w:rsidR="004D71EE" w:rsidRPr="00B55A80" w:rsidRDefault="004D71EE" w:rsidP="004D71EE">
            <w:pPr>
              <w:rPr>
                <w:rFonts w:eastAsia="Arial Unicode MS"/>
              </w:rPr>
            </w:pPr>
            <w:r w:rsidRPr="00B55A80">
              <w:t>San Francisco (Southeast Plant), City and County of</w:t>
            </w:r>
          </w:p>
        </w:tc>
        <w:tc>
          <w:tcPr>
            <w:tcW w:w="1659" w:type="dxa"/>
            <w:shd w:val="clear" w:color="auto" w:fill="auto"/>
            <w:vAlign w:val="center"/>
          </w:tcPr>
          <w:p w14:paraId="264F2C17" w14:textId="77777777" w:rsidR="004D71EE" w:rsidRPr="00B55A80" w:rsidRDefault="004D71EE" w:rsidP="004D71EE">
            <w:pPr>
              <w:jc w:val="center"/>
              <w:rPr>
                <w:color w:val="000000"/>
              </w:rPr>
            </w:pPr>
            <w:r w:rsidRPr="00B55A80">
              <w:rPr>
                <w:bCs/>
                <w:color w:val="000000"/>
              </w:rPr>
              <w:t>CA0037664</w:t>
            </w:r>
          </w:p>
        </w:tc>
        <w:tc>
          <w:tcPr>
            <w:tcW w:w="2470" w:type="dxa"/>
            <w:shd w:val="clear" w:color="auto" w:fill="auto"/>
            <w:vAlign w:val="center"/>
          </w:tcPr>
          <w:p w14:paraId="465B43A0" w14:textId="1CE494D6" w:rsidR="004D71EE" w:rsidRPr="00B55A80" w:rsidRDefault="004D71EE" w:rsidP="004D71EE">
            <w:pPr>
              <w:jc w:val="center"/>
              <w:rPr>
                <w:color w:val="000000"/>
              </w:rPr>
            </w:pPr>
            <w:r w:rsidRPr="00591153">
              <w:rPr>
                <w:color w:val="000000"/>
              </w:rPr>
              <w:t>1.6</w:t>
            </w:r>
          </w:p>
        </w:tc>
      </w:tr>
      <w:tr w:rsidR="004D71EE" w:rsidRPr="00B55A80" w14:paraId="11D48C18" w14:textId="77777777" w:rsidTr="004D71EE">
        <w:trPr>
          <w:cantSplit/>
          <w:jc w:val="center"/>
        </w:trPr>
        <w:tc>
          <w:tcPr>
            <w:tcW w:w="3776" w:type="dxa"/>
            <w:shd w:val="clear" w:color="auto" w:fill="auto"/>
          </w:tcPr>
          <w:p w14:paraId="05D30C03" w14:textId="77777777" w:rsidR="004D71EE" w:rsidRPr="00B55A80" w:rsidRDefault="004D71EE" w:rsidP="004D71EE">
            <w:pPr>
              <w:tabs>
                <w:tab w:val="left" w:pos="459"/>
              </w:tabs>
              <w:rPr>
                <w:rFonts w:eastAsia="Arial Unicode MS"/>
              </w:rPr>
            </w:pPr>
            <w:r>
              <w:t xml:space="preserve">San Jose and </w:t>
            </w:r>
            <w:r w:rsidRPr="007F4001">
              <w:t>Santa Clara, Cities of</w:t>
            </w:r>
          </w:p>
        </w:tc>
        <w:tc>
          <w:tcPr>
            <w:tcW w:w="1659" w:type="dxa"/>
            <w:shd w:val="clear" w:color="auto" w:fill="auto"/>
            <w:vAlign w:val="center"/>
          </w:tcPr>
          <w:p w14:paraId="0C809201" w14:textId="77777777" w:rsidR="004D71EE" w:rsidRPr="00B55A80" w:rsidRDefault="004D71EE" w:rsidP="004D71EE">
            <w:pPr>
              <w:jc w:val="center"/>
              <w:rPr>
                <w:color w:val="000000"/>
              </w:rPr>
            </w:pPr>
            <w:r w:rsidRPr="00B55A80">
              <w:rPr>
                <w:color w:val="000000"/>
              </w:rPr>
              <w:t>CA0037842</w:t>
            </w:r>
          </w:p>
        </w:tc>
        <w:tc>
          <w:tcPr>
            <w:tcW w:w="2470" w:type="dxa"/>
            <w:shd w:val="clear" w:color="auto" w:fill="auto"/>
            <w:vAlign w:val="center"/>
          </w:tcPr>
          <w:p w14:paraId="3B6DEBB5" w14:textId="7BFF9EC3" w:rsidR="004D71EE" w:rsidRPr="00B55A80" w:rsidRDefault="004D71EE" w:rsidP="004D71EE">
            <w:pPr>
              <w:jc w:val="center"/>
              <w:rPr>
                <w:color w:val="000000"/>
              </w:rPr>
            </w:pPr>
            <w:r w:rsidRPr="00591153">
              <w:rPr>
                <w:color w:val="000000"/>
              </w:rPr>
              <w:t>0.8</w:t>
            </w:r>
          </w:p>
        </w:tc>
      </w:tr>
      <w:tr w:rsidR="004D71EE" w:rsidRPr="00B55A80" w14:paraId="04F8748B" w14:textId="77777777" w:rsidTr="004D71EE">
        <w:trPr>
          <w:cantSplit/>
          <w:jc w:val="center"/>
        </w:trPr>
        <w:tc>
          <w:tcPr>
            <w:tcW w:w="3776" w:type="dxa"/>
            <w:shd w:val="clear" w:color="auto" w:fill="auto"/>
          </w:tcPr>
          <w:p w14:paraId="220F3EF7" w14:textId="77777777" w:rsidR="004D71EE" w:rsidRPr="00B55A80" w:rsidRDefault="004D71EE" w:rsidP="004D71EE">
            <w:pPr>
              <w:rPr>
                <w:rFonts w:eastAsia="Arial Unicode MS"/>
              </w:rPr>
            </w:pPr>
            <w:r w:rsidRPr="00B55A80">
              <w:t>San Mateo, City of</w:t>
            </w:r>
          </w:p>
        </w:tc>
        <w:tc>
          <w:tcPr>
            <w:tcW w:w="1659" w:type="dxa"/>
            <w:shd w:val="clear" w:color="auto" w:fill="auto"/>
            <w:vAlign w:val="center"/>
          </w:tcPr>
          <w:p w14:paraId="3DEF548C" w14:textId="77777777" w:rsidR="004D71EE" w:rsidRPr="00B55A80" w:rsidRDefault="004D71EE" w:rsidP="004D71EE">
            <w:pPr>
              <w:jc w:val="center"/>
              <w:rPr>
                <w:color w:val="000000"/>
              </w:rPr>
            </w:pPr>
            <w:r w:rsidRPr="00B55A80">
              <w:rPr>
                <w:color w:val="000000"/>
              </w:rPr>
              <w:t>CA0037541</w:t>
            </w:r>
          </w:p>
        </w:tc>
        <w:tc>
          <w:tcPr>
            <w:tcW w:w="2470" w:type="dxa"/>
            <w:shd w:val="clear" w:color="auto" w:fill="auto"/>
            <w:vAlign w:val="center"/>
          </w:tcPr>
          <w:p w14:paraId="218B53A5" w14:textId="33CC93D1" w:rsidR="004D71EE" w:rsidRPr="00B55A80" w:rsidRDefault="004D71EE" w:rsidP="004D71EE">
            <w:pPr>
              <w:jc w:val="center"/>
              <w:rPr>
                <w:color w:val="000000"/>
              </w:rPr>
            </w:pPr>
            <w:r w:rsidRPr="00591153">
              <w:rPr>
                <w:color w:val="000000"/>
              </w:rPr>
              <w:t>0.19</w:t>
            </w:r>
          </w:p>
        </w:tc>
      </w:tr>
      <w:tr w:rsidR="004D71EE" w:rsidRPr="00B55A80" w14:paraId="3735CF3F" w14:textId="77777777" w:rsidTr="004D71EE">
        <w:trPr>
          <w:cantSplit/>
          <w:jc w:val="center"/>
        </w:trPr>
        <w:tc>
          <w:tcPr>
            <w:tcW w:w="3776" w:type="dxa"/>
            <w:shd w:val="clear" w:color="auto" w:fill="auto"/>
          </w:tcPr>
          <w:p w14:paraId="4A9BAC32" w14:textId="77777777" w:rsidR="004D71EE" w:rsidRPr="00B55A80" w:rsidRDefault="004D71EE" w:rsidP="004D71EE">
            <w:pPr>
              <w:rPr>
                <w:rFonts w:eastAsia="Arial Unicode MS"/>
              </w:rPr>
            </w:pPr>
            <w:r w:rsidRPr="00B55A80">
              <w:t>Sausalito-Marin City Sanitary District</w:t>
            </w:r>
          </w:p>
        </w:tc>
        <w:tc>
          <w:tcPr>
            <w:tcW w:w="1659" w:type="dxa"/>
            <w:shd w:val="clear" w:color="auto" w:fill="auto"/>
            <w:vAlign w:val="center"/>
          </w:tcPr>
          <w:p w14:paraId="5129E0BD" w14:textId="77777777" w:rsidR="004D71EE" w:rsidRPr="00B55A80" w:rsidRDefault="004D71EE" w:rsidP="004D71EE">
            <w:pPr>
              <w:jc w:val="center"/>
              <w:rPr>
                <w:color w:val="000000"/>
              </w:rPr>
            </w:pPr>
            <w:r w:rsidRPr="00B55A80">
              <w:rPr>
                <w:color w:val="000000"/>
              </w:rPr>
              <w:t>CA0038067</w:t>
            </w:r>
          </w:p>
        </w:tc>
        <w:tc>
          <w:tcPr>
            <w:tcW w:w="2470" w:type="dxa"/>
            <w:shd w:val="clear" w:color="auto" w:fill="auto"/>
            <w:vAlign w:val="center"/>
          </w:tcPr>
          <w:p w14:paraId="4E9FA60D" w14:textId="65B0898F" w:rsidR="004D71EE" w:rsidRPr="00B55A80" w:rsidRDefault="004D71EE" w:rsidP="004D71EE">
            <w:pPr>
              <w:jc w:val="center"/>
              <w:rPr>
                <w:color w:val="000000"/>
              </w:rPr>
            </w:pPr>
            <w:r w:rsidRPr="00591153">
              <w:rPr>
                <w:color w:val="000000"/>
              </w:rPr>
              <w:t>0.078</w:t>
            </w:r>
          </w:p>
        </w:tc>
      </w:tr>
      <w:tr w:rsidR="004D71EE" w:rsidRPr="00B55A80" w14:paraId="7ABC2D28" w14:textId="77777777" w:rsidTr="004D71EE">
        <w:trPr>
          <w:cantSplit/>
          <w:jc w:val="center"/>
        </w:trPr>
        <w:tc>
          <w:tcPr>
            <w:tcW w:w="3776" w:type="dxa"/>
            <w:shd w:val="clear" w:color="auto" w:fill="auto"/>
          </w:tcPr>
          <w:p w14:paraId="265C6407" w14:textId="77777777" w:rsidR="004D71EE" w:rsidRPr="00B55A80" w:rsidRDefault="004D71EE" w:rsidP="004D71EE">
            <w:pPr>
              <w:tabs>
                <w:tab w:val="left" w:pos="459"/>
              </w:tabs>
              <w:rPr>
                <w:rFonts w:eastAsia="Arial Unicode MS"/>
              </w:rPr>
            </w:pPr>
            <w:r w:rsidRPr="00B55A80">
              <w:t>Sewerage Agency of Southern Marin</w:t>
            </w:r>
          </w:p>
        </w:tc>
        <w:tc>
          <w:tcPr>
            <w:tcW w:w="1659" w:type="dxa"/>
            <w:shd w:val="clear" w:color="auto" w:fill="auto"/>
            <w:vAlign w:val="center"/>
          </w:tcPr>
          <w:p w14:paraId="4176269A" w14:textId="77777777" w:rsidR="004D71EE" w:rsidRPr="00B55A80" w:rsidRDefault="004D71EE" w:rsidP="004D71EE">
            <w:pPr>
              <w:jc w:val="center"/>
              <w:rPr>
                <w:color w:val="000000"/>
              </w:rPr>
            </w:pPr>
            <w:r w:rsidRPr="00B55A80">
              <w:rPr>
                <w:color w:val="000000"/>
              </w:rPr>
              <w:t>CA0037711</w:t>
            </w:r>
          </w:p>
        </w:tc>
        <w:tc>
          <w:tcPr>
            <w:tcW w:w="2470" w:type="dxa"/>
            <w:shd w:val="clear" w:color="auto" w:fill="auto"/>
            <w:vAlign w:val="center"/>
          </w:tcPr>
          <w:p w14:paraId="6CB3B56A" w14:textId="7553203A" w:rsidR="004D71EE" w:rsidRPr="00B55A80" w:rsidRDefault="004D71EE" w:rsidP="004D71EE">
            <w:pPr>
              <w:jc w:val="center"/>
              <w:rPr>
                <w:color w:val="000000"/>
              </w:rPr>
            </w:pPr>
            <w:r w:rsidRPr="00591153">
              <w:rPr>
                <w:color w:val="000000"/>
              </w:rPr>
              <w:t>0.076</w:t>
            </w:r>
          </w:p>
        </w:tc>
      </w:tr>
      <w:tr w:rsidR="004D71EE" w:rsidRPr="00E82A2A" w14:paraId="0C78FDB5" w14:textId="77777777" w:rsidTr="004D71EE">
        <w:trPr>
          <w:cantSplit/>
          <w:jc w:val="center"/>
        </w:trPr>
        <w:tc>
          <w:tcPr>
            <w:tcW w:w="3776" w:type="dxa"/>
            <w:shd w:val="clear" w:color="auto" w:fill="auto"/>
          </w:tcPr>
          <w:p w14:paraId="201D6453" w14:textId="77777777" w:rsidR="004D71EE" w:rsidRPr="00B55A80" w:rsidRDefault="004D71EE" w:rsidP="004D71EE">
            <w:r>
              <w:t>Silicon Valley Clean Water</w:t>
            </w:r>
          </w:p>
        </w:tc>
        <w:tc>
          <w:tcPr>
            <w:tcW w:w="1659" w:type="dxa"/>
            <w:shd w:val="clear" w:color="auto" w:fill="auto"/>
            <w:vAlign w:val="center"/>
          </w:tcPr>
          <w:p w14:paraId="229E8352" w14:textId="77777777" w:rsidR="004D71EE" w:rsidRPr="00B55A80" w:rsidRDefault="004D71EE" w:rsidP="004D71EE">
            <w:pPr>
              <w:jc w:val="center"/>
              <w:rPr>
                <w:color w:val="000000"/>
              </w:rPr>
            </w:pPr>
            <w:r w:rsidRPr="00B55A80">
              <w:rPr>
                <w:color w:val="000000"/>
              </w:rPr>
              <w:t>CA0038369</w:t>
            </w:r>
          </w:p>
        </w:tc>
        <w:tc>
          <w:tcPr>
            <w:tcW w:w="2470" w:type="dxa"/>
            <w:shd w:val="clear" w:color="auto" w:fill="auto"/>
            <w:vAlign w:val="center"/>
          </w:tcPr>
          <w:p w14:paraId="362098FC" w14:textId="05D26B63" w:rsidR="004D71EE" w:rsidRPr="00AD6CC8" w:rsidRDefault="004D71EE" w:rsidP="004D71EE">
            <w:pPr>
              <w:jc w:val="center"/>
            </w:pPr>
            <w:r w:rsidRPr="00591153">
              <w:rPr>
                <w:color w:val="000000"/>
              </w:rPr>
              <w:t>0.32</w:t>
            </w:r>
          </w:p>
        </w:tc>
      </w:tr>
      <w:tr w:rsidR="004D71EE" w:rsidRPr="00B55A80" w14:paraId="4578AEBC" w14:textId="77777777" w:rsidTr="004D71EE">
        <w:trPr>
          <w:cantSplit/>
          <w:jc w:val="center"/>
        </w:trPr>
        <w:tc>
          <w:tcPr>
            <w:tcW w:w="3776" w:type="dxa"/>
            <w:shd w:val="clear" w:color="auto" w:fill="auto"/>
          </w:tcPr>
          <w:p w14:paraId="18A9B68A" w14:textId="77777777" w:rsidR="004D71EE" w:rsidRPr="00B55A80" w:rsidRDefault="004D71EE" w:rsidP="004D71EE">
            <w:pPr>
              <w:rPr>
                <w:rFonts w:eastAsia="Arial Unicode MS"/>
              </w:rPr>
            </w:pPr>
            <w:r w:rsidRPr="00B55A80">
              <w:t>Sonoma Valley County Sanitary District</w:t>
            </w:r>
          </w:p>
        </w:tc>
        <w:tc>
          <w:tcPr>
            <w:tcW w:w="1659" w:type="dxa"/>
            <w:shd w:val="clear" w:color="auto" w:fill="auto"/>
            <w:vAlign w:val="center"/>
          </w:tcPr>
          <w:p w14:paraId="41CC7EEF" w14:textId="77777777" w:rsidR="004D71EE" w:rsidRPr="00B55A80" w:rsidRDefault="004D71EE" w:rsidP="004D71EE">
            <w:pPr>
              <w:jc w:val="center"/>
              <w:rPr>
                <w:color w:val="000000"/>
              </w:rPr>
            </w:pPr>
            <w:r w:rsidRPr="00B55A80">
              <w:rPr>
                <w:color w:val="000000"/>
              </w:rPr>
              <w:t>CA0037800</w:t>
            </w:r>
          </w:p>
        </w:tc>
        <w:tc>
          <w:tcPr>
            <w:tcW w:w="2470" w:type="dxa"/>
            <w:shd w:val="clear" w:color="auto" w:fill="auto"/>
            <w:vAlign w:val="center"/>
          </w:tcPr>
          <w:p w14:paraId="5D2E7682" w14:textId="4A33AE06" w:rsidR="004D71EE" w:rsidRPr="00B55A80" w:rsidRDefault="004D71EE" w:rsidP="004D71EE">
            <w:pPr>
              <w:jc w:val="center"/>
              <w:rPr>
                <w:color w:val="000000"/>
              </w:rPr>
            </w:pPr>
            <w:r w:rsidRPr="00591153">
              <w:rPr>
                <w:color w:val="000000"/>
              </w:rPr>
              <w:t>0.041</w:t>
            </w:r>
          </w:p>
        </w:tc>
      </w:tr>
      <w:tr w:rsidR="004D71EE" w:rsidRPr="00B55A80" w14:paraId="5E76A03A" w14:textId="77777777" w:rsidTr="004D71EE">
        <w:trPr>
          <w:cantSplit/>
          <w:jc w:val="center"/>
        </w:trPr>
        <w:tc>
          <w:tcPr>
            <w:tcW w:w="3776" w:type="dxa"/>
            <w:shd w:val="clear" w:color="auto" w:fill="auto"/>
          </w:tcPr>
          <w:p w14:paraId="41D44E45" w14:textId="77777777" w:rsidR="004D71EE" w:rsidRPr="00B55A80" w:rsidRDefault="004D71EE" w:rsidP="004D71EE">
            <w:pPr>
              <w:rPr>
                <w:rFonts w:eastAsia="Arial Unicode MS"/>
              </w:rPr>
            </w:pPr>
            <w:r w:rsidRPr="00B55A80">
              <w:t>South San Francisco and San Bruno, Cities of</w:t>
            </w:r>
          </w:p>
        </w:tc>
        <w:tc>
          <w:tcPr>
            <w:tcW w:w="1659" w:type="dxa"/>
            <w:shd w:val="clear" w:color="auto" w:fill="auto"/>
            <w:vAlign w:val="center"/>
          </w:tcPr>
          <w:p w14:paraId="08CB7D18" w14:textId="77777777" w:rsidR="004D71EE" w:rsidRPr="00B55A80" w:rsidRDefault="004D71EE" w:rsidP="004D71EE">
            <w:pPr>
              <w:jc w:val="center"/>
              <w:rPr>
                <w:color w:val="000000"/>
              </w:rPr>
            </w:pPr>
            <w:r w:rsidRPr="00B55A80">
              <w:rPr>
                <w:color w:val="000000"/>
              </w:rPr>
              <w:t>CA0038130</w:t>
            </w:r>
          </w:p>
        </w:tc>
        <w:tc>
          <w:tcPr>
            <w:tcW w:w="2470" w:type="dxa"/>
            <w:shd w:val="clear" w:color="auto" w:fill="auto"/>
            <w:vAlign w:val="center"/>
          </w:tcPr>
          <w:p w14:paraId="018AB4E6" w14:textId="37DA955E" w:rsidR="004D71EE" w:rsidRPr="00B55A80" w:rsidRDefault="004D71EE" w:rsidP="004D71EE">
            <w:pPr>
              <w:jc w:val="center"/>
              <w:rPr>
                <w:color w:val="000000"/>
              </w:rPr>
            </w:pPr>
            <w:r w:rsidRPr="00591153">
              <w:rPr>
                <w:color w:val="000000"/>
              </w:rPr>
              <w:t>0.18</w:t>
            </w:r>
          </w:p>
        </w:tc>
      </w:tr>
      <w:tr w:rsidR="004D71EE" w:rsidRPr="00B55A80" w14:paraId="1B0C23D3" w14:textId="77777777" w:rsidTr="004D71EE">
        <w:trPr>
          <w:cantSplit/>
          <w:jc w:val="center"/>
        </w:trPr>
        <w:tc>
          <w:tcPr>
            <w:tcW w:w="3776" w:type="dxa"/>
            <w:shd w:val="clear" w:color="auto" w:fill="auto"/>
          </w:tcPr>
          <w:p w14:paraId="07EDC942" w14:textId="77777777" w:rsidR="004D71EE" w:rsidRPr="00B55A80" w:rsidRDefault="004D71EE" w:rsidP="004D71EE">
            <w:pPr>
              <w:tabs>
                <w:tab w:val="left" w:pos="459"/>
              </w:tabs>
              <w:rPr>
                <w:rFonts w:eastAsia="Arial Unicode MS"/>
              </w:rPr>
            </w:pPr>
            <w:r w:rsidRPr="00B55A80">
              <w:t>Sunnyvale, City of</w:t>
            </w:r>
          </w:p>
        </w:tc>
        <w:tc>
          <w:tcPr>
            <w:tcW w:w="1659" w:type="dxa"/>
            <w:shd w:val="clear" w:color="auto" w:fill="auto"/>
            <w:vAlign w:val="center"/>
          </w:tcPr>
          <w:p w14:paraId="484EA9F0" w14:textId="77777777" w:rsidR="004D71EE" w:rsidRPr="00B55A80" w:rsidRDefault="004D71EE" w:rsidP="004D71EE">
            <w:pPr>
              <w:jc w:val="center"/>
              <w:rPr>
                <w:color w:val="000000"/>
              </w:rPr>
            </w:pPr>
            <w:r w:rsidRPr="00B55A80">
              <w:rPr>
                <w:color w:val="000000"/>
              </w:rPr>
              <w:t>CA0037621</w:t>
            </w:r>
          </w:p>
        </w:tc>
        <w:tc>
          <w:tcPr>
            <w:tcW w:w="2470" w:type="dxa"/>
            <w:shd w:val="clear" w:color="auto" w:fill="auto"/>
            <w:vAlign w:val="center"/>
          </w:tcPr>
          <w:p w14:paraId="0CDA488A" w14:textId="54FF3AA8" w:rsidR="004D71EE" w:rsidRPr="00B55A80" w:rsidRDefault="004D71EE" w:rsidP="004D71EE">
            <w:pPr>
              <w:jc w:val="center"/>
              <w:rPr>
                <w:color w:val="000000"/>
              </w:rPr>
            </w:pPr>
            <w:r w:rsidRPr="00591153">
              <w:rPr>
                <w:color w:val="000000"/>
              </w:rPr>
              <w:t>0.12</w:t>
            </w:r>
          </w:p>
        </w:tc>
      </w:tr>
      <w:tr w:rsidR="004D71EE" w:rsidRPr="00B55A80" w14:paraId="045E2786" w14:textId="77777777" w:rsidTr="004D71EE">
        <w:trPr>
          <w:cantSplit/>
          <w:jc w:val="center"/>
        </w:trPr>
        <w:tc>
          <w:tcPr>
            <w:tcW w:w="3776" w:type="dxa"/>
            <w:shd w:val="clear" w:color="auto" w:fill="auto"/>
          </w:tcPr>
          <w:p w14:paraId="3BC7078E" w14:textId="77777777" w:rsidR="004D71EE" w:rsidRPr="00B55A80" w:rsidRDefault="004D71EE" w:rsidP="004D71EE">
            <w:r w:rsidRPr="00B55A80">
              <w:t>U</w:t>
            </w:r>
            <w:r>
              <w:t>.</w:t>
            </w:r>
            <w:r w:rsidRPr="00B55A80">
              <w:t>S</w:t>
            </w:r>
            <w:r>
              <w:t>.</w:t>
            </w:r>
            <w:r w:rsidRPr="00B55A80">
              <w:t xml:space="preserve"> Department of Navy, Treasure Island</w:t>
            </w:r>
          </w:p>
        </w:tc>
        <w:tc>
          <w:tcPr>
            <w:tcW w:w="1659" w:type="dxa"/>
            <w:shd w:val="clear" w:color="auto" w:fill="auto"/>
            <w:vAlign w:val="center"/>
          </w:tcPr>
          <w:p w14:paraId="5D79AB60" w14:textId="77777777" w:rsidR="004D71EE" w:rsidRPr="00B55A80" w:rsidRDefault="004D71EE" w:rsidP="004D71EE">
            <w:pPr>
              <w:jc w:val="center"/>
              <w:rPr>
                <w:bCs/>
                <w:color w:val="000000"/>
              </w:rPr>
            </w:pPr>
            <w:r w:rsidRPr="00B55A80">
              <w:rPr>
                <w:color w:val="000000"/>
              </w:rPr>
              <w:t>CA0110116</w:t>
            </w:r>
          </w:p>
        </w:tc>
        <w:tc>
          <w:tcPr>
            <w:tcW w:w="2470" w:type="dxa"/>
            <w:shd w:val="clear" w:color="auto" w:fill="auto"/>
            <w:vAlign w:val="center"/>
          </w:tcPr>
          <w:p w14:paraId="1FB06515" w14:textId="0D9D2EBD" w:rsidR="004D71EE" w:rsidRPr="00B55A80" w:rsidRDefault="004D71EE" w:rsidP="004D71EE">
            <w:pPr>
              <w:jc w:val="center"/>
              <w:rPr>
                <w:color w:val="000000"/>
              </w:rPr>
            </w:pPr>
            <w:r w:rsidRPr="00591153">
              <w:rPr>
                <w:color w:val="000000"/>
              </w:rPr>
              <w:t>0.026</w:t>
            </w:r>
          </w:p>
        </w:tc>
      </w:tr>
      <w:tr w:rsidR="004D71EE" w:rsidRPr="00B55A80" w14:paraId="591F9C75" w14:textId="77777777" w:rsidTr="004D71EE">
        <w:trPr>
          <w:cantSplit/>
          <w:jc w:val="center"/>
        </w:trPr>
        <w:tc>
          <w:tcPr>
            <w:tcW w:w="3776" w:type="dxa"/>
            <w:shd w:val="clear" w:color="auto" w:fill="auto"/>
          </w:tcPr>
          <w:p w14:paraId="2B1EF93A" w14:textId="77777777" w:rsidR="004D71EE" w:rsidRPr="00B55A80" w:rsidRDefault="004D71EE" w:rsidP="004D71EE">
            <w:pPr>
              <w:rPr>
                <w:rFonts w:eastAsia="Arial Unicode MS"/>
              </w:rPr>
            </w:pPr>
            <w:r w:rsidRPr="00B55A80">
              <w:t>Vallejo Sanitation and Flood Control District</w:t>
            </w:r>
          </w:p>
        </w:tc>
        <w:tc>
          <w:tcPr>
            <w:tcW w:w="1659" w:type="dxa"/>
            <w:shd w:val="clear" w:color="auto" w:fill="auto"/>
            <w:vAlign w:val="center"/>
          </w:tcPr>
          <w:p w14:paraId="5E4BECBA" w14:textId="77777777" w:rsidR="004D71EE" w:rsidRPr="00B55A80" w:rsidRDefault="004D71EE" w:rsidP="004D71EE">
            <w:pPr>
              <w:jc w:val="center"/>
              <w:rPr>
                <w:color w:val="000000"/>
              </w:rPr>
            </w:pPr>
            <w:r w:rsidRPr="00B55A80">
              <w:rPr>
                <w:color w:val="000000"/>
              </w:rPr>
              <w:t>CA0037699</w:t>
            </w:r>
          </w:p>
        </w:tc>
        <w:tc>
          <w:tcPr>
            <w:tcW w:w="2470" w:type="dxa"/>
            <w:shd w:val="clear" w:color="auto" w:fill="auto"/>
            <w:vAlign w:val="center"/>
          </w:tcPr>
          <w:p w14:paraId="21C5806D" w14:textId="1D815949" w:rsidR="004D71EE" w:rsidRPr="00B55A80" w:rsidRDefault="004D71EE" w:rsidP="004D71EE">
            <w:pPr>
              <w:jc w:val="center"/>
              <w:rPr>
                <w:color w:val="000000"/>
              </w:rPr>
            </w:pPr>
            <w:r w:rsidRPr="00591153">
              <w:rPr>
                <w:color w:val="000000"/>
              </w:rPr>
              <w:t>0.34</w:t>
            </w:r>
          </w:p>
        </w:tc>
      </w:tr>
      <w:tr w:rsidR="004D71EE" w:rsidRPr="00B55A80" w14:paraId="6CE739CE" w14:textId="77777777" w:rsidTr="004D71EE">
        <w:trPr>
          <w:cantSplit/>
          <w:jc w:val="center"/>
        </w:trPr>
        <w:tc>
          <w:tcPr>
            <w:tcW w:w="3776" w:type="dxa"/>
            <w:shd w:val="clear" w:color="auto" w:fill="auto"/>
          </w:tcPr>
          <w:p w14:paraId="2CC213AA" w14:textId="77777777" w:rsidR="004D71EE" w:rsidRPr="005465D4" w:rsidRDefault="004D71EE" w:rsidP="004D71EE">
            <w:pPr>
              <w:pStyle w:val="xl24"/>
              <w:pBdr>
                <w:bottom w:val="none" w:sz="0" w:space="0" w:color="auto"/>
              </w:pBdr>
              <w:spacing w:before="0" w:beforeAutospacing="0" w:after="0" w:afterAutospacing="0"/>
              <w:jc w:val="left"/>
              <w:rPr>
                <w:rFonts w:ascii="Times New Roman" w:hAnsi="Times New Roman" w:cs="Times New Roman"/>
                <w:b w:val="0"/>
                <w:sz w:val="20"/>
                <w:szCs w:val="20"/>
              </w:rPr>
            </w:pPr>
            <w:r w:rsidRPr="005465D4">
              <w:rPr>
                <w:rFonts w:ascii="Times New Roman" w:hAnsi="Times New Roman" w:cs="Times New Roman"/>
                <w:b w:val="0"/>
                <w:sz w:val="20"/>
              </w:rPr>
              <w:t>West County Agency</w:t>
            </w:r>
            <w:r>
              <w:rPr>
                <w:rFonts w:ascii="Times New Roman" w:hAnsi="Times New Roman" w:cs="Times New Roman"/>
                <w:b w:val="0"/>
                <w:sz w:val="20"/>
              </w:rPr>
              <w:t xml:space="preserve">; </w:t>
            </w:r>
            <w:r w:rsidRPr="005465D4">
              <w:rPr>
                <w:rFonts w:ascii="Times New Roman" w:hAnsi="Times New Roman" w:cs="Times New Roman"/>
                <w:b w:val="0"/>
                <w:sz w:val="20"/>
                <w:szCs w:val="20"/>
              </w:rPr>
              <w:t>West County Wastewater District</w:t>
            </w:r>
            <w:r>
              <w:rPr>
                <w:rFonts w:ascii="Times New Roman" w:hAnsi="Times New Roman" w:cs="Times New Roman"/>
                <w:b w:val="0"/>
                <w:sz w:val="20"/>
                <w:szCs w:val="20"/>
              </w:rPr>
              <w:t xml:space="preserve">; </w:t>
            </w:r>
            <w:r w:rsidRPr="005465D4">
              <w:rPr>
                <w:rFonts w:ascii="Times New Roman" w:hAnsi="Times New Roman" w:cs="Times New Roman"/>
                <w:b w:val="0"/>
                <w:sz w:val="20"/>
                <w:szCs w:val="20"/>
              </w:rPr>
              <w:t xml:space="preserve"> </w:t>
            </w:r>
          </w:p>
          <w:p w14:paraId="2C792E76" w14:textId="77777777" w:rsidR="004D71EE" w:rsidRPr="00B55A80" w:rsidRDefault="004D71EE" w:rsidP="004D71EE">
            <w:pPr>
              <w:rPr>
                <w:rFonts w:eastAsia="Arial Unicode MS"/>
              </w:rPr>
            </w:pPr>
            <w:r w:rsidRPr="005465D4">
              <w:rPr>
                <w:bCs/>
              </w:rPr>
              <w:t xml:space="preserve">City of Richmond </w:t>
            </w:r>
            <w:r>
              <w:rPr>
                <w:bCs/>
              </w:rPr>
              <w:t xml:space="preserve">; and Richmond </w:t>
            </w:r>
            <w:r w:rsidRPr="005465D4">
              <w:rPr>
                <w:bCs/>
              </w:rPr>
              <w:t>Municipal Sewer District</w:t>
            </w:r>
            <w:r>
              <w:rPr>
                <w:bCs/>
              </w:rPr>
              <w:t xml:space="preserve"> No. 1</w:t>
            </w:r>
          </w:p>
        </w:tc>
        <w:tc>
          <w:tcPr>
            <w:tcW w:w="1659" w:type="dxa"/>
            <w:shd w:val="clear" w:color="auto" w:fill="auto"/>
            <w:vAlign w:val="center"/>
          </w:tcPr>
          <w:p w14:paraId="3FF82634" w14:textId="77777777" w:rsidR="004D71EE" w:rsidRPr="00B55A80" w:rsidRDefault="004D71EE" w:rsidP="004D71EE">
            <w:pPr>
              <w:jc w:val="center"/>
              <w:rPr>
                <w:color w:val="000000"/>
              </w:rPr>
            </w:pPr>
            <w:r w:rsidRPr="00B55A80">
              <w:rPr>
                <w:color w:val="000000"/>
              </w:rPr>
              <w:t>CA0038539</w:t>
            </w:r>
          </w:p>
        </w:tc>
        <w:tc>
          <w:tcPr>
            <w:tcW w:w="2470" w:type="dxa"/>
            <w:shd w:val="clear" w:color="auto" w:fill="auto"/>
            <w:vAlign w:val="center"/>
          </w:tcPr>
          <w:p w14:paraId="2DDE81B7" w14:textId="079AC527" w:rsidR="004D71EE" w:rsidRPr="00B55A80" w:rsidRDefault="004D71EE" w:rsidP="004D71EE">
            <w:pPr>
              <w:jc w:val="center"/>
              <w:rPr>
                <w:color w:val="000000"/>
              </w:rPr>
            </w:pPr>
            <w:r w:rsidRPr="00591153">
              <w:rPr>
                <w:color w:val="000000"/>
              </w:rPr>
              <w:t>0.23</w:t>
            </w:r>
          </w:p>
        </w:tc>
      </w:tr>
      <w:tr w:rsidR="004D71EE" w:rsidRPr="00B55A80" w14:paraId="52C948A3" w14:textId="77777777" w:rsidTr="004D71EE">
        <w:trPr>
          <w:cantSplit/>
          <w:jc w:val="center"/>
        </w:trPr>
        <w:tc>
          <w:tcPr>
            <w:tcW w:w="3776" w:type="dxa"/>
            <w:shd w:val="clear" w:color="auto" w:fill="auto"/>
          </w:tcPr>
          <w:p w14:paraId="7DA17829" w14:textId="77777777" w:rsidR="004D71EE" w:rsidRPr="00B55A80" w:rsidRDefault="004D71EE" w:rsidP="004D71EE">
            <w:pPr>
              <w:rPr>
                <w:rFonts w:eastAsia="Arial Unicode MS"/>
              </w:rPr>
            </w:pPr>
            <w:r w:rsidRPr="00B55A80">
              <w:t>Yountville, Town of</w:t>
            </w:r>
          </w:p>
        </w:tc>
        <w:tc>
          <w:tcPr>
            <w:tcW w:w="1659" w:type="dxa"/>
            <w:shd w:val="clear" w:color="auto" w:fill="auto"/>
            <w:vAlign w:val="center"/>
          </w:tcPr>
          <w:p w14:paraId="368BC57D" w14:textId="77777777" w:rsidR="004D71EE" w:rsidRPr="00B55A80" w:rsidRDefault="004D71EE" w:rsidP="004D71EE">
            <w:pPr>
              <w:jc w:val="center"/>
              <w:rPr>
                <w:color w:val="000000"/>
              </w:rPr>
            </w:pPr>
            <w:r w:rsidRPr="00B55A80">
              <w:rPr>
                <w:color w:val="000000"/>
              </w:rPr>
              <w:t>CA0038121</w:t>
            </w:r>
          </w:p>
        </w:tc>
        <w:tc>
          <w:tcPr>
            <w:tcW w:w="2470" w:type="dxa"/>
            <w:shd w:val="clear" w:color="auto" w:fill="auto"/>
            <w:vAlign w:val="center"/>
          </w:tcPr>
          <w:p w14:paraId="2B242B59" w14:textId="6AF21B29" w:rsidR="004D71EE" w:rsidRPr="00B55A80" w:rsidRDefault="004D71EE" w:rsidP="004D71EE">
            <w:pPr>
              <w:jc w:val="center"/>
              <w:rPr>
                <w:color w:val="000000"/>
              </w:rPr>
            </w:pPr>
            <w:r w:rsidRPr="00591153">
              <w:rPr>
                <w:color w:val="000000"/>
              </w:rPr>
              <w:t>0.040</w:t>
            </w:r>
          </w:p>
        </w:tc>
      </w:tr>
      <w:tr w:rsidR="004D71EE" w:rsidRPr="00B55A80" w14:paraId="73B606F1" w14:textId="77777777" w:rsidTr="004D71EE">
        <w:trPr>
          <w:cantSplit/>
          <w:jc w:val="center"/>
        </w:trPr>
        <w:tc>
          <w:tcPr>
            <w:tcW w:w="3776" w:type="dxa"/>
            <w:shd w:val="clear" w:color="auto" w:fill="auto"/>
          </w:tcPr>
          <w:p w14:paraId="4D2A03C5" w14:textId="0F1C5BCA" w:rsidR="004D71EE" w:rsidRPr="004D71EE" w:rsidRDefault="004D71EE" w:rsidP="004D71EE">
            <w:pPr>
              <w:rPr>
                <w:b/>
                <w:i/>
              </w:rPr>
            </w:pPr>
            <w:r>
              <w:rPr>
                <w:b/>
                <w:i/>
              </w:rPr>
              <w:t xml:space="preserve">Total </w:t>
            </w:r>
            <w:r w:rsidRPr="004D71EE">
              <w:rPr>
                <w:b/>
                <w:i/>
              </w:rPr>
              <w:t>Aggregate Mass Emission Limit</w:t>
            </w:r>
            <w:r w:rsidR="00583678">
              <w:rPr>
                <w:color w:val="000000"/>
                <w:vertAlign w:val="superscript"/>
              </w:rPr>
              <w:t>[1]</w:t>
            </w:r>
          </w:p>
        </w:tc>
        <w:tc>
          <w:tcPr>
            <w:tcW w:w="1659" w:type="dxa"/>
            <w:shd w:val="clear" w:color="auto" w:fill="auto"/>
            <w:vAlign w:val="center"/>
          </w:tcPr>
          <w:p w14:paraId="5FDF8038" w14:textId="6DFD46E5" w:rsidR="004D71EE" w:rsidRPr="00B55A80" w:rsidRDefault="004D71EE" w:rsidP="004D71EE">
            <w:pPr>
              <w:jc w:val="center"/>
              <w:rPr>
                <w:color w:val="000000"/>
              </w:rPr>
            </w:pPr>
            <w:r>
              <w:rPr>
                <w:color w:val="000000"/>
              </w:rPr>
              <w:t>-</w:t>
            </w:r>
          </w:p>
        </w:tc>
        <w:tc>
          <w:tcPr>
            <w:tcW w:w="2470" w:type="dxa"/>
            <w:shd w:val="clear" w:color="auto" w:fill="auto"/>
            <w:vAlign w:val="center"/>
          </w:tcPr>
          <w:p w14:paraId="1C46D484" w14:textId="6A989663" w:rsidR="004D71EE" w:rsidRPr="00837535" w:rsidRDefault="004D71EE" w:rsidP="00583678">
            <w:pPr>
              <w:jc w:val="center"/>
              <w:rPr>
                <w:color w:val="000000"/>
                <w:vertAlign w:val="superscript"/>
              </w:rPr>
            </w:pPr>
            <w:r w:rsidRPr="004D71EE">
              <w:rPr>
                <w:b/>
                <w:i/>
                <w:color w:val="000000"/>
              </w:rPr>
              <w:t>11</w:t>
            </w:r>
          </w:p>
        </w:tc>
      </w:tr>
    </w:tbl>
    <w:p w14:paraId="2AE444BD" w14:textId="77777777" w:rsidR="00837535" w:rsidRPr="00AD16C3" w:rsidRDefault="00837535" w:rsidP="00837535">
      <w:pPr>
        <w:pStyle w:val="blankspacesaftertables"/>
        <w:tabs>
          <w:tab w:val="left" w:pos="540"/>
        </w:tabs>
        <w:spacing w:before="60" w:after="60"/>
        <w:ind w:firstLine="1080"/>
        <w:rPr>
          <w:sz w:val="18"/>
          <w:szCs w:val="18"/>
          <w:u w:val="single"/>
        </w:rPr>
      </w:pPr>
      <w:r w:rsidRPr="00AD16C3">
        <w:rPr>
          <w:sz w:val="18"/>
          <w:szCs w:val="18"/>
          <w:u w:val="single"/>
        </w:rPr>
        <w:t>Unit Abbreviations:</w:t>
      </w:r>
    </w:p>
    <w:p w14:paraId="122DCF92" w14:textId="004914FE" w:rsidR="00837535" w:rsidRPr="00AD16C3" w:rsidRDefault="00837535" w:rsidP="00837535">
      <w:pPr>
        <w:pStyle w:val="blankspacesaftertables"/>
        <w:tabs>
          <w:tab w:val="left" w:pos="1080"/>
        </w:tabs>
        <w:ind w:left="540" w:firstLine="540"/>
        <w:rPr>
          <w:sz w:val="18"/>
          <w:szCs w:val="18"/>
        </w:rPr>
      </w:pPr>
      <w:r>
        <w:rPr>
          <w:sz w:val="18"/>
          <w:szCs w:val="18"/>
        </w:rPr>
        <w:t xml:space="preserve">kg/yr </w:t>
      </w:r>
      <w:r w:rsidRPr="00AD16C3">
        <w:rPr>
          <w:sz w:val="18"/>
          <w:szCs w:val="18"/>
        </w:rPr>
        <w:t xml:space="preserve">= </w:t>
      </w:r>
      <w:r>
        <w:rPr>
          <w:sz w:val="18"/>
          <w:szCs w:val="18"/>
        </w:rPr>
        <w:t>kilog</w:t>
      </w:r>
      <w:r w:rsidRPr="00AD16C3">
        <w:rPr>
          <w:sz w:val="18"/>
          <w:szCs w:val="18"/>
        </w:rPr>
        <w:t xml:space="preserve">rams per </w:t>
      </w:r>
      <w:r>
        <w:rPr>
          <w:sz w:val="18"/>
          <w:szCs w:val="18"/>
        </w:rPr>
        <w:t>year</w:t>
      </w:r>
    </w:p>
    <w:p w14:paraId="70124347" w14:textId="1CDB1575" w:rsidR="00837535" w:rsidRPr="00AD16C3" w:rsidRDefault="00837535" w:rsidP="00837535">
      <w:pPr>
        <w:pStyle w:val="TableFootnotes"/>
        <w:ind w:left="540" w:right="-180" w:firstLine="540"/>
        <w:rPr>
          <w:rFonts w:ascii="Times New Roman" w:hAnsi="Times New Roman" w:cs="Times New Roman"/>
          <w:vertAlign w:val="superscript"/>
        </w:rPr>
      </w:pPr>
      <w:r w:rsidRPr="00AD16C3">
        <w:rPr>
          <w:rFonts w:ascii="Times New Roman" w:hAnsi="Times New Roman" w:cs="Times New Roman"/>
          <w:u w:val="single"/>
        </w:rPr>
        <w:t>Footnote:</w:t>
      </w:r>
      <w:r w:rsidRPr="00AD16C3">
        <w:rPr>
          <w:rFonts w:ascii="Times New Roman" w:hAnsi="Times New Roman" w:cs="Times New Roman"/>
          <w:vertAlign w:val="superscript"/>
        </w:rPr>
        <w:t xml:space="preserve"> </w:t>
      </w:r>
    </w:p>
    <w:p w14:paraId="07AC00EB" w14:textId="1C7588A2" w:rsidR="00837535" w:rsidRDefault="00837535" w:rsidP="00837535">
      <w:pPr>
        <w:pStyle w:val="TableFootnotes"/>
        <w:ind w:left="1350" w:hanging="270"/>
        <w:rPr>
          <w:rFonts w:ascii="Times New Roman" w:hAnsi="Times New Roman" w:cs="Times New Roman"/>
        </w:rPr>
      </w:pPr>
      <w:r w:rsidRPr="00AD16C3">
        <w:rPr>
          <w:rFonts w:ascii="Times New Roman" w:hAnsi="Times New Roman" w:cs="Times New Roman"/>
          <w:vertAlign w:val="superscript"/>
        </w:rPr>
        <w:t>[1]</w:t>
      </w:r>
      <w:r>
        <w:rPr>
          <w:rFonts w:ascii="Times New Roman" w:hAnsi="Times New Roman" w:cs="Times New Roman"/>
        </w:rPr>
        <w:t xml:space="preserve"> </w:t>
      </w:r>
      <w:r>
        <w:rPr>
          <w:rFonts w:ascii="Times New Roman" w:hAnsi="Times New Roman" w:cs="Times New Roman"/>
        </w:rPr>
        <w:tab/>
      </w:r>
      <w:r w:rsidRPr="00164D18">
        <w:rPr>
          <w:rFonts w:ascii="Times New Roman" w:hAnsi="Times New Roman"/>
          <w:bCs/>
          <w:color w:val="000000" w:themeColor="text1"/>
        </w:rPr>
        <w:t>Total differs slightly from the column sum due to rounding to the nearest kilogram.</w:t>
      </w:r>
    </w:p>
    <w:p w14:paraId="461216C4" w14:textId="77777777" w:rsidR="005A1A03" w:rsidRDefault="005A1A03" w:rsidP="005A1A03">
      <w:pPr>
        <w:pStyle w:val="ListParagraph"/>
        <w:shd w:val="clear" w:color="auto" w:fill="FFFFFF"/>
        <w:tabs>
          <w:tab w:val="left" w:pos="1710"/>
        </w:tabs>
        <w:spacing w:after="240"/>
        <w:ind w:left="1710"/>
        <w:rPr>
          <w:rFonts w:cs="Arial"/>
          <w:sz w:val="24"/>
          <w:szCs w:val="24"/>
        </w:rPr>
      </w:pPr>
    </w:p>
    <w:p w14:paraId="42AD0643" w14:textId="05CE037B" w:rsidR="008C46E5" w:rsidRPr="008C46E5" w:rsidRDefault="005A1A03" w:rsidP="008C46E5">
      <w:pPr>
        <w:pStyle w:val="ListParagraph"/>
        <w:shd w:val="clear" w:color="auto" w:fill="FFFFFF"/>
        <w:tabs>
          <w:tab w:val="left" w:pos="1710"/>
        </w:tabs>
        <w:spacing w:after="240"/>
        <w:ind w:left="1710"/>
        <w:rPr>
          <w:rFonts w:cs="Arial"/>
          <w:sz w:val="24"/>
          <w:szCs w:val="24"/>
        </w:rPr>
      </w:pPr>
      <w:r>
        <w:rPr>
          <w:rFonts w:cs="Arial"/>
          <w:sz w:val="24"/>
          <w:szCs w:val="24"/>
        </w:rPr>
        <w:lastRenderedPageBreak/>
        <w:t xml:space="preserve">Basin Plan Tables 7.2.2-4 and 7.2.2-5 specify the </w:t>
      </w:r>
      <w:r w:rsidRPr="00C64921">
        <w:rPr>
          <w:rFonts w:cs="Arial"/>
          <w:sz w:val="24"/>
          <w:szCs w:val="24"/>
        </w:rPr>
        <w:t xml:space="preserve">San Francisco Bay </w:t>
      </w:r>
      <w:r w:rsidR="003B3F50">
        <w:rPr>
          <w:rFonts w:cs="Arial"/>
          <w:sz w:val="24"/>
          <w:szCs w:val="24"/>
        </w:rPr>
        <w:t>Mercury TMDL</w:t>
      </w:r>
      <w:r w:rsidRPr="00C64921">
        <w:rPr>
          <w:rFonts w:cs="Arial"/>
          <w:sz w:val="24"/>
          <w:szCs w:val="24"/>
        </w:rPr>
        <w:t xml:space="preserve">’s </w:t>
      </w:r>
      <w:r>
        <w:rPr>
          <w:rFonts w:cs="Arial"/>
          <w:sz w:val="24"/>
          <w:szCs w:val="24"/>
        </w:rPr>
        <w:t>final a</w:t>
      </w:r>
      <w:r w:rsidRPr="00C64921">
        <w:rPr>
          <w:rFonts w:cs="Arial"/>
          <w:sz w:val="24"/>
          <w:szCs w:val="24"/>
        </w:rPr>
        <w:t xml:space="preserve">ggregate </w:t>
      </w:r>
      <w:r>
        <w:rPr>
          <w:rFonts w:cs="Arial"/>
          <w:sz w:val="24"/>
          <w:szCs w:val="24"/>
        </w:rPr>
        <w:t xml:space="preserve">mass emission </w:t>
      </w:r>
      <w:r w:rsidRPr="00C64921">
        <w:rPr>
          <w:rFonts w:cs="Arial"/>
          <w:sz w:val="24"/>
          <w:szCs w:val="24"/>
        </w:rPr>
        <w:t xml:space="preserve">limit and associated individual </w:t>
      </w:r>
      <w:r>
        <w:rPr>
          <w:rFonts w:cs="Arial"/>
          <w:sz w:val="24"/>
          <w:szCs w:val="24"/>
        </w:rPr>
        <w:t xml:space="preserve">mass emission </w:t>
      </w:r>
      <w:r w:rsidRPr="00C64921">
        <w:rPr>
          <w:rFonts w:cs="Arial"/>
          <w:sz w:val="24"/>
          <w:szCs w:val="24"/>
        </w:rPr>
        <w:t xml:space="preserve">limits for </w:t>
      </w:r>
      <w:r>
        <w:rPr>
          <w:rFonts w:cs="Arial"/>
          <w:sz w:val="24"/>
          <w:szCs w:val="24"/>
        </w:rPr>
        <w:t>Industrial</w:t>
      </w:r>
      <w:r w:rsidRPr="00C64921">
        <w:rPr>
          <w:rFonts w:cs="Arial"/>
          <w:sz w:val="24"/>
          <w:szCs w:val="24"/>
        </w:rPr>
        <w:t xml:space="preserve"> Dischargers </w:t>
      </w:r>
      <w:r>
        <w:rPr>
          <w:rFonts w:cs="Arial"/>
          <w:sz w:val="24"/>
          <w:szCs w:val="24"/>
        </w:rPr>
        <w:t>as</w:t>
      </w:r>
      <w:r w:rsidRPr="00C64921">
        <w:rPr>
          <w:rFonts w:cs="Arial"/>
          <w:sz w:val="24"/>
          <w:szCs w:val="24"/>
        </w:rPr>
        <w:t xml:space="preserve"> shown in Table F-</w:t>
      </w:r>
      <w:r>
        <w:rPr>
          <w:rFonts w:cs="Arial"/>
          <w:sz w:val="24"/>
          <w:szCs w:val="24"/>
        </w:rPr>
        <w:t>5</w:t>
      </w:r>
      <w:r w:rsidRPr="00C64921">
        <w:rPr>
          <w:rFonts w:cs="Arial"/>
          <w:sz w:val="24"/>
          <w:szCs w:val="24"/>
        </w:rPr>
        <w:t xml:space="preserve"> below</w:t>
      </w:r>
      <w:r>
        <w:rPr>
          <w:rFonts w:cs="Arial"/>
          <w:sz w:val="24"/>
          <w:szCs w:val="24"/>
        </w:rPr>
        <w:t>.</w:t>
      </w:r>
      <w:r w:rsidRPr="00C64921">
        <w:rPr>
          <w:rFonts w:cs="Arial"/>
          <w:sz w:val="24"/>
          <w:szCs w:val="24"/>
        </w:rPr>
        <w:t xml:space="preserve">  </w:t>
      </w:r>
    </w:p>
    <w:p w14:paraId="07591741" w14:textId="3548EE79" w:rsidR="008C46E5" w:rsidRPr="008C46E5" w:rsidRDefault="008C46E5" w:rsidP="008C46E5">
      <w:pPr>
        <w:pStyle w:val="TableHeader1F"/>
        <w:keepNext/>
        <w:contextualSpacing/>
        <w:jc w:val="center"/>
        <w:rPr>
          <w:rFonts w:ascii="Times New Roman" w:hAnsi="Times New Roman" w:cs="Times New Roman"/>
          <w:sz w:val="24"/>
          <w:szCs w:val="24"/>
        </w:rPr>
      </w:pPr>
      <w:bookmarkStart w:id="308" w:name="_Toc487829737"/>
      <w:r w:rsidRPr="00570B42">
        <w:rPr>
          <w:rFonts w:ascii="Times New Roman" w:hAnsi="Times New Roman" w:cs="Times New Roman"/>
          <w:sz w:val="24"/>
          <w:szCs w:val="24"/>
        </w:rPr>
        <w:t>Table F-</w:t>
      </w:r>
      <w:r>
        <w:rPr>
          <w:rFonts w:ascii="Times New Roman" w:hAnsi="Times New Roman" w:cs="Times New Roman"/>
          <w:sz w:val="24"/>
          <w:szCs w:val="24"/>
        </w:rPr>
        <w:t>5</w:t>
      </w:r>
      <w:r w:rsidRPr="00570B42">
        <w:rPr>
          <w:rFonts w:ascii="Times New Roman" w:hAnsi="Times New Roman" w:cs="Times New Roman"/>
          <w:sz w:val="24"/>
          <w:szCs w:val="24"/>
        </w:rPr>
        <w:t xml:space="preserve">. </w:t>
      </w:r>
      <w:r>
        <w:rPr>
          <w:rFonts w:ascii="Times New Roman" w:hAnsi="Times New Roman" w:cs="Times New Roman"/>
          <w:sz w:val="24"/>
          <w:szCs w:val="24"/>
        </w:rPr>
        <w:t>Mass Emission Allocations for Industrial Dischargers</w:t>
      </w:r>
      <w:bookmarkEnd w:id="308"/>
    </w:p>
    <w:tbl>
      <w:tblPr>
        <w:tblW w:w="772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776"/>
        <w:gridCol w:w="1659"/>
        <w:gridCol w:w="2290"/>
      </w:tblGrid>
      <w:tr w:rsidR="00722F03" w:rsidRPr="00B55A80" w14:paraId="5ECCC8D8" w14:textId="77777777" w:rsidTr="00BD6291">
        <w:trPr>
          <w:cantSplit/>
          <w:jc w:val="center"/>
        </w:trPr>
        <w:tc>
          <w:tcPr>
            <w:tcW w:w="3776" w:type="dxa"/>
            <w:tcBorders>
              <w:bottom w:val="single" w:sz="12" w:space="0" w:color="auto"/>
            </w:tcBorders>
            <w:shd w:val="clear" w:color="auto" w:fill="auto"/>
            <w:vAlign w:val="center"/>
          </w:tcPr>
          <w:p w14:paraId="4141DA07" w14:textId="76F241A1" w:rsidR="00722F03" w:rsidRPr="00B55A80" w:rsidRDefault="00722F03" w:rsidP="00722F03">
            <w:pPr>
              <w:spacing w:before="20" w:after="20"/>
              <w:jc w:val="center"/>
              <w:rPr>
                <w:rFonts w:eastAsia="Arial Unicode MS"/>
              </w:rPr>
            </w:pPr>
            <w:r w:rsidRPr="00B55A80">
              <w:rPr>
                <w:b/>
                <w:color w:val="000000"/>
              </w:rPr>
              <w:t>Discharger</w:t>
            </w:r>
          </w:p>
        </w:tc>
        <w:tc>
          <w:tcPr>
            <w:tcW w:w="1659" w:type="dxa"/>
            <w:tcBorders>
              <w:bottom w:val="single" w:sz="12" w:space="0" w:color="auto"/>
            </w:tcBorders>
            <w:shd w:val="clear" w:color="auto" w:fill="auto"/>
            <w:vAlign w:val="center"/>
          </w:tcPr>
          <w:p w14:paraId="16561E01" w14:textId="46CCB5AC" w:rsidR="00722F03" w:rsidRPr="00B55A80" w:rsidRDefault="00722F03" w:rsidP="00722F03">
            <w:pPr>
              <w:jc w:val="center"/>
              <w:rPr>
                <w:color w:val="000000"/>
              </w:rPr>
            </w:pPr>
            <w:r w:rsidRPr="00B55A80">
              <w:rPr>
                <w:b/>
                <w:color w:val="000000"/>
              </w:rPr>
              <w:t>NPDES Permit No.</w:t>
            </w:r>
          </w:p>
        </w:tc>
        <w:tc>
          <w:tcPr>
            <w:tcW w:w="2290" w:type="dxa"/>
            <w:tcBorders>
              <w:bottom w:val="single" w:sz="12" w:space="0" w:color="auto"/>
            </w:tcBorders>
            <w:shd w:val="clear" w:color="auto" w:fill="auto"/>
            <w:vAlign w:val="center"/>
          </w:tcPr>
          <w:p w14:paraId="36626ED0" w14:textId="164D9DAF" w:rsidR="00722F03" w:rsidRDefault="00722F03" w:rsidP="00722F03">
            <w:pPr>
              <w:keepNext/>
              <w:contextualSpacing/>
              <w:jc w:val="center"/>
              <w:rPr>
                <w:b/>
                <w:color w:val="000000"/>
                <w:vertAlign w:val="superscript"/>
              </w:rPr>
            </w:pPr>
            <w:r w:rsidRPr="00591153">
              <w:rPr>
                <w:b/>
                <w:color w:val="000000"/>
              </w:rPr>
              <w:t>Average Annual  Effluent Limit for Mercury</w:t>
            </w:r>
          </w:p>
          <w:p w14:paraId="00C9CF94" w14:textId="7941E78B" w:rsidR="00722F03" w:rsidRPr="00B55A80" w:rsidRDefault="00722F03" w:rsidP="00722F03">
            <w:pPr>
              <w:jc w:val="center"/>
              <w:rPr>
                <w:color w:val="000000"/>
              </w:rPr>
            </w:pPr>
            <w:r w:rsidRPr="00591153">
              <w:rPr>
                <w:b/>
                <w:color w:val="000000"/>
              </w:rPr>
              <w:t>(kg/yr)</w:t>
            </w:r>
          </w:p>
        </w:tc>
      </w:tr>
      <w:tr w:rsidR="00583678" w:rsidRPr="00B55A80" w14:paraId="0AE66BA5" w14:textId="77777777" w:rsidTr="00BD6291">
        <w:trPr>
          <w:cantSplit/>
          <w:jc w:val="center"/>
        </w:trPr>
        <w:tc>
          <w:tcPr>
            <w:tcW w:w="7725" w:type="dxa"/>
            <w:gridSpan w:val="3"/>
            <w:tcBorders>
              <w:top w:val="single" w:sz="12" w:space="0" w:color="auto"/>
              <w:bottom w:val="single" w:sz="12" w:space="0" w:color="auto"/>
            </w:tcBorders>
            <w:shd w:val="clear" w:color="auto" w:fill="D9D9D9" w:themeFill="background1" w:themeFillShade="D9"/>
            <w:vAlign w:val="center"/>
          </w:tcPr>
          <w:p w14:paraId="244BCC39" w14:textId="6C30EF99" w:rsidR="00583678" w:rsidRPr="00591153" w:rsidRDefault="00583678" w:rsidP="00722F03">
            <w:pPr>
              <w:keepNext/>
              <w:contextualSpacing/>
              <w:jc w:val="center"/>
              <w:rPr>
                <w:b/>
                <w:color w:val="000000"/>
              </w:rPr>
            </w:pPr>
            <w:r>
              <w:rPr>
                <w:b/>
                <w:color w:val="000000"/>
              </w:rPr>
              <w:t>Industrial Dischargers (Non-Petroleum Refinery)</w:t>
            </w:r>
          </w:p>
        </w:tc>
      </w:tr>
      <w:tr w:rsidR="00583678" w:rsidRPr="00B55A80" w14:paraId="17BB0AEE" w14:textId="77777777" w:rsidTr="00BD6291">
        <w:trPr>
          <w:cantSplit/>
          <w:jc w:val="center"/>
        </w:trPr>
        <w:tc>
          <w:tcPr>
            <w:tcW w:w="3776" w:type="dxa"/>
            <w:tcBorders>
              <w:top w:val="single" w:sz="12" w:space="0" w:color="auto"/>
            </w:tcBorders>
            <w:shd w:val="clear" w:color="auto" w:fill="auto"/>
            <w:vAlign w:val="center"/>
          </w:tcPr>
          <w:p w14:paraId="7EBF8023" w14:textId="77777777" w:rsidR="00583678" w:rsidRPr="00B55A80" w:rsidRDefault="00583678" w:rsidP="00583678">
            <w:pPr>
              <w:spacing w:before="20" w:after="20"/>
              <w:rPr>
                <w:rFonts w:eastAsia="Arial Unicode MS"/>
              </w:rPr>
            </w:pPr>
            <w:r w:rsidRPr="00B55A80">
              <w:rPr>
                <w:rFonts w:eastAsia="Arial Unicode MS"/>
              </w:rPr>
              <w:t>C&amp;H Sugar and Crockett Community Services District, Crockett Sanitary Dept.</w:t>
            </w:r>
          </w:p>
        </w:tc>
        <w:tc>
          <w:tcPr>
            <w:tcW w:w="1659" w:type="dxa"/>
            <w:tcBorders>
              <w:top w:val="single" w:sz="12" w:space="0" w:color="auto"/>
            </w:tcBorders>
            <w:shd w:val="clear" w:color="auto" w:fill="auto"/>
            <w:vAlign w:val="center"/>
          </w:tcPr>
          <w:p w14:paraId="13A3A9CB" w14:textId="77777777" w:rsidR="00583678" w:rsidRPr="00B55A80" w:rsidRDefault="00583678" w:rsidP="00583678">
            <w:pPr>
              <w:jc w:val="center"/>
              <w:rPr>
                <w:color w:val="000000"/>
              </w:rPr>
            </w:pPr>
            <w:r w:rsidRPr="00B55A80">
              <w:rPr>
                <w:color w:val="000000"/>
              </w:rPr>
              <w:t>CA0005240</w:t>
            </w:r>
          </w:p>
        </w:tc>
        <w:tc>
          <w:tcPr>
            <w:tcW w:w="2290" w:type="dxa"/>
            <w:tcBorders>
              <w:top w:val="single" w:sz="12" w:space="0" w:color="auto"/>
            </w:tcBorders>
            <w:shd w:val="clear" w:color="auto" w:fill="auto"/>
            <w:vAlign w:val="center"/>
          </w:tcPr>
          <w:p w14:paraId="08B57F21" w14:textId="210BE367" w:rsidR="00583678" w:rsidRPr="00B55A80" w:rsidRDefault="00583678" w:rsidP="00583678">
            <w:pPr>
              <w:jc w:val="center"/>
              <w:rPr>
                <w:color w:val="000000"/>
              </w:rPr>
            </w:pPr>
            <w:r>
              <w:rPr>
                <w:color w:val="000000"/>
              </w:rPr>
              <w:t>0.045</w:t>
            </w:r>
          </w:p>
        </w:tc>
      </w:tr>
      <w:tr w:rsidR="00583678" w:rsidRPr="00B55A80" w14:paraId="3FB0CC54" w14:textId="77777777" w:rsidTr="00BD6291">
        <w:trPr>
          <w:cantSplit/>
          <w:jc w:val="center"/>
        </w:trPr>
        <w:tc>
          <w:tcPr>
            <w:tcW w:w="3776" w:type="dxa"/>
            <w:shd w:val="clear" w:color="auto" w:fill="auto"/>
            <w:vAlign w:val="center"/>
          </w:tcPr>
          <w:p w14:paraId="7D9EFB23" w14:textId="77777777" w:rsidR="00583678" w:rsidRPr="00B55A80" w:rsidRDefault="00583678" w:rsidP="00583678">
            <w:pPr>
              <w:spacing w:before="20" w:after="20"/>
              <w:rPr>
                <w:rFonts w:eastAsia="Arial Unicode MS"/>
              </w:rPr>
            </w:pPr>
            <w:r w:rsidRPr="00B55A80">
              <w:rPr>
                <w:rFonts w:eastAsia="Arial Unicode MS"/>
              </w:rPr>
              <w:t>Crockett Cogeneration, LP, and Pacific Crockett Energy, Inc.</w:t>
            </w:r>
          </w:p>
        </w:tc>
        <w:tc>
          <w:tcPr>
            <w:tcW w:w="1659" w:type="dxa"/>
            <w:shd w:val="clear" w:color="auto" w:fill="auto"/>
            <w:vAlign w:val="center"/>
          </w:tcPr>
          <w:p w14:paraId="57157423" w14:textId="77777777" w:rsidR="00583678" w:rsidRPr="00B55A80" w:rsidRDefault="00583678" w:rsidP="00583678">
            <w:pPr>
              <w:jc w:val="center"/>
              <w:rPr>
                <w:color w:val="000000"/>
              </w:rPr>
            </w:pPr>
            <w:r w:rsidRPr="00B55A80">
              <w:rPr>
                <w:color w:val="000000"/>
              </w:rPr>
              <w:t>CA0029904</w:t>
            </w:r>
          </w:p>
        </w:tc>
        <w:tc>
          <w:tcPr>
            <w:tcW w:w="2290" w:type="dxa"/>
            <w:shd w:val="clear" w:color="auto" w:fill="auto"/>
            <w:vAlign w:val="center"/>
          </w:tcPr>
          <w:p w14:paraId="6D153775" w14:textId="37B8D3DB" w:rsidR="00583678" w:rsidRPr="00B55A80" w:rsidRDefault="00583678" w:rsidP="00583678">
            <w:pPr>
              <w:jc w:val="center"/>
              <w:rPr>
                <w:color w:val="000000"/>
              </w:rPr>
            </w:pPr>
            <w:r>
              <w:rPr>
                <w:color w:val="000000"/>
              </w:rPr>
              <w:t>0.0047</w:t>
            </w:r>
          </w:p>
        </w:tc>
      </w:tr>
      <w:tr w:rsidR="00E869D9" w:rsidRPr="00B55A80" w14:paraId="7050A886" w14:textId="77777777" w:rsidTr="00BD6291">
        <w:trPr>
          <w:cantSplit/>
          <w:jc w:val="center"/>
        </w:trPr>
        <w:tc>
          <w:tcPr>
            <w:tcW w:w="3776" w:type="dxa"/>
            <w:shd w:val="clear" w:color="auto" w:fill="auto"/>
            <w:vAlign w:val="center"/>
          </w:tcPr>
          <w:p w14:paraId="2E85ED10" w14:textId="396F53CD" w:rsidR="00E869D9" w:rsidRPr="00B55A80" w:rsidRDefault="00E869D9" w:rsidP="00583678">
            <w:pPr>
              <w:spacing w:before="20" w:after="20"/>
              <w:rPr>
                <w:rFonts w:eastAsia="Arial Unicode MS"/>
              </w:rPr>
            </w:pPr>
            <w:r>
              <w:rPr>
                <w:rFonts w:eastAsia="Arial Unicode MS"/>
              </w:rPr>
              <w:t>Dow Chemical Company</w:t>
            </w:r>
          </w:p>
        </w:tc>
        <w:tc>
          <w:tcPr>
            <w:tcW w:w="1659" w:type="dxa"/>
            <w:shd w:val="clear" w:color="auto" w:fill="auto"/>
            <w:vAlign w:val="center"/>
          </w:tcPr>
          <w:p w14:paraId="62E4579A" w14:textId="16234BD6" w:rsidR="00E869D9" w:rsidRPr="00B55A80" w:rsidRDefault="00745C9E" w:rsidP="00583678">
            <w:pPr>
              <w:jc w:val="center"/>
              <w:rPr>
                <w:color w:val="000000"/>
              </w:rPr>
            </w:pPr>
            <w:r>
              <w:rPr>
                <w:color w:val="000000"/>
              </w:rPr>
              <w:t>-</w:t>
            </w:r>
          </w:p>
        </w:tc>
        <w:tc>
          <w:tcPr>
            <w:tcW w:w="2290" w:type="dxa"/>
            <w:shd w:val="clear" w:color="auto" w:fill="auto"/>
            <w:vAlign w:val="center"/>
          </w:tcPr>
          <w:p w14:paraId="6D019226" w14:textId="09027F5D" w:rsidR="00E869D9" w:rsidRDefault="005601A5" w:rsidP="00583678">
            <w:pPr>
              <w:jc w:val="center"/>
              <w:rPr>
                <w:color w:val="000000"/>
              </w:rPr>
            </w:pPr>
            <w:r>
              <w:rPr>
                <w:color w:val="000000"/>
              </w:rPr>
              <w:t>0.041</w:t>
            </w:r>
          </w:p>
        </w:tc>
      </w:tr>
      <w:tr w:rsidR="00E869D9" w:rsidRPr="00B55A80" w14:paraId="43D104D5" w14:textId="77777777" w:rsidTr="00BD6291">
        <w:trPr>
          <w:cantSplit/>
          <w:jc w:val="center"/>
        </w:trPr>
        <w:tc>
          <w:tcPr>
            <w:tcW w:w="3776" w:type="dxa"/>
            <w:shd w:val="clear" w:color="auto" w:fill="auto"/>
            <w:vAlign w:val="center"/>
          </w:tcPr>
          <w:p w14:paraId="416FABE7" w14:textId="1A234F7B" w:rsidR="00E869D9" w:rsidRPr="00B55A80" w:rsidRDefault="00E869D9" w:rsidP="00583678">
            <w:pPr>
              <w:spacing w:before="20" w:after="20"/>
              <w:rPr>
                <w:rFonts w:eastAsia="Arial Unicode MS"/>
              </w:rPr>
            </w:pPr>
            <w:r>
              <w:rPr>
                <w:rFonts w:eastAsia="Arial Unicode MS"/>
              </w:rPr>
              <w:t>General Chemical</w:t>
            </w:r>
          </w:p>
        </w:tc>
        <w:tc>
          <w:tcPr>
            <w:tcW w:w="1659" w:type="dxa"/>
            <w:shd w:val="clear" w:color="auto" w:fill="auto"/>
            <w:vAlign w:val="center"/>
          </w:tcPr>
          <w:p w14:paraId="7422812D" w14:textId="782DF1B7" w:rsidR="00E869D9" w:rsidRPr="00B55A80" w:rsidRDefault="00745C9E" w:rsidP="00583678">
            <w:pPr>
              <w:jc w:val="center"/>
              <w:rPr>
                <w:color w:val="000000"/>
              </w:rPr>
            </w:pPr>
            <w:r>
              <w:rPr>
                <w:color w:val="000000"/>
              </w:rPr>
              <w:t>-</w:t>
            </w:r>
          </w:p>
        </w:tc>
        <w:tc>
          <w:tcPr>
            <w:tcW w:w="2290" w:type="dxa"/>
            <w:shd w:val="clear" w:color="auto" w:fill="auto"/>
            <w:vAlign w:val="center"/>
          </w:tcPr>
          <w:p w14:paraId="6AC28764" w14:textId="712CCC97" w:rsidR="00E869D9" w:rsidRDefault="005601A5" w:rsidP="00583678">
            <w:pPr>
              <w:jc w:val="center"/>
              <w:rPr>
                <w:color w:val="000000"/>
              </w:rPr>
            </w:pPr>
            <w:r>
              <w:rPr>
                <w:color w:val="000000"/>
              </w:rPr>
              <w:t>0.21</w:t>
            </w:r>
          </w:p>
        </w:tc>
      </w:tr>
      <w:tr w:rsidR="00E869D9" w:rsidRPr="00B55A80" w14:paraId="7CD7C503" w14:textId="77777777" w:rsidTr="00BD6291">
        <w:trPr>
          <w:cantSplit/>
          <w:jc w:val="center"/>
        </w:trPr>
        <w:tc>
          <w:tcPr>
            <w:tcW w:w="3776" w:type="dxa"/>
            <w:shd w:val="clear" w:color="auto" w:fill="auto"/>
            <w:vAlign w:val="center"/>
          </w:tcPr>
          <w:p w14:paraId="29B29C68" w14:textId="1F8A17EF" w:rsidR="00E869D9" w:rsidRPr="00B55A80" w:rsidRDefault="00E869D9" w:rsidP="00583678">
            <w:pPr>
              <w:spacing w:before="20" w:after="20"/>
              <w:rPr>
                <w:rFonts w:eastAsia="Arial Unicode MS"/>
              </w:rPr>
            </w:pPr>
            <w:r>
              <w:rPr>
                <w:rFonts w:eastAsia="Arial Unicode MS"/>
              </w:rPr>
              <w:t xml:space="preserve">GWF Power Systems, Site </w:t>
            </w:r>
            <w:r w:rsidR="0017377E">
              <w:rPr>
                <w:rFonts w:eastAsia="Arial Unicode MS"/>
              </w:rPr>
              <w:t>I</w:t>
            </w:r>
          </w:p>
        </w:tc>
        <w:tc>
          <w:tcPr>
            <w:tcW w:w="1659" w:type="dxa"/>
            <w:shd w:val="clear" w:color="auto" w:fill="auto"/>
            <w:vAlign w:val="center"/>
          </w:tcPr>
          <w:p w14:paraId="4427078A" w14:textId="4CDEB1F4" w:rsidR="00E869D9" w:rsidRPr="00B55A80" w:rsidRDefault="005601A5" w:rsidP="00583678">
            <w:pPr>
              <w:jc w:val="center"/>
              <w:rPr>
                <w:color w:val="000000"/>
              </w:rPr>
            </w:pPr>
            <w:r>
              <w:rPr>
                <w:color w:val="000000"/>
              </w:rPr>
              <w:t>-</w:t>
            </w:r>
          </w:p>
        </w:tc>
        <w:tc>
          <w:tcPr>
            <w:tcW w:w="2290" w:type="dxa"/>
            <w:shd w:val="clear" w:color="auto" w:fill="auto"/>
            <w:vAlign w:val="center"/>
          </w:tcPr>
          <w:p w14:paraId="28591718" w14:textId="676D9561" w:rsidR="00E869D9" w:rsidRDefault="00C27D1B" w:rsidP="00583678">
            <w:pPr>
              <w:jc w:val="center"/>
              <w:rPr>
                <w:color w:val="000000"/>
              </w:rPr>
            </w:pPr>
            <w:r>
              <w:rPr>
                <w:color w:val="000000"/>
              </w:rPr>
              <w:t>0.0016</w:t>
            </w:r>
          </w:p>
        </w:tc>
      </w:tr>
      <w:tr w:rsidR="00E869D9" w:rsidRPr="00B55A80" w14:paraId="3C845446" w14:textId="77777777" w:rsidTr="00BD6291">
        <w:trPr>
          <w:cantSplit/>
          <w:jc w:val="center"/>
        </w:trPr>
        <w:tc>
          <w:tcPr>
            <w:tcW w:w="3776" w:type="dxa"/>
            <w:shd w:val="clear" w:color="auto" w:fill="auto"/>
            <w:vAlign w:val="center"/>
          </w:tcPr>
          <w:p w14:paraId="4BC2E355" w14:textId="6777BAD5" w:rsidR="00E869D9" w:rsidRPr="00B55A80" w:rsidRDefault="00E869D9" w:rsidP="00583678">
            <w:pPr>
              <w:spacing w:before="20" w:after="20"/>
              <w:rPr>
                <w:rFonts w:eastAsia="Arial Unicode MS"/>
              </w:rPr>
            </w:pPr>
            <w:r>
              <w:rPr>
                <w:rFonts w:eastAsia="Arial Unicode MS"/>
              </w:rPr>
              <w:t>GWF Power Systems, Site V</w:t>
            </w:r>
          </w:p>
        </w:tc>
        <w:tc>
          <w:tcPr>
            <w:tcW w:w="1659" w:type="dxa"/>
            <w:shd w:val="clear" w:color="auto" w:fill="auto"/>
            <w:vAlign w:val="center"/>
          </w:tcPr>
          <w:p w14:paraId="0E98016F" w14:textId="04AA0EDF" w:rsidR="00E869D9" w:rsidRPr="00B55A80" w:rsidRDefault="005601A5" w:rsidP="00583678">
            <w:pPr>
              <w:jc w:val="center"/>
              <w:rPr>
                <w:color w:val="000000"/>
              </w:rPr>
            </w:pPr>
            <w:r>
              <w:rPr>
                <w:color w:val="000000"/>
              </w:rPr>
              <w:t>-</w:t>
            </w:r>
          </w:p>
        </w:tc>
        <w:tc>
          <w:tcPr>
            <w:tcW w:w="2290" w:type="dxa"/>
            <w:shd w:val="clear" w:color="auto" w:fill="auto"/>
            <w:vAlign w:val="center"/>
          </w:tcPr>
          <w:p w14:paraId="787BB2B9" w14:textId="795110B9" w:rsidR="00E869D9" w:rsidRDefault="00C27D1B" w:rsidP="00583678">
            <w:pPr>
              <w:jc w:val="center"/>
              <w:rPr>
                <w:color w:val="000000"/>
              </w:rPr>
            </w:pPr>
            <w:r>
              <w:rPr>
                <w:color w:val="000000"/>
              </w:rPr>
              <w:t>0.0025</w:t>
            </w:r>
          </w:p>
        </w:tc>
      </w:tr>
      <w:tr w:rsidR="00E869D9" w:rsidRPr="00B55A80" w14:paraId="5A0CE737" w14:textId="77777777" w:rsidTr="00BD6291">
        <w:trPr>
          <w:cantSplit/>
          <w:jc w:val="center"/>
        </w:trPr>
        <w:tc>
          <w:tcPr>
            <w:tcW w:w="3776" w:type="dxa"/>
            <w:shd w:val="clear" w:color="auto" w:fill="auto"/>
            <w:vAlign w:val="center"/>
          </w:tcPr>
          <w:p w14:paraId="1DC12726" w14:textId="317ECC7F" w:rsidR="00E869D9" w:rsidRDefault="00E869D9" w:rsidP="00583678">
            <w:pPr>
              <w:spacing w:before="20" w:after="20"/>
              <w:rPr>
                <w:rFonts w:eastAsia="Arial Unicode MS"/>
              </w:rPr>
            </w:pPr>
            <w:r>
              <w:rPr>
                <w:rFonts w:eastAsia="Arial Unicode MS"/>
              </w:rPr>
              <w:t>Hanson Aggregates, Amador Street</w:t>
            </w:r>
          </w:p>
        </w:tc>
        <w:tc>
          <w:tcPr>
            <w:tcW w:w="1659" w:type="dxa"/>
            <w:shd w:val="clear" w:color="auto" w:fill="auto"/>
            <w:vAlign w:val="center"/>
          </w:tcPr>
          <w:p w14:paraId="1607A916" w14:textId="2A9CC40D" w:rsidR="00E869D9" w:rsidRPr="00B55A80" w:rsidRDefault="00FF4CAE" w:rsidP="00583678">
            <w:pPr>
              <w:jc w:val="center"/>
              <w:rPr>
                <w:color w:val="000000"/>
              </w:rPr>
            </w:pPr>
            <w:r>
              <w:rPr>
                <w:color w:val="000000"/>
              </w:rPr>
              <w:t>CA0030139</w:t>
            </w:r>
          </w:p>
        </w:tc>
        <w:tc>
          <w:tcPr>
            <w:tcW w:w="2290" w:type="dxa"/>
            <w:shd w:val="clear" w:color="auto" w:fill="auto"/>
            <w:vAlign w:val="center"/>
          </w:tcPr>
          <w:p w14:paraId="3EEE6106" w14:textId="13A341E3" w:rsidR="00E869D9" w:rsidRDefault="00C27D1B" w:rsidP="00583678">
            <w:pPr>
              <w:jc w:val="center"/>
              <w:rPr>
                <w:color w:val="000000"/>
              </w:rPr>
            </w:pPr>
            <w:r>
              <w:rPr>
                <w:color w:val="000000"/>
              </w:rPr>
              <w:t>0.000005</w:t>
            </w:r>
          </w:p>
        </w:tc>
      </w:tr>
      <w:tr w:rsidR="00E869D9" w:rsidRPr="00B55A80" w14:paraId="4C43A07E" w14:textId="77777777" w:rsidTr="00BD6291">
        <w:trPr>
          <w:cantSplit/>
          <w:jc w:val="center"/>
        </w:trPr>
        <w:tc>
          <w:tcPr>
            <w:tcW w:w="3776" w:type="dxa"/>
            <w:shd w:val="clear" w:color="auto" w:fill="auto"/>
            <w:vAlign w:val="center"/>
          </w:tcPr>
          <w:p w14:paraId="2F885327" w14:textId="77777777" w:rsidR="009B6517" w:rsidRDefault="009B6517" w:rsidP="00583678">
            <w:pPr>
              <w:spacing w:before="20" w:after="20"/>
              <w:rPr>
                <w:rFonts w:eastAsia="Arial Unicode MS"/>
              </w:rPr>
            </w:pPr>
          </w:p>
          <w:p w14:paraId="5480ECB3" w14:textId="3743650C" w:rsidR="00E869D9" w:rsidRDefault="00E869D9" w:rsidP="00583678">
            <w:pPr>
              <w:spacing w:before="20" w:after="20"/>
              <w:rPr>
                <w:rFonts w:eastAsia="Arial Unicode MS"/>
              </w:rPr>
            </w:pPr>
            <w:r>
              <w:rPr>
                <w:rFonts w:eastAsia="Arial Unicode MS"/>
              </w:rPr>
              <w:t>Hanson Aggregates, Tidewater Avenue, Oakland</w:t>
            </w:r>
          </w:p>
        </w:tc>
        <w:tc>
          <w:tcPr>
            <w:tcW w:w="1659" w:type="dxa"/>
            <w:shd w:val="clear" w:color="auto" w:fill="auto"/>
            <w:vAlign w:val="center"/>
          </w:tcPr>
          <w:p w14:paraId="710572FB" w14:textId="0DADDE51" w:rsidR="00E869D9" w:rsidRPr="00B55A80" w:rsidRDefault="00FF4CAE" w:rsidP="00583678">
            <w:pPr>
              <w:jc w:val="center"/>
              <w:rPr>
                <w:color w:val="000000"/>
              </w:rPr>
            </w:pPr>
            <w:r>
              <w:rPr>
                <w:color w:val="000000"/>
              </w:rPr>
              <w:t>CAA030147</w:t>
            </w:r>
          </w:p>
        </w:tc>
        <w:tc>
          <w:tcPr>
            <w:tcW w:w="2290" w:type="dxa"/>
            <w:shd w:val="clear" w:color="auto" w:fill="auto"/>
            <w:vAlign w:val="center"/>
          </w:tcPr>
          <w:p w14:paraId="7918ECDC" w14:textId="50BF3B39" w:rsidR="00E869D9" w:rsidRDefault="00C27D1B" w:rsidP="00583678">
            <w:pPr>
              <w:jc w:val="center"/>
              <w:rPr>
                <w:color w:val="000000"/>
              </w:rPr>
            </w:pPr>
            <w:r>
              <w:rPr>
                <w:color w:val="000000"/>
              </w:rPr>
              <w:t>0.000005</w:t>
            </w:r>
          </w:p>
        </w:tc>
      </w:tr>
      <w:tr w:rsidR="001E6233" w:rsidRPr="00B55A80" w14:paraId="2D388A05" w14:textId="77777777" w:rsidTr="00BD6291">
        <w:trPr>
          <w:cantSplit/>
          <w:jc w:val="center"/>
        </w:trPr>
        <w:tc>
          <w:tcPr>
            <w:tcW w:w="3776" w:type="dxa"/>
            <w:shd w:val="clear" w:color="auto" w:fill="auto"/>
            <w:vAlign w:val="center"/>
          </w:tcPr>
          <w:p w14:paraId="222A183F" w14:textId="7B0C9D13" w:rsidR="001E6233" w:rsidRDefault="001E6233" w:rsidP="00583678">
            <w:pPr>
              <w:spacing w:before="20" w:after="20"/>
              <w:rPr>
                <w:rFonts w:eastAsia="Arial Unicode MS"/>
              </w:rPr>
            </w:pPr>
            <w:r>
              <w:rPr>
                <w:rFonts w:eastAsia="Arial Unicode MS"/>
              </w:rPr>
              <w:t>Pacific Gas and Electric, East Shell Pond</w:t>
            </w:r>
          </w:p>
        </w:tc>
        <w:tc>
          <w:tcPr>
            <w:tcW w:w="1659" w:type="dxa"/>
            <w:shd w:val="clear" w:color="auto" w:fill="auto"/>
            <w:vAlign w:val="center"/>
          </w:tcPr>
          <w:p w14:paraId="43F0DCF6" w14:textId="22C51A4C" w:rsidR="001E6233" w:rsidRPr="00B55A80" w:rsidRDefault="00745C9E" w:rsidP="00583678">
            <w:pPr>
              <w:jc w:val="center"/>
              <w:rPr>
                <w:color w:val="000000"/>
              </w:rPr>
            </w:pPr>
            <w:r>
              <w:rPr>
                <w:color w:val="000000"/>
              </w:rPr>
              <w:t>-</w:t>
            </w:r>
          </w:p>
        </w:tc>
        <w:tc>
          <w:tcPr>
            <w:tcW w:w="2290" w:type="dxa"/>
            <w:shd w:val="clear" w:color="auto" w:fill="auto"/>
            <w:vAlign w:val="center"/>
          </w:tcPr>
          <w:p w14:paraId="0A59AC6D" w14:textId="06147E62" w:rsidR="001E6233" w:rsidRDefault="00C27D1B" w:rsidP="00583678">
            <w:pPr>
              <w:jc w:val="center"/>
              <w:rPr>
                <w:color w:val="000000"/>
              </w:rPr>
            </w:pPr>
            <w:r>
              <w:rPr>
                <w:color w:val="000000"/>
              </w:rPr>
              <w:t>0.00063</w:t>
            </w:r>
          </w:p>
        </w:tc>
      </w:tr>
      <w:tr w:rsidR="001E6233" w:rsidRPr="00B55A80" w14:paraId="2B021990" w14:textId="77777777" w:rsidTr="00BD6291">
        <w:trPr>
          <w:cantSplit/>
          <w:jc w:val="center"/>
        </w:trPr>
        <w:tc>
          <w:tcPr>
            <w:tcW w:w="3776" w:type="dxa"/>
            <w:shd w:val="clear" w:color="auto" w:fill="auto"/>
            <w:vAlign w:val="center"/>
          </w:tcPr>
          <w:p w14:paraId="0ABE2425" w14:textId="6E7FDFCF" w:rsidR="001E6233" w:rsidRDefault="001E6233" w:rsidP="00583678">
            <w:pPr>
              <w:spacing w:before="20" w:after="20"/>
              <w:rPr>
                <w:rFonts w:eastAsia="Arial Unicode MS"/>
              </w:rPr>
            </w:pPr>
            <w:r>
              <w:rPr>
                <w:rFonts w:eastAsia="Arial Unicode MS"/>
              </w:rPr>
              <w:t>Pacific Gas and Electric, Hunters Point Power Plant</w:t>
            </w:r>
          </w:p>
        </w:tc>
        <w:tc>
          <w:tcPr>
            <w:tcW w:w="1659" w:type="dxa"/>
            <w:shd w:val="clear" w:color="auto" w:fill="auto"/>
            <w:vAlign w:val="center"/>
          </w:tcPr>
          <w:p w14:paraId="3B7D5A56" w14:textId="6105A417" w:rsidR="001E6233" w:rsidRPr="00B55A80" w:rsidRDefault="00745C9E" w:rsidP="00583678">
            <w:pPr>
              <w:jc w:val="center"/>
              <w:rPr>
                <w:color w:val="000000"/>
              </w:rPr>
            </w:pPr>
            <w:r>
              <w:rPr>
                <w:color w:val="000000"/>
              </w:rPr>
              <w:t>-</w:t>
            </w:r>
          </w:p>
        </w:tc>
        <w:tc>
          <w:tcPr>
            <w:tcW w:w="2290" w:type="dxa"/>
            <w:shd w:val="clear" w:color="auto" w:fill="auto"/>
            <w:vAlign w:val="center"/>
          </w:tcPr>
          <w:p w14:paraId="52FF663D" w14:textId="5FDBDA61" w:rsidR="001E6233" w:rsidRDefault="00C27D1B" w:rsidP="00583678">
            <w:pPr>
              <w:jc w:val="center"/>
              <w:rPr>
                <w:color w:val="000000"/>
              </w:rPr>
            </w:pPr>
            <w:r>
              <w:rPr>
                <w:color w:val="000000"/>
              </w:rPr>
              <w:t>0.020</w:t>
            </w:r>
          </w:p>
        </w:tc>
      </w:tr>
      <w:tr w:rsidR="00583678" w:rsidRPr="00B55A80" w14:paraId="2E0EA96C" w14:textId="77777777" w:rsidTr="00BD6291">
        <w:trPr>
          <w:cantSplit/>
          <w:jc w:val="center"/>
        </w:trPr>
        <w:tc>
          <w:tcPr>
            <w:tcW w:w="3776" w:type="dxa"/>
            <w:shd w:val="clear" w:color="auto" w:fill="auto"/>
            <w:vAlign w:val="center"/>
          </w:tcPr>
          <w:p w14:paraId="7C9B7F50" w14:textId="77777777" w:rsidR="00583678" w:rsidRPr="00B55A80" w:rsidRDefault="00583678" w:rsidP="00583678">
            <w:pPr>
              <w:spacing w:before="20" w:after="20"/>
              <w:rPr>
                <w:rFonts w:eastAsia="Arial Unicode MS"/>
              </w:rPr>
            </w:pPr>
            <w:r>
              <w:rPr>
                <w:rFonts w:eastAsia="Arial Unicode MS"/>
              </w:rPr>
              <w:t>Eco Services Operations LLC</w:t>
            </w:r>
          </w:p>
        </w:tc>
        <w:tc>
          <w:tcPr>
            <w:tcW w:w="1659" w:type="dxa"/>
            <w:shd w:val="clear" w:color="auto" w:fill="auto"/>
            <w:vAlign w:val="center"/>
          </w:tcPr>
          <w:p w14:paraId="7470273B" w14:textId="77777777" w:rsidR="00583678" w:rsidRPr="00B55A80" w:rsidRDefault="00583678" w:rsidP="00583678">
            <w:pPr>
              <w:jc w:val="center"/>
              <w:rPr>
                <w:color w:val="000000"/>
              </w:rPr>
            </w:pPr>
            <w:r w:rsidRPr="00B55A80">
              <w:rPr>
                <w:bCs/>
                <w:color w:val="000000"/>
              </w:rPr>
              <w:t>CA0006165</w:t>
            </w:r>
          </w:p>
        </w:tc>
        <w:tc>
          <w:tcPr>
            <w:tcW w:w="2290" w:type="dxa"/>
            <w:shd w:val="clear" w:color="auto" w:fill="auto"/>
            <w:vAlign w:val="center"/>
          </w:tcPr>
          <w:p w14:paraId="0D9DF65A" w14:textId="6102DB5B" w:rsidR="00583678" w:rsidRPr="00B55A80" w:rsidRDefault="00583678" w:rsidP="00583678">
            <w:pPr>
              <w:jc w:val="center"/>
              <w:rPr>
                <w:color w:val="000000"/>
              </w:rPr>
            </w:pPr>
            <w:r w:rsidRPr="006A40FD">
              <w:rPr>
                <w:color w:val="000000"/>
              </w:rPr>
              <w:t>0.011</w:t>
            </w:r>
          </w:p>
        </w:tc>
      </w:tr>
      <w:tr w:rsidR="00583678" w:rsidRPr="00B55A80" w14:paraId="312564E2" w14:textId="77777777" w:rsidTr="00BD6291">
        <w:trPr>
          <w:cantSplit/>
          <w:jc w:val="center"/>
        </w:trPr>
        <w:tc>
          <w:tcPr>
            <w:tcW w:w="3776" w:type="dxa"/>
            <w:shd w:val="clear" w:color="auto" w:fill="auto"/>
            <w:vAlign w:val="center"/>
          </w:tcPr>
          <w:p w14:paraId="03867040" w14:textId="3AA701E4" w:rsidR="00583678" w:rsidRPr="00B55A80" w:rsidRDefault="00583678" w:rsidP="00583678">
            <w:pPr>
              <w:spacing w:before="20" w:after="20"/>
              <w:rPr>
                <w:rFonts w:eastAsia="Arial Unicode MS"/>
              </w:rPr>
            </w:pPr>
            <w:r>
              <w:rPr>
                <w:rFonts w:eastAsia="Arial Unicode MS"/>
              </w:rPr>
              <w:t>GenOn Delta, LLC</w:t>
            </w:r>
          </w:p>
        </w:tc>
        <w:tc>
          <w:tcPr>
            <w:tcW w:w="1659" w:type="dxa"/>
            <w:shd w:val="clear" w:color="auto" w:fill="auto"/>
            <w:vAlign w:val="center"/>
          </w:tcPr>
          <w:p w14:paraId="578CFCD3" w14:textId="77777777" w:rsidR="00583678" w:rsidRPr="00B55A80" w:rsidRDefault="00583678" w:rsidP="00583678">
            <w:pPr>
              <w:jc w:val="center"/>
              <w:rPr>
                <w:color w:val="000000"/>
              </w:rPr>
            </w:pPr>
            <w:r w:rsidRPr="00B55A80">
              <w:rPr>
                <w:bCs/>
                <w:color w:val="000000"/>
              </w:rPr>
              <w:t>CA0004880</w:t>
            </w:r>
          </w:p>
        </w:tc>
        <w:tc>
          <w:tcPr>
            <w:tcW w:w="2290" w:type="dxa"/>
            <w:shd w:val="clear" w:color="auto" w:fill="auto"/>
            <w:vAlign w:val="center"/>
          </w:tcPr>
          <w:p w14:paraId="56CBFF9F" w14:textId="12A9B41C" w:rsidR="00583678" w:rsidRPr="00B55A80" w:rsidRDefault="00583678" w:rsidP="00583678">
            <w:pPr>
              <w:jc w:val="center"/>
              <w:rPr>
                <w:color w:val="000000"/>
              </w:rPr>
            </w:pPr>
            <w:r w:rsidRPr="006A40FD">
              <w:rPr>
                <w:color w:val="000000"/>
              </w:rPr>
              <w:t>0.0078</w:t>
            </w:r>
          </w:p>
        </w:tc>
      </w:tr>
      <w:tr w:rsidR="001E6233" w:rsidRPr="00B55A80" w14:paraId="3B0DED9E" w14:textId="77777777" w:rsidTr="00BD6291">
        <w:trPr>
          <w:cantSplit/>
          <w:jc w:val="center"/>
        </w:trPr>
        <w:tc>
          <w:tcPr>
            <w:tcW w:w="3776" w:type="dxa"/>
            <w:shd w:val="clear" w:color="auto" w:fill="auto"/>
            <w:vAlign w:val="center"/>
          </w:tcPr>
          <w:p w14:paraId="16871646" w14:textId="09C55D4E" w:rsidR="001E6233" w:rsidRDefault="001E6233" w:rsidP="00583678">
            <w:pPr>
              <w:spacing w:before="20" w:after="20"/>
              <w:rPr>
                <w:rFonts w:eastAsia="Arial Unicode MS"/>
              </w:rPr>
            </w:pPr>
            <w:r w:rsidRPr="005465D4">
              <w:t>San Francisco</w:t>
            </w:r>
            <w:r>
              <w:t xml:space="preserve"> (San Francisco International Airport Industrial WWTP)</w:t>
            </w:r>
            <w:r w:rsidRPr="005465D4">
              <w:t>, City and County of</w:t>
            </w:r>
            <w:r>
              <w:t xml:space="preserve"> </w:t>
            </w:r>
          </w:p>
        </w:tc>
        <w:tc>
          <w:tcPr>
            <w:tcW w:w="1659" w:type="dxa"/>
            <w:shd w:val="clear" w:color="auto" w:fill="auto"/>
            <w:vAlign w:val="center"/>
          </w:tcPr>
          <w:p w14:paraId="576E430F" w14:textId="43282660" w:rsidR="001E6233" w:rsidRPr="00B55A80" w:rsidRDefault="005601A5" w:rsidP="00583678">
            <w:pPr>
              <w:jc w:val="center"/>
              <w:rPr>
                <w:bCs/>
                <w:color w:val="000000"/>
              </w:rPr>
            </w:pPr>
            <w:r>
              <w:rPr>
                <w:bCs/>
                <w:color w:val="000000"/>
              </w:rPr>
              <w:t>-</w:t>
            </w:r>
          </w:p>
        </w:tc>
        <w:tc>
          <w:tcPr>
            <w:tcW w:w="2290" w:type="dxa"/>
            <w:shd w:val="clear" w:color="auto" w:fill="auto"/>
            <w:vAlign w:val="center"/>
          </w:tcPr>
          <w:p w14:paraId="3C0F892A" w14:textId="2B3FCFF1" w:rsidR="001E6233" w:rsidRPr="006A40FD" w:rsidRDefault="00C27D1B" w:rsidP="00583678">
            <w:pPr>
              <w:jc w:val="center"/>
              <w:rPr>
                <w:color w:val="000000"/>
              </w:rPr>
            </w:pPr>
            <w:r>
              <w:rPr>
                <w:color w:val="000000"/>
              </w:rPr>
              <w:t>0.051</w:t>
            </w:r>
          </w:p>
        </w:tc>
      </w:tr>
      <w:tr w:rsidR="00341E69" w:rsidRPr="00B55A80" w14:paraId="0CB80076" w14:textId="77777777" w:rsidTr="00BD6291">
        <w:trPr>
          <w:cantSplit/>
          <w:jc w:val="center"/>
        </w:trPr>
        <w:tc>
          <w:tcPr>
            <w:tcW w:w="3776" w:type="dxa"/>
            <w:shd w:val="clear" w:color="auto" w:fill="auto"/>
            <w:vAlign w:val="center"/>
          </w:tcPr>
          <w:p w14:paraId="1ACA3D09" w14:textId="258C2EAC" w:rsidR="00341E69" w:rsidRPr="005465D4" w:rsidRDefault="00341E69" w:rsidP="00583678">
            <w:pPr>
              <w:spacing w:before="20" w:after="20"/>
            </w:pPr>
            <w:r>
              <w:t>Southern Energy Delta LLC (Potrero Power Plant)</w:t>
            </w:r>
          </w:p>
        </w:tc>
        <w:tc>
          <w:tcPr>
            <w:tcW w:w="1659" w:type="dxa"/>
            <w:shd w:val="clear" w:color="auto" w:fill="auto"/>
            <w:vAlign w:val="center"/>
          </w:tcPr>
          <w:p w14:paraId="5B944674" w14:textId="5EC99880" w:rsidR="00341E69" w:rsidRPr="00B55A80" w:rsidRDefault="005601A5" w:rsidP="00583678">
            <w:pPr>
              <w:jc w:val="center"/>
              <w:rPr>
                <w:bCs/>
                <w:color w:val="000000"/>
              </w:rPr>
            </w:pPr>
            <w:r>
              <w:rPr>
                <w:bCs/>
                <w:color w:val="000000"/>
              </w:rPr>
              <w:t>-</w:t>
            </w:r>
          </w:p>
        </w:tc>
        <w:tc>
          <w:tcPr>
            <w:tcW w:w="2290" w:type="dxa"/>
            <w:shd w:val="clear" w:color="auto" w:fill="auto"/>
            <w:vAlign w:val="center"/>
          </w:tcPr>
          <w:p w14:paraId="625FB538" w14:textId="6A6DDDED" w:rsidR="00341E69" w:rsidRPr="006A40FD" w:rsidRDefault="00A205A2" w:rsidP="00583678">
            <w:pPr>
              <w:jc w:val="center"/>
              <w:rPr>
                <w:color w:val="000000"/>
              </w:rPr>
            </w:pPr>
            <w:r>
              <w:rPr>
                <w:color w:val="000000"/>
              </w:rPr>
              <w:t>0.0031</w:t>
            </w:r>
          </w:p>
        </w:tc>
      </w:tr>
      <w:tr w:rsidR="00341E69" w:rsidRPr="00B55A80" w14:paraId="46B494F7" w14:textId="77777777" w:rsidTr="00BD6291">
        <w:trPr>
          <w:cantSplit/>
          <w:jc w:val="center"/>
        </w:trPr>
        <w:tc>
          <w:tcPr>
            <w:tcW w:w="3776" w:type="dxa"/>
            <w:shd w:val="clear" w:color="auto" w:fill="auto"/>
            <w:vAlign w:val="center"/>
          </w:tcPr>
          <w:p w14:paraId="7C6BF36F" w14:textId="41080A0F" w:rsidR="00341E69" w:rsidRPr="005465D4" w:rsidRDefault="00745C9E" w:rsidP="00583678">
            <w:pPr>
              <w:spacing w:before="20" w:after="20"/>
            </w:pPr>
            <w:r>
              <w:t>U.S. Department of Navy (Point Molate)</w:t>
            </w:r>
          </w:p>
        </w:tc>
        <w:tc>
          <w:tcPr>
            <w:tcW w:w="1659" w:type="dxa"/>
            <w:shd w:val="clear" w:color="auto" w:fill="auto"/>
            <w:vAlign w:val="center"/>
          </w:tcPr>
          <w:p w14:paraId="5466E10F" w14:textId="257F8049" w:rsidR="00341E69" w:rsidRPr="00B55A80" w:rsidRDefault="005601A5" w:rsidP="00583678">
            <w:pPr>
              <w:jc w:val="center"/>
              <w:rPr>
                <w:bCs/>
                <w:color w:val="000000"/>
              </w:rPr>
            </w:pPr>
            <w:r>
              <w:rPr>
                <w:bCs/>
                <w:color w:val="000000"/>
              </w:rPr>
              <w:t>-</w:t>
            </w:r>
          </w:p>
        </w:tc>
        <w:tc>
          <w:tcPr>
            <w:tcW w:w="2290" w:type="dxa"/>
            <w:shd w:val="clear" w:color="auto" w:fill="auto"/>
            <w:vAlign w:val="center"/>
          </w:tcPr>
          <w:p w14:paraId="09D4E07B" w14:textId="7467717A" w:rsidR="00341E69" w:rsidRPr="006A40FD" w:rsidRDefault="00A205A2" w:rsidP="00583678">
            <w:pPr>
              <w:jc w:val="center"/>
              <w:rPr>
                <w:color w:val="000000"/>
              </w:rPr>
            </w:pPr>
            <w:r>
              <w:rPr>
                <w:color w:val="000000"/>
              </w:rPr>
              <w:t>0.013</w:t>
            </w:r>
          </w:p>
        </w:tc>
      </w:tr>
      <w:tr w:rsidR="00722F03" w:rsidRPr="00B55A80" w14:paraId="1B25DB0C" w14:textId="77777777" w:rsidTr="00BD6291">
        <w:trPr>
          <w:cantSplit/>
          <w:jc w:val="center"/>
        </w:trPr>
        <w:tc>
          <w:tcPr>
            <w:tcW w:w="3776" w:type="dxa"/>
            <w:tcBorders>
              <w:bottom w:val="single" w:sz="12" w:space="0" w:color="auto"/>
            </w:tcBorders>
            <w:shd w:val="clear" w:color="auto" w:fill="auto"/>
            <w:vAlign w:val="center"/>
          </w:tcPr>
          <w:p w14:paraId="56F41185" w14:textId="77777777" w:rsidR="00722F03" w:rsidRPr="00B55A80" w:rsidRDefault="00722F03" w:rsidP="00722F03">
            <w:pPr>
              <w:spacing w:before="20" w:after="20"/>
            </w:pPr>
            <w:r w:rsidRPr="00B55A80">
              <w:rPr>
                <w:rFonts w:eastAsia="Arial Unicode MS"/>
              </w:rPr>
              <w:t>USS-Posco Industries</w:t>
            </w:r>
          </w:p>
        </w:tc>
        <w:tc>
          <w:tcPr>
            <w:tcW w:w="1659" w:type="dxa"/>
            <w:tcBorders>
              <w:bottom w:val="single" w:sz="12" w:space="0" w:color="auto"/>
            </w:tcBorders>
            <w:shd w:val="clear" w:color="auto" w:fill="auto"/>
            <w:vAlign w:val="center"/>
          </w:tcPr>
          <w:p w14:paraId="6C510124" w14:textId="77777777" w:rsidR="00722F03" w:rsidRPr="00B55A80" w:rsidRDefault="00722F03" w:rsidP="00722F03">
            <w:pPr>
              <w:jc w:val="center"/>
              <w:rPr>
                <w:color w:val="000000"/>
              </w:rPr>
            </w:pPr>
            <w:r w:rsidRPr="00B55A80">
              <w:rPr>
                <w:color w:val="000000"/>
              </w:rPr>
              <w:t>CA0005002</w:t>
            </w:r>
          </w:p>
        </w:tc>
        <w:tc>
          <w:tcPr>
            <w:tcW w:w="2290" w:type="dxa"/>
            <w:tcBorders>
              <w:bottom w:val="single" w:sz="12" w:space="0" w:color="auto"/>
            </w:tcBorders>
            <w:shd w:val="clear" w:color="auto" w:fill="auto"/>
            <w:vAlign w:val="center"/>
          </w:tcPr>
          <w:p w14:paraId="7AA5BC82" w14:textId="655DF6D2" w:rsidR="00722F03" w:rsidRPr="00B55A80" w:rsidRDefault="00583678" w:rsidP="00722F03">
            <w:pPr>
              <w:jc w:val="center"/>
              <w:rPr>
                <w:color w:val="000000"/>
              </w:rPr>
            </w:pPr>
            <w:r w:rsidRPr="006A40FD">
              <w:rPr>
                <w:color w:val="000000"/>
              </w:rPr>
              <w:t>0.045</w:t>
            </w:r>
          </w:p>
        </w:tc>
      </w:tr>
      <w:tr w:rsidR="00583678" w:rsidRPr="00B55A80" w14:paraId="03485555" w14:textId="77777777" w:rsidTr="00BD6291">
        <w:trPr>
          <w:cantSplit/>
          <w:jc w:val="center"/>
        </w:trPr>
        <w:tc>
          <w:tcPr>
            <w:tcW w:w="3776" w:type="dxa"/>
            <w:tcBorders>
              <w:bottom w:val="single" w:sz="12" w:space="0" w:color="auto"/>
            </w:tcBorders>
            <w:shd w:val="clear" w:color="auto" w:fill="auto"/>
          </w:tcPr>
          <w:p w14:paraId="7508FB0B" w14:textId="34FA1EF1" w:rsidR="00583678" w:rsidRPr="00B55A80" w:rsidRDefault="00583678" w:rsidP="00583678">
            <w:pPr>
              <w:spacing w:before="20" w:after="20"/>
              <w:rPr>
                <w:rFonts w:eastAsia="Arial Unicode MS"/>
              </w:rPr>
            </w:pPr>
            <w:r>
              <w:rPr>
                <w:b/>
                <w:i/>
              </w:rPr>
              <w:t xml:space="preserve">Total </w:t>
            </w:r>
            <w:r w:rsidRPr="004D71EE">
              <w:rPr>
                <w:b/>
                <w:i/>
              </w:rPr>
              <w:t>Aggregate Mass Emission Limit</w:t>
            </w:r>
            <w:r>
              <w:rPr>
                <w:color w:val="000000"/>
                <w:vertAlign w:val="superscript"/>
              </w:rPr>
              <w:t>[1]</w:t>
            </w:r>
          </w:p>
        </w:tc>
        <w:tc>
          <w:tcPr>
            <w:tcW w:w="1659" w:type="dxa"/>
            <w:tcBorders>
              <w:bottom w:val="single" w:sz="12" w:space="0" w:color="auto"/>
            </w:tcBorders>
            <w:shd w:val="clear" w:color="auto" w:fill="auto"/>
            <w:vAlign w:val="center"/>
          </w:tcPr>
          <w:p w14:paraId="7493BABF" w14:textId="086E3B2C" w:rsidR="00583678" w:rsidRPr="00B55A80" w:rsidRDefault="00583678" w:rsidP="00583678">
            <w:pPr>
              <w:jc w:val="center"/>
              <w:rPr>
                <w:color w:val="000000"/>
              </w:rPr>
            </w:pPr>
            <w:r>
              <w:rPr>
                <w:color w:val="000000"/>
              </w:rPr>
              <w:t>-</w:t>
            </w:r>
          </w:p>
        </w:tc>
        <w:tc>
          <w:tcPr>
            <w:tcW w:w="2290" w:type="dxa"/>
            <w:tcBorders>
              <w:bottom w:val="single" w:sz="12" w:space="0" w:color="auto"/>
            </w:tcBorders>
            <w:shd w:val="clear" w:color="auto" w:fill="auto"/>
            <w:vAlign w:val="center"/>
          </w:tcPr>
          <w:p w14:paraId="62702500" w14:textId="3957D1C2" w:rsidR="00583678" w:rsidRPr="006A40FD" w:rsidRDefault="00583678" w:rsidP="00BD6291">
            <w:pPr>
              <w:jc w:val="center"/>
              <w:rPr>
                <w:color w:val="000000"/>
              </w:rPr>
            </w:pPr>
            <w:r>
              <w:rPr>
                <w:b/>
                <w:i/>
                <w:color w:val="000000"/>
              </w:rPr>
              <w:t>0.</w:t>
            </w:r>
            <w:r w:rsidR="00A205A2">
              <w:rPr>
                <w:b/>
                <w:i/>
                <w:color w:val="000000"/>
              </w:rPr>
              <w:t>4</w:t>
            </w:r>
          </w:p>
        </w:tc>
      </w:tr>
      <w:tr w:rsidR="00583678" w:rsidRPr="00B55A80" w14:paraId="1EC4023D" w14:textId="77777777" w:rsidTr="00BD6291">
        <w:trPr>
          <w:cantSplit/>
          <w:jc w:val="center"/>
        </w:trPr>
        <w:tc>
          <w:tcPr>
            <w:tcW w:w="7725" w:type="dxa"/>
            <w:gridSpan w:val="3"/>
            <w:tcBorders>
              <w:top w:val="single" w:sz="12" w:space="0" w:color="auto"/>
              <w:bottom w:val="single" w:sz="12" w:space="0" w:color="auto"/>
            </w:tcBorders>
            <w:shd w:val="clear" w:color="auto" w:fill="D9D9D9" w:themeFill="background1" w:themeFillShade="D9"/>
            <w:vAlign w:val="center"/>
          </w:tcPr>
          <w:p w14:paraId="489532A0" w14:textId="156E3AD0" w:rsidR="00583678" w:rsidRPr="00CC3457" w:rsidRDefault="00583678" w:rsidP="00583678">
            <w:pPr>
              <w:jc w:val="center"/>
            </w:pPr>
            <w:r>
              <w:rPr>
                <w:b/>
                <w:color w:val="000000"/>
              </w:rPr>
              <w:t>Industrial Dischargers (Petroleum Refinery)</w:t>
            </w:r>
          </w:p>
        </w:tc>
      </w:tr>
      <w:tr w:rsidR="00583678" w:rsidRPr="00B55A80" w14:paraId="746488D0" w14:textId="77777777" w:rsidTr="00BD6291">
        <w:trPr>
          <w:cantSplit/>
          <w:jc w:val="center"/>
        </w:trPr>
        <w:tc>
          <w:tcPr>
            <w:tcW w:w="3776" w:type="dxa"/>
            <w:tcBorders>
              <w:top w:val="single" w:sz="12" w:space="0" w:color="auto"/>
            </w:tcBorders>
            <w:shd w:val="clear" w:color="auto" w:fill="auto"/>
            <w:vAlign w:val="center"/>
          </w:tcPr>
          <w:p w14:paraId="35751291" w14:textId="77777777" w:rsidR="00583678" w:rsidRPr="00B55A80" w:rsidRDefault="00583678" w:rsidP="00583678">
            <w:pPr>
              <w:spacing w:before="20" w:after="20"/>
            </w:pPr>
            <w:r w:rsidRPr="00B55A80">
              <w:t>Chevron Products Company</w:t>
            </w:r>
          </w:p>
        </w:tc>
        <w:tc>
          <w:tcPr>
            <w:tcW w:w="1659" w:type="dxa"/>
            <w:tcBorders>
              <w:top w:val="single" w:sz="12" w:space="0" w:color="auto"/>
            </w:tcBorders>
            <w:shd w:val="clear" w:color="auto" w:fill="auto"/>
            <w:vAlign w:val="center"/>
          </w:tcPr>
          <w:p w14:paraId="67561572" w14:textId="77777777" w:rsidR="00583678" w:rsidRPr="00B55A80" w:rsidRDefault="00583678" w:rsidP="00583678">
            <w:pPr>
              <w:jc w:val="center"/>
              <w:rPr>
                <w:color w:val="000000"/>
              </w:rPr>
            </w:pPr>
            <w:r w:rsidRPr="00B55A80">
              <w:rPr>
                <w:color w:val="000000"/>
              </w:rPr>
              <w:t>CA0005134</w:t>
            </w:r>
          </w:p>
        </w:tc>
        <w:tc>
          <w:tcPr>
            <w:tcW w:w="2290" w:type="dxa"/>
            <w:tcBorders>
              <w:top w:val="single" w:sz="12" w:space="0" w:color="auto"/>
            </w:tcBorders>
            <w:shd w:val="clear" w:color="auto" w:fill="auto"/>
            <w:vAlign w:val="center"/>
          </w:tcPr>
          <w:p w14:paraId="6C81AF45" w14:textId="724B6826" w:rsidR="00583678" w:rsidRPr="00B55A80" w:rsidRDefault="00583678" w:rsidP="00583678">
            <w:pPr>
              <w:jc w:val="center"/>
              <w:rPr>
                <w:color w:val="000000"/>
              </w:rPr>
            </w:pPr>
            <w:r w:rsidRPr="006A40FD">
              <w:rPr>
                <w:color w:val="000000"/>
              </w:rPr>
              <w:t>0.34</w:t>
            </w:r>
          </w:p>
        </w:tc>
      </w:tr>
      <w:tr w:rsidR="00583678" w:rsidRPr="00B55A80" w14:paraId="77A8E09A" w14:textId="77777777" w:rsidTr="00BD6291">
        <w:trPr>
          <w:cantSplit/>
          <w:jc w:val="center"/>
        </w:trPr>
        <w:tc>
          <w:tcPr>
            <w:tcW w:w="3776" w:type="dxa"/>
            <w:shd w:val="clear" w:color="auto" w:fill="auto"/>
            <w:vAlign w:val="center"/>
          </w:tcPr>
          <w:p w14:paraId="4FE18587" w14:textId="34004DF6" w:rsidR="00583678" w:rsidRPr="00B55A80" w:rsidRDefault="00583678" w:rsidP="00583678">
            <w:pPr>
              <w:spacing w:before="20" w:after="20"/>
            </w:pPr>
            <w:r w:rsidRPr="00B55A80">
              <w:t>Phillips 66</w:t>
            </w:r>
          </w:p>
        </w:tc>
        <w:tc>
          <w:tcPr>
            <w:tcW w:w="1659" w:type="dxa"/>
            <w:shd w:val="clear" w:color="auto" w:fill="auto"/>
            <w:vAlign w:val="center"/>
          </w:tcPr>
          <w:p w14:paraId="19CC7086" w14:textId="77777777" w:rsidR="00583678" w:rsidRPr="00B55A80" w:rsidRDefault="00583678" w:rsidP="00583678">
            <w:pPr>
              <w:jc w:val="center"/>
              <w:rPr>
                <w:color w:val="000000"/>
              </w:rPr>
            </w:pPr>
            <w:r w:rsidRPr="00B55A80">
              <w:rPr>
                <w:color w:val="000000"/>
              </w:rPr>
              <w:t>CA0005053</w:t>
            </w:r>
          </w:p>
        </w:tc>
        <w:tc>
          <w:tcPr>
            <w:tcW w:w="2290" w:type="dxa"/>
            <w:shd w:val="clear" w:color="auto" w:fill="auto"/>
            <w:vAlign w:val="center"/>
          </w:tcPr>
          <w:p w14:paraId="53058E69" w14:textId="34667CC2" w:rsidR="00583678" w:rsidRPr="00B55A80" w:rsidRDefault="00583678" w:rsidP="00583678">
            <w:pPr>
              <w:jc w:val="center"/>
              <w:rPr>
                <w:color w:val="000000"/>
              </w:rPr>
            </w:pPr>
            <w:r w:rsidRPr="006A40FD">
              <w:rPr>
                <w:color w:val="000000"/>
              </w:rPr>
              <w:t>0.13</w:t>
            </w:r>
          </w:p>
        </w:tc>
      </w:tr>
      <w:tr w:rsidR="00583678" w:rsidRPr="00B55A80" w14:paraId="0FE113AF" w14:textId="77777777" w:rsidTr="00BD6291">
        <w:trPr>
          <w:cantSplit/>
          <w:jc w:val="center"/>
        </w:trPr>
        <w:tc>
          <w:tcPr>
            <w:tcW w:w="3776" w:type="dxa"/>
            <w:shd w:val="clear" w:color="auto" w:fill="auto"/>
            <w:vAlign w:val="center"/>
          </w:tcPr>
          <w:p w14:paraId="24BD5C06" w14:textId="77777777" w:rsidR="00583678" w:rsidRPr="00B55A80" w:rsidRDefault="00583678" w:rsidP="00583678">
            <w:pPr>
              <w:tabs>
                <w:tab w:val="left" w:pos="459"/>
              </w:tabs>
              <w:rPr>
                <w:rFonts w:eastAsia="Arial Unicode MS"/>
              </w:rPr>
            </w:pPr>
            <w:r w:rsidRPr="00B55A80">
              <w:rPr>
                <w:rFonts w:eastAsia="Arial Unicode MS"/>
              </w:rPr>
              <w:t>Shell Oil Products US and Equilon Enterprises LLC</w:t>
            </w:r>
          </w:p>
        </w:tc>
        <w:tc>
          <w:tcPr>
            <w:tcW w:w="1659" w:type="dxa"/>
            <w:shd w:val="clear" w:color="auto" w:fill="auto"/>
            <w:vAlign w:val="center"/>
          </w:tcPr>
          <w:p w14:paraId="0F801133" w14:textId="77777777" w:rsidR="00583678" w:rsidRPr="00B55A80" w:rsidRDefault="00583678" w:rsidP="00583678">
            <w:pPr>
              <w:jc w:val="center"/>
              <w:rPr>
                <w:color w:val="000000"/>
              </w:rPr>
            </w:pPr>
            <w:r w:rsidRPr="00B55A80">
              <w:rPr>
                <w:color w:val="000000"/>
              </w:rPr>
              <w:t>CA0005789</w:t>
            </w:r>
          </w:p>
        </w:tc>
        <w:tc>
          <w:tcPr>
            <w:tcW w:w="2290" w:type="dxa"/>
            <w:shd w:val="clear" w:color="auto" w:fill="auto"/>
            <w:vAlign w:val="center"/>
          </w:tcPr>
          <w:p w14:paraId="3F207BCA" w14:textId="036AB818" w:rsidR="00583678" w:rsidRPr="00B55A80" w:rsidRDefault="00583678" w:rsidP="00583678">
            <w:pPr>
              <w:jc w:val="center"/>
              <w:rPr>
                <w:color w:val="000000"/>
              </w:rPr>
            </w:pPr>
            <w:r w:rsidRPr="006A40FD">
              <w:rPr>
                <w:color w:val="000000"/>
              </w:rPr>
              <w:t>0.22</w:t>
            </w:r>
          </w:p>
        </w:tc>
      </w:tr>
      <w:tr w:rsidR="00583678" w:rsidRPr="00B55A80" w14:paraId="46279FB0" w14:textId="77777777" w:rsidTr="00BD6291">
        <w:trPr>
          <w:cantSplit/>
          <w:jc w:val="center"/>
        </w:trPr>
        <w:tc>
          <w:tcPr>
            <w:tcW w:w="3776" w:type="dxa"/>
            <w:shd w:val="clear" w:color="auto" w:fill="auto"/>
            <w:vAlign w:val="center"/>
          </w:tcPr>
          <w:p w14:paraId="48BCD121" w14:textId="77777777" w:rsidR="00583678" w:rsidRPr="00B55A80" w:rsidRDefault="00583678" w:rsidP="00583678">
            <w:pPr>
              <w:spacing w:before="20" w:after="20"/>
              <w:rPr>
                <w:rFonts w:eastAsia="Arial Unicode MS"/>
              </w:rPr>
            </w:pPr>
            <w:r w:rsidRPr="00B55A80">
              <w:rPr>
                <w:rFonts w:eastAsia="Arial Unicode MS"/>
              </w:rPr>
              <w:t>Tesoro Refining &amp; Marketing Co.</w:t>
            </w:r>
          </w:p>
        </w:tc>
        <w:tc>
          <w:tcPr>
            <w:tcW w:w="1659" w:type="dxa"/>
            <w:shd w:val="clear" w:color="auto" w:fill="auto"/>
            <w:vAlign w:val="center"/>
          </w:tcPr>
          <w:p w14:paraId="0EAFAD71" w14:textId="77777777" w:rsidR="00583678" w:rsidRPr="00B55A80" w:rsidRDefault="00583678" w:rsidP="00583678">
            <w:pPr>
              <w:jc w:val="center"/>
              <w:rPr>
                <w:color w:val="000000"/>
              </w:rPr>
            </w:pPr>
            <w:r w:rsidRPr="00B55A80">
              <w:rPr>
                <w:color w:val="000000"/>
              </w:rPr>
              <w:t>CA0004961</w:t>
            </w:r>
          </w:p>
        </w:tc>
        <w:tc>
          <w:tcPr>
            <w:tcW w:w="2290" w:type="dxa"/>
            <w:shd w:val="clear" w:color="auto" w:fill="auto"/>
            <w:vAlign w:val="center"/>
          </w:tcPr>
          <w:p w14:paraId="049D8259" w14:textId="1C99BBF3" w:rsidR="00583678" w:rsidRPr="00B55A80" w:rsidRDefault="00583678" w:rsidP="00583678">
            <w:pPr>
              <w:jc w:val="center"/>
              <w:rPr>
                <w:color w:val="000000"/>
              </w:rPr>
            </w:pPr>
            <w:r>
              <w:rPr>
                <w:color w:val="000000"/>
              </w:rPr>
              <w:t>0.11</w:t>
            </w:r>
          </w:p>
        </w:tc>
      </w:tr>
      <w:tr w:rsidR="00583678" w:rsidRPr="00B55A80" w14:paraId="35D6CD0F" w14:textId="77777777" w:rsidTr="00BD6291">
        <w:trPr>
          <w:cantSplit/>
          <w:jc w:val="center"/>
        </w:trPr>
        <w:tc>
          <w:tcPr>
            <w:tcW w:w="3776" w:type="dxa"/>
            <w:shd w:val="clear" w:color="auto" w:fill="auto"/>
            <w:vAlign w:val="center"/>
          </w:tcPr>
          <w:p w14:paraId="7926077D" w14:textId="77777777" w:rsidR="00583678" w:rsidRPr="00B55A80" w:rsidRDefault="00583678" w:rsidP="00583678">
            <w:pPr>
              <w:spacing w:before="20" w:after="20"/>
              <w:rPr>
                <w:rFonts w:eastAsia="Arial Unicode MS"/>
              </w:rPr>
            </w:pPr>
            <w:r w:rsidRPr="00B55A80">
              <w:rPr>
                <w:rFonts w:eastAsia="Arial Unicode MS"/>
              </w:rPr>
              <w:t>Valero Refining Company</w:t>
            </w:r>
          </w:p>
        </w:tc>
        <w:tc>
          <w:tcPr>
            <w:tcW w:w="1659" w:type="dxa"/>
            <w:shd w:val="clear" w:color="auto" w:fill="auto"/>
            <w:vAlign w:val="center"/>
          </w:tcPr>
          <w:p w14:paraId="42FA3D79" w14:textId="77777777" w:rsidR="00583678" w:rsidRPr="00B55A80" w:rsidRDefault="00583678" w:rsidP="00583678">
            <w:pPr>
              <w:jc w:val="center"/>
              <w:rPr>
                <w:color w:val="000000"/>
              </w:rPr>
            </w:pPr>
            <w:r w:rsidRPr="00B55A80">
              <w:rPr>
                <w:color w:val="000000"/>
              </w:rPr>
              <w:t>CA0005550</w:t>
            </w:r>
          </w:p>
        </w:tc>
        <w:tc>
          <w:tcPr>
            <w:tcW w:w="2290" w:type="dxa"/>
            <w:shd w:val="clear" w:color="auto" w:fill="auto"/>
            <w:vAlign w:val="center"/>
          </w:tcPr>
          <w:p w14:paraId="15151690" w14:textId="41931CF2" w:rsidR="00583678" w:rsidRPr="00B55A80" w:rsidRDefault="00583678" w:rsidP="00583678">
            <w:pPr>
              <w:jc w:val="center"/>
              <w:rPr>
                <w:color w:val="000000"/>
              </w:rPr>
            </w:pPr>
            <w:r>
              <w:rPr>
                <w:color w:val="000000"/>
              </w:rPr>
              <w:t>0.08</w:t>
            </w:r>
          </w:p>
        </w:tc>
      </w:tr>
      <w:tr w:rsidR="00583678" w:rsidRPr="00B55A80" w14:paraId="6CBC10BB" w14:textId="77777777" w:rsidTr="00BD6291">
        <w:trPr>
          <w:cantSplit/>
          <w:jc w:val="center"/>
        </w:trPr>
        <w:tc>
          <w:tcPr>
            <w:tcW w:w="3776" w:type="dxa"/>
            <w:shd w:val="clear" w:color="auto" w:fill="auto"/>
          </w:tcPr>
          <w:p w14:paraId="5C6D11E5" w14:textId="25118419" w:rsidR="00583678" w:rsidRPr="00B55A80" w:rsidRDefault="00583678" w:rsidP="00583678">
            <w:pPr>
              <w:spacing w:before="20" w:after="20"/>
              <w:rPr>
                <w:rFonts w:eastAsia="Arial Unicode MS"/>
              </w:rPr>
            </w:pPr>
            <w:r>
              <w:rPr>
                <w:b/>
                <w:i/>
              </w:rPr>
              <w:t xml:space="preserve">Total </w:t>
            </w:r>
            <w:r w:rsidRPr="004D71EE">
              <w:rPr>
                <w:b/>
                <w:i/>
              </w:rPr>
              <w:t>Aggregate Mass Emission Limit</w:t>
            </w:r>
            <w:r>
              <w:rPr>
                <w:color w:val="000000"/>
                <w:vertAlign w:val="superscript"/>
              </w:rPr>
              <w:t>[1]</w:t>
            </w:r>
          </w:p>
        </w:tc>
        <w:tc>
          <w:tcPr>
            <w:tcW w:w="1659" w:type="dxa"/>
            <w:shd w:val="clear" w:color="auto" w:fill="auto"/>
            <w:vAlign w:val="center"/>
          </w:tcPr>
          <w:p w14:paraId="5F54751A" w14:textId="2C057D6A" w:rsidR="00583678" w:rsidRPr="00B55A80" w:rsidRDefault="00583678" w:rsidP="00583678">
            <w:pPr>
              <w:jc w:val="center"/>
              <w:rPr>
                <w:color w:val="000000"/>
              </w:rPr>
            </w:pPr>
            <w:r>
              <w:rPr>
                <w:color w:val="000000"/>
              </w:rPr>
              <w:t>-</w:t>
            </w:r>
          </w:p>
        </w:tc>
        <w:tc>
          <w:tcPr>
            <w:tcW w:w="2290" w:type="dxa"/>
            <w:shd w:val="clear" w:color="auto" w:fill="auto"/>
            <w:vAlign w:val="center"/>
          </w:tcPr>
          <w:p w14:paraId="461D4A66" w14:textId="22AF5880" w:rsidR="00583678" w:rsidRDefault="00583678" w:rsidP="00583678">
            <w:pPr>
              <w:jc w:val="center"/>
              <w:rPr>
                <w:color w:val="000000"/>
              </w:rPr>
            </w:pPr>
            <w:r>
              <w:rPr>
                <w:b/>
                <w:i/>
                <w:color w:val="000000"/>
              </w:rPr>
              <w:t>0.9</w:t>
            </w:r>
          </w:p>
        </w:tc>
      </w:tr>
    </w:tbl>
    <w:p w14:paraId="0620E55A" w14:textId="77777777" w:rsidR="00BD6291" w:rsidRPr="00AD16C3" w:rsidRDefault="00BD6291" w:rsidP="00BD6291">
      <w:pPr>
        <w:pStyle w:val="blankspacesaftertables"/>
        <w:tabs>
          <w:tab w:val="left" w:pos="540"/>
        </w:tabs>
        <w:spacing w:before="60" w:after="60"/>
        <w:ind w:firstLine="1080"/>
        <w:rPr>
          <w:sz w:val="18"/>
          <w:szCs w:val="18"/>
          <w:u w:val="single"/>
        </w:rPr>
      </w:pPr>
      <w:r w:rsidRPr="00AD16C3">
        <w:rPr>
          <w:sz w:val="18"/>
          <w:szCs w:val="18"/>
          <w:u w:val="single"/>
        </w:rPr>
        <w:t>Unit Abbreviations:</w:t>
      </w:r>
    </w:p>
    <w:p w14:paraId="370B5243" w14:textId="4AAE715C" w:rsidR="00BD6291" w:rsidRPr="00AD16C3" w:rsidRDefault="00BD6291" w:rsidP="00BD6291">
      <w:pPr>
        <w:pStyle w:val="blankspacesaftertables"/>
        <w:tabs>
          <w:tab w:val="left" w:pos="1080"/>
        </w:tabs>
        <w:ind w:left="540" w:firstLine="540"/>
        <w:rPr>
          <w:sz w:val="18"/>
          <w:szCs w:val="18"/>
        </w:rPr>
      </w:pPr>
      <w:r>
        <w:rPr>
          <w:sz w:val="18"/>
          <w:szCs w:val="18"/>
        </w:rPr>
        <w:t xml:space="preserve">kg/yr </w:t>
      </w:r>
      <w:r w:rsidRPr="00AD16C3">
        <w:rPr>
          <w:sz w:val="18"/>
          <w:szCs w:val="18"/>
        </w:rPr>
        <w:t xml:space="preserve">= </w:t>
      </w:r>
      <w:r>
        <w:rPr>
          <w:sz w:val="18"/>
          <w:szCs w:val="18"/>
        </w:rPr>
        <w:t>kilog</w:t>
      </w:r>
      <w:r w:rsidRPr="00AD16C3">
        <w:rPr>
          <w:sz w:val="18"/>
          <w:szCs w:val="18"/>
        </w:rPr>
        <w:t xml:space="preserve">rams per </w:t>
      </w:r>
      <w:r>
        <w:rPr>
          <w:sz w:val="18"/>
          <w:szCs w:val="18"/>
        </w:rPr>
        <w:t>year</w:t>
      </w:r>
      <w:r w:rsidR="00FC2952">
        <w:rPr>
          <w:sz w:val="18"/>
          <w:szCs w:val="18"/>
        </w:rPr>
        <w:t xml:space="preserve"> </w:t>
      </w:r>
    </w:p>
    <w:p w14:paraId="485FA064" w14:textId="77777777" w:rsidR="00BD6291" w:rsidRPr="00AD16C3" w:rsidRDefault="00BD6291" w:rsidP="00BD6291">
      <w:pPr>
        <w:pStyle w:val="TableFootnotes"/>
        <w:ind w:left="540" w:right="-180" w:firstLine="540"/>
        <w:rPr>
          <w:rFonts w:ascii="Times New Roman" w:hAnsi="Times New Roman" w:cs="Times New Roman"/>
          <w:vertAlign w:val="superscript"/>
        </w:rPr>
      </w:pPr>
      <w:r w:rsidRPr="00AD16C3">
        <w:rPr>
          <w:rFonts w:ascii="Times New Roman" w:hAnsi="Times New Roman" w:cs="Times New Roman"/>
          <w:u w:val="single"/>
        </w:rPr>
        <w:t>Footnote:</w:t>
      </w:r>
      <w:r w:rsidRPr="00AD16C3">
        <w:rPr>
          <w:rFonts w:ascii="Times New Roman" w:hAnsi="Times New Roman" w:cs="Times New Roman"/>
          <w:vertAlign w:val="superscript"/>
        </w:rPr>
        <w:t xml:space="preserve"> </w:t>
      </w:r>
    </w:p>
    <w:p w14:paraId="10FD50D5" w14:textId="6FEF72DF" w:rsidR="000A5445" w:rsidRDefault="00BD6291" w:rsidP="009B6517">
      <w:pPr>
        <w:pStyle w:val="TableFootnotes"/>
        <w:spacing w:after="0"/>
        <w:ind w:left="1350" w:hanging="270"/>
        <w:rPr>
          <w:rFonts w:ascii="Times New Roman" w:hAnsi="Times New Roman"/>
          <w:bCs/>
          <w:color w:val="000000" w:themeColor="text1"/>
        </w:rPr>
      </w:pPr>
      <w:r w:rsidRPr="00AD16C3">
        <w:rPr>
          <w:rFonts w:ascii="Times New Roman" w:hAnsi="Times New Roman" w:cs="Times New Roman"/>
          <w:vertAlign w:val="superscript"/>
        </w:rPr>
        <w:t>[1]</w:t>
      </w:r>
      <w:r>
        <w:rPr>
          <w:rFonts w:ascii="Times New Roman" w:hAnsi="Times New Roman" w:cs="Times New Roman"/>
        </w:rPr>
        <w:t xml:space="preserve"> </w:t>
      </w:r>
      <w:r>
        <w:rPr>
          <w:rFonts w:ascii="Times New Roman" w:hAnsi="Times New Roman" w:cs="Times New Roman"/>
        </w:rPr>
        <w:tab/>
      </w:r>
      <w:r w:rsidRPr="00164D18">
        <w:rPr>
          <w:rFonts w:ascii="Times New Roman" w:hAnsi="Times New Roman"/>
          <w:bCs/>
          <w:color w:val="000000" w:themeColor="text1"/>
        </w:rPr>
        <w:t>Total differs slightly from the column sum due to rounding.</w:t>
      </w:r>
    </w:p>
    <w:p w14:paraId="5016BAEA" w14:textId="6853B6EC" w:rsidR="009B6517" w:rsidRPr="008C46E5" w:rsidRDefault="009B6517" w:rsidP="008C46E5">
      <w:pPr>
        <w:pStyle w:val="TableFootnotes"/>
        <w:spacing w:after="240"/>
        <w:ind w:left="1350" w:hanging="270"/>
        <w:rPr>
          <w:rFonts w:ascii="Times New Roman" w:hAnsi="Times New Roman" w:cs="Times New Roman"/>
        </w:rPr>
      </w:pPr>
      <w:r>
        <w:rPr>
          <w:rFonts w:ascii="Times New Roman" w:hAnsi="Times New Roman" w:cs="Times New Roman"/>
          <w:vertAlign w:val="superscript"/>
        </w:rPr>
        <w:t>[2</w:t>
      </w:r>
      <w:r w:rsidRPr="00AD16C3">
        <w:rPr>
          <w:rFonts w:ascii="Times New Roman" w:hAnsi="Times New Roman" w:cs="Times New Roman"/>
          <w:vertAlign w:val="superscript"/>
        </w:rPr>
        <w:t>]</w:t>
      </w:r>
      <w:r>
        <w:rPr>
          <w:rFonts w:ascii="Times New Roman" w:hAnsi="Times New Roman" w:cs="Times New Roman"/>
        </w:rPr>
        <w:t xml:space="preserve"> </w:t>
      </w:r>
      <w:r>
        <w:rPr>
          <w:rFonts w:ascii="Times New Roman" w:hAnsi="Times New Roman" w:cs="Times New Roman"/>
        </w:rPr>
        <w:tab/>
      </w:r>
      <w:r w:rsidRPr="009B6517">
        <w:rPr>
          <w:rFonts w:ascii="Times New Roman" w:hAnsi="Times New Roman"/>
          <w:bCs/>
          <w:color w:val="000000" w:themeColor="text1"/>
        </w:rPr>
        <w:t>Wasteload allocations for industrial wastewater discharges do not include mass from once-through cooling water. The Regional Water Board will apply intake credits to once-through cooling water as allowed by law.</w:t>
      </w:r>
    </w:p>
    <w:p w14:paraId="0CC23520" w14:textId="6922DECB" w:rsidR="00EA043C" w:rsidRDefault="00EA043C" w:rsidP="00E07A28">
      <w:pPr>
        <w:spacing w:after="240"/>
        <w:ind w:left="1710"/>
        <w:rPr>
          <w:bCs/>
          <w:sz w:val="24"/>
          <w:szCs w:val="24"/>
        </w:rPr>
      </w:pPr>
      <w:r>
        <w:rPr>
          <w:bCs/>
          <w:sz w:val="24"/>
          <w:szCs w:val="24"/>
        </w:rPr>
        <w:lastRenderedPageBreak/>
        <w:t>The</w:t>
      </w:r>
      <w:r w:rsidR="008C46E5" w:rsidRPr="008C46E5">
        <w:rPr>
          <w:bCs/>
          <w:sz w:val="24"/>
          <w:szCs w:val="24"/>
        </w:rPr>
        <w:t xml:space="preserve"> waste load allocations </w:t>
      </w:r>
      <w:r w:rsidR="008C46E5">
        <w:rPr>
          <w:bCs/>
          <w:sz w:val="24"/>
          <w:szCs w:val="24"/>
        </w:rPr>
        <w:t>are</w:t>
      </w:r>
      <w:r w:rsidR="008C46E5" w:rsidRPr="008C46E5">
        <w:rPr>
          <w:bCs/>
          <w:sz w:val="24"/>
          <w:szCs w:val="24"/>
        </w:rPr>
        <w:t xml:space="preserve"> based on </w:t>
      </w:r>
      <w:r>
        <w:rPr>
          <w:bCs/>
          <w:sz w:val="24"/>
          <w:szCs w:val="24"/>
        </w:rPr>
        <w:t>load</w:t>
      </w:r>
      <w:r w:rsidR="008C46E5" w:rsidRPr="008C46E5">
        <w:rPr>
          <w:bCs/>
          <w:sz w:val="24"/>
          <w:szCs w:val="24"/>
        </w:rPr>
        <w:t xml:space="preserve"> estimates computed using available data on effluent mercury concentrations and effluent discharge volumes from 2000 through 2003.</w:t>
      </w:r>
      <w:r w:rsidR="008C46E5">
        <w:rPr>
          <w:bCs/>
          <w:sz w:val="24"/>
          <w:szCs w:val="24"/>
        </w:rPr>
        <w:t xml:space="preserve"> </w:t>
      </w:r>
      <w:r w:rsidR="00A53A59" w:rsidRPr="00A53A59">
        <w:rPr>
          <w:bCs/>
          <w:sz w:val="24"/>
          <w:szCs w:val="24"/>
        </w:rPr>
        <w:t xml:space="preserve">At the time of </w:t>
      </w:r>
      <w:r w:rsidR="00A53A59">
        <w:rPr>
          <w:bCs/>
          <w:sz w:val="24"/>
          <w:szCs w:val="24"/>
        </w:rPr>
        <w:t xml:space="preserve">the San Francisco Bay </w:t>
      </w:r>
      <w:r w:rsidR="003B3F50">
        <w:rPr>
          <w:bCs/>
          <w:sz w:val="24"/>
          <w:szCs w:val="24"/>
        </w:rPr>
        <w:t>Mercury TMDL</w:t>
      </w:r>
      <w:r w:rsidR="00A53A59" w:rsidRPr="00A53A59">
        <w:rPr>
          <w:bCs/>
          <w:sz w:val="24"/>
          <w:szCs w:val="24"/>
        </w:rPr>
        <w:t xml:space="preserve"> development, the</w:t>
      </w:r>
      <w:r w:rsidR="00A53A59">
        <w:rPr>
          <w:bCs/>
          <w:sz w:val="24"/>
          <w:szCs w:val="24"/>
        </w:rPr>
        <w:t xml:space="preserve"> combined mercury load for all M</w:t>
      </w:r>
      <w:r w:rsidR="00A53A59" w:rsidRPr="00A53A59">
        <w:rPr>
          <w:bCs/>
          <w:sz w:val="24"/>
          <w:szCs w:val="24"/>
        </w:rPr>
        <w:t xml:space="preserve">unicipal </w:t>
      </w:r>
      <w:r w:rsidR="00A53A59">
        <w:rPr>
          <w:bCs/>
          <w:sz w:val="24"/>
          <w:szCs w:val="24"/>
        </w:rPr>
        <w:t>Dischargers</w:t>
      </w:r>
      <w:r w:rsidR="00A53A59" w:rsidRPr="00A53A59">
        <w:rPr>
          <w:bCs/>
          <w:sz w:val="24"/>
          <w:szCs w:val="24"/>
        </w:rPr>
        <w:t xml:space="preserve"> </w:t>
      </w:r>
      <w:r>
        <w:rPr>
          <w:bCs/>
          <w:sz w:val="24"/>
          <w:szCs w:val="24"/>
        </w:rPr>
        <w:t xml:space="preserve">discharging </w:t>
      </w:r>
      <w:r w:rsidR="00A53A59" w:rsidRPr="00A53A59">
        <w:rPr>
          <w:bCs/>
          <w:sz w:val="24"/>
          <w:szCs w:val="24"/>
        </w:rPr>
        <w:t xml:space="preserve">to San Francisco Bay and its tributaries was estimated to be about 17 kg/yr. The combined load </w:t>
      </w:r>
      <w:r w:rsidR="00A53A59">
        <w:rPr>
          <w:bCs/>
          <w:sz w:val="24"/>
          <w:szCs w:val="24"/>
        </w:rPr>
        <w:t>for all</w:t>
      </w:r>
      <w:r w:rsidR="00A53A59" w:rsidRPr="00A53A59">
        <w:rPr>
          <w:bCs/>
          <w:sz w:val="24"/>
          <w:szCs w:val="24"/>
        </w:rPr>
        <w:t xml:space="preserve"> Industrial Dischargers was estimated to be about 1.3 kg/yr. Together, these wastewater discharges were estimated to account for a load</w:t>
      </w:r>
      <w:r w:rsidR="00A53A59">
        <w:rPr>
          <w:bCs/>
          <w:sz w:val="24"/>
          <w:szCs w:val="24"/>
        </w:rPr>
        <w:t xml:space="preserve"> of about 18.3 kg/yr, or about </w:t>
      </w:r>
      <w:r w:rsidR="00F37613">
        <w:rPr>
          <w:bCs/>
          <w:sz w:val="24"/>
          <w:szCs w:val="24"/>
        </w:rPr>
        <w:t>two</w:t>
      </w:r>
      <w:r w:rsidR="00A53A59">
        <w:rPr>
          <w:bCs/>
          <w:sz w:val="24"/>
          <w:szCs w:val="24"/>
        </w:rPr>
        <w:t xml:space="preserve"> percent of the San Francisco B</w:t>
      </w:r>
      <w:r w:rsidR="00A53A59" w:rsidRPr="00A53A59">
        <w:rPr>
          <w:bCs/>
          <w:sz w:val="24"/>
          <w:szCs w:val="24"/>
        </w:rPr>
        <w:t>ay’s total mercury load.</w:t>
      </w:r>
      <w:r w:rsidR="00A53A59">
        <w:rPr>
          <w:bCs/>
          <w:sz w:val="24"/>
          <w:szCs w:val="24"/>
        </w:rPr>
        <w:t xml:space="preserve"> </w:t>
      </w:r>
    </w:p>
    <w:p w14:paraId="4B80CCF9" w14:textId="4DBB55A6" w:rsidR="008C46E5" w:rsidRDefault="00F53F8B" w:rsidP="00E07A28">
      <w:pPr>
        <w:spacing w:after="240"/>
        <w:ind w:left="1710"/>
        <w:rPr>
          <w:bCs/>
          <w:sz w:val="24"/>
          <w:szCs w:val="24"/>
        </w:rPr>
      </w:pPr>
      <w:r>
        <w:rPr>
          <w:bCs/>
          <w:sz w:val="24"/>
          <w:szCs w:val="24"/>
        </w:rPr>
        <w:t xml:space="preserve">The San Francisco Bay </w:t>
      </w:r>
      <w:r w:rsidR="003B3F50">
        <w:rPr>
          <w:bCs/>
          <w:sz w:val="24"/>
          <w:szCs w:val="24"/>
        </w:rPr>
        <w:t>Mercury TMDL</w:t>
      </w:r>
      <w:r>
        <w:rPr>
          <w:bCs/>
          <w:sz w:val="24"/>
          <w:szCs w:val="24"/>
        </w:rPr>
        <w:t xml:space="preserve"> granted Municipal Dischargers </w:t>
      </w:r>
      <w:r w:rsidRPr="00F53F8B">
        <w:rPr>
          <w:bCs/>
          <w:sz w:val="24"/>
          <w:szCs w:val="24"/>
        </w:rPr>
        <w:t xml:space="preserve">a 20-year compliance schedule to ensure aggregate loads did not exceed a final limit of 11 kg/yr. However, </w:t>
      </w:r>
      <w:r>
        <w:rPr>
          <w:bCs/>
          <w:sz w:val="24"/>
          <w:szCs w:val="24"/>
        </w:rPr>
        <w:t>the previous order imposed the final</w:t>
      </w:r>
      <w:r w:rsidR="001D131A">
        <w:rPr>
          <w:bCs/>
          <w:sz w:val="24"/>
          <w:szCs w:val="24"/>
        </w:rPr>
        <w:t xml:space="preserve"> municipal limit of 11 kg/yr because </w:t>
      </w:r>
      <w:r>
        <w:rPr>
          <w:bCs/>
          <w:sz w:val="24"/>
          <w:szCs w:val="24"/>
        </w:rPr>
        <w:t>municipal discharges ha</w:t>
      </w:r>
      <w:r w:rsidR="00EA043C">
        <w:rPr>
          <w:bCs/>
          <w:sz w:val="24"/>
          <w:szCs w:val="24"/>
        </w:rPr>
        <w:t>d</w:t>
      </w:r>
      <w:r>
        <w:rPr>
          <w:bCs/>
          <w:sz w:val="24"/>
          <w:szCs w:val="24"/>
        </w:rPr>
        <w:t xml:space="preserve"> been</w:t>
      </w:r>
      <w:r w:rsidRPr="00F53F8B">
        <w:rPr>
          <w:bCs/>
          <w:sz w:val="24"/>
          <w:szCs w:val="24"/>
        </w:rPr>
        <w:t xml:space="preserve"> </w:t>
      </w:r>
      <w:r w:rsidR="001D131A">
        <w:rPr>
          <w:bCs/>
          <w:sz w:val="24"/>
          <w:szCs w:val="24"/>
        </w:rPr>
        <w:t>well below this final limit. This early imposition of the final limit was</w:t>
      </w:r>
      <w:r w:rsidRPr="00F53F8B">
        <w:rPr>
          <w:bCs/>
          <w:sz w:val="24"/>
          <w:szCs w:val="24"/>
        </w:rPr>
        <w:t xml:space="preserve"> </w:t>
      </w:r>
      <w:r w:rsidR="00EA043C">
        <w:rPr>
          <w:bCs/>
          <w:sz w:val="24"/>
          <w:szCs w:val="24"/>
        </w:rPr>
        <w:t>pursuant to</w:t>
      </w:r>
      <w:r w:rsidRPr="00F53F8B">
        <w:rPr>
          <w:bCs/>
          <w:sz w:val="24"/>
          <w:szCs w:val="24"/>
        </w:rPr>
        <w:t xml:space="preserve"> 40 C</w:t>
      </w:r>
      <w:r w:rsidR="00EA043C">
        <w:rPr>
          <w:bCs/>
          <w:sz w:val="24"/>
          <w:szCs w:val="24"/>
        </w:rPr>
        <w:t>.</w:t>
      </w:r>
      <w:r w:rsidRPr="00F53F8B">
        <w:rPr>
          <w:bCs/>
          <w:sz w:val="24"/>
          <w:szCs w:val="24"/>
        </w:rPr>
        <w:t>F</w:t>
      </w:r>
      <w:r w:rsidR="00EA043C">
        <w:rPr>
          <w:bCs/>
          <w:sz w:val="24"/>
          <w:szCs w:val="24"/>
        </w:rPr>
        <w:t>.</w:t>
      </w:r>
      <w:r w:rsidRPr="00F53F8B">
        <w:rPr>
          <w:bCs/>
          <w:sz w:val="24"/>
          <w:szCs w:val="24"/>
        </w:rPr>
        <w:t>R</w:t>
      </w:r>
      <w:r w:rsidR="00EA043C">
        <w:rPr>
          <w:bCs/>
          <w:sz w:val="24"/>
          <w:szCs w:val="24"/>
        </w:rPr>
        <w:t>.</w:t>
      </w:r>
      <w:r w:rsidRPr="00F53F8B">
        <w:rPr>
          <w:bCs/>
          <w:sz w:val="24"/>
          <w:szCs w:val="24"/>
        </w:rPr>
        <w:t xml:space="preserve"> </w:t>
      </w:r>
      <w:r w:rsidR="00115F4F">
        <w:rPr>
          <w:bCs/>
          <w:sz w:val="24"/>
          <w:szCs w:val="24"/>
        </w:rPr>
        <w:t xml:space="preserve">section </w:t>
      </w:r>
      <w:r w:rsidRPr="00F53F8B">
        <w:rPr>
          <w:bCs/>
          <w:sz w:val="24"/>
          <w:szCs w:val="24"/>
        </w:rPr>
        <w:t>122.47</w:t>
      </w:r>
      <w:r w:rsidR="00717554">
        <w:rPr>
          <w:bCs/>
          <w:sz w:val="24"/>
          <w:szCs w:val="24"/>
        </w:rPr>
        <w:t>,</w:t>
      </w:r>
      <w:r w:rsidRPr="00F53F8B">
        <w:rPr>
          <w:bCs/>
          <w:sz w:val="24"/>
          <w:szCs w:val="24"/>
        </w:rPr>
        <w:t xml:space="preserve"> </w:t>
      </w:r>
      <w:r w:rsidR="00EA043C">
        <w:rPr>
          <w:bCs/>
          <w:sz w:val="24"/>
          <w:szCs w:val="24"/>
        </w:rPr>
        <w:t xml:space="preserve">which </w:t>
      </w:r>
      <w:r w:rsidRPr="00F53F8B">
        <w:rPr>
          <w:bCs/>
          <w:sz w:val="24"/>
          <w:szCs w:val="24"/>
        </w:rPr>
        <w:t xml:space="preserve">requires compliance as soon as possible. </w:t>
      </w:r>
    </w:p>
    <w:p w14:paraId="6FA1B278" w14:textId="5B6C66DE" w:rsidR="0017377E" w:rsidRDefault="0017377E" w:rsidP="00E07A28">
      <w:pPr>
        <w:spacing w:after="240"/>
        <w:ind w:left="1710"/>
        <w:rPr>
          <w:bCs/>
          <w:sz w:val="24"/>
          <w:szCs w:val="24"/>
        </w:rPr>
      </w:pPr>
      <w:r w:rsidRPr="0017377E">
        <w:rPr>
          <w:bCs/>
          <w:sz w:val="24"/>
          <w:szCs w:val="24"/>
        </w:rPr>
        <w:t>This Order doe</w:t>
      </w:r>
      <w:r>
        <w:rPr>
          <w:bCs/>
          <w:sz w:val="24"/>
          <w:szCs w:val="24"/>
        </w:rPr>
        <w:t>s not contain requirements for</w:t>
      </w:r>
      <w:r w:rsidRPr="0017377E">
        <w:rPr>
          <w:bCs/>
          <w:sz w:val="24"/>
          <w:szCs w:val="24"/>
        </w:rPr>
        <w:t xml:space="preserve"> California Depa</w:t>
      </w:r>
      <w:r>
        <w:rPr>
          <w:bCs/>
          <w:sz w:val="24"/>
          <w:szCs w:val="24"/>
        </w:rPr>
        <w:t>rtment of Parks and Recreation (</w:t>
      </w:r>
      <w:r w:rsidRPr="0017377E">
        <w:rPr>
          <w:bCs/>
          <w:sz w:val="24"/>
          <w:szCs w:val="24"/>
        </w:rPr>
        <w:t>Angel Island State Park</w:t>
      </w:r>
      <w:r>
        <w:rPr>
          <w:bCs/>
          <w:sz w:val="24"/>
          <w:szCs w:val="24"/>
        </w:rPr>
        <w:t>) for municipal discharges and</w:t>
      </w:r>
      <w:r w:rsidRPr="0017377E">
        <w:rPr>
          <w:bCs/>
          <w:sz w:val="24"/>
          <w:szCs w:val="24"/>
        </w:rPr>
        <w:t xml:space="preserve"> Dow Chemical Company, General Chemical, </w:t>
      </w:r>
      <w:r>
        <w:rPr>
          <w:bCs/>
          <w:sz w:val="24"/>
          <w:szCs w:val="24"/>
        </w:rPr>
        <w:t xml:space="preserve">GWF Sites I and V, </w:t>
      </w:r>
      <w:r w:rsidR="00592EFB">
        <w:rPr>
          <w:bCs/>
          <w:sz w:val="24"/>
          <w:szCs w:val="24"/>
        </w:rPr>
        <w:t xml:space="preserve">Hanson Aggregates (Olin Jones Dredge Spoils Disposal Facility), </w:t>
      </w:r>
      <w:r>
        <w:rPr>
          <w:bCs/>
          <w:sz w:val="24"/>
          <w:szCs w:val="24"/>
        </w:rPr>
        <w:t>Pacific Gas and Electric</w:t>
      </w:r>
      <w:r w:rsidRPr="0017377E">
        <w:rPr>
          <w:bCs/>
          <w:sz w:val="24"/>
          <w:szCs w:val="24"/>
        </w:rPr>
        <w:t xml:space="preserve">, </w:t>
      </w:r>
      <w:r w:rsidR="00344105">
        <w:rPr>
          <w:bCs/>
          <w:sz w:val="24"/>
          <w:szCs w:val="24"/>
        </w:rPr>
        <w:t>Southern Energy Delta LLC</w:t>
      </w:r>
      <w:r w:rsidRPr="0017377E">
        <w:rPr>
          <w:bCs/>
          <w:sz w:val="24"/>
          <w:szCs w:val="24"/>
        </w:rPr>
        <w:t xml:space="preserve">, </w:t>
      </w:r>
      <w:r w:rsidR="00344105">
        <w:rPr>
          <w:bCs/>
          <w:sz w:val="24"/>
          <w:szCs w:val="24"/>
        </w:rPr>
        <w:t xml:space="preserve">and </w:t>
      </w:r>
      <w:r w:rsidRPr="0017377E">
        <w:rPr>
          <w:bCs/>
          <w:sz w:val="24"/>
          <w:szCs w:val="24"/>
        </w:rPr>
        <w:t>the U</w:t>
      </w:r>
      <w:r w:rsidR="00344105">
        <w:rPr>
          <w:bCs/>
          <w:sz w:val="24"/>
          <w:szCs w:val="24"/>
        </w:rPr>
        <w:t xml:space="preserve">.S. Department of </w:t>
      </w:r>
      <w:r w:rsidRPr="0017377E">
        <w:rPr>
          <w:bCs/>
          <w:sz w:val="24"/>
          <w:szCs w:val="24"/>
        </w:rPr>
        <w:t xml:space="preserve">Navy </w:t>
      </w:r>
      <w:r w:rsidR="00344105">
        <w:rPr>
          <w:bCs/>
          <w:sz w:val="24"/>
          <w:szCs w:val="24"/>
        </w:rPr>
        <w:t>(Point Molate)</w:t>
      </w:r>
      <w:r w:rsidRPr="0017377E">
        <w:rPr>
          <w:bCs/>
          <w:sz w:val="24"/>
          <w:szCs w:val="24"/>
        </w:rPr>
        <w:t xml:space="preserve"> </w:t>
      </w:r>
      <w:r w:rsidR="00592EFB">
        <w:rPr>
          <w:bCs/>
          <w:sz w:val="24"/>
          <w:szCs w:val="24"/>
        </w:rPr>
        <w:t xml:space="preserve">for industrial discharges </w:t>
      </w:r>
      <w:r w:rsidR="00344105">
        <w:rPr>
          <w:bCs/>
          <w:sz w:val="24"/>
          <w:szCs w:val="24"/>
        </w:rPr>
        <w:t>because these dischargers have ceased discharging from their facilities</w:t>
      </w:r>
      <w:r w:rsidRPr="0017377E">
        <w:rPr>
          <w:bCs/>
          <w:sz w:val="24"/>
          <w:szCs w:val="24"/>
        </w:rPr>
        <w:t xml:space="preserve">, and the Regional Water Board has rescinded their NPDES permits. To account for these rescissions, this </w:t>
      </w:r>
      <w:r w:rsidR="00344105">
        <w:rPr>
          <w:bCs/>
          <w:sz w:val="24"/>
          <w:szCs w:val="24"/>
        </w:rPr>
        <w:t>previous order reduced</w:t>
      </w:r>
      <w:r w:rsidRPr="0017377E">
        <w:rPr>
          <w:bCs/>
          <w:sz w:val="24"/>
          <w:szCs w:val="24"/>
        </w:rPr>
        <w:t xml:space="preserve"> the aggregate industrial </w:t>
      </w:r>
      <w:r w:rsidR="00344105">
        <w:rPr>
          <w:bCs/>
          <w:sz w:val="24"/>
          <w:szCs w:val="24"/>
        </w:rPr>
        <w:t xml:space="preserve">limit </w:t>
      </w:r>
      <w:r w:rsidRPr="0017377E">
        <w:rPr>
          <w:bCs/>
          <w:sz w:val="24"/>
          <w:szCs w:val="24"/>
        </w:rPr>
        <w:t>from 1.3 to 1.0 kg/yr.</w:t>
      </w:r>
      <w:r w:rsidR="00344105">
        <w:rPr>
          <w:bCs/>
          <w:sz w:val="24"/>
          <w:szCs w:val="24"/>
        </w:rPr>
        <w:t xml:space="preserve"> This Order </w:t>
      </w:r>
      <w:r w:rsidR="00F42E10">
        <w:rPr>
          <w:bCs/>
          <w:sz w:val="24"/>
          <w:szCs w:val="24"/>
        </w:rPr>
        <w:t>retains</w:t>
      </w:r>
      <w:r w:rsidR="00344105">
        <w:rPr>
          <w:bCs/>
          <w:sz w:val="24"/>
          <w:szCs w:val="24"/>
        </w:rPr>
        <w:t xml:space="preserve"> the reduced aggregate industrial limit.</w:t>
      </w:r>
    </w:p>
    <w:p w14:paraId="65195D54" w14:textId="39D8EFC6" w:rsidR="00F05D78" w:rsidRDefault="0047195F" w:rsidP="00E07A28">
      <w:pPr>
        <w:spacing w:after="240"/>
        <w:ind w:left="1710"/>
        <w:rPr>
          <w:bCs/>
          <w:sz w:val="24"/>
          <w:szCs w:val="24"/>
        </w:rPr>
      </w:pPr>
      <w:r>
        <w:rPr>
          <w:bCs/>
          <w:sz w:val="24"/>
          <w:szCs w:val="24"/>
        </w:rPr>
        <w:t xml:space="preserve">This Order also does not </w:t>
      </w:r>
      <w:r w:rsidRPr="0047195F">
        <w:rPr>
          <w:bCs/>
          <w:sz w:val="24"/>
          <w:szCs w:val="24"/>
        </w:rPr>
        <w:t xml:space="preserve">contain requirements for </w:t>
      </w:r>
      <w:r w:rsidR="00592EFB">
        <w:rPr>
          <w:bCs/>
          <w:sz w:val="24"/>
          <w:szCs w:val="24"/>
        </w:rPr>
        <w:t xml:space="preserve">the </w:t>
      </w:r>
      <w:r w:rsidRPr="0047195F">
        <w:rPr>
          <w:bCs/>
          <w:sz w:val="24"/>
          <w:szCs w:val="24"/>
        </w:rPr>
        <w:t xml:space="preserve">Hanson Aggregates </w:t>
      </w:r>
      <w:r w:rsidR="00592EFB">
        <w:rPr>
          <w:bCs/>
          <w:sz w:val="24"/>
          <w:szCs w:val="24"/>
        </w:rPr>
        <w:t xml:space="preserve">Amador Street and Tidewater Avenue </w:t>
      </w:r>
      <w:r w:rsidRPr="0047195F">
        <w:rPr>
          <w:bCs/>
          <w:sz w:val="24"/>
          <w:szCs w:val="24"/>
        </w:rPr>
        <w:t xml:space="preserve">facilities that are covered under </w:t>
      </w:r>
      <w:r w:rsidR="00B66180">
        <w:rPr>
          <w:bCs/>
          <w:sz w:val="24"/>
          <w:szCs w:val="24"/>
        </w:rPr>
        <w:t>NPDES Permit No. CAG982001, which covers aggregate mining</w:t>
      </w:r>
      <w:r w:rsidR="004B6C20">
        <w:rPr>
          <w:bCs/>
          <w:sz w:val="24"/>
          <w:szCs w:val="24"/>
        </w:rPr>
        <w:t xml:space="preserve">, marine sand washing, and sand offloading </w:t>
      </w:r>
      <w:r w:rsidR="00B66180">
        <w:rPr>
          <w:bCs/>
          <w:sz w:val="24"/>
          <w:szCs w:val="24"/>
        </w:rPr>
        <w:t xml:space="preserve">activities and is consistent with the San Francisco Bay </w:t>
      </w:r>
      <w:r w:rsidR="003B3F50">
        <w:rPr>
          <w:bCs/>
          <w:sz w:val="24"/>
          <w:szCs w:val="24"/>
        </w:rPr>
        <w:t>Mercury TMDL</w:t>
      </w:r>
      <w:r w:rsidRPr="0047195F">
        <w:rPr>
          <w:bCs/>
          <w:sz w:val="24"/>
          <w:szCs w:val="24"/>
        </w:rPr>
        <w:t xml:space="preserve">. </w:t>
      </w:r>
      <w:r w:rsidR="00B66180">
        <w:rPr>
          <w:bCs/>
          <w:sz w:val="24"/>
          <w:szCs w:val="24"/>
        </w:rPr>
        <w:t>In addition</w:t>
      </w:r>
      <w:r w:rsidRPr="0047195F">
        <w:rPr>
          <w:bCs/>
          <w:sz w:val="24"/>
          <w:szCs w:val="24"/>
        </w:rPr>
        <w:t xml:space="preserve">, this Order does not contain requirements for the San Francisco International Airport industrial wastewater treatment plant because it </w:t>
      </w:r>
      <w:r w:rsidR="004B6C20">
        <w:rPr>
          <w:bCs/>
          <w:sz w:val="24"/>
          <w:szCs w:val="24"/>
        </w:rPr>
        <w:t xml:space="preserve">is regulated as a single </w:t>
      </w:r>
      <w:r w:rsidRPr="0047195F">
        <w:rPr>
          <w:bCs/>
          <w:sz w:val="24"/>
          <w:szCs w:val="24"/>
        </w:rPr>
        <w:t xml:space="preserve">site </w:t>
      </w:r>
      <w:r w:rsidR="004B6C20">
        <w:rPr>
          <w:bCs/>
          <w:sz w:val="24"/>
          <w:szCs w:val="24"/>
        </w:rPr>
        <w:t>for both sanitary municipal and industrial activities</w:t>
      </w:r>
      <w:r w:rsidRPr="0047195F">
        <w:rPr>
          <w:bCs/>
          <w:sz w:val="24"/>
          <w:szCs w:val="24"/>
        </w:rPr>
        <w:t xml:space="preserve">. Because flows to the San Francisco International Airport’s treatment facility are now predominantly </w:t>
      </w:r>
      <w:r w:rsidR="004B6C20">
        <w:rPr>
          <w:bCs/>
          <w:sz w:val="24"/>
          <w:szCs w:val="24"/>
        </w:rPr>
        <w:t>municipal</w:t>
      </w:r>
      <w:r w:rsidRPr="0047195F">
        <w:rPr>
          <w:bCs/>
          <w:sz w:val="24"/>
          <w:szCs w:val="24"/>
        </w:rPr>
        <w:t>, it is appropriate to regulate this facility as a municipal wastewater treatment plant. These facilities comprise a very small portion of the total wastewater mercury load to San Francisco Bay.</w:t>
      </w:r>
      <w:r w:rsidR="004B6C20">
        <w:rPr>
          <w:bCs/>
          <w:sz w:val="24"/>
          <w:szCs w:val="24"/>
        </w:rPr>
        <w:t xml:space="preserve"> </w:t>
      </w:r>
    </w:p>
    <w:p w14:paraId="6A2DDB6D" w14:textId="0E1FA51D" w:rsidR="0047195F" w:rsidRPr="0047195F" w:rsidRDefault="00F05D78" w:rsidP="00E07A28">
      <w:pPr>
        <w:spacing w:after="240"/>
        <w:ind w:left="1710"/>
        <w:rPr>
          <w:bCs/>
          <w:sz w:val="24"/>
          <w:szCs w:val="24"/>
        </w:rPr>
      </w:pPr>
      <w:r>
        <w:rPr>
          <w:bCs/>
          <w:sz w:val="24"/>
          <w:szCs w:val="24"/>
        </w:rPr>
        <w:t>In 2016, the Regional Water Board adopted an individual NPDES permit (NPDES Permit No. CA0030228) for Schnitzer Steel Industries, Inc. This</w:t>
      </w:r>
      <w:r w:rsidR="004B6C20">
        <w:rPr>
          <w:bCs/>
          <w:sz w:val="24"/>
          <w:szCs w:val="24"/>
        </w:rPr>
        <w:t xml:space="preserve"> Order does not contain requirements for </w:t>
      </w:r>
      <w:r>
        <w:rPr>
          <w:bCs/>
          <w:sz w:val="24"/>
          <w:szCs w:val="24"/>
        </w:rPr>
        <w:t xml:space="preserve">Schnitzer Steel Industries, Inc., because it discharges to the City of Oakland’s storm drain, which is covered under the Alameda County Clean Water Program wasteload allocation </w:t>
      </w:r>
      <w:r w:rsidR="007E7537">
        <w:rPr>
          <w:bCs/>
          <w:sz w:val="24"/>
          <w:szCs w:val="24"/>
        </w:rPr>
        <w:t xml:space="preserve">of 20 kg/yr </w:t>
      </w:r>
      <w:r>
        <w:rPr>
          <w:bCs/>
          <w:sz w:val="24"/>
          <w:szCs w:val="24"/>
        </w:rPr>
        <w:t xml:space="preserve">and implemented through NPDES Permit No. CAS612008, which </w:t>
      </w:r>
      <w:r w:rsidR="00842699">
        <w:rPr>
          <w:bCs/>
          <w:sz w:val="24"/>
          <w:szCs w:val="24"/>
        </w:rPr>
        <w:t>covers</w:t>
      </w:r>
      <w:r w:rsidR="00B845DE">
        <w:rPr>
          <w:bCs/>
          <w:sz w:val="24"/>
          <w:szCs w:val="24"/>
        </w:rPr>
        <w:t xml:space="preserve"> </w:t>
      </w:r>
      <w:r w:rsidR="000A51CB">
        <w:rPr>
          <w:bCs/>
          <w:sz w:val="24"/>
          <w:szCs w:val="24"/>
        </w:rPr>
        <w:t xml:space="preserve">San Francisco Bay </w:t>
      </w:r>
      <w:r w:rsidR="003B3F50">
        <w:rPr>
          <w:bCs/>
          <w:sz w:val="24"/>
          <w:szCs w:val="24"/>
        </w:rPr>
        <w:t>Mercury TMDL</w:t>
      </w:r>
      <w:r w:rsidR="000A51CB">
        <w:rPr>
          <w:bCs/>
          <w:sz w:val="24"/>
          <w:szCs w:val="24"/>
        </w:rPr>
        <w:t xml:space="preserve"> urban stormwater </w:t>
      </w:r>
      <w:r w:rsidR="000D10A1">
        <w:rPr>
          <w:bCs/>
          <w:sz w:val="24"/>
          <w:szCs w:val="24"/>
        </w:rPr>
        <w:t xml:space="preserve">discharge </w:t>
      </w:r>
      <w:r w:rsidR="000A51CB">
        <w:rPr>
          <w:bCs/>
          <w:sz w:val="24"/>
          <w:szCs w:val="24"/>
        </w:rPr>
        <w:t>requirements</w:t>
      </w:r>
      <w:r w:rsidR="00B845DE">
        <w:rPr>
          <w:bCs/>
          <w:sz w:val="24"/>
          <w:szCs w:val="24"/>
        </w:rPr>
        <w:t xml:space="preserve"> for regional stormwater discharges</w:t>
      </w:r>
      <w:r>
        <w:rPr>
          <w:bCs/>
          <w:sz w:val="24"/>
          <w:szCs w:val="24"/>
        </w:rPr>
        <w:t xml:space="preserve">. </w:t>
      </w:r>
    </w:p>
    <w:p w14:paraId="404C993E" w14:textId="422D4CC6" w:rsidR="001A4A17" w:rsidRPr="001A4A17" w:rsidRDefault="00D24A6A" w:rsidP="00F009DF">
      <w:pPr>
        <w:pStyle w:val="ListParagraph"/>
        <w:numPr>
          <w:ilvl w:val="0"/>
          <w:numId w:val="38"/>
        </w:numPr>
        <w:shd w:val="clear" w:color="auto" w:fill="FFFFFF"/>
        <w:tabs>
          <w:tab w:val="left" w:pos="1710"/>
        </w:tabs>
        <w:spacing w:after="120"/>
        <w:ind w:left="1710"/>
        <w:rPr>
          <w:rFonts w:cs="Arial"/>
          <w:sz w:val="24"/>
          <w:szCs w:val="24"/>
        </w:rPr>
      </w:pPr>
      <w:r>
        <w:rPr>
          <w:rFonts w:cs="Arial"/>
          <w:b/>
          <w:sz w:val="24"/>
          <w:szCs w:val="24"/>
        </w:rPr>
        <w:lastRenderedPageBreak/>
        <w:t>Concentration-based WQBELs</w:t>
      </w:r>
      <w:r w:rsidRPr="00570B42">
        <w:rPr>
          <w:rFonts w:cs="Arial"/>
          <w:b/>
          <w:sz w:val="24"/>
          <w:szCs w:val="24"/>
        </w:rPr>
        <w:t>.</w:t>
      </w:r>
      <w:r w:rsidRPr="00570B42">
        <w:rPr>
          <w:rFonts w:cs="Arial"/>
          <w:sz w:val="24"/>
          <w:szCs w:val="24"/>
        </w:rPr>
        <w:t xml:space="preserve"> </w:t>
      </w:r>
      <w:r w:rsidRPr="00C64921">
        <w:rPr>
          <w:rFonts w:cs="Arial"/>
          <w:sz w:val="24"/>
          <w:szCs w:val="24"/>
        </w:rPr>
        <w:t xml:space="preserve">The </w:t>
      </w:r>
      <w:r w:rsidR="00E07A28">
        <w:rPr>
          <w:rFonts w:cs="Arial"/>
          <w:sz w:val="24"/>
          <w:szCs w:val="24"/>
        </w:rPr>
        <w:t>concentration</w:t>
      </w:r>
      <w:r w:rsidRPr="00C64921">
        <w:rPr>
          <w:rFonts w:cs="Arial"/>
          <w:sz w:val="24"/>
          <w:szCs w:val="24"/>
        </w:rPr>
        <w:t xml:space="preserve">-based WQBELs are </w:t>
      </w:r>
      <w:r w:rsidR="00E07A28">
        <w:rPr>
          <w:rFonts w:cs="Arial"/>
          <w:sz w:val="24"/>
          <w:szCs w:val="24"/>
        </w:rPr>
        <w:t xml:space="preserve">consistent with the San Francisco Bay </w:t>
      </w:r>
      <w:r w:rsidR="003B3F50">
        <w:rPr>
          <w:rFonts w:cs="Arial"/>
          <w:sz w:val="24"/>
          <w:szCs w:val="24"/>
        </w:rPr>
        <w:t>Mercury TMDL</w:t>
      </w:r>
      <w:r w:rsidR="002211C5">
        <w:rPr>
          <w:rFonts w:cs="Arial"/>
          <w:sz w:val="24"/>
          <w:szCs w:val="24"/>
        </w:rPr>
        <w:t xml:space="preserve"> and</w:t>
      </w:r>
      <w:r w:rsidR="001527ED">
        <w:rPr>
          <w:rFonts w:cs="Arial"/>
          <w:sz w:val="24"/>
          <w:szCs w:val="24"/>
        </w:rPr>
        <w:t xml:space="preserve"> State Water Board’s Resolution No. 2007-0045 approving the TMDL, which states</w:t>
      </w:r>
      <w:r w:rsidR="000B05C2">
        <w:rPr>
          <w:rFonts w:cs="Arial"/>
          <w:sz w:val="24"/>
          <w:szCs w:val="24"/>
        </w:rPr>
        <w:t>,</w:t>
      </w:r>
      <w:r w:rsidR="001527ED">
        <w:rPr>
          <w:rFonts w:cs="Arial"/>
          <w:sz w:val="24"/>
          <w:szCs w:val="24"/>
        </w:rPr>
        <w:t xml:space="preserve"> in part</w:t>
      </w:r>
      <w:r w:rsidR="000B05C2">
        <w:rPr>
          <w:rFonts w:cs="Arial"/>
          <w:sz w:val="24"/>
          <w:szCs w:val="24"/>
        </w:rPr>
        <w:t>,</w:t>
      </w:r>
      <w:r w:rsidR="001527ED">
        <w:rPr>
          <w:rFonts w:cs="Arial"/>
          <w:sz w:val="24"/>
          <w:szCs w:val="24"/>
        </w:rPr>
        <w:t xml:space="preserve"> the following:</w:t>
      </w:r>
    </w:p>
    <w:p w14:paraId="2041DC3D" w14:textId="77777777" w:rsidR="001A4A17" w:rsidRDefault="001A4A17" w:rsidP="001A4A17">
      <w:pPr>
        <w:pStyle w:val="ListParagraph"/>
        <w:shd w:val="clear" w:color="auto" w:fill="FFFFFF"/>
        <w:tabs>
          <w:tab w:val="left" w:pos="2430"/>
        </w:tabs>
        <w:spacing w:after="240"/>
        <w:ind w:left="2430" w:right="720"/>
        <w:rPr>
          <w:rFonts w:cs="Arial"/>
          <w:i/>
          <w:sz w:val="12"/>
          <w:szCs w:val="12"/>
        </w:rPr>
      </w:pPr>
    </w:p>
    <w:p w14:paraId="65A8EB3D" w14:textId="65ED1E61" w:rsidR="0047195F" w:rsidRPr="000B05C2" w:rsidRDefault="000B05C2" w:rsidP="001A4A17">
      <w:pPr>
        <w:pStyle w:val="ListParagraph"/>
        <w:shd w:val="clear" w:color="auto" w:fill="FFFFFF"/>
        <w:tabs>
          <w:tab w:val="left" w:pos="2430"/>
        </w:tabs>
        <w:spacing w:after="240"/>
        <w:ind w:left="2430" w:right="720"/>
        <w:rPr>
          <w:rFonts w:cs="Arial"/>
          <w:i/>
          <w:sz w:val="24"/>
          <w:szCs w:val="24"/>
        </w:rPr>
      </w:pPr>
      <w:r w:rsidRPr="000B05C2">
        <w:rPr>
          <w:rFonts w:cs="Arial"/>
          <w:i/>
          <w:sz w:val="24"/>
          <w:szCs w:val="24"/>
        </w:rPr>
        <w:t xml:space="preserve">…any NPDES permit or permits that implement the San Francisco Bay </w:t>
      </w:r>
      <w:r w:rsidR="003B3F50">
        <w:rPr>
          <w:rFonts w:cs="Arial"/>
          <w:i/>
          <w:sz w:val="24"/>
          <w:szCs w:val="24"/>
        </w:rPr>
        <w:t>Mercury TMDL</w:t>
      </w:r>
      <w:r w:rsidRPr="000B05C2">
        <w:rPr>
          <w:rFonts w:cs="Arial"/>
          <w:i/>
          <w:sz w:val="24"/>
          <w:szCs w:val="24"/>
        </w:rPr>
        <w:t xml:space="preserve"> will include individual numeric effluent limitations consistent with the assumptions and requirements of waste load allocations for each wastewater discharger, that will be individually enforceable.</w:t>
      </w:r>
    </w:p>
    <w:p w14:paraId="416D77DC" w14:textId="01D2BEB8" w:rsidR="001D131A" w:rsidRDefault="000B05C2" w:rsidP="001A4A17">
      <w:pPr>
        <w:tabs>
          <w:tab w:val="left" w:pos="2430"/>
        </w:tabs>
        <w:spacing w:after="120"/>
        <w:ind w:left="1710"/>
        <w:rPr>
          <w:bCs/>
          <w:sz w:val="24"/>
          <w:szCs w:val="24"/>
        </w:rPr>
      </w:pPr>
      <w:r w:rsidRPr="000B05C2">
        <w:rPr>
          <w:bCs/>
          <w:sz w:val="24"/>
          <w:szCs w:val="24"/>
        </w:rPr>
        <w:t xml:space="preserve">A primary assumption and requirement of the </w:t>
      </w:r>
      <w:r w:rsidR="00F72307">
        <w:rPr>
          <w:bCs/>
          <w:sz w:val="24"/>
          <w:szCs w:val="24"/>
        </w:rPr>
        <w:t xml:space="preserve">San Francisco Bay </w:t>
      </w:r>
      <w:r w:rsidR="003B3F50">
        <w:rPr>
          <w:bCs/>
          <w:sz w:val="24"/>
          <w:szCs w:val="24"/>
        </w:rPr>
        <w:t>Mercury TMDL</w:t>
      </w:r>
      <w:r w:rsidRPr="000B05C2">
        <w:rPr>
          <w:bCs/>
          <w:sz w:val="24"/>
          <w:szCs w:val="24"/>
        </w:rPr>
        <w:t xml:space="preserve"> is that wastewater dischargers maintain current </w:t>
      </w:r>
      <w:r w:rsidR="00F72307">
        <w:rPr>
          <w:bCs/>
          <w:sz w:val="24"/>
          <w:szCs w:val="24"/>
        </w:rPr>
        <w:t>treatment performance. This assumption is stated in the TMDL itself and its supporting documents, which state the following:</w:t>
      </w:r>
    </w:p>
    <w:p w14:paraId="4BACB66D" w14:textId="51A0F515" w:rsidR="00F72307" w:rsidRDefault="00F72307" w:rsidP="00F72307">
      <w:pPr>
        <w:pStyle w:val="ListParagraph"/>
        <w:shd w:val="clear" w:color="auto" w:fill="FFFFFF"/>
        <w:tabs>
          <w:tab w:val="left" w:pos="2430"/>
        </w:tabs>
        <w:spacing w:after="240"/>
        <w:ind w:left="2430" w:right="720"/>
        <w:rPr>
          <w:rFonts w:cs="Arial"/>
          <w:i/>
          <w:sz w:val="24"/>
          <w:szCs w:val="24"/>
        </w:rPr>
      </w:pPr>
      <w:r>
        <w:rPr>
          <w:rFonts w:cs="Arial"/>
          <w:i/>
          <w:sz w:val="24"/>
          <w:szCs w:val="24"/>
        </w:rPr>
        <w:t xml:space="preserve"> </w:t>
      </w:r>
      <w:r w:rsidRPr="00F72307">
        <w:rPr>
          <w:rFonts w:cs="Arial"/>
          <w:i/>
          <w:sz w:val="24"/>
          <w:szCs w:val="24"/>
        </w:rPr>
        <w:t>The watershed NPDES permit for municipal facilities will put in place a set of triggered actions … intended … to ensure that municipal wastewater facilities maintain their ongoing operation, maintenance, and performance.” (p. 75, Staff Report for the TMDL, September 2, 2004)</w:t>
      </w:r>
    </w:p>
    <w:p w14:paraId="26E6F681" w14:textId="77777777" w:rsidR="001A4A17" w:rsidRDefault="001A4A17" w:rsidP="00F72307">
      <w:pPr>
        <w:pStyle w:val="ListParagraph"/>
        <w:shd w:val="clear" w:color="auto" w:fill="FFFFFF"/>
        <w:tabs>
          <w:tab w:val="left" w:pos="2430"/>
        </w:tabs>
        <w:spacing w:after="240"/>
        <w:ind w:left="2430" w:right="720"/>
        <w:rPr>
          <w:rFonts w:cs="Arial"/>
          <w:i/>
          <w:sz w:val="24"/>
          <w:szCs w:val="24"/>
        </w:rPr>
      </w:pPr>
    </w:p>
    <w:p w14:paraId="54EE682E" w14:textId="6885AD33" w:rsidR="001A4A17" w:rsidRPr="00BD5C44" w:rsidRDefault="001A4A17" w:rsidP="00BD5C44">
      <w:pPr>
        <w:pStyle w:val="ListParagraph"/>
        <w:shd w:val="clear" w:color="auto" w:fill="FFFFFF"/>
        <w:tabs>
          <w:tab w:val="left" w:pos="2430"/>
        </w:tabs>
        <w:spacing w:after="240"/>
        <w:ind w:left="2430" w:right="720"/>
        <w:rPr>
          <w:rFonts w:cs="Arial"/>
          <w:i/>
          <w:sz w:val="24"/>
          <w:szCs w:val="24"/>
        </w:rPr>
      </w:pPr>
      <w:r>
        <w:rPr>
          <w:rFonts w:cs="Arial"/>
          <w:i/>
          <w:sz w:val="24"/>
          <w:szCs w:val="24"/>
        </w:rPr>
        <w:t xml:space="preserve"> [The TMDL’s]</w:t>
      </w:r>
      <w:r w:rsidR="00F72307">
        <w:rPr>
          <w:rFonts w:cs="Arial"/>
          <w:i/>
          <w:sz w:val="24"/>
          <w:szCs w:val="24"/>
        </w:rPr>
        <w:t xml:space="preserve"> </w:t>
      </w:r>
      <w:r w:rsidR="00F72307" w:rsidRPr="00F72307">
        <w:rPr>
          <w:rFonts w:cs="Arial"/>
          <w:i/>
          <w:sz w:val="24"/>
          <w:szCs w:val="24"/>
        </w:rPr>
        <w:t>conditions are intended … to ensure that industrial wastewater facilities maintain proper operation, maintenance, and performance.” (BPA-20, Basin Plan Amendment, August 9, 2006)</w:t>
      </w:r>
    </w:p>
    <w:p w14:paraId="0180370A" w14:textId="161CEB12" w:rsidR="00BD5C44" w:rsidRDefault="00BD5C44" w:rsidP="00B759C5">
      <w:pPr>
        <w:tabs>
          <w:tab w:val="left" w:pos="2430"/>
        </w:tabs>
        <w:spacing w:after="240"/>
        <w:ind w:left="1710"/>
        <w:rPr>
          <w:bCs/>
          <w:sz w:val="24"/>
          <w:szCs w:val="24"/>
        </w:rPr>
      </w:pPr>
      <w:r>
        <w:rPr>
          <w:bCs/>
          <w:sz w:val="24"/>
          <w:szCs w:val="24"/>
        </w:rPr>
        <w:t xml:space="preserve">This Order </w:t>
      </w:r>
      <w:r w:rsidR="00F42E10">
        <w:rPr>
          <w:bCs/>
          <w:sz w:val="24"/>
          <w:szCs w:val="24"/>
        </w:rPr>
        <w:t>retains</w:t>
      </w:r>
      <w:r>
        <w:rPr>
          <w:bCs/>
          <w:sz w:val="24"/>
          <w:szCs w:val="24"/>
        </w:rPr>
        <w:t xml:space="preserve"> </w:t>
      </w:r>
      <w:r w:rsidR="004511C3">
        <w:rPr>
          <w:bCs/>
          <w:sz w:val="24"/>
          <w:szCs w:val="24"/>
        </w:rPr>
        <w:t xml:space="preserve">the </w:t>
      </w:r>
      <w:r>
        <w:rPr>
          <w:bCs/>
          <w:sz w:val="24"/>
          <w:szCs w:val="24"/>
        </w:rPr>
        <w:t>individual concentration-based limit</w:t>
      </w:r>
      <w:r w:rsidR="00B759C5">
        <w:rPr>
          <w:bCs/>
          <w:sz w:val="24"/>
          <w:szCs w:val="24"/>
        </w:rPr>
        <w:t>ation</w:t>
      </w:r>
      <w:r>
        <w:rPr>
          <w:bCs/>
          <w:sz w:val="24"/>
          <w:szCs w:val="24"/>
        </w:rPr>
        <w:t xml:space="preserve">s from the previous order, which are </w:t>
      </w:r>
      <w:r w:rsidR="004511C3">
        <w:rPr>
          <w:bCs/>
          <w:sz w:val="24"/>
          <w:szCs w:val="24"/>
        </w:rPr>
        <w:t>consistent with</w:t>
      </w:r>
      <w:r>
        <w:rPr>
          <w:bCs/>
          <w:sz w:val="24"/>
          <w:szCs w:val="24"/>
        </w:rPr>
        <w:t xml:space="preserve"> Municipal and Industrial Discharger’s performance levels</w:t>
      </w:r>
      <w:r w:rsidR="00F42E10">
        <w:rPr>
          <w:bCs/>
          <w:sz w:val="24"/>
          <w:szCs w:val="24"/>
        </w:rPr>
        <w:t>, because Dischargers continue to perform be well below their mass allocation</w:t>
      </w:r>
      <w:r>
        <w:rPr>
          <w:bCs/>
          <w:sz w:val="24"/>
          <w:szCs w:val="24"/>
        </w:rPr>
        <w:t xml:space="preserve">. </w:t>
      </w:r>
      <w:r w:rsidR="00B759C5">
        <w:rPr>
          <w:bCs/>
          <w:sz w:val="24"/>
          <w:szCs w:val="24"/>
        </w:rPr>
        <w:t xml:space="preserve">Three separate performance categories were derived using mercury data between 2000 and 2003: municipal secondary treatment, municipal advanced secondary treatment, and industrial treatment performance. The data used to derive these performance-based limitations are from the same dataset used to calculate the San Francisco Bay </w:t>
      </w:r>
      <w:r w:rsidR="003B3F50">
        <w:rPr>
          <w:bCs/>
          <w:sz w:val="24"/>
          <w:szCs w:val="24"/>
        </w:rPr>
        <w:t>Mercury TMDL</w:t>
      </w:r>
      <w:r w:rsidR="00B759C5">
        <w:rPr>
          <w:bCs/>
          <w:sz w:val="24"/>
          <w:szCs w:val="24"/>
        </w:rPr>
        <w:t>’s initial wasteload allocations. Therefore, these performance-based limitations are consistent with attaining TMDL.</w:t>
      </w:r>
      <w:r w:rsidR="00186F13">
        <w:rPr>
          <w:bCs/>
          <w:sz w:val="24"/>
          <w:szCs w:val="24"/>
        </w:rPr>
        <w:t xml:space="preserve"> Appendix F-2 of this Fact Sheet describe the effluent limitation calculations.</w:t>
      </w:r>
    </w:p>
    <w:p w14:paraId="14995294" w14:textId="649DA2E6" w:rsidR="00B759C5" w:rsidRDefault="00B17ED9" w:rsidP="004511C3">
      <w:pPr>
        <w:tabs>
          <w:tab w:val="left" w:pos="2430"/>
        </w:tabs>
        <w:spacing w:after="240"/>
        <w:ind w:left="1710"/>
        <w:rPr>
          <w:bCs/>
          <w:sz w:val="24"/>
          <w:szCs w:val="24"/>
        </w:rPr>
      </w:pPr>
      <w:r>
        <w:rPr>
          <w:bCs/>
          <w:sz w:val="24"/>
          <w:szCs w:val="24"/>
        </w:rPr>
        <w:t>Non</w:t>
      </w:r>
      <w:r w:rsidR="004511C3">
        <w:rPr>
          <w:bCs/>
          <w:sz w:val="24"/>
          <w:szCs w:val="24"/>
        </w:rPr>
        <w:t xml:space="preserve">-petroleum refinery performance-based </w:t>
      </w:r>
      <w:r w:rsidR="00AE4F3C">
        <w:rPr>
          <w:bCs/>
          <w:sz w:val="24"/>
          <w:szCs w:val="24"/>
        </w:rPr>
        <w:t>limitations</w:t>
      </w:r>
      <w:r>
        <w:rPr>
          <w:bCs/>
          <w:sz w:val="24"/>
          <w:szCs w:val="24"/>
        </w:rPr>
        <w:t xml:space="preserve"> were determined using performance data from petroleum refineries. This is because the performance-based trigger levels for all Industrial Dischargers in the TMDL were set using petroleum refinery data. </w:t>
      </w:r>
    </w:p>
    <w:p w14:paraId="64AC5F85" w14:textId="79F154C9" w:rsidR="004511C3" w:rsidRDefault="004511C3" w:rsidP="004639EE">
      <w:pPr>
        <w:tabs>
          <w:tab w:val="left" w:pos="2430"/>
        </w:tabs>
        <w:spacing w:after="240"/>
        <w:ind w:left="1710"/>
        <w:rPr>
          <w:bCs/>
          <w:sz w:val="24"/>
          <w:szCs w:val="24"/>
        </w:rPr>
      </w:pPr>
      <w:r>
        <w:rPr>
          <w:bCs/>
          <w:sz w:val="24"/>
          <w:szCs w:val="24"/>
        </w:rPr>
        <w:t xml:space="preserve">40 C.F.R. </w:t>
      </w:r>
      <w:r w:rsidR="006B2B28">
        <w:rPr>
          <w:bCs/>
          <w:sz w:val="24"/>
          <w:szCs w:val="24"/>
        </w:rPr>
        <w:t xml:space="preserve">section </w:t>
      </w:r>
      <w:r>
        <w:rPr>
          <w:bCs/>
          <w:sz w:val="24"/>
          <w:szCs w:val="24"/>
        </w:rPr>
        <w:t xml:space="preserve">122.45(d) requires average monthly and average weekly effluent limitations for Municipal Dischargers and average monthly and maximum daily effluent limitations for Industrial Dischargers. </w:t>
      </w:r>
      <w:r w:rsidR="004639EE" w:rsidRPr="004639EE">
        <w:rPr>
          <w:bCs/>
          <w:sz w:val="24"/>
          <w:szCs w:val="24"/>
        </w:rPr>
        <w:t>These limitations are intended to minimize the potential for adverse effects in the immediate vicinity of discharges and to ensure that wastewater facilities maintain proper operation, maintenance, and performance.</w:t>
      </w:r>
      <w:r w:rsidR="004639EE">
        <w:rPr>
          <w:bCs/>
          <w:sz w:val="24"/>
          <w:szCs w:val="24"/>
        </w:rPr>
        <w:t xml:space="preserve"> Individual concentration-based mercury effluent limitations for Municipal </w:t>
      </w:r>
      <w:r w:rsidR="003D7820">
        <w:rPr>
          <w:bCs/>
          <w:sz w:val="24"/>
          <w:szCs w:val="24"/>
        </w:rPr>
        <w:t xml:space="preserve">and Industrial Dischargers </w:t>
      </w:r>
      <w:r w:rsidR="004639EE">
        <w:rPr>
          <w:bCs/>
          <w:sz w:val="24"/>
          <w:szCs w:val="24"/>
        </w:rPr>
        <w:t>are shown in Table</w:t>
      </w:r>
      <w:r w:rsidR="008E0F94">
        <w:rPr>
          <w:bCs/>
          <w:sz w:val="24"/>
          <w:szCs w:val="24"/>
        </w:rPr>
        <w:t>s</w:t>
      </w:r>
      <w:r w:rsidR="004639EE">
        <w:rPr>
          <w:bCs/>
          <w:sz w:val="24"/>
          <w:szCs w:val="24"/>
        </w:rPr>
        <w:t xml:space="preserve"> F-6</w:t>
      </w:r>
      <w:r w:rsidR="008E0F94">
        <w:rPr>
          <w:bCs/>
          <w:sz w:val="24"/>
          <w:szCs w:val="24"/>
        </w:rPr>
        <w:t xml:space="preserve"> and F-7</w:t>
      </w:r>
      <w:r w:rsidR="004639EE">
        <w:rPr>
          <w:bCs/>
          <w:sz w:val="24"/>
          <w:szCs w:val="24"/>
        </w:rPr>
        <w:t xml:space="preserve"> below.</w:t>
      </w:r>
    </w:p>
    <w:p w14:paraId="60B3757E" w14:textId="3E5FBA3A" w:rsidR="004639EE" w:rsidRPr="00226F42" w:rsidRDefault="004639EE" w:rsidP="004639EE">
      <w:pPr>
        <w:pStyle w:val="TableHeader1F"/>
        <w:keepNext/>
        <w:contextualSpacing/>
        <w:jc w:val="center"/>
        <w:rPr>
          <w:rFonts w:ascii="Times New Roman" w:hAnsi="Times New Roman" w:cs="Times New Roman"/>
          <w:sz w:val="24"/>
          <w:szCs w:val="24"/>
        </w:rPr>
      </w:pPr>
      <w:bookmarkStart w:id="309" w:name="_Toc487829738"/>
      <w:r w:rsidRPr="00570B42">
        <w:rPr>
          <w:rFonts w:ascii="Times New Roman" w:hAnsi="Times New Roman" w:cs="Times New Roman"/>
          <w:sz w:val="24"/>
          <w:szCs w:val="24"/>
        </w:rPr>
        <w:lastRenderedPageBreak/>
        <w:t>Table F-</w:t>
      </w:r>
      <w:r>
        <w:rPr>
          <w:rFonts w:ascii="Times New Roman" w:hAnsi="Times New Roman" w:cs="Times New Roman"/>
          <w:sz w:val="24"/>
          <w:szCs w:val="24"/>
        </w:rPr>
        <w:t>6</w:t>
      </w:r>
      <w:r w:rsidRPr="00570B42">
        <w:rPr>
          <w:rFonts w:ascii="Times New Roman" w:hAnsi="Times New Roman" w:cs="Times New Roman"/>
          <w:sz w:val="24"/>
          <w:szCs w:val="24"/>
        </w:rPr>
        <w:t xml:space="preserve">. </w:t>
      </w:r>
      <w:r>
        <w:rPr>
          <w:rFonts w:ascii="Times New Roman" w:hAnsi="Times New Roman" w:cs="Times New Roman"/>
          <w:sz w:val="24"/>
          <w:szCs w:val="24"/>
        </w:rPr>
        <w:t>Concentration-based Effluent Limitations for Municipal Dischargers</w:t>
      </w:r>
      <w:bookmarkEnd w:id="309"/>
    </w:p>
    <w:tbl>
      <w:tblPr>
        <w:tblW w:w="84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776"/>
        <w:gridCol w:w="2329"/>
        <w:gridCol w:w="2340"/>
      </w:tblGrid>
      <w:tr w:rsidR="004639EE" w:rsidRPr="00B55A80" w14:paraId="27F6CABC" w14:textId="77777777" w:rsidTr="004639EE">
        <w:trPr>
          <w:cantSplit/>
          <w:tblHeader/>
          <w:jc w:val="center"/>
        </w:trPr>
        <w:tc>
          <w:tcPr>
            <w:tcW w:w="3776" w:type="dxa"/>
            <w:tcBorders>
              <w:top w:val="single" w:sz="12" w:space="0" w:color="auto"/>
              <w:bottom w:val="single" w:sz="12" w:space="0" w:color="auto"/>
            </w:tcBorders>
            <w:shd w:val="clear" w:color="auto" w:fill="auto"/>
            <w:vAlign w:val="center"/>
          </w:tcPr>
          <w:p w14:paraId="5FAF5A6F" w14:textId="77777777" w:rsidR="004639EE" w:rsidRPr="00B55A80" w:rsidRDefault="004639EE" w:rsidP="00C17D2F">
            <w:pPr>
              <w:keepNext/>
              <w:contextualSpacing/>
              <w:jc w:val="center"/>
              <w:rPr>
                <w:b/>
                <w:color w:val="000000"/>
              </w:rPr>
            </w:pPr>
            <w:r w:rsidRPr="00B55A80">
              <w:rPr>
                <w:b/>
                <w:color w:val="000000"/>
              </w:rPr>
              <w:t>Discharger</w:t>
            </w:r>
          </w:p>
        </w:tc>
        <w:tc>
          <w:tcPr>
            <w:tcW w:w="2329" w:type="dxa"/>
            <w:tcBorders>
              <w:top w:val="single" w:sz="12" w:space="0" w:color="auto"/>
              <w:bottom w:val="single" w:sz="12" w:space="0" w:color="auto"/>
            </w:tcBorders>
            <w:shd w:val="clear" w:color="auto" w:fill="auto"/>
            <w:vAlign w:val="center"/>
          </w:tcPr>
          <w:p w14:paraId="652D313C" w14:textId="681F1316" w:rsidR="004639EE" w:rsidRPr="00B55A80" w:rsidRDefault="004639EE" w:rsidP="00C17D2F">
            <w:pPr>
              <w:keepNext/>
              <w:contextualSpacing/>
              <w:jc w:val="center"/>
              <w:rPr>
                <w:b/>
                <w:color w:val="000000"/>
              </w:rPr>
            </w:pPr>
            <w:r w:rsidRPr="00591153">
              <w:rPr>
                <w:b/>
                <w:color w:val="000000"/>
              </w:rPr>
              <w:t>Average Monthly Effluent Limit for Mercury</w:t>
            </w:r>
            <w:r w:rsidRPr="00591153">
              <w:rPr>
                <w:b/>
                <w:color w:val="000000"/>
                <w:vertAlign w:val="superscript"/>
              </w:rPr>
              <w:t xml:space="preserve"> </w:t>
            </w:r>
            <w:r w:rsidRPr="00591153">
              <w:rPr>
                <w:b/>
                <w:color w:val="000000"/>
              </w:rPr>
              <w:t>(µg/L)</w:t>
            </w:r>
          </w:p>
        </w:tc>
        <w:tc>
          <w:tcPr>
            <w:tcW w:w="2340" w:type="dxa"/>
            <w:tcBorders>
              <w:top w:val="single" w:sz="12" w:space="0" w:color="auto"/>
              <w:bottom w:val="single" w:sz="12" w:space="0" w:color="auto"/>
            </w:tcBorders>
            <w:shd w:val="clear" w:color="auto" w:fill="auto"/>
            <w:vAlign w:val="center"/>
          </w:tcPr>
          <w:p w14:paraId="0DFFC35F" w14:textId="3143F86A" w:rsidR="004639EE" w:rsidRPr="00B55A80" w:rsidRDefault="004639EE" w:rsidP="00C17D2F">
            <w:pPr>
              <w:keepNext/>
              <w:contextualSpacing/>
              <w:jc w:val="center"/>
              <w:rPr>
                <w:b/>
                <w:color w:val="000000"/>
              </w:rPr>
            </w:pPr>
            <w:r w:rsidRPr="00591153">
              <w:rPr>
                <w:b/>
                <w:color w:val="000000"/>
              </w:rPr>
              <w:t>Average Weekly Effluent Limit for Mercury</w:t>
            </w:r>
            <w:r w:rsidRPr="00591153">
              <w:rPr>
                <w:b/>
                <w:color w:val="000000"/>
                <w:vertAlign w:val="superscript"/>
              </w:rPr>
              <w:t xml:space="preserve"> </w:t>
            </w:r>
            <w:r w:rsidRPr="00591153">
              <w:rPr>
                <w:b/>
                <w:color w:val="000000"/>
              </w:rPr>
              <w:t>(µg/L</w:t>
            </w:r>
          </w:p>
        </w:tc>
      </w:tr>
      <w:tr w:rsidR="004639EE" w:rsidRPr="00B55A80" w14:paraId="6C669EB2" w14:textId="77777777" w:rsidTr="004639EE">
        <w:trPr>
          <w:cantSplit/>
          <w:jc w:val="center"/>
        </w:trPr>
        <w:tc>
          <w:tcPr>
            <w:tcW w:w="3776" w:type="dxa"/>
            <w:tcBorders>
              <w:top w:val="single" w:sz="12" w:space="0" w:color="auto"/>
            </w:tcBorders>
            <w:shd w:val="clear" w:color="auto" w:fill="auto"/>
          </w:tcPr>
          <w:p w14:paraId="41CC631E" w14:textId="77777777" w:rsidR="004639EE" w:rsidRPr="00B55A80" w:rsidRDefault="004639EE" w:rsidP="004639EE">
            <w:r w:rsidRPr="00B55A80">
              <w:t>American Canyon, City of</w:t>
            </w:r>
          </w:p>
        </w:tc>
        <w:tc>
          <w:tcPr>
            <w:tcW w:w="2329" w:type="dxa"/>
            <w:tcBorders>
              <w:top w:val="single" w:sz="12" w:space="0" w:color="auto"/>
            </w:tcBorders>
            <w:shd w:val="clear" w:color="auto" w:fill="auto"/>
            <w:vAlign w:val="center"/>
          </w:tcPr>
          <w:p w14:paraId="5903410D" w14:textId="58D10030" w:rsidR="004639EE" w:rsidRPr="00B55A80" w:rsidRDefault="004639EE" w:rsidP="004639EE">
            <w:pPr>
              <w:jc w:val="center"/>
              <w:rPr>
                <w:color w:val="000000"/>
              </w:rPr>
            </w:pPr>
            <w:r w:rsidRPr="00591153">
              <w:rPr>
                <w:color w:val="000000"/>
              </w:rPr>
              <w:t>0.025</w:t>
            </w:r>
          </w:p>
        </w:tc>
        <w:tc>
          <w:tcPr>
            <w:tcW w:w="2340" w:type="dxa"/>
            <w:tcBorders>
              <w:top w:val="single" w:sz="12" w:space="0" w:color="auto"/>
            </w:tcBorders>
            <w:shd w:val="clear" w:color="auto" w:fill="auto"/>
            <w:vAlign w:val="center"/>
          </w:tcPr>
          <w:p w14:paraId="6CE370AD" w14:textId="74511201" w:rsidR="004639EE" w:rsidRPr="00B55A80" w:rsidRDefault="004639EE" w:rsidP="004639EE">
            <w:pPr>
              <w:jc w:val="center"/>
              <w:rPr>
                <w:color w:val="000000"/>
              </w:rPr>
            </w:pPr>
            <w:r w:rsidRPr="00591153">
              <w:rPr>
                <w:color w:val="000000"/>
              </w:rPr>
              <w:t>0.027</w:t>
            </w:r>
          </w:p>
        </w:tc>
      </w:tr>
      <w:tr w:rsidR="004639EE" w:rsidRPr="00B55A80" w14:paraId="4CCFFD86" w14:textId="77777777" w:rsidTr="004639EE">
        <w:trPr>
          <w:cantSplit/>
          <w:jc w:val="center"/>
        </w:trPr>
        <w:tc>
          <w:tcPr>
            <w:tcW w:w="3776" w:type="dxa"/>
            <w:shd w:val="clear" w:color="auto" w:fill="auto"/>
          </w:tcPr>
          <w:p w14:paraId="37E30AA0" w14:textId="77777777" w:rsidR="004639EE" w:rsidRPr="00B55A80" w:rsidRDefault="004639EE" w:rsidP="004639EE">
            <w:pPr>
              <w:rPr>
                <w:rFonts w:eastAsia="Arial Unicode MS"/>
              </w:rPr>
            </w:pPr>
            <w:r w:rsidRPr="00B55A80">
              <w:t>Benicia, City of</w:t>
            </w:r>
          </w:p>
        </w:tc>
        <w:tc>
          <w:tcPr>
            <w:tcW w:w="2329" w:type="dxa"/>
            <w:shd w:val="clear" w:color="auto" w:fill="auto"/>
            <w:vAlign w:val="center"/>
          </w:tcPr>
          <w:p w14:paraId="1C1B6EA0" w14:textId="7E30DFD6" w:rsidR="004639EE" w:rsidRPr="00B55A80" w:rsidRDefault="004639EE" w:rsidP="004639EE">
            <w:pPr>
              <w:jc w:val="center"/>
              <w:rPr>
                <w:color w:val="000000"/>
              </w:rPr>
            </w:pPr>
            <w:r w:rsidRPr="00591153">
              <w:rPr>
                <w:color w:val="000000"/>
              </w:rPr>
              <w:t>0.066</w:t>
            </w:r>
          </w:p>
        </w:tc>
        <w:tc>
          <w:tcPr>
            <w:tcW w:w="2340" w:type="dxa"/>
            <w:shd w:val="clear" w:color="auto" w:fill="auto"/>
            <w:vAlign w:val="center"/>
          </w:tcPr>
          <w:p w14:paraId="636FA313" w14:textId="3474811C" w:rsidR="004639EE" w:rsidRPr="00B55A80" w:rsidRDefault="004639EE" w:rsidP="004639EE">
            <w:pPr>
              <w:jc w:val="center"/>
              <w:rPr>
                <w:color w:val="000000"/>
                <w:vertAlign w:val="superscript"/>
              </w:rPr>
            </w:pPr>
            <w:r w:rsidRPr="00591153">
              <w:rPr>
                <w:color w:val="000000"/>
              </w:rPr>
              <w:t>0.072</w:t>
            </w:r>
          </w:p>
        </w:tc>
      </w:tr>
      <w:tr w:rsidR="004639EE" w:rsidRPr="00B55A80" w14:paraId="39BBAE3B" w14:textId="77777777" w:rsidTr="004639EE">
        <w:trPr>
          <w:cantSplit/>
          <w:jc w:val="center"/>
        </w:trPr>
        <w:tc>
          <w:tcPr>
            <w:tcW w:w="3776" w:type="dxa"/>
            <w:shd w:val="clear" w:color="auto" w:fill="auto"/>
          </w:tcPr>
          <w:p w14:paraId="623DCD8D" w14:textId="77777777" w:rsidR="004639EE" w:rsidRPr="00B55A80" w:rsidRDefault="004639EE" w:rsidP="004639EE">
            <w:pPr>
              <w:rPr>
                <w:rFonts w:eastAsia="Arial Unicode MS"/>
              </w:rPr>
            </w:pPr>
            <w:r w:rsidRPr="00B55A80">
              <w:t>Burlingame, City of</w:t>
            </w:r>
          </w:p>
        </w:tc>
        <w:tc>
          <w:tcPr>
            <w:tcW w:w="2329" w:type="dxa"/>
            <w:shd w:val="clear" w:color="auto" w:fill="auto"/>
            <w:vAlign w:val="center"/>
          </w:tcPr>
          <w:p w14:paraId="78038C2F" w14:textId="66B7AC8C" w:rsidR="004639EE" w:rsidRPr="00B55A80" w:rsidRDefault="004639EE" w:rsidP="004639EE">
            <w:pPr>
              <w:jc w:val="center"/>
              <w:rPr>
                <w:color w:val="000000"/>
              </w:rPr>
            </w:pPr>
            <w:r w:rsidRPr="00591153">
              <w:rPr>
                <w:color w:val="000000"/>
              </w:rPr>
              <w:t>0.066</w:t>
            </w:r>
          </w:p>
        </w:tc>
        <w:tc>
          <w:tcPr>
            <w:tcW w:w="2340" w:type="dxa"/>
            <w:shd w:val="clear" w:color="auto" w:fill="auto"/>
            <w:vAlign w:val="center"/>
          </w:tcPr>
          <w:p w14:paraId="3B25F1D8" w14:textId="1534B9FD" w:rsidR="004639EE" w:rsidRPr="00B55A80" w:rsidRDefault="004639EE" w:rsidP="004639EE">
            <w:pPr>
              <w:jc w:val="center"/>
              <w:rPr>
                <w:color w:val="000000"/>
              </w:rPr>
            </w:pPr>
            <w:r w:rsidRPr="00591153">
              <w:rPr>
                <w:color w:val="000000"/>
              </w:rPr>
              <w:t>0.072</w:t>
            </w:r>
          </w:p>
        </w:tc>
      </w:tr>
      <w:tr w:rsidR="004639EE" w:rsidRPr="00B55A80" w14:paraId="4DB54C48" w14:textId="77777777" w:rsidTr="004639EE">
        <w:trPr>
          <w:cantSplit/>
          <w:jc w:val="center"/>
        </w:trPr>
        <w:tc>
          <w:tcPr>
            <w:tcW w:w="3776" w:type="dxa"/>
            <w:shd w:val="clear" w:color="auto" w:fill="auto"/>
          </w:tcPr>
          <w:p w14:paraId="33078DD9" w14:textId="77777777" w:rsidR="004639EE" w:rsidRPr="00B55A80" w:rsidRDefault="004639EE" w:rsidP="004639EE">
            <w:pPr>
              <w:rPr>
                <w:rFonts w:eastAsia="Arial Unicode MS"/>
              </w:rPr>
            </w:pPr>
            <w:r w:rsidRPr="00B55A80">
              <w:t>Calistoga, City of</w:t>
            </w:r>
          </w:p>
        </w:tc>
        <w:tc>
          <w:tcPr>
            <w:tcW w:w="2329" w:type="dxa"/>
            <w:shd w:val="clear" w:color="auto" w:fill="auto"/>
            <w:vAlign w:val="center"/>
          </w:tcPr>
          <w:p w14:paraId="43D99D97" w14:textId="0549B42F" w:rsidR="004639EE" w:rsidRPr="00B55A80" w:rsidRDefault="004639EE" w:rsidP="004639EE">
            <w:pPr>
              <w:jc w:val="center"/>
              <w:rPr>
                <w:color w:val="000000"/>
              </w:rPr>
            </w:pPr>
            <w:r w:rsidRPr="00591153">
              <w:rPr>
                <w:color w:val="000000"/>
              </w:rPr>
              <w:t>0.066</w:t>
            </w:r>
          </w:p>
        </w:tc>
        <w:tc>
          <w:tcPr>
            <w:tcW w:w="2340" w:type="dxa"/>
            <w:shd w:val="clear" w:color="auto" w:fill="auto"/>
            <w:vAlign w:val="center"/>
          </w:tcPr>
          <w:p w14:paraId="0E7F88F1" w14:textId="3A44A3EA" w:rsidR="004639EE" w:rsidRPr="00B55A80" w:rsidRDefault="004639EE" w:rsidP="004639EE">
            <w:pPr>
              <w:jc w:val="center"/>
              <w:rPr>
                <w:color w:val="000000"/>
              </w:rPr>
            </w:pPr>
            <w:r w:rsidRPr="00591153">
              <w:rPr>
                <w:color w:val="000000"/>
              </w:rPr>
              <w:t>0.072</w:t>
            </w:r>
          </w:p>
        </w:tc>
      </w:tr>
      <w:tr w:rsidR="004639EE" w:rsidRPr="00B55A80" w14:paraId="6F11E43E" w14:textId="77777777" w:rsidTr="004639EE">
        <w:trPr>
          <w:cantSplit/>
          <w:jc w:val="center"/>
        </w:trPr>
        <w:tc>
          <w:tcPr>
            <w:tcW w:w="3776" w:type="dxa"/>
            <w:shd w:val="clear" w:color="auto" w:fill="auto"/>
          </w:tcPr>
          <w:p w14:paraId="3F3C51FA" w14:textId="77777777" w:rsidR="004639EE" w:rsidRPr="00B55A80" w:rsidRDefault="004639EE" w:rsidP="004639EE">
            <w:pPr>
              <w:rPr>
                <w:rFonts w:eastAsia="Arial Unicode MS"/>
              </w:rPr>
            </w:pPr>
            <w:r w:rsidRPr="00B55A80">
              <w:t>Central Contra Costa Sanitary District</w:t>
            </w:r>
          </w:p>
        </w:tc>
        <w:tc>
          <w:tcPr>
            <w:tcW w:w="2329" w:type="dxa"/>
            <w:shd w:val="clear" w:color="auto" w:fill="auto"/>
            <w:vAlign w:val="center"/>
          </w:tcPr>
          <w:p w14:paraId="0821CC46" w14:textId="222D4C44" w:rsidR="004639EE" w:rsidRPr="00B55A80" w:rsidRDefault="004639EE" w:rsidP="004639EE">
            <w:pPr>
              <w:jc w:val="center"/>
              <w:rPr>
                <w:color w:val="000000"/>
              </w:rPr>
            </w:pPr>
            <w:r w:rsidRPr="00591153">
              <w:rPr>
                <w:color w:val="000000"/>
              </w:rPr>
              <w:t>0.066</w:t>
            </w:r>
          </w:p>
        </w:tc>
        <w:tc>
          <w:tcPr>
            <w:tcW w:w="2340" w:type="dxa"/>
            <w:shd w:val="clear" w:color="auto" w:fill="auto"/>
            <w:vAlign w:val="center"/>
          </w:tcPr>
          <w:p w14:paraId="13A654DA" w14:textId="52C6B7EF" w:rsidR="004639EE" w:rsidRPr="00B55A80" w:rsidRDefault="004639EE" w:rsidP="004639EE">
            <w:pPr>
              <w:jc w:val="center"/>
              <w:rPr>
                <w:color w:val="000000"/>
              </w:rPr>
            </w:pPr>
            <w:r w:rsidRPr="00591153">
              <w:rPr>
                <w:color w:val="000000"/>
              </w:rPr>
              <w:t>0.072</w:t>
            </w:r>
          </w:p>
        </w:tc>
      </w:tr>
      <w:tr w:rsidR="004639EE" w:rsidRPr="00B55A80" w14:paraId="4519A5C2" w14:textId="77777777" w:rsidTr="004639EE">
        <w:trPr>
          <w:cantSplit/>
          <w:jc w:val="center"/>
        </w:trPr>
        <w:tc>
          <w:tcPr>
            <w:tcW w:w="3776" w:type="dxa"/>
            <w:shd w:val="clear" w:color="auto" w:fill="auto"/>
          </w:tcPr>
          <w:p w14:paraId="1C6E0F71" w14:textId="77777777" w:rsidR="004639EE" w:rsidRPr="00B55A80" w:rsidRDefault="004639EE" w:rsidP="004639EE">
            <w:pPr>
              <w:rPr>
                <w:rFonts w:eastAsia="Arial Unicode MS"/>
              </w:rPr>
            </w:pPr>
            <w:r w:rsidRPr="00B55A80">
              <w:t>Central Marin Sanitation Agency</w:t>
            </w:r>
          </w:p>
        </w:tc>
        <w:tc>
          <w:tcPr>
            <w:tcW w:w="2329" w:type="dxa"/>
            <w:shd w:val="clear" w:color="auto" w:fill="auto"/>
            <w:vAlign w:val="center"/>
          </w:tcPr>
          <w:p w14:paraId="455331B3" w14:textId="72C8EA10" w:rsidR="004639EE" w:rsidRPr="00B55A80" w:rsidRDefault="004639EE" w:rsidP="004639EE">
            <w:pPr>
              <w:jc w:val="center"/>
              <w:rPr>
                <w:color w:val="000000"/>
              </w:rPr>
            </w:pPr>
            <w:r w:rsidRPr="00591153">
              <w:rPr>
                <w:color w:val="000000"/>
              </w:rPr>
              <w:t>0.066</w:t>
            </w:r>
          </w:p>
        </w:tc>
        <w:tc>
          <w:tcPr>
            <w:tcW w:w="2340" w:type="dxa"/>
            <w:shd w:val="clear" w:color="auto" w:fill="auto"/>
            <w:vAlign w:val="center"/>
          </w:tcPr>
          <w:p w14:paraId="23A67D17" w14:textId="41C444CA" w:rsidR="004639EE" w:rsidRPr="00B55A80" w:rsidRDefault="004639EE" w:rsidP="004639EE">
            <w:pPr>
              <w:jc w:val="center"/>
              <w:rPr>
                <w:color w:val="000000"/>
              </w:rPr>
            </w:pPr>
            <w:r w:rsidRPr="00591153">
              <w:rPr>
                <w:color w:val="000000"/>
              </w:rPr>
              <w:t>0.072</w:t>
            </w:r>
          </w:p>
        </w:tc>
      </w:tr>
      <w:tr w:rsidR="004639EE" w:rsidRPr="00B55A80" w14:paraId="7C0B0CA7" w14:textId="77777777" w:rsidTr="004639EE">
        <w:trPr>
          <w:cantSplit/>
          <w:jc w:val="center"/>
        </w:trPr>
        <w:tc>
          <w:tcPr>
            <w:tcW w:w="3776" w:type="dxa"/>
            <w:shd w:val="clear" w:color="auto" w:fill="auto"/>
            <w:vAlign w:val="center"/>
          </w:tcPr>
          <w:p w14:paraId="03F8EB7B" w14:textId="77777777" w:rsidR="004639EE" w:rsidRPr="00B55A80" w:rsidRDefault="004639EE" w:rsidP="004639EE">
            <w:r w:rsidRPr="00B55A80">
              <w:t>Crockett Community Services District, Port Costa Sanitary Dept.</w:t>
            </w:r>
          </w:p>
        </w:tc>
        <w:tc>
          <w:tcPr>
            <w:tcW w:w="2329" w:type="dxa"/>
            <w:shd w:val="clear" w:color="auto" w:fill="auto"/>
            <w:vAlign w:val="center"/>
          </w:tcPr>
          <w:p w14:paraId="7F6E85A7" w14:textId="246231FF" w:rsidR="004639EE" w:rsidRPr="00B55A80" w:rsidRDefault="004639EE" w:rsidP="004639EE">
            <w:pPr>
              <w:jc w:val="center"/>
              <w:rPr>
                <w:color w:val="000000"/>
              </w:rPr>
            </w:pPr>
            <w:r w:rsidRPr="00591153">
              <w:rPr>
                <w:color w:val="000000"/>
              </w:rPr>
              <w:t>0.066</w:t>
            </w:r>
          </w:p>
        </w:tc>
        <w:tc>
          <w:tcPr>
            <w:tcW w:w="2340" w:type="dxa"/>
            <w:shd w:val="clear" w:color="auto" w:fill="auto"/>
            <w:vAlign w:val="center"/>
          </w:tcPr>
          <w:p w14:paraId="4E0A4BCE" w14:textId="2A4C7CCD" w:rsidR="004639EE" w:rsidRPr="00B55A80" w:rsidRDefault="004639EE" w:rsidP="004639EE">
            <w:pPr>
              <w:jc w:val="center"/>
              <w:rPr>
                <w:color w:val="000000"/>
              </w:rPr>
            </w:pPr>
            <w:r w:rsidRPr="00591153">
              <w:rPr>
                <w:color w:val="000000"/>
              </w:rPr>
              <w:t>0.072</w:t>
            </w:r>
          </w:p>
        </w:tc>
      </w:tr>
      <w:tr w:rsidR="004639EE" w:rsidRPr="00B55A80" w14:paraId="6F878109" w14:textId="77777777" w:rsidTr="004639EE">
        <w:trPr>
          <w:cantSplit/>
          <w:jc w:val="center"/>
        </w:trPr>
        <w:tc>
          <w:tcPr>
            <w:tcW w:w="3776" w:type="dxa"/>
            <w:shd w:val="clear" w:color="auto" w:fill="auto"/>
          </w:tcPr>
          <w:p w14:paraId="4EF1554F" w14:textId="77777777" w:rsidR="004639EE" w:rsidRPr="00B55A80" w:rsidRDefault="004639EE" w:rsidP="004639EE">
            <w:pPr>
              <w:rPr>
                <w:rFonts w:eastAsia="Arial Unicode MS"/>
              </w:rPr>
            </w:pPr>
            <w:r w:rsidRPr="00B55A80">
              <w:t>Delta Diablo Sanitation District</w:t>
            </w:r>
          </w:p>
        </w:tc>
        <w:tc>
          <w:tcPr>
            <w:tcW w:w="2329" w:type="dxa"/>
            <w:shd w:val="clear" w:color="auto" w:fill="auto"/>
            <w:vAlign w:val="center"/>
          </w:tcPr>
          <w:p w14:paraId="1B628E3E" w14:textId="648159A8" w:rsidR="004639EE" w:rsidRPr="00B55A80" w:rsidRDefault="009F069D" w:rsidP="004639EE">
            <w:pPr>
              <w:jc w:val="center"/>
              <w:rPr>
                <w:color w:val="000000"/>
              </w:rPr>
            </w:pPr>
            <w:r>
              <w:rPr>
                <w:color w:val="000000"/>
              </w:rPr>
              <w:t>0.066</w:t>
            </w:r>
          </w:p>
        </w:tc>
        <w:tc>
          <w:tcPr>
            <w:tcW w:w="2340" w:type="dxa"/>
            <w:shd w:val="clear" w:color="auto" w:fill="auto"/>
            <w:vAlign w:val="center"/>
          </w:tcPr>
          <w:p w14:paraId="2EF7B27F" w14:textId="187FC3C6" w:rsidR="004639EE" w:rsidRPr="00B55A80" w:rsidRDefault="004639EE" w:rsidP="004639EE">
            <w:pPr>
              <w:jc w:val="center"/>
              <w:rPr>
                <w:color w:val="000000"/>
              </w:rPr>
            </w:pPr>
            <w:r w:rsidRPr="00591153">
              <w:rPr>
                <w:color w:val="000000"/>
              </w:rPr>
              <w:t>0.072</w:t>
            </w:r>
          </w:p>
        </w:tc>
      </w:tr>
      <w:tr w:rsidR="00575666" w:rsidRPr="00B55A80" w14:paraId="7C3DFB1B" w14:textId="77777777" w:rsidTr="004639EE">
        <w:trPr>
          <w:cantSplit/>
          <w:jc w:val="center"/>
        </w:trPr>
        <w:tc>
          <w:tcPr>
            <w:tcW w:w="3776" w:type="dxa"/>
            <w:shd w:val="clear" w:color="auto" w:fill="auto"/>
          </w:tcPr>
          <w:p w14:paraId="3C6E1A60" w14:textId="77777777" w:rsidR="00575666" w:rsidRPr="00B55A80" w:rsidRDefault="00575666" w:rsidP="004639EE">
            <w:r w:rsidRPr="00B55A80">
              <w:t>East Bay Dischargers Authority</w:t>
            </w:r>
          </w:p>
        </w:tc>
        <w:tc>
          <w:tcPr>
            <w:tcW w:w="2329" w:type="dxa"/>
            <w:vMerge w:val="restart"/>
            <w:shd w:val="clear" w:color="auto" w:fill="auto"/>
            <w:vAlign w:val="center"/>
          </w:tcPr>
          <w:p w14:paraId="66F6A220" w14:textId="1D28A6C9" w:rsidR="00575666" w:rsidRPr="00B55A80" w:rsidRDefault="009F069D" w:rsidP="004639EE">
            <w:pPr>
              <w:jc w:val="center"/>
              <w:rPr>
                <w:color w:val="000000"/>
              </w:rPr>
            </w:pPr>
            <w:r>
              <w:rPr>
                <w:color w:val="000000"/>
              </w:rPr>
              <w:t>0.066</w:t>
            </w:r>
          </w:p>
        </w:tc>
        <w:tc>
          <w:tcPr>
            <w:tcW w:w="2340" w:type="dxa"/>
            <w:vMerge w:val="restart"/>
            <w:shd w:val="clear" w:color="auto" w:fill="auto"/>
            <w:vAlign w:val="center"/>
          </w:tcPr>
          <w:p w14:paraId="5BD457ED" w14:textId="3533C886" w:rsidR="00575666" w:rsidRPr="00B55A80" w:rsidRDefault="009F069D" w:rsidP="004639EE">
            <w:pPr>
              <w:jc w:val="center"/>
              <w:rPr>
                <w:color w:val="000000"/>
              </w:rPr>
            </w:pPr>
            <w:r>
              <w:rPr>
                <w:color w:val="000000"/>
              </w:rPr>
              <w:t>0.072</w:t>
            </w:r>
          </w:p>
        </w:tc>
      </w:tr>
      <w:tr w:rsidR="00575666" w:rsidRPr="00B55A80" w14:paraId="4296CA19" w14:textId="77777777" w:rsidTr="004639EE">
        <w:trPr>
          <w:cantSplit/>
          <w:trHeight w:val="224"/>
          <w:jc w:val="center"/>
        </w:trPr>
        <w:tc>
          <w:tcPr>
            <w:tcW w:w="3776" w:type="dxa"/>
            <w:shd w:val="clear" w:color="auto" w:fill="auto"/>
          </w:tcPr>
          <w:p w14:paraId="70D73D1B" w14:textId="77777777" w:rsidR="00575666" w:rsidRPr="00B55A80" w:rsidRDefault="00575666" w:rsidP="004639EE">
            <w:r w:rsidRPr="00B55A80">
              <w:t xml:space="preserve">   Union S.D. Wet Weather Outfall</w:t>
            </w:r>
          </w:p>
        </w:tc>
        <w:tc>
          <w:tcPr>
            <w:tcW w:w="2329" w:type="dxa"/>
            <w:vMerge/>
            <w:shd w:val="clear" w:color="auto" w:fill="auto"/>
            <w:vAlign w:val="center"/>
          </w:tcPr>
          <w:p w14:paraId="0C503038" w14:textId="1D9C9A81" w:rsidR="00575666" w:rsidRPr="00B55A80" w:rsidRDefault="00575666" w:rsidP="004639EE">
            <w:pPr>
              <w:jc w:val="center"/>
              <w:rPr>
                <w:color w:val="000000"/>
              </w:rPr>
            </w:pPr>
          </w:p>
        </w:tc>
        <w:tc>
          <w:tcPr>
            <w:tcW w:w="2340" w:type="dxa"/>
            <w:vMerge/>
            <w:shd w:val="clear" w:color="auto" w:fill="auto"/>
            <w:vAlign w:val="center"/>
          </w:tcPr>
          <w:p w14:paraId="7B568E1C" w14:textId="77777777" w:rsidR="00575666" w:rsidRPr="00B55A80" w:rsidRDefault="00575666" w:rsidP="004639EE">
            <w:pPr>
              <w:jc w:val="center"/>
              <w:rPr>
                <w:color w:val="000000"/>
              </w:rPr>
            </w:pPr>
          </w:p>
        </w:tc>
      </w:tr>
      <w:tr w:rsidR="00575666" w:rsidRPr="00B55A80" w14:paraId="03187EF8" w14:textId="77777777" w:rsidTr="004639EE">
        <w:trPr>
          <w:cantSplit/>
          <w:jc w:val="center"/>
        </w:trPr>
        <w:tc>
          <w:tcPr>
            <w:tcW w:w="3776" w:type="dxa"/>
            <w:shd w:val="clear" w:color="auto" w:fill="auto"/>
          </w:tcPr>
          <w:p w14:paraId="2DD3F9B9" w14:textId="77777777" w:rsidR="00575666" w:rsidRPr="00B55A80" w:rsidRDefault="00575666" w:rsidP="004639EE">
            <w:r w:rsidRPr="00B55A80">
              <w:t xml:space="preserve">   Union S.D. Hayward Marsh</w:t>
            </w:r>
          </w:p>
        </w:tc>
        <w:tc>
          <w:tcPr>
            <w:tcW w:w="2329" w:type="dxa"/>
            <w:vMerge/>
            <w:shd w:val="clear" w:color="auto" w:fill="auto"/>
            <w:vAlign w:val="center"/>
          </w:tcPr>
          <w:p w14:paraId="3820037A" w14:textId="1BE01863" w:rsidR="00575666" w:rsidRPr="00B55A80" w:rsidRDefault="00575666" w:rsidP="004639EE">
            <w:pPr>
              <w:jc w:val="center"/>
              <w:rPr>
                <w:color w:val="000000"/>
              </w:rPr>
            </w:pPr>
          </w:p>
        </w:tc>
        <w:tc>
          <w:tcPr>
            <w:tcW w:w="2340" w:type="dxa"/>
            <w:vMerge/>
            <w:shd w:val="clear" w:color="auto" w:fill="auto"/>
            <w:vAlign w:val="center"/>
          </w:tcPr>
          <w:p w14:paraId="3F322DEC" w14:textId="77777777" w:rsidR="00575666" w:rsidRPr="00B55A80" w:rsidRDefault="00575666" w:rsidP="004639EE">
            <w:pPr>
              <w:jc w:val="center"/>
              <w:rPr>
                <w:color w:val="000000"/>
              </w:rPr>
            </w:pPr>
          </w:p>
        </w:tc>
      </w:tr>
      <w:tr w:rsidR="00575666" w:rsidRPr="00B55A80" w14:paraId="1B3A404C" w14:textId="77777777" w:rsidTr="004639EE">
        <w:trPr>
          <w:cantSplit/>
          <w:jc w:val="center"/>
        </w:trPr>
        <w:tc>
          <w:tcPr>
            <w:tcW w:w="3776" w:type="dxa"/>
            <w:shd w:val="clear" w:color="auto" w:fill="auto"/>
          </w:tcPr>
          <w:p w14:paraId="5DCBA777" w14:textId="77777777" w:rsidR="00575666" w:rsidRPr="00B55A80" w:rsidRDefault="00575666" w:rsidP="004639EE">
            <w:r w:rsidRPr="00B55A80">
              <w:t xml:space="preserve">   Dublin San Ramon Services District</w:t>
            </w:r>
          </w:p>
        </w:tc>
        <w:tc>
          <w:tcPr>
            <w:tcW w:w="2329" w:type="dxa"/>
            <w:vMerge/>
            <w:shd w:val="clear" w:color="auto" w:fill="auto"/>
            <w:vAlign w:val="center"/>
          </w:tcPr>
          <w:p w14:paraId="68E462FC" w14:textId="7F14596A" w:rsidR="00575666" w:rsidRPr="00B55A80" w:rsidRDefault="00575666" w:rsidP="004639EE">
            <w:pPr>
              <w:jc w:val="center"/>
              <w:rPr>
                <w:color w:val="000000"/>
              </w:rPr>
            </w:pPr>
          </w:p>
        </w:tc>
        <w:tc>
          <w:tcPr>
            <w:tcW w:w="2340" w:type="dxa"/>
            <w:vMerge/>
            <w:shd w:val="clear" w:color="auto" w:fill="auto"/>
            <w:vAlign w:val="center"/>
          </w:tcPr>
          <w:p w14:paraId="1CB65DD4" w14:textId="77777777" w:rsidR="00575666" w:rsidRPr="00B55A80" w:rsidRDefault="00575666" w:rsidP="004639EE">
            <w:pPr>
              <w:jc w:val="center"/>
              <w:rPr>
                <w:color w:val="000000"/>
              </w:rPr>
            </w:pPr>
          </w:p>
        </w:tc>
      </w:tr>
      <w:tr w:rsidR="00575666" w:rsidRPr="00B55A80" w14:paraId="1FF002AA" w14:textId="77777777" w:rsidTr="004639EE">
        <w:trPr>
          <w:cantSplit/>
          <w:jc w:val="center"/>
        </w:trPr>
        <w:tc>
          <w:tcPr>
            <w:tcW w:w="3776" w:type="dxa"/>
            <w:shd w:val="clear" w:color="auto" w:fill="auto"/>
          </w:tcPr>
          <w:p w14:paraId="24C15284" w14:textId="77777777" w:rsidR="00575666" w:rsidRPr="00B55A80" w:rsidRDefault="00575666" w:rsidP="004639EE">
            <w:r w:rsidRPr="00B55A80">
              <w:t xml:space="preserve">   City of Livermore</w:t>
            </w:r>
          </w:p>
        </w:tc>
        <w:tc>
          <w:tcPr>
            <w:tcW w:w="2329" w:type="dxa"/>
            <w:vMerge/>
            <w:shd w:val="clear" w:color="auto" w:fill="auto"/>
            <w:vAlign w:val="center"/>
          </w:tcPr>
          <w:p w14:paraId="2787608E" w14:textId="4AB73457" w:rsidR="00575666" w:rsidRPr="00B55A80" w:rsidRDefault="00575666" w:rsidP="004639EE">
            <w:pPr>
              <w:jc w:val="center"/>
              <w:rPr>
                <w:color w:val="000000"/>
              </w:rPr>
            </w:pPr>
          </w:p>
        </w:tc>
        <w:tc>
          <w:tcPr>
            <w:tcW w:w="2340" w:type="dxa"/>
            <w:vMerge/>
            <w:shd w:val="clear" w:color="auto" w:fill="auto"/>
            <w:vAlign w:val="center"/>
          </w:tcPr>
          <w:p w14:paraId="0F8FEFD2" w14:textId="77777777" w:rsidR="00575666" w:rsidRPr="00B55A80" w:rsidRDefault="00575666" w:rsidP="004639EE">
            <w:pPr>
              <w:jc w:val="center"/>
              <w:rPr>
                <w:color w:val="000000"/>
              </w:rPr>
            </w:pPr>
          </w:p>
        </w:tc>
      </w:tr>
      <w:tr w:rsidR="00575666" w:rsidRPr="00B55A80" w14:paraId="35EFE7E7" w14:textId="77777777" w:rsidTr="004639EE">
        <w:trPr>
          <w:cantSplit/>
          <w:jc w:val="center"/>
        </w:trPr>
        <w:tc>
          <w:tcPr>
            <w:tcW w:w="3776" w:type="dxa"/>
            <w:shd w:val="clear" w:color="auto" w:fill="auto"/>
          </w:tcPr>
          <w:p w14:paraId="55A2F026" w14:textId="77777777" w:rsidR="00575666" w:rsidRPr="00B55A80" w:rsidRDefault="00575666" w:rsidP="004639EE">
            <w:r w:rsidRPr="00B55A80">
              <w:t xml:space="preserve">   LAVWMA Wet Weather Outfall</w:t>
            </w:r>
          </w:p>
        </w:tc>
        <w:tc>
          <w:tcPr>
            <w:tcW w:w="2329" w:type="dxa"/>
            <w:vMerge/>
            <w:shd w:val="clear" w:color="auto" w:fill="auto"/>
            <w:vAlign w:val="center"/>
          </w:tcPr>
          <w:p w14:paraId="66E3CB14" w14:textId="715FB8C2" w:rsidR="00575666" w:rsidRPr="00B55A80" w:rsidRDefault="00575666" w:rsidP="004639EE">
            <w:pPr>
              <w:jc w:val="center"/>
              <w:rPr>
                <w:color w:val="000000"/>
              </w:rPr>
            </w:pPr>
          </w:p>
        </w:tc>
        <w:tc>
          <w:tcPr>
            <w:tcW w:w="2340" w:type="dxa"/>
            <w:vMerge/>
            <w:shd w:val="clear" w:color="auto" w:fill="auto"/>
            <w:vAlign w:val="center"/>
          </w:tcPr>
          <w:p w14:paraId="4BF29FF9" w14:textId="77777777" w:rsidR="00575666" w:rsidRPr="00B55A80" w:rsidRDefault="00575666" w:rsidP="004639EE">
            <w:pPr>
              <w:jc w:val="center"/>
              <w:rPr>
                <w:color w:val="000000"/>
              </w:rPr>
            </w:pPr>
          </w:p>
        </w:tc>
      </w:tr>
      <w:tr w:rsidR="004639EE" w:rsidRPr="00B55A80" w14:paraId="43F20B2D" w14:textId="77777777" w:rsidTr="004639EE">
        <w:trPr>
          <w:cantSplit/>
          <w:jc w:val="center"/>
        </w:trPr>
        <w:tc>
          <w:tcPr>
            <w:tcW w:w="3776" w:type="dxa"/>
            <w:shd w:val="clear" w:color="auto" w:fill="auto"/>
          </w:tcPr>
          <w:p w14:paraId="4FA05798" w14:textId="77777777" w:rsidR="004639EE" w:rsidRPr="00B55A80" w:rsidRDefault="004639EE" w:rsidP="004639EE">
            <w:pPr>
              <w:rPr>
                <w:rFonts w:eastAsia="Arial Unicode MS"/>
                <w:vertAlign w:val="superscript"/>
              </w:rPr>
            </w:pPr>
            <w:r w:rsidRPr="00B55A80">
              <w:t>East Bay Municipal Utility Dis</w:t>
            </w:r>
            <w:r>
              <w:t>trict</w:t>
            </w:r>
          </w:p>
        </w:tc>
        <w:tc>
          <w:tcPr>
            <w:tcW w:w="2329" w:type="dxa"/>
            <w:shd w:val="clear" w:color="auto" w:fill="auto"/>
            <w:vAlign w:val="center"/>
          </w:tcPr>
          <w:p w14:paraId="554D316B" w14:textId="306BF624" w:rsidR="004639EE" w:rsidRPr="00B55A80" w:rsidRDefault="009F069D" w:rsidP="004639EE">
            <w:pPr>
              <w:jc w:val="center"/>
              <w:rPr>
                <w:color w:val="000000"/>
              </w:rPr>
            </w:pPr>
            <w:r>
              <w:rPr>
                <w:color w:val="000000"/>
              </w:rPr>
              <w:t>0.066</w:t>
            </w:r>
          </w:p>
        </w:tc>
        <w:tc>
          <w:tcPr>
            <w:tcW w:w="2340" w:type="dxa"/>
            <w:shd w:val="clear" w:color="auto" w:fill="auto"/>
            <w:vAlign w:val="center"/>
          </w:tcPr>
          <w:p w14:paraId="0D6DAF7D" w14:textId="7BB108D6" w:rsidR="004639EE" w:rsidRPr="00B55A80" w:rsidRDefault="004639EE" w:rsidP="009F069D">
            <w:pPr>
              <w:jc w:val="center"/>
              <w:rPr>
                <w:color w:val="000000"/>
              </w:rPr>
            </w:pPr>
            <w:r w:rsidRPr="00591153">
              <w:rPr>
                <w:color w:val="000000"/>
              </w:rPr>
              <w:t>0.0</w:t>
            </w:r>
            <w:r w:rsidR="009F069D">
              <w:rPr>
                <w:color w:val="000000"/>
              </w:rPr>
              <w:t>72</w:t>
            </w:r>
          </w:p>
        </w:tc>
      </w:tr>
      <w:tr w:rsidR="004639EE" w:rsidRPr="00B55A80" w14:paraId="23727FC8" w14:textId="77777777" w:rsidTr="004639EE">
        <w:trPr>
          <w:cantSplit/>
          <w:jc w:val="center"/>
        </w:trPr>
        <w:tc>
          <w:tcPr>
            <w:tcW w:w="3776" w:type="dxa"/>
            <w:shd w:val="clear" w:color="auto" w:fill="auto"/>
          </w:tcPr>
          <w:p w14:paraId="37A3A31A" w14:textId="77777777" w:rsidR="004639EE" w:rsidRPr="00B55A80" w:rsidRDefault="004639EE" w:rsidP="004639EE">
            <w:pPr>
              <w:rPr>
                <w:rFonts w:eastAsia="Arial Unicode MS"/>
              </w:rPr>
            </w:pPr>
            <w:r w:rsidRPr="00B55A80">
              <w:t>Fairfield-Suisun Sewer District</w:t>
            </w:r>
          </w:p>
        </w:tc>
        <w:tc>
          <w:tcPr>
            <w:tcW w:w="2329" w:type="dxa"/>
            <w:shd w:val="clear" w:color="auto" w:fill="auto"/>
            <w:vAlign w:val="center"/>
          </w:tcPr>
          <w:p w14:paraId="1BB4E98D" w14:textId="0D07E679" w:rsidR="004639EE" w:rsidRPr="00B55A80" w:rsidRDefault="004639EE" w:rsidP="009F069D">
            <w:pPr>
              <w:jc w:val="center"/>
              <w:rPr>
                <w:color w:val="000000"/>
              </w:rPr>
            </w:pPr>
            <w:r w:rsidRPr="00591153">
              <w:rPr>
                <w:color w:val="000000"/>
              </w:rPr>
              <w:t>0.0</w:t>
            </w:r>
            <w:r w:rsidR="009F069D">
              <w:rPr>
                <w:color w:val="000000"/>
              </w:rPr>
              <w:t>25</w:t>
            </w:r>
          </w:p>
        </w:tc>
        <w:tc>
          <w:tcPr>
            <w:tcW w:w="2340" w:type="dxa"/>
            <w:shd w:val="clear" w:color="auto" w:fill="auto"/>
            <w:vAlign w:val="center"/>
          </w:tcPr>
          <w:p w14:paraId="0670762E" w14:textId="60012068" w:rsidR="004639EE" w:rsidRPr="00B55A80" w:rsidRDefault="004639EE" w:rsidP="009F069D">
            <w:pPr>
              <w:jc w:val="center"/>
              <w:rPr>
                <w:color w:val="000000"/>
              </w:rPr>
            </w:pPr>
            <w:r w:rsidRPr="00591153">
              <w:rPr>
                <w:color w:val="000000"/>
              </w:rPr>
              <w:t>0.0</w:t>
            </w:r>
            <w:r w:rsidR="009F069D">
              <w:rPr>
                <w:color w:val="000000"/>
              </w:rPr>
              <w:t>27</w:t>
            </w:r>
          </w:p>
        </w:tc>
      </w:tr>
      <w:tr w:rsidR="004639EE" w:rsidRPr="00B55A80" w14:paraId="4CC2AB10" w14:textId="77777777" w:rsidTr="004639EE">
        <w:trPr>
          <w:cantSplit/>
          <w:jc w:val="center"/>
        </w:trPr>
        <w:tc>
          <w:tcPr>
            <w:tcW w:w="3776" w:type="dxa"/>
            <w:shd w:val="clear" w:color="auto" w:fill="auto"/>
          </w:tcPr>
          <w:p w14:paraId="7A9CD08D" w14:textId="77777777" w:rsidR="004639EE" w:rsidRPr="00B55A80" w:rsidRDefault="004639EE" w:rsidP="004639EE">
            <w:pPr>
              <w:tabs>
                <w:tab w:val="left" w:pos="459"/>
              </w:tabs>
              <w:rPr>
                <w:rFonts w:eastAsia="Arial Unicode MS"/>
              </w:rPr>
            </w:pPr>
            <w:r w:rsidRPr="00B55A80">
              <w:t>Las Gallinas Valley Sanitary District</w:t>
            </w:r>
          </w:p>
        </w:tc>
        <w:tc>
          <w:tcPr>
            <w:tcW w:w="2329" w:type="dxa"/>
            <w:shd w:val="clear" w:color="auto" w:fill="auto"/>
            <w:vAlign w:val="center"/>
          </w:tcPr>
          <w:p w14:paraId="6CF9BA90" w14:textId="3E4A65CB" w:rsidR="004639EE" w:rsidRPr="00B55A80" w:rsidRDefault="004639EE" w:rsidP="004639EE">
            <w:pPr>
              <w:jc w:val="center"/>
              <w:rPr>
                <w:color w:val="000000"/>
              </w:rPr>
            </w:pPr>
            <w:r w:rsidRPr="00591153">
              <w:rPr>
                <w:color w:val="000000"/>
              </w:rPr>
              <w:t>0.066</w:t>
            </w:r>
          </w:p>
        </w:tc>
        <w:tc>
          <w:tcPr>
            <w:tcW w:w="2340" w:type="dxa"/>
            <w:shd w:val="clear" w:color="auto" w:fill="auto"/>
            <w:vAlign w:val="center"/>
          </w:tcPr>
          <w:p w14:paraId="43772491" w14:textId="13C0BBF1" w:rsidR="004639EE" w:rsidRPr="00B55A80" w:rsidRDefault="004639EE" w:rsidP="004639EE">
            <w:pPr>
              <w:jc w:val="center"/>
              <w:rPr>
                <w:color w:val="000000"/>
              </w:rPr>
            </w:pPr>
            <w:r w:rsidRPr="00591153">
              <w:rPr>
                <w:color w:val="000000"/>
              </w:rPr>
              <w:t>0.072</w:t>
            </w:r>
          </w:p>
        </w:tc>
      </w:tr>
      <w:tr w:rsidR="004639EE" w:rsidRPr="00B55A80" w14:paraId="30E99903" w14:textId="77777777" w:rsidTr="004639EE">
        <w:trPr>
          <w:cantSplit/>
          <w:jc w:val="center"/>
        </w:trPr>
        <w:tc>
          <w:tcPr>
            <w:tcW w:w="3776" w:type="dxa"/>
            <w:shd w:val="clear" w:color="auto" w:fill="auto"/>
          </w:tcPr>
          <w:p w14:paraId="63295D3A" w14:textId="77777777" w:rsidR="004639EE" w:rsidRPr="00B55A80" w:rsidRDefault="004639EE" w:rsidP="004639EE">
            <w:r w:rsidRPr="00B55A80">
              <w:t>Marin County (Paradise Cove), Sanitary District No. 5 of</w:t>
            </w:r>
          </w:p>
        </w:tc>
        <w:tc>
          <w:tcPr>
            <w:tcW w:w="2329" w:type="dxa"/>
            <w:shd w:val="clear" w:color="auto" w:fill="auto"/>
            <w:vAlign w:val="center"/>
          </w:tcPr>
          <w:p w14:paraId="44EA60CC" w14:textId="2399E571" w:rsidR="004639EE" w:rsidRPr="00B55A80" w:rsidRDefault="009F069D" w:rsidP="004639EE">
            <w:pPr>
              <w:jc w:val="center"/>
              <w:rPr>
                <w:color w:val="000000"/>
              </w:rPr>
            </w:pPr>
            <w:r w:rsidRPr="00591153">
              <w:rPr>
                <w:color w:val="000000"/>
              </w:rPr>
              <w:t>0.066</w:t>
            </w:r>
          </w:p>
        </w:tc>
        <w:tc>
          <w:tcPr>
            <w:tcW w:w="2340" w:type="dxa"/>
            <w:shd w:val="clear" w:color="auto" w:fill="auto"/>
            <w:vAlign w:val="center"/>
          </w:tcPr>
          <w:p w14:paraId="6E904D12" w14:textId="2E11CED5" w:rsidR="004639EE" w:rsidRPr="00B55A80" w:rsidRDefault="009F069D" w:rsidP="004639EE">
            <w:pPr>
              <w:jc w:val="center"/>
              <w:rPr>
                <w:color w:val="000000"/>
              </w:rPr>
            </w:pPr>
            <w:r w:rsidRPr="00591153">
              <w:rPr>
                <w:color w:val="000000"/>
              </w:rPr>
              <w:t>0.072</w:t>
            </w:r>
          </w:p>
        </w:tc>
      </w:tr>
      <w:tr w:rsidR="004639EE" w:rsidRPr="00B55A80" w14:paraId="442CF4C5" w14:textId="77777777" w:rsidTr="004639EE">
        <w:trPr>
          <w:cantSplit/>
          <w:jc w:val="center"/>
        </w:trPr>
        <w:tc>
          <w:tcPr>
            <w:tcW w:w="3776" w:type="dxa"/>
            <w:shd w:val="clear" w:color="auto" w:fill="auto"/>
          </w:tcPr>
          <w:p w14:paraId="0C9FCA1B" w14:textId="77777777" w:rsidR="004639EE" w:rsidRPr="00B55A80" w:rsidRDefault="004639EE" w:rsidP="004639EE">
            <w:pPr>
              <w:rPr>
                <w:rFonts w:eastAsia="Arial Unicode MS"/>
              </w:rPr>
            </w:pPr>
            <w:r w:rsidRPr="00B55A80">
              <w:t>Marin County (Tiburon), Sanitary District No. 5 of</w:t>
            </w:r>
          </w:p>
        </w:tc>
        <w:tc>
          <w:tcPr>
            <w:tcW w:w="2329" w:type="dxa"/>
            <w:shd w:val="clear" w:color="auto" w:fill="auto"/>
            <w:vAlign w:val="center"/>
          </w:tcPr>
          <w:p w14:paraId="69192242" w14:textId="372D4E0C" w:rsidR="004639EE" w:rsidRPr="00B55A80" w:rsidRDefault="004639EE" w:rsidP="004639EE">
            <w:pPr>
              <w:jc w:val="center"/>
              <w:rPr>
                <w:color w:val="000000"/>
              </w:rPr>
            </w:pPr>
            <w:r w:rsidRPr="00591153">
              <w:rPr>
                <w:color w:val="000000"/>
              </w:rPr>
              <w:t>0.066</w:t>
            </w:r>
          </w:p>
        </w:tc>
        <w:tc>
          <w:tcPr>
            <w:tcW w:w="2340" w:type="dxa"/>
            <w:shd w:val="clear" w:color="auto" w:fill="auto"/>
            <w:vAlign w:val="center"/>
          </w:tcPr>
          <w:p w14:paraId="04441D84" w14:textId="12920972" w:rsidR="004639EE" w:rsidRPr="00B55A80" w:rsidRDefault="004639EE" w:rsidP="004639EE">
            <w:pPr>
              <w:jc w:val="center"/>
              <w:rPr>
                <w:color w:val="000000"/>
              </w:rPr>
            </w:pPr>
            <w:r w:rsidRPr="00591153">
              <w:rPr>
                <w:color w:val="000000"/>
              </w:rPr>
              <w:t>0.072</w:t>
            </w:r>
          </w:p>
        </w:tc>
      </w:tr>
      <w:tr w:rsidR="004639EE" w:rsidRPr="00B55A80" w14:paraId="114D5A63" w14:textId="77777777" w:rsidTr="004639EE">
        <w:trPr>
          <w:cantSplit/>
          <w:jc w:val="center"/>
        </w:trPr>
        <w:tc>
          <w:tcPr>
            <w:tcW w:w="3776" w:type="dxa"/>
            <w:shd w:val="clear" w:color="auto" w:fill="auto"/>
          </w:tcPr>
          <w:p w14:paraId="0BB6FCAA" w14:textId="77777777" w:rsidR="004639EE" w:rsidRPr="00B55A80" w:rsidRDefault="004639EE" w:rsidP="004639EE">
            <w:pPr>
              <w:rPr>
                <w:rFonts w:eastAsia="Arial Unicode MS"/>
              </w:rPr>
            </w:pPr>
            <w:r w:rsidRPr="00B55A80">
              <w:t>Millbrae, City of</w:t>
            </w:r>
          </w:p>
        </w:tc>
        <w:tc>
          <w:tcPr>
            <w:tcW w:w="2329" w:type="dxa"/>
            <w:shd w:val="clear" w:color="auto" w:fill="auto"/>
            <w:vAlign w:val="center"/>
          </w:tcPr>
          <w:p w14:paraId="0607CA19" w14:textId="7D04753D" w:rsidR="004639EE" w:rsidRPr="00B55A80" w:rsidRDefault="004639EE" w:rsidP="004639EE">
            <w:pPr>
              <w:jc w:val="center"/>
              <w:rPr>
                <w:color w:val="000000"/>
              </w:rPr>
            </w:pPr>
            <w:r w:rsidRPr="00591153">
              <w:rPr>
                <w:color w:val="000000"/>
              </w:rPr>
              <w:t>0.066</w:t>
            </w:r>
          </w:p>
        </w:tc>
        <w:tc>
          <w:tcPr>
            <w:tcW w:w="2340" w:type="dxa"/>
            <w:shd w:val="clear" w:color="auto" w:fill="auto"/>
            <w:vAlign w:val="center"/>
          </w:tcPr>
          <w:p w14:paraId="73E0C75E" w14:textId="78114188" w:rsidR="004639EE" w:rsidRPr="00B55A80" w:rsidRDefault="004639EE" w:rsidP="004639EE">
            <w:pPr>
              <w:jc w:val="center"/>
              <w:rPr>
                <w:color w:val="000000"/>
              </w:rPr>
            </w:pPr>
            <w:r w:rsidRPr="00591153">
              <w:rPr>
                <w:color w:val="000000"/>
              </w:rPr>
              <w:t>0.072</w:t>
            </w:r>
          </w:p>
        </w:tc>
      </w:tr>
      <w:tr w:rsidR="004639EE" w:rsidRPr="00B55A80" w14:paraId="49166243" w14:textId="77777777" w:rsidTr="004639EE">
        <w:trPr>
          <w:cantSplit/>
          <w:jc w:val="center"/>
        </w:trPr>
        <w:tc>
          <w:tcPr>
            <w:tcW w:w="3776" w:type="dxa"/>
            <w:shd w:val="clear" w:color="auto" w:fill="auto"/>
          </w:tcPr>
          <w:p w14:paraId="5F91378B" w14:textId="77777777" w:rsidR="004639EE" w:rsidRPr="00B55A80" w:rsidRDefault="004639EE" w:rsidP="004639EE">
            <w:pPr>
              <w:rPr>
                <w:rFonts w:eastAsia="Arial Unicode MS"/>
              </w:rPr>
            </w:pPr>
            <w:r w:rsidRPr="00B55A80">
              <w:t>Mt. View Sanitary District</w:t>
            </w:r>
          </w:p>
        </w:tc>
        <w:tc>
          <w:tcPr>
            <w:tcW w:w="2329" w:type="dxa"/>
            <w:shd w:val="clear" w:color="auto" w:fill="auto"/>
            <w:vAlign w:val="center"/>
          </w:tcPr>
          <w:p w14:paraId="610CB672" w14:textId="262AF6B3" w:rsidR="004639EE" w:rsidRPr="00B55A80" w:rsidRDefault="004639EE" w:rsidP="009F069D">
            <w:pPr>
              <w:jc w:val="center"/>
              <w:rPr>
                <w:color w:val="000000"/>
              </w:rPr>
            </w:pPr>
            <w:r w:rsidRPr="00591153">
              <w:rPr>
                <w:color w:val="000000"/>
              </w:rPr>
              <w:t>0.0</w:t>
            </w:r>
            <w:r w:rsidR="009F069D">
              <w:rPr>
                <w:color w:val="000000"/>
              </w:rPr>
              <w:t>25</w:t>
            </w:r>
          </w:p>
        </w:tc>
        <w:tc>
          <w:tcPr>
            <w:tcW w:w="2340" w:type="dxa"/>
            <w:shd w:val="clear" w:color="auto" w:fill="auto"/>
            <w:vAlign w:val="center"/>
          </w:tcPr>
          <w:p w14:paraId="3FC02348" w14:textId="20EAC324" w:rsidR="004639EE" w:rsidRPr="00B55A80" w:rsidRDefault="004639EE" w:rsidP="009F069D">
            <w:pPr>
              <w:jc w:val="center"/>
              <w:rPr>
                <w:color w:val="000000"/>
              </w:rPr>
            </w:pPr>
            <w:r w:rsidRPr="00591153">
              <w:rPr>
                <w:color w:val="000000"/>
              </w:rPr>
              <w:t>0.0</w:t>
            </w:r>
            <w:r w:rsidR="009F069D">
              <w:rPr>
                <w:color w:val="000000"/>
              </w:rPr>
              <w:t>27</w:t>
            </w:r>
          </w:p>
        </w:tc>
      </w:tr>
      <w:tr w:rsidR="004639EE" w:rsidRPr="00B55A80" w14:paraId="14888C6B" w14:textId="77777777" w:rsidTr="004639EE">
        <w:trPr>
          <w:cantSplit/>
          <w:jc w:val="center"/>
        </w:trPr>
        <w:tc>
          <w:tcPr>
            <w:tcW w:w="3776" w:type="dxa"/>
            <w:shd w:val="clear" w:color="auto" w:fill="auto"/>
          </w:tcPr>
          <w:p w14:paraId="7AC48DC3" w14:textId="77777777" w:rsidR="004639EE" w:rsidRPr="00B55A80" w:rsidRDefault="004639EE" w:rsidP="004639EE">
            <w:pPr>
              <w:rPr>
                <w:rFonts w:eastAsia="Arial Unicode MS"/>
              </w:rPr>
            </w:pPr>
            <w:r w:rsidRPr="00B55A80">
              <w:t>Napa Sanitation District</w:t>
            </w:r>
          </w:p>
        </w:tc>
        <w:tc>
          <w:tcPr>
            <w:tcW w:w="2329" w:type="dxa"/>
            <w:shd w:val="clear" w:color="auto" w:fill="auto"/>
            <w:vAlign w:val="center"/>
          </w:tcPr>
          <w:p w14:paraId="617F617B" w14:textId="103B84DA" w:rsidR="004639EE" w:rsidRPr="00B55A80" w:rsidRDefault="004639EE" w:rsidP="004639EE">
            <w:pPr>
              <w:jc w:val="center"/>
              <w:rPr>
                <w:color w:val="000000"/>
              </w:rPr>
            </w:pPr>
            <w:r w:rsidRPr="00591153">
              <w:rPr>
                <w:color w:val="000000"/>
              </w:rPr>
              <w:t>0.066</w:t>
            </w:r>
          </w:p>
        </w:tc>
        <w:tc>
          <w:tcPr>
            <w:tcW w:w="2340" w:type="dxa"/>
            <w:shd w:val="clear" w:color="auto" w:fill="auto"/>
            <w:vAlign w:val="center"/>
          </w:tcPr>
          <w:p w14:paraId="6ECB9E65" w14:textId="6117E9EA" w:rsidR="004639EE" w:rsidRPr="00B55A80" w:rsidRDefault="004639EE" w:rsidP="004639EE">
            <w:pPr>
              <w:jc w:val="center"/>
              <w:rPr>
                <w:color w:val="000000"/>
              </w:rPr>
            </w:pPr>
            <w:r w:rsidRPr="00591153">
              <w:rPr>
                <w:color w:val="000000"/>
              </w:rPr>
              <w:t>0.072</w:t>
            </w:r>
          </w:p>
        </w:tc>
      </w:tr>
      <w:tr w:rsidR="004639EE" w:rsidRPr="00B55A80" w14:paraId="18205F68" w14:textId="77777777" w:rsidTr="004639EE">
        <w:trPr>
          <w:cantSplit/>
          <w:jc w:val="center"/>
        </w:trPr>
        <w:tc>
          <w:tcPr>
            <w:tcW w:w="3776" w:type="dxa"/>
            <w:shd w:val="clear" w:color="auto" w:fill="auto"/>
          </w:tcPr>
          <w:p w14:paraId="557FA4EF" w14:textId="77777777" w:rsidR="004639EE" w:rsidRPr="00B55A80" w:rsidRDefault="004639EE" w:rsidP="004639EE">
            <w:pPr>
              <w:rPr>
                <w:rFonts w:eastAsia="Arial Unicode MS"/>
              </w:rPr>
            </w:pPr>
            <w:r w:rsidRPr="00B55A80">
              <w:t>Novato Sanitary District</w:t>
            </w:r>
          </w:p>
        </w:tc>
        <w:tc>
          <w:tcPr>
            <w:tcW w:w="2329" w:type="dxa"/>
            <w:shd w:val="clear" w:color="auto" w:fill="auto"/>
            <w:vAlign w:val="center"/>
          </w:tcPr>
          <w:p w14:paraId="1CE74A48" w14:textId="549A6CCB" w:rsidR="004639EE" w:rsidRPr="00B55A80" w:rsidRDefault="004639EE" w:rsidP="004639EE">
            <w:pPr>
              <w:jc w:val="center"/>
              <w:rPr>
                <w:color w:val="000000"/>
              </w:rPr>
            </w:pPr>
            <w:r w:rsidRPr="00591153">
              <w:rPr>
                <w:color w:val="000000"/>
              </w:rPr>
              <w:t>0.066</w:t>
            </w:r>
          </w:p>
        </w:tc>
        <w:tc>
          <w:tcPr>
            <w:tcW w:w="2340" w:type="dxa"/>
            <w:shd w:val="clear" w:color="auto" w:fill="auto"/>
            <w:vAlign w:val="center"/>
          </w:tcPr>
          <w:p w14:paraId="70195D62" w14:textId="69E31FDA" w:rsidR="004639EE" w:rsidRPr="00B55A80" w:rsidRDefault="004639EE" w:rsidP="004639EE">
            <w:pPr>
              <w:jc w:val="center"/>
              <w:rPr>
                <w:color w:val="000000"/>
              </w:rPr>
            </w:pPr>
            <w:r w:rsidRPr="00591153">
              <w:rPr>
                <w:color w:val="000000"/>
              </w:rPr>
              <w:t>0.072</w:t>
            </w:r>
          </w:p>
        </w:tc>
      </w:tr>
      <w:tr w:rsidR="004639EE" w:rsidRPr="00B55A80" w14:paraId="6D349EC9" w14:textId="77777777" w:rsidTr="004639EE">
        <w:trPr>
          <w:cantSplit/>
          <w:jc w:val="center"/>
        </w:trPr>
        <w:tc>
          <w:tcPr>
            <w:tcW w:w="3776" w:type="dxa"/>
            <w:shd w:val="clear" w:color="auto" w:fill="auto"/>
          </w:tcPr>
          <w:p w14:paraId="2CF8D45A" w14:textId="77777777" w:rsidR="004639EE" w:rsidRPr="00B55A80" w:rsidRDefault="004639EE" w:rsidP="004639EE">
            <w:pPr>
              <w:rPr>
                <w:rFonts w:eastAsia="Arial Unicode MS"/>
              </w:rPr>
            </w:pPr>
            <w:r w:rsidRPr="00B55A80">
              <w:t>Palo Alto, City of</w:t>
            </w:r>
          </w:p>
        </w:tc>
        <w:tc>
          <w:tcPr>
            <w:tcW w:w="2329" w:type="dxa"/>
            <w:shd w:val="clear" w:color="auto" w:fill="auto"/>
            <w:vAlign w:val="center"/>
          </w:tcPr>
          <w:p w14:paraId="60F743AE" w14:textId="75371259" w:rsidR="004639EE" w:rsidRPr="00B55A80" w:rsidRDefault="004639EE" w:rsidP="009F069D">
            <w:pPr>
              <w:jc w:val="center"/>
              <w:rPr>
                <w:color w:val="000000"/>
              </w:rPr>
            </w:pPr>
            <w:r w:rsidRPr="00591153">
              <w:rPr>
                <w:color w:val="000000"/>
              </w:rPr>
              <w:t>0.0</w:t>
            </w:r>
            <w:r w:rsidR="009F069D">
              <w:rPr>
                <w:color w:val="000000"/>
              </w:rPr>
              <w:t>25</w:t>
            </w:r>
          </w:p>
        </w:tc>
        <w:tc>
          <w:tcPr>
            <w:tcW w:w="2340" w:type="dxa"/>
            <w:shd w:val="clear" w:color="auto" w:fill="auto"/>
            <w:vAlign w:val="center"/>
          </w:tcPr>
          <w:p w14:paraId="08EC52E4" w14:textId="1D288B59" w:rsidR="004639EE" w:rsidRPr="00B55A80" w:rsidRDefault="004639EE" w:rsidP="009F069D">
            <w:pPr>
              <w:jc w:val="center"/>
              <w:rPr>
                <w:color w:val="000000"/>
              </w:rPr>
            </w:pPr>
            <w:r w:rsidRPr="00591153">
              <w:rPr>
                <w:color w:val="000000"/>
              </w:rPr>
              <w:t>0.0</w:t>
            </w:r>
            <w:r w:rsidR="009F069D">
              <w:rPr>
                <w:color w:val="000000"/>
              </w:rPr>
              <w:t>27</w:t>
            </w:r>
          </w:p>
        </w:tc>
      </w:tr>
      <w:tr w:rsidR="004639EE" w:rsidRPr="00B55A80" w14:paraId="1D44AA68" w14:textId="77777777" w:rsidTr="004639EE">
        <w:trPr>
          <w:cantSplit/>
          <w:jc w:val="center"/>
        </w:trPr>
        <w:tc>
          <w:tcPr>
            <w:tcW w:w="3776" w:type="dxa"/>
            <w:shd w:val="clear" w:color="auto" w:fill="auto"/>
          </w:tcPr>
          <w:p w14:paraId="16BC7A6F" w14:textId="77777777" w:rsidR="004639EE" w:rsidRPr="00B55A80" w:rsidRDefault="004639EE" w:rsidP="004639EE">
            <w:pPr>
              <w:rPr>
                <w:rFonts w:eastAsia="Arial Unicode MS"/>
              </w:rPr>
            </w:pPr>
            <w:r w:rsidRPr="00B55A80">
              <w:t>Petaluma, City of</w:t>
            </w:r>
          </w:p>
        </w:tc>
        <w:tc>
          <w:tcPr>
            <w:tcW w:w="2329" w:type="dxa"/>
            <w:shd w:val="clear" w:color="auto" w:fill="auto"/>
            <w:vAlign w:val="center"/>
          </w:tcPr>
          <w:p w14:paraId="57B1C013" w14:textId="689CBB2C" w:rsidR="004639EE" w:rsidRPr="00B55A80" w:rsidRDefault="004639EE" w:rsidP="004639EE">
            <w:pPr>
              <w:jc w:val="center"/>
              <w:rPr>
                <w:color w:val="000000"/>
              </w:rPr>
            </w:pPr>
            <w:r w:rsidRPr="00591153">
              <w:rPr>
                <w:color w:val="000000"/>
              </w:rPr>
              <w:t>0.025</w:t>
            </w:r>
          </w:p>
        </w:tc>
        <w:tc>
          <w:tcPr>
            <w:tcW w:w="2340" w:type="dxa"/>
            <w:shd w:val="clear" w:color="auto" w:fill="auto"/>
            <w:vAlign w:val="center"/>
          </w:tcPr>
          <w:p w14:paraId="59228B3E" w14:textId="352E2D26" w:rsidR="004639EE" w:rsidRPr="00B55A80" w:rsidRDefault="004639EE" w:rsidP="004639EE">
            <w:pPr>
              <w:jc w:val="center"/>
              <w:rPr>
                <w:color w:val="000000"/>
              </w:rPr>
            </w:pPr>
            <w:r w:rsidRPr="00591153">
              <w:rPr>
                <w:color w:val="000000"/>
              </w:rPr>
              <w:t>0.027</w:t>
            </w:r>
          </w:p>
        </w:tc>
      </w:tr>
      <w:tr w:rsidR="004639EE" w:rsidRPr="00B55A80" w14:paraId="644A0D2E" w14:textId="77777777" w:rsidTr="004639EE">
        <w:trPr>
          <w:cantSplit/>
          <w:jc w:val="center"/>
        </w:trPr>
        <w:tc>
          <w:tcPr>
            <w:tcW w:w="3776" w:type="dxa"/>
            <w:shd w:val="clear" w:color="auto" w:fill="auto"/>
          </w:tcPr>
          <w:p w14:paraId="6E4A2C4C" w14:textId="77777777" w:rsidR="004639EE" w:rsidRPr="00B55A80" w:rsidRDefault="004639EE" w:rsidP="004639EE">
            <w:pPr>
              <w:rPr>
                <w:rFonts w:eastAsia="Arial Unicode MS"/>
              </w:rPr>
            </w:pPr>
            <w:r w:rsidRPr="00B55A80">
              <w:t>Pinole, City of</w:t>
            </w:r>
          </w:p>
        </w:tc>
        <w:tc>
          <w:tcPr>
            <w:tcW w:w="2329" w:type="dxa"/>
            <w:shd w:val="clear" w:color="auto" w:fill="auto"/>
            <w:vAlign w:val="center"/>
          </w:tcPr>
          <w:p w14:paraId="2E925B9E" w14:textId="1BAB2EE0" w:rsidR="004639EE" w:rsidRPr="00B55A80" w:rsidRDefault="004639EE" w:rsidP="004639EE">
            <w:pPr>
              <w:jc w:val="center"/>
              <w:rPr>
                <w:color w:val="000000"/>
              </w:rPr>
            </w:pPr>
            <w:r w:rsidRPr="00591153">
              <w:rPr>
                <w:color w:val="000000"/>
              </w:rPr>
              <w:t>0.066</w:t>
            </w:r>
          </w:p>
        </w:tc>
        <w:tc>
          <w:tcPr>
            <w:tcW w:w="2340" w:type="dxa"/>
            <w:shd w:val="clear" w:color="auto" w:fill="auto"/>
            <w:vAlign w:val="center"/>
          </w:tcPr>
          <w:p w14:paraId="3FD1878D" w14:textId="4942A2E5" w:rsidR="004639EE" w:rsidRPr="00B55A80" w:rsidRDefault="004639EE" w:rsidP="004639EE">
            <w:pPr>
              <w:jc w:val="center"/>
              <w:rPr>
                <w:color w:val="000000"/>
              </w:rPr>
            </w:pPr>
            <w:r w:rsidRPr="00591153">
              <w:rPr>
                <w:color w:val="000000"/>
              </w:rPr>
              <w:t>0.072</w:t>
            </w:r>
          </w:p>
        </w:tc>
      </w:tr>
      <w:tr w:rsidR="004639EE" w:rsidRPr="00B55A80" w14:paraId="08E39DE5" w14:textId="77777777" w:rsidTr="004639EE">
        <w:trPr>
          <w:cantSplit/>
          <w:jc w:val="center"/>
        </w:trPr>
        <w:tc>
          <w:tcPr>
            <w:tcW w:w="3776" w:type="dxa"/>
            <w:shd w:val="clear" w:color="auto" w:fill="auto"/>
          </w:tcPr>
          <w:p w14:paraId="07E87934" w14:textId="77777777" w:rsidR="004639EE" w:rsidRPr="00B55A80" w:rsidRDefault="004639EE" w:rsidP="004639EE">
            <w:pPr>
              <w:tabs>
                <w:tab w:val="left" w:pos="459"/>
              </w:tabs>
              <w:rPr>
                <w:rFonts w:eastAsia="Arial Unicode MS"/>
              </w:rPr>
            </w:pPr>
            <w:r w:rsidRPr="00B55A80">
              <w:t>Rodeo Sanitary District</w:t>
            </w:r>
          </w:p>
        </w:tc>
        <w:tc>
          <w:tcPr>
            <w:tcW w:w="2329" w:type="dxa"/>
            <w:shd w:val="clear" w:color="auto" w:fill="auto"/>
            <w:vAlign w:val="center"/>
          </w:tcPr>
          <w:p w14:paraId="7C7E6B0C" w14:textId="1329F6CD" w:rsidR="004639EE" w:rsidRPr="00B55A80" w:rsidRDefault="004639EE" w:rsidP="004639EE">
            <w:pPr>
              <w:jc w:val="center"/>
              <w:rPr>
                <w:color w:val="000000"/>
              </w:rPr>
            </w:pPr>
            <w:r w:rsidRPr="00591153">
              <w:rPr>
                <w:color w:val="000000"/>
              </w:rPr>
              <w:t>0.066</w:t>
            </w:r>
          </w:p>
        </w:tc>
        <w:tc>
          <w:tcPr>
            <w:tcW w:w="2340" w:type="dxa"/>
            <w:shd w:val="clear" w:color="auto" w:fill="auto"/>
            <w:vAlign w:val="center"/>
          </w:tcPr>
          <w:p w14:paraId="18DD9D2E" w14:textId="7ED62503" w:rsidR="004639EE" w:rsidRPr="00B55A80" w:rsidRDefault="004639EE" w:rsidP="004639EE">
            <w:pPr>
              <w:jc w:val="center"/>
              <w:rPr>
                <w:color w:val="000000"/>
              </w:rPr>
            </w:pPr>
            <w:r w:rsidRPr="00591153">
              <w:rPr>
                <w:color w:val="000000"/>
              </w:rPr>
              <w:t>0.072</w:t>
            </w:r>
          </w:p>
        </w:tc>
      </w:tr>
      <w:tr w:rsidR="004639EE" w:rsidRPr="00B55A80" w14:paraId="126032A7" w14:textId="77777777" w:rsidTr="004639EE">
        <w:trPr>
          <w:cantSplit/>
          <w:jc w:val="center"/>
        </w:trPr>
        <w:tc>
          <w:tcPr>
            <w:tcW w:w="3776" w:type="dxa"/>
            <w:shd w:val="clear" w:color="auto" w:fill="auto"/>
          </w:tcPr>
          <w:p w14:paraId="1F2D05CD" w14:textId="77777777" w:rsidR="004639EE" w:rsidRPr="00B55A80" w:rsidRDefault="004639EE" w:rsidP="004639EE">
            <w:pPr>
              <w:rPr>
                <w:rFonts w:eastAsia="Arial Unicode MS"/>
              </w:rPr>
            </w:pPr>
            <w:r w:rsidRPr="00B55A80">
              <w:t>Saint Helena, City of</w:t>
            </w:r>
          </w:p>
        </w:tc>
        <w:tc>
          <w:tcPr>
            <w:tcW w:w="2329" w:type="dxa"/>
            <w:shd w:val="clear" w:color="auto" w:fill="auto"/>
            <w:vAlign w:val="center"/>
          </w:tcPr>
          <w:p w14:paraId="1D445860" w14:textId="3744B138" w:rsidR="004639EE" w:rsidRPr="00B55A80" w:rsidRDefault="004639EE" w:rsidP="004639EE">
            <w:pPr>
              <w:jc w:val="center"/>
              <w:rPr>
                <w:color w:val="000000"/>
              </w:rPr>
            </w:pPr>
            <w:r w:rsidRPr="00591153">
              <w:rPr>
                <w:color w:val="000000"/>
              </w:rPr>
              <w:t>0.066</w:t>
            </w:r>
          </w:p>
        </w:tc>
        <w:tc>
          <w:tcPr>
            <w:tcW w:w="2340" w:type="dxa"/>
            <w:shd w:val="clear" w:color="auto" w:fill="auto"/>
            <w:vAlign w:val="center"/>
          </w:tcPr>
          <w:p w14:paraId="61FF189D" w14:textId="438A1C86" w:rsidR="004639EE" w:rsidRPr="00B55A80" w:rsidRDefault="004639EE" w:rsidP="004639EE">
            <w:pPr>
              <w:jc w:val="center"/>
              <w:rPr>
                <w:color w:val="000000"/>
              </w:rPr>
            </w:pPr>
            <w:r w:rsidRPr="00591153">
              <w:rPr>
                <w:color w:val="000000"/>
              </w:rPr>
              <w:t>0.072</w:t>
            </w:r>
          </w:p>
        </w:tc>
      </w:tr>
      <w:tr w:rsidR="004639EE" w:rsidRPr="00B55A80" w14:paraId="3EEC2482" w14:textId="77777777" w:rsidTr="004639EE">
        <w:trPr>
          <w:cantSplit/>
          <w:jc w:val="center"/>
        </w:trPr>
        <w:tc>
          <w:tcPr>
            <w:tcW w:w="3776" w:type="dxa"/>
            <w:shd w:val="clear" w:color="auto" w:fill="auto"/>
          </w:tcPr>
          <w:p w14:paraId="0F83EE90" w14:textId="77777777" w:rsidR="004639EE" w:rsidRPr="00B55A80" w:rsidRDefault="004639EE" w:rsidP="004639EE">
            <w:pPr>
              <w:rPr>
                <w:rFonts w:eastAsia="Arial Unicode MS"/>
              </w:rPr>
            </w:pPr>
            <w:r w:rsidRPr="005465D4">
              <w:t>San Francisco</w:t>
            </w:r>
            <w:r>
              <w:t xml:space="preserve"> (San Francisco International Airport)</w:t>
            </w:r>
            <w:r w:rsidRPr="005465D4">
              <w:t>, City and County of</w:t>
            </w:r>
          </w:p>
        </w:tc>
        <w:tc>
          <w:tcPr>
            <w:tcW w:w="2329" w:type="dxa"/>
            <w:shd w:val="clear" w:color="auto" w:fill="auto"/>
            <w:vAlign w:val="center"/>
          </w:tcPr>
          <w:p w14:paraId="5363BF23" w14:textId="396ACA4D" w:rsidR="004639EE" w:rsidRPr="00B55A80" w:rsidRDefault="004639EE" w:rsidP="004639EE">
            <w:pPr>
              <w:jc w:val="center"/>
              <w:rPr>
                <w:color w:val="000000"/>
              </w:rPr>
            </w:pPr>
            <w:r w:rsidRPr="00591153">
              <w:rPr>
                <w:color w:val="000000"/>
              </w:rPr>
              <w:t>0.066</w:t>
            </w:r>
          </w:p>
        </w:tc>
        <w:tc>
          <w:tcPr>
            <w:tcW w:w="2340" w:type="dxa"/>
            <w:shd w:val="clear" w:color="auto" w:fill="auto"/>
            <w:vAlign w:val="center"/>
          </w:tcPr>
          <w:p w14:paraId="34A87DBA" w14:textId="34C2C214" w:rsidR="004639EE" w:rsidRPr="00B55A80" w:rsidRDefault="004639EE" w:rsidP="004639EE">
            <w:pPr>
              <w:jc w:val="center"/>
              <w:rPr>
                <w:color w:val="000000"/>
              </w:rPr>
            </w:pPr>
            <w:r w:rsidRPr="00591153">
              <w:rPr>
                <w:color w:val="000000"/>
              </w:rPr>
              <w:t>0.072</w:t>
            </w:r>
          </w:p>
        </w:tc>
      </w:tr>
      <w:tr w:rsidR="004639EE" w:rsidRPr="00B55A80" w14:paraId="142C33C1" w14:textId="77777777" w:rsidTr="004639EE">
        <w:trPr>
          <w:cantSplit/>
          <w:jc w:val="center"/>
        </w:trPr>
        <w:tc>
          <w:tcPr>
            <w:tcW w:w="3776" w:type="dxa"/>
            <w:shd w:val="clear" w:color="auto" w:fill="auto"/>
          </w:tcPr>
          <w:p w14:paraId="04416433" w14:textId="77777777" w:rsidR="004639EE" w:rsidRPr="00B55A80" w:rsidRDefault="004639EE" w:rsidP="004639EE">
            <w:pPr>
              <w:rPr>
                <w:rFonts w:eastAsia="Arial Unicode MS"/>
              </w:rPr>
            </w:pPr>
            <w:r w:rsidRPr="00B55A80">
              <w:t>San Francisco (Southeast Plant), City and County of</w:t>
            </w:r>
          </w:p>
        </w:tc>
        <w:tc>
          <w:tcPr>
            <w:tcW w:w="2329" w:type="dxa"/>
            <w:shd w:val="clear" w:color="auto" w:fill="auto"/>
            <w:vAlign w:val="center"/>
          </w:tcPr>
          <w:p w14:paraId="5BADAB41" w14:textId="3D8C0BB9" w:rsidR="004639EE" w:rsidRPr="00B55A80" w:rsidRDefault="004639EE" w:rsidP="004639EE">
            <w:pPr>
              <w:jc w:val="center"/>
              <w:rPr>
                <w:color w:val="000000"/>
              </w:rPr>
            </w:pPr>
            <w:r w:rsidRPr="00591153">
              <w:rPr>
                <w:color w:val="000000"/>
              </w:rPr>
              <w:t>0.066</w:t>
            </w:r>
          </w:p>
        </w:tc>
        <w:tc>
          <w:tcPr>
            <w:tcW w:w="2340" w:type="dxa"/>
            <w:shd w:val="clear" w:color="auto" w:fill="auto"/>
            <w:vAlign w:val="center"/>
          </w:tcPr>
          <w:p w14:paraId="308FB554" w14:textId="6AB767C5" w:rsidR="004639EE" w:rsidRPr="00B55A80" w:rsidRDefault="004639EE" w:rsidP="004639EE">
            <w:pPr>
              <w:jc w:val="center"/>
              <w:rPr>
                <w:color w:val="000000"/>
              </w:rPr>
            </w:pPr>
            <w:r w:rsidRPr="00591153">
              <w:rPr>
                <w:color w:val="000000"/>
              </w:rPr>
              <w:t>0.072</w:t>
            </w:r>
          </w:p>
        </w:tc>
      </w:tr>
      <w:tr w:rsidR="004639EE" w:rsidRPr="00B55A80" w14:paraId="154202AC" w14:textId="77777777" w:rsidTr="004639EE">
        <w:trPr>
          <w:cantSplit/>
          <w:jc w:val="center"/>
        </w:trPr>
        <w:tc>
          <w:tcPr>
            <w:tcW w:w="3776" w:type="dxa"/>
            <w:shd w:val="clear" w:color="auto" w:fill="auto"/>
          </w:tcPr>
          <w:p w14:paraId="7ECA3D97" w14:textId="77777777" w:rsidR="004639EE" w:rsidRPr="00B55A80" w:rsidRDefault="004639EE" w:rsidP="004639EE">
            <w:pPr>
              <w:tabs>
                <w:tab w:val="left" w:pos="459"/>
              </w:tabs>
              <w:rPr>
                <w:rFonts w:eastAsia="Arial Unicode MS"/>
              </w:rPr>
            </w:pPr>
            <w:r>
              <w:t xml:space="preserve">San Jose and </w:t>
            </w:r>
            <w:r w:rsidRPr="007F4001">
              <w:t>Santa Clara, Cities of</w:t>
            </w:r>
          </w:p>
        </w:tc>
        <w:tc>
          <w:tcPr>
            <w:tcW w:w="2329" w:type="dxa"/>
            <w:shd w:val="clear" w:color="auto" w:fill="auto"/>
            <w:vAlign w:val="center"/>
          </w:tcPr>
          <w:p w14:paraId="2FA9B8D3" w14:textId="5973A7AE" w:rsidR="004639EE" w:rsidRPr="00B55A80" w:rsidRDefault="004639EE" w:rsidP="009F069D">
            <w:pPr>
              <w:jc w:val="center"/>
              <w:rPr>
                <w:color w:val="000000"/>
              </w:rPr>
            </w:pPr>
            <w:r w:rsidRPr="00591153">
              <w:rPr>
                <w:color w:val="000000"/>
              </w:rPr>
              <w:t>0.0</w:t>
            </w:r>
            <w:r w:rsidR="009F069D">
              <w:rPr>
                <w:color w:val="000000"/>
              </w:rPr>
              <w:t>25</w:t>
            </w:r>
          </w:p>
        </w:tc>
        <w:tc>
          <w:tcPr>
            <w:tcW w:w="2340" w:type="dxa"/>
            <w:shd w:val="clear" w:color="auto" w:fill="auto"/>
            <w:vAlign w:val="center"/>
          </w:tcPr>
          <w:p w14:paraId="1D2450F2" w14:textId="656E6097" w:rsidR="004639EE" w:rsidRPr="00B55A80" w:rsidRDefault="004639EE" w:rsidP="009F069D">
            <w:pPr>
              <w:jc w:val="center"/>
              <w:rPr>
                <w:color w:val="000000"/>
              </w:rPr>
            </w:pPr>
            <w:r w:rsidRPr="00591153">
              <w:rPr>
                <w:color w:val="000000"/>
              </w:rPr>
              <w:t>0.0</w:t>
            </w:r>
            <w:r w:rsidR="009F069D">
              <w:rPr>
                <w:color w:val="000000"/>
              </w:rPr>
              <w:t>27</w:t>
            </w:r>
          </w:p>
        </w:tc>
      </w:tr>
      <w:tr w:rsidR="004639EE" w:rsidRPr="00B55A80" w14:paraId="69209317" w14:textId="77777777" w:rsidTr="00C17D2F">
        <w:trPr>
          <w:cantSplit/>
          <w:jc w:val="center"/>
        </w:trPr>
        <w:tc>
          <w:tcPr>
            <w:tcW w:w="3776" w:type="dxa"/>
            <w:shd w:val="clear" w:color="auto" w:fill="auto"/>
          </w:tcPr>
          <w:p w14:paraId="206D4126" w14:textId="77777777" w:rsidR="004639EE" w:rsidRPr="00B55A80" w:rsidRDefault="004639EE" w:rsidP="004639EE">
            <w:pPr>
              <w:rPr>
                <w:rFonts w:eastAsia="Arial Unicode MS"/>
              </w:rPr>
            </w:pPr>
            <w:r w:rsidRPr="00B55A80">
              <w:t>San Mateo, City of</w:t>
            </w:r>
          </w:p>
        </w:tc>
        <w:tc>
          <w:tcPr>
            <w:tcW w:w="2329" w:type="dxa"/>
            <w:shd w:val="clear" w:color="auto" w:fill="auto"/>
            <w:vAlign w:val="center"/>
          </w:tcPr>
          <w:p w14:paraId="1A691F48" w14:textId="12B9CE4B" w:rsidR="004639EE" w:rsidRPr="00B55A80" w:rsidRDefault="004639EE" w:rsidP="009F069D">
            <w:pPr>
              <w:jc w:val="center"/>
              <w:rPr>
                <w:color w:val="000000"/>
              </w:rPr>
            </w:pPr>
            <w:r w:rsidRPr="00591153">
              <w:rPr>
                <w:color w:val="000000"/>
              </w:rPr>
              <w:t>0.0</w:t>
            </w:r>
            <w:r w:rsidR="009F069D">
              <w:rPr>
                <w:color w:val="000000"/>
              </w:rPr>
              <w:t>66</w:t>
            </w:r>
          </w:p>
        </w:tc>
        <w:tc>
          <w:tcPr>
            <w:tcW w:w="2340" w:type="dxa"/>
            <w:shd w:val="clear" w:color="auto" w:fill="auto"/>
          </w:tcPr>
          <w:p w14:paraId="4DE1C3C7" w14:textId="0F295826" w:rsidR="004639EE" w:rsidRPr="00B55A80" w:rsidRDefault="004639EE" w:rsidP="009F069D">
            <w:pPr>
              <w:jc w:val="center"/>
              <w:rPr>
                <w:color w:val="000000"/>
              </w:rPr>
            </w:pPr>
            <w:r w:rsidRPr="00591153">
              <w:rPr>
                <w:color w:val="000000"/>
              </w:rPr>
              <w:t>0.0</w:t>
            </w:r>
            <w:r w:rsidR="009F069D">
              <w:rPr>
                <w:color w:val="000000"/>
              </w:rPr>
              <w:t>72</w:t>
            </w:r>
          </w:p>
        </w:tc>
      </w:tr>
      <w:tr w:rsidR="004639EE" w:rsidRPr="00B55A80" w14:paraId="31B53D0E" w14:textId="77777777" w:rsidTr="00C17D2F">
        <w:trPr>
          <w:cantSplit/>
          <w:jc w:val="center"/>
        </w:trPr>
        <w:tc>
          <w:tcPr>
            <w:tcW w:w="3776" w:type="dxa"/>
            <w:shd w:val="clear" w:color="auto" w:fill="auto"/>
          </w:tcPr>
          <w:p w14:paraId="21B7C57B" w14:textId="77777777" w:rsidR="004639EE" w:rsidRPr="00B55A80" w:rsidRDefault="004639EE" w:rsidP="004639EE">
            <w:pPr>
              <w:rPr>
                <w:rFonts w:eastAsia="Arial Unicode MS"/>
              </w:rPr>
            </w:pPr>
            <w:r w:rsidRPr="00B55A80">
              <w:t>Sausalito-Marin City Sanitary District</w:t>
            </w:r>
          </w:p>
        </w:tc>
        <w:tc>
          <w:tcPr>
            <w:tcW w:w="2329" w:type="dxa"/>
            <w:shd w:val="clear" w:color="auto" w:fill="auto"/>
            <w:vAlign w:val="center"/>
          </w:tcPr>
          <w:p w14:paraId="221FB748" w14:textId="5F5DFD1E" w:rsidR="004639EE" w:rsidRPr="00B55A80" w:rsidRDefault="004639EE" w:rsidP="004639EE">
            <w:pPr>
              <w:jc w:val="center"/>
              <w:rPr>
                <w:color w:val="000000"/>
              </w:rPr>
            </w:pPr>
            <w:r w:rsidRPr="00591153">
              <w:rPr>
                <w:color w:val="000000"/>
              </w:rPr>
              <w:t>0.066</w:t>
            </w:r>
          </w:p>
        </w:tc>
        <w:tc>
          <w:tcPr>
            <w:tcW w:w="2340" w:type="dxa"/>
            <w:shd w:val="clear" w:color="auto" w:fill="auto"/>
          </w:tcPr>
          <w:p w14:paraId="35C71674" w14:textId="0F4DD0F8" w:rsidR="004639EE" w:rsidRPr="00B55A80" w:rsidRDefault="004639EE" w:rsidP="004639EE">
            <w:pPr>
              <w:jc w:val="center"/>
              <w:rPr>
                <w:color w:val="000000"/>
              </w:rPr>
            </w:pPr>
            <w:r w:rsidRPr="00591153">
              <w:rPr>
                <w:color w:val="000000"/>
              </w:rPr>
              <w:t>0.072</w:t>
            </w:r>
          </w:p>
        </w:tc>
      </w:tr>
      <w:tr w:rsidR="004639EE" w:rsidRPr="00B55A80" w14:paraId="743F1FD1" w14:textId="77777777" w:rsidTr="00C17D2F">
        <w:trPr>
          <w:cantSplit/>
          <w:jc w:val="center"/>
        </w:trPr>
        <w:tc>
          <w:tcPr>
            <w:tcW w:w="3776" w:type="dxa"/>
            <w:shd w:val="clear" w:color="auto" w:fill="auto"/>
          </w:tcPr>
          <w:p w14:paraId="10F3FE8E" w14:textId="77777777" w:rsidR="004639EE" w:rsidRPr="00B55A80" w:rsidRDefault="004639EE" w:rsidP="004639EE">
            <w:pPr>
              <w:tabs>
                <w:tab w:val="left" w:pos="459"/>
              </w:tabs>
              <w:rPr>
                <w:rFonts w:eastAsia="Arial Unicode MS"/>
              </w:rPr>
            </w:pPr>
            <w:r w:rsidRPr="00B55A80">
              <w:t>Sewerage Agency of Southern Marin</w:t>
            </w:r>
          </w:p>
        </w:tc>
        <w:tc>
          <w:tcPr>
            <w:tcW w:w="2329" w:type="dxa"/>
            <w:shd w:val="clear" w:color="auto" w:fill="auto"/>
            <w:vAlign w:val="center"/>
          </w:tcPr>
          <w:p w14:paraId="7B795776" w14:textId="08A25821" w:rsidR="004639EE" w:rsidRPr="00B55A80" w:rsidRDefault="004639EE" w:rsidP="004639EE">
            <w:pPr>
              <w:jc w:val="center"/>
              <w:rPr>
                <w:color w:val="000000"/>
              </w:rPr>
            </w:pPr>
            <w:r w:rsidRPr="00591153">
              <w:rPr>
                <w:color w:val="000000"/>
              </w:rPr>
              <w:t>0.066</w:t>
            </w:r>
          </w:p>
        </w:tc>
        <w:tc>
          <w:tcPr>
            <w:tcW w:w="2340" w:type="dxa"/>
            <w:shd w:val="clear" w:color="auto" w:fill="auto"/>
          </w:tcPr>
          <w:p w14:paraId="791D4DD0" w14:textId="5B2F5BFC" w:rsidR="004639EE" w:rsidRPr="00B55A80" w:rsidRDefault="004639EE" w:rsidP="004639EE">
            <w:pPr>
              <w:jc w:val="center"/>
              <w:rPr>
                <w:color w:val="000000"/>
              </w:rPr>
            </w:pPr>
            <w:r w:rsidRPr="00591153">
              <w:rPr>
                <w:color w:val="000000"/>
              </w:rPr>
              <w:t>0.072</w:t>
            </w:r>
          </w:p>
        </w:tc>
      </w:tr>
      <w:tr w:rsidR="004639EE" w:rsidRPr="00E82A2A" w14:paraId="06476275" w14:textId="77777777" w:rsidTr="004639EE">
        <w:trPr>
          <w:cantSplit/>
          <w:jc w:val="center"/>
        </w:trPr>
        <w:tc>
          <w:tcPr>
            <w:tcW w:w="3776" w:type="dxa"/>
            <w:shd w:val="clear" w:color="auto" w:fill="auto"/>
          </w:tcPr>
          <w:p w14:paraId="34B48D7D" w14:textId="77777777" w:rsidR="004639EE" w:rsidRPr="00B55A80" w:rsidRDefault="004639EE" w:rsidP="004639EE">
            <w:r>
              <w:t>Silicon Valley Clean Water</w:t>
            </w:r>
          </w:p>
        </w:tc>
        <w:tc>
          <w:tcPr>
            <w:tcW w:w="2329" w:type="dxa"/>
            <w:shd w:val="clear" w:color="auto" w:fill="auto"/>
            <w:vAlign w:val="center"/>
          </w:tcPr>
          <w:p w14:paraId="0DA4B1EE" w14:textId="75B98626" w:rsidR="004639EE" w:rsidRPr="00B55A80" w:rsidRDefault="004639EE" w:rsidP="004639EE">
            <w:pPr>
              <w:jc w:val="center"/>
              <w:rPr>
                <w:color w:val="000000"/>
              </w:rPr>
            </w:pPr>
            <w:r w:rsidRPr="00591153">
              <w:rPr>
                <w:color w:val="000000"/>
              </w:rPr>
              <w:t>0.066</w:t>
            </w:r>
          </w:p>
        </w:tc>
        <w:tc>
          <w:tcPr>
            <w:tcW w:w="2340" w:type="dxa"/>
            <w:shd w:val="clear" w:color="auto" w:fill="auto"/>
            <w:vAlign w:val="center"/>
          </w:tcPr>
          <w:p w14:paraId="024AAFD0" w14:textId="14F65FD8" w:rsidR="004639EE" w:rsidRPr="00AD6CC8" w:rsidRDefault="004639EE" w:rsidP="004639EE">
            <w:pPr>
              <w:jc w:val="center"/>
            </w:pPr>
            <w:r w:rsidRPr="00591153">
              <w:rPr>
                <w:color w:val="000000"/>
              </w:rPr>
              <w:t>0.072</w:t>
            </w:r>
          </w:p>
        </w:tc>
      </w:tr>
      <w:tr w:rsidR="004639EE" w:rsidRPr="00B55A80" w14:paraId="03C84D1A" w14:textId="77777777" w:rsidTr="00C17D2F">
        <w:trPr>
          <w:cantSplit/>
          <w:jc w:val="center"/>
        </w:trPr>
        <w:tc>
          <w:tcPr>
            <w:tcW w:w="3776" w:type="dxa"/>
            <w:shd w:val="clear" w:color="auto" w:fill="auto"/>
          </w:tcPr>
          <w:p w14:paraId="7B98D634" w14:textId="77777777" w:rsidR="004639EE" w:rsidRPr="00B55A80" w:rsidRDefault="004639EE" w:rsidP="004639EE">
            <w:pPr>
              <w:rPr>
                <w:rFonts w:eastAsia="Arial Unicode MS"/>
              </w:rPr>
            </w:pPr>
            <w:r w:rsidRPr="00B55A80">
              <w:t>Sonoma Valley County Sanitary District</w:t>
            </w:r>
          </w:p>
        </w:tc>
        <w:tc>
          <w:tcPr>
            <w:tcW w:w="2329" w:type="dxa"/>
            <w:shd w:val="clear" w:color="auto" w:fill="auto"/>
            <w:vAlign w:val="center"/>
          </w:tcPr>
          <w:p w14:paraId="315E8676" w14:textId="65004137" w:rsidR="004639EE" w:rsidRPr="00B55A80" w:rsidRDefault="004639EE" w:rsidP="004639EE">
            <w:pPr>
              <w:jc w:val="center"/>
              <w:rPr>
                <w:color w:val="000000"/>
              </w:rPr>
            </w:pPr>
            <w:r w:rsidRPr="00591153">
              <w:rPr>
                <w:color w:val="000000"/>
              </w:rPr>
              <w:t>0.066</w:t>
            </w:r>
          </w:p>
        </w:tc>
        <w:tc>
          <w:tcPr>
            <w:tcW w:w="2340" w:type="dxa"/>
            <w:shd w:val="clear" w:color="auto" w:fill="auto"/>
          </w:tcPr>
          <w:p w14:paraId="1259380F" w14:textId="114FB85E" w:rsidR="004639EE" w:rsidRPr="00B55A80" w:rsidRDefault="004639EE" w:rsidP="004639EE">
            <w:pPr>
              <w:jc w:val="center"/>
              <w:rPr>
                <w:color w:val="000000"/>
              </w:rPr>
            </w:pPr>
            <w:r w:rsidRPr="00591153">
              <w:rPr>
                <w:color w:val="000000"/>
              </w:rPr>
              <w:t>0.072</w:t>
            </w:r>
          </w:p>
        </w:tc>
      </w:tr>
      <w:tr w:rsidR="004639EE" w:rsidRPr="00B55A80" w14:paraId="19573AE4" w14:textId="77777777" w:rsidTr="004639EE">
        <w:trPr>
          <w:cantSplit/>
          <w:jc w:val="center"/>
        </w:trPr>
        <w:tc>
          <w:tcPr>
            <w:tcW w:w="3776" w:type="dxa"/>
            <w:shd w:val="clear" w:color="auto" w:fill="auto"/>
          </w:tcPr>
          <w:p w14:paraId="36429405" w14:textId="77777777" w:rsidR="004639EE" w:rsidRPr="00B55A80" w:rsidRDefault="004639EE" w:rsidP="004639EE">
            <w:pPr>
              <w:rPr>
                <w:rFonts w:eastAsia="Arial Unicode MS"/>
              </w:rPr>
            </w:pPr>
            <w:r w:rsidRPr="00B55A80">
              <w:t>South San Francisco and San Bruno, Cities of</w:t>
            </w:r>
          </w:p>
        </w:tc>
        <w:tc>
          <w:tcPr>
            <w:tcW w:w="2329" w:type="dxa"/>
            <w:shd w:val="clear" w:color="auto" w:fill="auto"/>
            <w:vAlign w:val="center"/>
          </w:tcPr>
          <w:p w14:paraId="333558C9" w14:textId="426C5C10" w:rsidR="004639EE" w:rsidRPr="00B55A80" w:rsidRDefault="004639EE" w:rsidP="009F069D">
            <w:pPr>
              <w:jc w:val="center"/>
              <w:rPr>
                <w:color w:val="000000"/>
              </w:rPr>
            </w:pPr>
            <w:r w:rsidRPr="00591153">
              <w:rPr>
                <w:color w:val="000000"/>
              </w:rPr>
              <w:t>0.0</w:t>
            </w:r>
            <w:r w:rsidR="009F069D">
              <w:rPr>
                <w:color w:val="000000"/>
              </w:rPr>
              <w:t>66</w:t>
            </w:r>
          </w:p>
        </w:tc>
        <w:tc>
          <w:tcPr>
            <w:tcW w:w="2340" w:type="dxa"/>
            <w:shd w:val="clear" w:color="auto" w:fill="auto"/>
            <w:vAlign w:val="center"/>
          </w:tcPr>
          <w:p w14:paraId="209BF01D" w14:textId="6FA4EDE6" w:rsidR="004639EE" w:rsidRPr="00B55A80" w:rsidRDefault="004639EE" w:rsidP="009F069D">
            <w:pPr>
              <w:jc w:val="center"/>
              <w:rPr>
                <w:color w:val="000000"/>
              </w:rPr>
            </w:pPr>
            <w:r w:rsidRPr="00591153">
              <w:rPr>
                <w:color w:val="000000"/>
              </w:rPr>
              <w:t>0.0</w:t>
            </w:r>
            <w:r w:rsidR="009F069D">
              <w:rPr>
                <w:color w:val="000000"/>
              </w:rPr>
              <w:t>72</w:t>
            </w:r>
          </w:p>
        </w:tc>
      </w:tr>
      <w:tr w:rsidR="004639EE" w:rsidRPr="00B55A80" w14:paraId="5024E39D" w14:textId="77777777" w:rsidTr="004639EE">
        <w:trPr>
          <w:cantSplit/>
          <w:jc w:val="center"/>
        </w:trPr>
        <w:tc>
          <w:tcPr>
            <w:tcW w:w="3776" w:type="dxa"/>
            <w:shd w:val="clear" w:color="auto" w:fill="auto"/>
          </w:tcPr>
          <w:p w14:paraId="427AF2B4" w14:textId="77777777" w:rsidR="004639EE" w:rsidRPr="00B55A80" w:rsidRDefault="004639EE" w:rsidP="004639EE">
            <w:pPr>
              <w:tabs>
                <w:tab w:val="left" w:pos="459"/>
              </w:tabs>
              <w:rPr>
                <w:rFonts w:eastAsia="Arial Unicode MS"/>
              </w:rPr>
            </w:pPr>
            <w:r w:rsidRPr="00B55A80">
              <w:t>Sunnyvale, City of</w:t>
            </w:r>
          </w:p>
        </w:tc>
        <w:tc>
          <w:tcPr>
            <w:tcW w:w="2329" w:type="dxa"/>
            <w:shd w:val="clear" w:color="auto" w:fill="auto"/>
            <w:vAlign w:val="center"/>
          </w:tcPr>
          <w:p w14:paraId="01BDADE0" w14:textId="15D2C29A" w:rsidR="004639EE" w:rsidRPr="00B55A80" w:rsidRDefault="004639EE" w:rsidP="009F069D">
            <w:pPr>
              <w:jc w:val="center"/>
              <w:rPr>
                <w:color w:val="000000"/>
              </w:rPr>
            </w:pPr>
            <w:r w:rsidRPr="00591153">
              <w:rPr>
                <w:color w:val="000000"/>
              </w:rPr>
              <w:t>0.0</w:t>
            </w:r>
            <w:r w:rsidR="009F069D">
              <w:rPr>
                <w:color w:val="000000"/>
              </w:rPr>
              <w:t>25</w:t>
            </w:r>
          </w:p>
        </w:tc>
        <w:tc>
          <w:tcPr>
            <w:tcW w:w="2340" w:type="dxa"/>
            <w:shd w:val="clear" w:color="auto" w:fill="auto"/>
            <w:vAlign w:val="center"/>
          </w:tcPr>
          <w:p w14:paraId="64C40C9E" w14:textId="062426B3" w:rsidR="004639EE" w:rsidRPr="00B55A80" w:rsidRDefault="004639EE" w:rsidP="009F069D">
            <w:pPr>
              <w:jc w:val="center"/>
              <w:rPr>
                <w:color w:val="000000"/>
              </w:rPr>
            </w:pPr>
            <w:r w:rsidRPr="00591153">
              <w:rPr>
                <w:color w:val="000000"/>
              </w:rPr>
              <w:t>0.0</w:t>
            </w:r>
            <w:r w:rsidR="009F069D">
              <w:rPr>
                <w:color w:val="000000"/>
              </w:rPr>
              <w:t>27</w:t>
            </w:r>
          </w:p>
        </w:tc>
      </w:tr>
      <w:tr w:rsidR="004639EE" w:rsidRPr="00B55A80" w14:paraId="39A7C198" w14:textId="77777777" w:rsidTr="004639EE">
        <w:trPr>
          <w:cantSplit/>
          <w:jc w:val="center"/>
        </w:trPr>
        <w:tc>
          <w:tcPr>
            <w:tcW w:w="3776" w:type="dxa"/>
            <w:shd w:val="clear" w:color="auto" w:fill="auto"/>
          </w:tcPr>
          <w:p w14:paraId="323CE331" w14:textId="77777777" w:rsidR="004639EE" w:rsidRPr="00B55A80" w:rsidRDefault="004639EE" w:rsidP="004639EE">
            <w:r w:rsidRPr="00B55A80">
              <w:t>U</w:t>
            </w:r>
            <w:r>
              <w:t>.</w:t>
            </w:r>
            <w:r w:rsidRPr="00B55A80">
              <w:t>S</w:t>
            </w:r>
            <w:r>
              <w:t>.</w:t>
            </w:r>
            <w:r w:rsidRPr="00B55A80">
              <w:t xml:space="preserve"> Department of Navy, Treasure Island</w:t>
            </w:r>
          </w:p>
        </w:tc>
        <w:tc>
          <w:tcPr>
            <w:tcW w:w="2329" w:type="dxa"/>
            <w:shd w:val="clear" w:color="auto" w:fill="auto"/>
            <w:vAlign w:val="center"/>
          </w:tcPr>
          <w:p w14:paraId="64E48A84" w14:textId="1A9D699E" w:rsidR="004639EE" w:rsidRPr="00B55A80" w:rsidRDefault="004639EE" w:rsidP="004639EE">
            <w:pPr>
              <w:jc w:val="center"/>
              <w:rPr>
                <w:bCs/>
                <w:color w:val="000000"/>
              </w:rPr>
            </w:pPr>
            <w:r w:rsidRPr="00591153">
              <w:rPr>
                <w:color w:val="000000"/>
              </w:rPr>
              <w:t>0.066</w:t>
            </w:r>
          </w:p>
        </w:tc>
        <w:tc>
          <w:tcPr>
            <w:tcW w:w="2340" w:type="dxa"/>
            <w:shd w:val="clear" w:color="auto" w:fill="auto"/>
            <w:vAlign w:val="center"/>
          </w:tcPr>
          <w:p w14:paraId="2EA2E13E" w14:textId="5467EA04" w:rsidR="004639EE" w:rsidRPr="00B55A80" w:rsidRDefault="004639EE" w:rsidP="004639EE">
            <w:pPr>
              <w:jc w:val="center"/>
              <w:rPr>
                <w:color w:val="000000"/>
              </w:rPr>
            </w:pPr>
            <w:r w:rsidRPr="00591153">
              <w:rPr>
                <w:color w:val="000000"/>
              </w:rPr>
              <w:t>0.072</w:t>
            </w:r>
          </w:p>
        </w:tc>
      </w:tr>
      <w:tr w:rsidR="004639EE" w:rsidRPr="00B55A80" w14:paraId="55CDE20A" w14:textId="77777777" w:rsidTr="004639EE">
        <w:trPr>
          <w:cantSplit/>
          <w:jc w:val="center"/>
        </w:trPr>
        <w:tc>
          <w:tcPr>
            <w:tcW w:w="3776" w:type="dxa"/>
            <w:shd w:val="clear" w:color="auto" w:fill="auto"/>
          </w:tcPr>
          <w:p w14:paraId="73BAB54A" w14:textId="77777777" w:rsidR="004639EE" w:rsidRPr="00B55A80" w:rsidRDefault="004639EE" w:rsidP="004639EE">
            <w:pPr>
              <w:rPr>
                <w:rFonts w:eastAsia="Arial Unicode MS"/>
              </w:rPr>
            </w:pPr>
            <w:r w:rsidRPr="00B55A80">
              <w:t>Vallejo Sanitation and Flood Control District</w:t>
            </w:r>
          </w:p>
        </w:tc>
        <w:tc>
          <w:tcPr>
            <w:tcW w:w="2329" w:type="dxa"/>
            <w:shd w:val="clear" w:color="auto" w:fill="auto"/>
            <w:vAlign w:val="center"/>
          </w:tcPr>
          <w:p w14:paraId="5CC9C640" w14:textId="01D5AAE1" w:rsidR="004639EE" w:rsidRPr="00B55A80" w:rsidRDefault="004639EE" w:rsidP="004639EE">
            <w:pPr>
              <w:jc w:val="center"/>
              <w:rPr>
                <w:color w:val="000000"/>
              </w:rPr>
            </w:pPr>
            <w:r w:rsidRPr="00591153">
              <w:rPr>
                <w:color w:val="000000"/>
              </w:rPr>
              <w:t>0.066</w:t>
            </w:r>
          </w:p>
        </w:tc>
        <w:tc>
          <w:tcPr>
            <w:tcW w:w="2340" w:type="dxa"/>
            <w:shd w:val="clear" w:color="auto" w:fill="auto"/>
            <w:vAlign w:val="center"/>
          </w:tcPr>
          <w:p w14:paraId="43C77485" w14:textId="62F055F9" w:rsidR="004639EE" w:rsidRPr="00B55A80" w:rsidRDefault="004639EE" w:rsidP="004639EE">
            <w:pPr>
              <w:jc w:val="center"/>
              <w:rPr>
                <w:color w:val="000000"/>
              </w:rPr>
            </w:pPr>
            <w:r w:rsidRPr="00591153">
              <w:rPr>
                <w:color w:val="000000"/>
              </w:rPr>
              <w:t>0.072</w:t>
            </w:r>
          </w:p>
        </w:tc>
      </w:tr>
      <w:tr w:rsidR="004639EE" w:rsidRPr="00B55A80" w14:paraId="03AFADAC" w14:textId="77777777" w:rsidTr="004639EE">
        <w:trPr>
          <w:cantSplit/>
          <w:jc w:val="center"/>
        </w:trPr>
        <w:tc>
          <w:tcPr>
            <w:tcW w:w="3776" w:type="dxa"/>
            <w:shd w:val="clear" w:color="auto" w:fill="auto"/>
          </w:tcPr>
          <w:p w14:paraId="56657DA9" w14:textId="77777777" w:rsidR="004639EE" w:rsidRPr="005465D4" w:rsidRDefault="004639EE" w:rsidP="004639EE">
            <w:pPr>
              <w:pStyle w:val="xl24"/>
              <w:pBdr>
                <w:bottom w:val="none" w:sz="0" w:space="0" w:color="auto"/>
              </w:pBdr>
              <w:spacing w:before="0" w:beforeAutospacing="0" w:after="0" w:afterAutospacing="0"/>
              <w:jc w:val="left"/>
              <w:rPr>
                <w:rFonts w:ascii="Times New Roman" w:hAnsi="Times New Roman" w:cs="Times New Roman"/>
                <w:b w:val="0"/>
                <w:sz w:val="20"/>
                <w:szCs w:val="20"/>
              </w:rPr>
            </w:pPr>
            <w:r w:rsidRPr="005465D4">
              <w:rPr>
                <w:rFonts w:ascii="Times New Roman" w:hAnsi="Times New Roman" w:cs="Times New Roman"/>
                <w:b w:val="0"/>
                <w:sz w:val="20"/>
              </w:rPr>
              <w:lastRenderedPageBreak/>
              <w:t>West County Agency</w:t>
            </w:r>
            <w:r>
              <w:rPr>
                <w:rFonts w:ascii="Times New Roman" w:hAnsi="Times New Roman" w:cs="Times New Roman"/>
                <w:b w:val="0"/>
                <w:sz w:val="20"/>
              </w:rPr>
              <w:t xml:space="preserve">; </w:t>
            </w:r>
            <w:r w:rsidRPr="005465D4">
              <w:rPr>
                <w:rFonts w:ascii="Times New Roman" w:hAnsi="Times New Roman" w:cs="Times New Roman"/>
                <w:b w:val="0"/>
                <w:sz w:val="20"/>
                <w:szCs w:val="20"/>
              </w:rPr>
              <w:t>West County Wastewater District</w:t>
            </w:r>
            <w:r>
              <w:rPr>
                <w:rFonts w:ascii="Times New Roman" w:hAnsi="Times New Roman" w:cs="Times New Roman"/>
                <w:b w:val="0"/>
                <w:sz w:val="20"/>
                <w:szCs w:val="20"/>
              </w:rPr>
              <w:t xml:space="preserve">; </w:t>
            </w:r>
            <w:r w:rsidRPr="005465D4">
              <w:rPr>
                <w:rFonts w:ascii="Times New Roman" w:hAnsi="Times New Roman" w:cs="Times New Roman"/>
                <w:b w:val="0"/>
                <w:sz w:val="20"/>
                <w:szCs w:val="20"/>
              </w:rPr>
              <w:t xml:space="preserve"> </w:t>
            </w:r>
          </w:p>
          <w:p w14:paraId="0E92A90B" w14:textId="77777777" w:rsidR="004639EE" w:rsidRPr="00B55A80" w:rsidRDefault="004639EE" w:rsidP="004639EE">
            <w:pPr>
              <w:rPr>
                <w:rFonts w:eastAsia="Arial Unicode MS"/>
              </w:rPr>
            </w:pPr>
            <w:r w:rsidRPr="005465D4">
              <w:rPr>
                <w:bCs/>
              </w:rPr>
              <w:t xml:space="preserve">City of Richmond </w:t>
            </w:r>
            <w:r>
              <w:rPr>
                <w:bCs/>
              </w:rPr>
              <w:t xml:space="preserve">; and Richmond </w:t>
            </w:r>
            <w:r w:rsidRPr="005465D4">
              <w:rPr>
                <w:bCs/>
              </w:rPr>
              <w:t>Municipal Sewer District</w:t>
            </w:r>
            <w:r>
              <w:rPr>
                <w:bCs/>
              </w:rPr>
              <w:t xml:space="preserve"> No. 1</w:t>
            </w:r>
          </w:p>
        </w:tc>
        <w:tc>
          <w:tcPr>
            <w:tcW w:w="2329" w:type="dxa"/>
            <w:shd w:val="clear" w:color="auto" w:fill="auto"/>
            <w:vAlign w:val="center"/>
          </w:tcPr>
          <w:p w14:paraId="2B6BCD02" w14:textId="7AC14915" w:rsidR="004639EE" w:rsidRPr="00B55A80" w:rsidRDefault="004639EE" w:rsidP="004639EE">
            <w:pPr>
              <w:jc w:val="center"/>
              <w:rPr>
                <w:color w:val="000000"/>
              </w:rPr>
            </w:pPr>
            <w:r w:rsidRPr="00591153">
              <w:rPr>
                <w:color w:val="000000"/>
              </w:rPr>
              <w:t>0.066</w:t>
            </w:r>
          </w:p>
        </w:tc>
        <w:tc>
          <w:tcPr>
            <w:tcW w:w="2340" w:type="dxa"/>
            <w:shd w:val="clear" w:color="auto" w:fill="auto"/>
            <w:vAlign w:val="center"/>
          </w:tcPr>
          <w:p w14:paraId="61A4A08A" w14:textId="61D077E2" w:rsidR="004639EE" w:rsidRPr="00B55A80" w:rsidRDefault="004639EE" w:rsidP="004639EE">
            <w:pPr>
              <w:jc w:val="center"/>
              <w:rPr>
                <w:color w:val="000000"/>
              </w:rPr>
            </w:pPr>
            <w:r w:rsidRPr="00591153">
              <w:rPr>
                <w:color w:val="000000"/>
              </w:rPr>
              <w:t>0.072</w:t>
            </w:r>
          </w:p>
        </w:tc>
      </w:tr>
      <w:tr w:rsidR="004639EE" w:rsidRPr="00B55A80" w14:paraId="1AB19007" w14:textId="77777777" w:rsidTr="004639EE">
        <w:trPr>
          <w:cantSplit/>
          <w:jc w:val="center"/>
        </w:trPr>
        <w:tc>
          <w:tcPr>
            <w:tcW w:w="3776" w:type="dxa"/>
            <w:shd w:val="clear" w:color="auto" w:fill="auto"/>
          </w:tcPr>
          <w:p w14:paraId="05A6434E" w14:textId="77777777" w:rsidR="004639EE" w:rsidRPr="00B55A80" w:rsidRDefault="004639EE" w:rsidP="004639EE">
            <w:pPr>
              <w:rPr>
                <w:rFonts w:eastAsia="Arial Unicode MS"/>
              </w:rPr>
            </w:pPr>
            <w:r w:rsidRPr="00B55A80">
              <w:t>Yountville, Town of</w:t>
            </w:r>
          </w:p>
        </w:tc>
        <w:tc>
          <w:tcPr>
            <w:tcW w:w="2329" w:type="dxa"/>
            <w:shd w:val="clear" w:color="auto" w:fill="auto"/>
            <w:vAlign w:val="center"/>
          </w:tcPr>
          <w:p w14:paraId="5670B411" w14:textId="68BEEF01" w:rsidR="004639EE" w:rsidRPr="00B55A80" w:rsidRDefault="004639EE" w:rsidP="004639EE">
            <w:pPr>
              <w:jc w:val="center"/>
              <w:rPr>
                <w:color w:val="000000"/>
              </w:rPr>
            </w:pPr>
            <w:r w:rsidRPr="00591153">
              <w:rPr>
                <w:color w:val="000000"/>
              </w:rPr>
              <w:t>0.066</w:t>
            </w:r>
          </w:p>
        </w:tc>
        <w:tc>
          <w:tcPr>
            <w:tcW w:w="2340" w:type="dxa"/>
            <w:shd w:val="clear" w:color="auto" w:fill="auto"/>
            <w:vAlign w:val="center"/>
          </w:tcPr>
          <w:p w14:paraId="3CB8DAE0" w14:textId="650D0253" w:rsidR="004639EE" w:rsidRPr="00B55A80" w:rsidRDefault="004639EE" w:rsidP="004639EE">
            <w:pPr>
              <w:jc w:val="center"/>
              <w:rPr>
                <w:color w:val="000000"/>
              </w:rPr>
            </w:pPr>
            <w:r w:rsidRPr="00591153">
              <w:rPr>
                <w:color w:val="000000"/>
              </w:rPr>
              <w:t>0.072</w:t>
            </w:r>
          </w:p>
        </w:tc>
      </w:tr>
    </w:tbl>
    <w:p w14:paraId="45C56DB2" w14:textId="7107D3B7" w:rsidR="00231A20" w:rsidRPr="00AD16C3" w:rsidRDefault="003D7820" w:rsidP="00231A20">
      <w:pPr>
        <w:pStyle w:val="blankspacesaftertables"/>
        <w:tabs>
          <w:tab w:val="left" w:pos="90"/>
          <w:tab w:val="left" w:pos="540"/>
        </w:tabs>
        <w:spacing w:before="60" w:after="60"/>
        <w:ind w:firstLine="810"/>
        <w:rPr>
          <w:sz w:val="18"/>
          <w:szCs w:val="18"/>
          <w:u w:val="single"/>
        </w:rPr>
      </w:pPr>
      <w:r>
        <w:rPr>
          <w:sz w:val="18"/>
          <w:szCs w:val="18"/>
          <w:u w:val="single"/>
        </w:rPr>
        <w:t>Unit Abbreviation</w:t>
      </w:r>
      <w:r w:rsidR="00231A20" w:rsidRPr="00AD16C3">
        <w:rPr>
          <w:sz w:val="18"/>
          <w:szCs w:val="18"/>
          <w:u w:val="single"/>
        </w:rPr>
        <w:t>:</w:t>
      </w:r>
    </w:p>
    <w:p w14:paraId="7AB1AFAB" w14:textId="4C27B7FB" w:rsidR="001A4A17" w:rsidRPr="00D75963" w:rsidRDefault="00231A20" w:rsidP="00D75963">
      <w:pPr>
        <w:pStyle w:val="blankspacesaftertables"/>
        <w:tabs>
          <w:tab w:val="left" w:pos="540"/>
          <w:tab w:val="left" w:pos="1260"/>
        </w:tabs>
        <w:spacing w:after="240"/>
        <w:ind w:left="540" w:firstLine="270"/>
        <w:rPr>
          <w:sz w:val="18"/>
          <w:szCs w:val="18"/>
        </w:rPr>
      </w:pPr>
      <w:r>
        <w:rPr>
          <w:sz w:val="18"/>
          <w:szCs w:val="18"/>
        </w:rPr>
        <w:t xml:space="preserve">µg/L </w:t>
      </w:r>
      <w:r>
        <w:rPr>
          <w:sz w:val="18"/>
          <w:szCs w:val="18"/>
        </w:rPr>
        <w:tab/>
      </w:r>
      <w:r w:rsidRPr="00AD16C3">
        <w:rPr>
          <w:sz w:val="18"/>
          <w:szCs w:val="18"/>
        </w:rPr>
        <w:t>= micrograms per liter</w:t>
      </w:r>
    </w:p>
    <w:p w14:paraId="1A16BF12" w14:textId="77C43EA1" w:rsidR="003D7820" w:rsidRPr="00F07122" w:rsidRDefault="003D7820" w:rsidP="002E397C">
      <w:pPr>
        <w:pStyle w:val="H-indent5025"/>
        <w:tabs>
          <w:tab w:val="clear" w:pos="1080"/>
          <w:tab w:val="left" w:pos="720"/>
        </w:tabs>
        <w:spacing w:after="0"/>
        <w:ind w:left="720" w:firstLine="0"/>
        <w:contextualSpacing/>
        <w:jc w:val="center"/>
        <w:rPr>
          <w:rFonts w:ascii="Times New Roman" w:hAnsi="Times New Roman" w:cs="Times New Roman"/>
          <w:b/>
          <w:color w:val="000000" w:themeColor="text1"/>
        </w:rPr>
      </w:pPr>
      <w:r w:rsidRPr="00F07122">
        <w:rPr>
          <w:rFonts w:ascii="Times New Roman" w:hAnsi="Times New Roman" w:cs="Times New Roman"/>
          <w:b/>
          <w:color w:val="000000" w:themeColor="text1"/>
        </w:rPr>
        <w:t xml:space="preserve">Table </w:t>
      </w:r>
      <w:r w:rsidR="00132D28">
        <w:rPr>
          <w:rFonts w:ascii="Times New Roman" w:hAnsi="Times New Roman" w:cs="Times New Roman"/>
          <w:b/>
          <w:color w:val="000000" w:themeColor="text1"/>
        </w:rPr>
        <w:t>F-</w:t>
      </w:r>
      <w:r w:rsidR="002E397C">
        <w:rPr>
          <w:rFonts w:ascii="Times New Roman" w:hAnsi="Times New Roman" w:cs="Times New Roman"/>
          <w:b/>
          <w:color w:val="000000" w:themeColor="text1"/>
        </w:rPr>
        <w:t>7</w:t>
      </w:r>
      <w:r w:rsidRPr="00F07122">
        <w:rPr>
          <w:rFonts w:ascii="Times New Roman" w:hAnsi="Times New Roman" w:cs="Times New Roman"/>
          <w:b/>
          <w:color w:val="000000" w:themeColor="text1"/>
        </w:rPr>
        <w:t xml:space="preserve">.  </w:t>
      </w:r>
      <w:r w:rsidR="002E397C" w:rsidRPr="002E397C">
        <w:rPr>
          <w:rFonts w:ascii="Times New Roman" w:hAnsi="Times New Roman" w:cs="Times New Roman"/>
          <w:b/>
          <w:color w:val="000000" w:themeColor="text1"/>
        </w:rPr>
        <w:t xml:space="preserve">Concentration-based Effluent Limitations for </w:t>
      </w:r>
      <w:r w:rsidR="002E397C">
        <w:rPr>
          <w:rFonts w:ascii="Times New Roman" w:hAnsi="Times New Roman" w:cs="Times New Roman"/>
          <w:b/>
          <w:color w:val="000000" w:themeColor="text1"/>
        </w:rPr>
        <w:t>Industrial</w:t>
      </w:r>
      <w:r w:rsidR="002E397C" w:rsidRPr="002E397C">
        <w:rPr>
          <w:rFonts w:ascii="Times New Roman" w:hAnsi="Times New Roman" w:cs="Times New Roman"/>
          <w:b/>
          <w:color w:val="000000" w:themeColor="text1"/>
        </w:rPr>
        <w:t xml:space="preserve"> Dischargers</w:t>
      </w:r>
    </w:p>
    <w:tbl>
      <w:tblPr>
        <w:tblW w:w="84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765"/>
        <w:gridCol w:w="2352"/>
        <w:gridCol w:w="2328"/>
      </w:tblGrid>
      <w:tr w:rsidR="003D7820" w:rsidRPr="00B55A80" w14:paraId="634D57C9" w14:textId="77777777" w:rsidTr="002E397C">
        <w:trPr>
          <w:cantSplit/>
          <w:jc w:val="center"/>
        </w:trPr>
        <w:tc>
          <w:tcPr>
            <w:tcW w:w="3765" w:type="dxa"/>
            <w:tcBorders>
              <w:top w:val="single" w:sz="12" w:space="0" w:color="auto"/>
              <w:bottom w:val="single" w:sz="12" w:space="0" w:color="auto"/>
            </w:tcBorders>
            <w:shd w:val="clear" w:color="auto" w:fill="auto"/>
            <w:vAlign w:val="center"/>
          </w:tcPr>
          <w:p w14:paraId="75ACDAD8" w14:textId="77777777" w:rsidR="003D7820" w:rsidRPr="00C21279" w:rsidRDefault="003D7820" w:rsidP="00C17D2F">
            <w:pPr>
              <w:spacing w:before="20" w:after="20"/>
              <w:contextualSpacing/>
              <w:jc w:val="center"/>
              <w:rPr>
                <w:rFonts w:eastAsia="Arial Unicode MS"/>
                <w:b/>
              </w:rPr>
            </w:pPr>
            <w:r w:rsidRPr="00C21279">
              <w:rPr>
                <w:rFonts w:eastAsia="Arial Unicode MS"/>
                <w:b/>
              </w:rPr>
              <w:t>Discharger</w:t>
            </w:r>
          </w:p>
        </w:tc>
        <w:tc>
          <w:tcPr>
            <w:tcW w:w="2352" w:type="dxa"/>
            <w:tcBorders>
              <w:top w:val="single" w:sz="12" w:space="0" w:color="auto"/>
              <w:bottom w:val="single" w:sz="12" w:space="0" w:color="auto"/>
            </w:tcBorders>
            <w:shd w:val="clear" w:color="auto" w:fill="auto"/>
            <w:vAlign w:val="center"/>
          </w:tcPr>
          <w:p w14:paraId="5E58C6FE" w14:textId="77777777" w:rsidR="003D7820" w:rsidRPr="00C21279" w:rsidRDefault="003D7820" w:rsidP="00C17D2F">
            <w:pPr>
              <w:contextualSpacing/>
              <w:jc w:val="center"/>
              <w:rPr>
                <w:b/>
                <w:color w:val="000000"/>
              </w:rPr>
            </w:pPr>
            <w:r w:rsidRPr="00C21279">
              <w:rPr>
                <w:b/>
                <w:color w:val="000000"/>
              </w:rPr>
              <w:t>Average Monthly Effluent Limit for Mercury (</w:t>
            </w:r>
            <w:r w:rsidRPr="006A40FD">
              <w:rPr>
                <w:b/>
                <w:color w:val="000000"/>
              </w:rPr>
              <w:t>µg/L</w:t>
            </w:r>
            <w:r w:rsidRPr="00C21279">
              <w:rPr>
                <w:b/>
                <w:color w:val="000000"/>
              </w:rPr>
              <w:t>)</w:t>
            </w:r>
          </w:p>
        </w:tc>
        <w:tc>
          <w:tcPr>
            <w:tcW w:w="2328" w:type="dxa"/>
            <w:tcBorders>
              <w:top w:val="single" w:sz="12" w:space="0" w:color="auto"/>
              <w:bottom w:val="single" w:sz="12" w:space="0" w:color="auto"/>
            </w:tcBorders>
            <w:shd w:val="clear" w:color="auto" w:fill="auto"/>
            <w:vAlign w:val="center"/>
          </w:tcPr>
          <w:p w14:paraId="0ED6D8F1" w14:textId="77777777" w:rsidR="003D7820" w:rsidRPr="00C21279" w:rsidRDefault="003D7820" w:rsidP="00C17D2F">
            <w:pPr>
              <w:contextualSpacing/>
              <w:jc w:val="center"/>
              <w:rPr>
                <w:b/>
                <w:color w:val="000000"/>
              </w:rPr>
            </w:pPr>
            <w:r w:rsidRPr="00C21279">
              <w:rPr>
                <w:b/>
                <w:color w:val="000000"/>
              </w:rPr>
              <w:t>Maximum Daily Effluent Limit for Mercury (</w:t>
            </w:r>
            <w:r w:rsidRPr="006A40FD">
              <w:rPr>
                <w:b/>
                <w:color w:val="000000"/>
              </w:rPr>
              <w:t>µg/L</w:t>
            </w:r>
            <w:r w:rsidRPr="00C21279">
              <w:rPr>
                <w:b/>
                <w:color w:val="000000"/>
              </w:rPr>
              <w:t>)</w:t>
            </w:r>
          </w:p>
        </w:tc>
      </w:tr>
      <w:tr w:rsidR="00735C3E" w:rsidRPr="00B55A80" w14:paraId="5659BBCA" w14:textId="77777777" w:rsidTr="002E397C">
        <w:trPr>
          <w:cantSplit/>
          <w:jc w:val="center"/>
        </w:trPr>
        <w:tc>
          <w:tcPr>
            <w:tcW w:w="8445" w:type="dxa"/>
            <w:gridSpan w:val="3"/>
            <w:tcBorders>
              <w:top w:val="single" w:sz="12" w:space="0" w:color="auto"/>
            </w:tcBorders>
            <w:shd w:val="clear" w:color="auto" w:fill="D9D9D9" w:themeFill="background1" w:themeFillShade="D9"/>
          </w:tcPr>
          <w:p w14:paraId="1B243032" w14:textId="6C7F4286" w:rsidR="00735C3E" w:rsidRDefault="00F66DF8" w:rsidP="00C17D2F">
            <w:pPr>
              <w:jc w:val="center"/>
              <w:rPr>
                <w:color w:val="000000"/>
              </w:rPr>
            </w:pPr>
            <w:r>
              <w:rPr>
                <w:b/>
                <w:color w:val="000000"/>
              </w:rPr>
              <w:t>Industrial Dischargers (Non-Petroleum Refinery)</w:t>
            </w:r>
          </w:p>
        </w:tc>
      </w:tr>
      <w:tr w:rsidR="003D7820" w:rsidRPr="00B55A80" w14:paraId="3E6065D5" w14:textId="77777777" w:rsidTr="002E397C">
        <w:trPr>
          <w:cantSplit/>
          <w:jc w:val="center"/>
        </w:trPr>
        <w:tc>
          <w:tcPr>
            <w:tcW w:w="3765" w:type="dxa"/>
            <w:tcBorders>
              <w:top w:val="single" w:sz="12" w:space="0" w:color="auto"/>
            </w:tcBorders>
            <w:shd w:val="clear" w:color="auto" w:fill="auto"/>
          </w:tcPr>
          <w:p w14:paraId="363BD8AF" w14:textId="77777777" w:rsidR="003D7820" w:rsidRPr="00B55A80" w:rsidRDefault="003D7820" w:rsidP="00C17D2F">
            <w:pPr>
              <w:spacing w:before="20" w:after="20"/>
              <w:rPr>
                <w:rFonts w:eastAsia="Arial Unicode MS"/>
              </w:rPr>
            </w:pPr>
            <w:r w:rsidRPr="00B55A80">
              <w:rPr>
                <w:rFonts w:eastAsia="Arial Unicode MS"/>
              </w:rPr>
              <w:t>C&amp;H Sugar and Crockett Community Services D</w:t>
            </w:r>
            <w:r>
              <w:rPr>
                <w:rFonts w:eastAsia="Arial Unicode MS"/>
              </w:rPr>
              <w:t>istrict, Crockett Sanitary Department</w:t>
            </w:r>
          </w:p>
        </w:tc>
        <w:tc>
          <w:tcPr>
            <w:tcW w:w="2352" w:type="dxa"/>
            <w:tcBorders>
              <w:top w:val="single" w:sz="12" w:space="0" w:color="auto"/>
            </w:tcBorders>
            <w:shd w:val="clear" w:color="auto" w:fill="auto"/>
            <w:vAlign w:val="center"/>
          </w:tcPr>
          <w:p w14:paraId="2DFD310E" w14:textId="77777777" w:rsidR="003D7820" w:rsidRPr="00B55A80" w:rsidRDefault="003D7820" w:rsidP="00C17D2F">
            <w:pPr>
              <w:jc w:val="center"/>
              <w:rPr>
                <w:color w:val="000000"/>
              </w:rPr>
            </w:pPr>
            <w:r>
              <w:rPr>
                <w:color w:val="000000"/>
              </w:rPr>
              <w:t>0.079</w:t>
            </w:r>
          </w:p>
        </w:tc>
        <w:tc>
          <w:tcPr>
            <w:tcW w:w="2328" w:type="dxa"/>
            <w:tcBorders>
              <w:top w:val="single" w:sz="12" w:space="0" w:color="auto"/>
            </w:tcBorders>
            <w:shd w:val="clear" w:color="auto" w:fill="auto"/>
            <w:vAlign w:val="center"/>
          </w:tcPr>
          <w:p w14:paraId="654FB85B" w14:textId="77777777" w:rsidR="003D7820" w:rsidRPr="00B55A80" w:rsidRDefault="003D7820" w:rsidP="00C17D2F">
            <w:pPr>
              <w:jc w:val="center"/>
              <w:rPr>
                <w:color w:val="000000"/>
              </w:rPr>
            </w:pPr>
            <w:r>
              <w:rPr>
                <w:color w:val="000000"/>
              </w:rPr>
              <w:t>0.12</w:t>
            </w:r>
          </w:p>
        </w:tc>
      </w:tr>
      <w:tr w:rsidR="003D7820" w:rsidRPr="00B55A80" w14:paraId="5F7E86DD" w14:textId="77777777" w:rsidTr="002E397C">
        <w:trPr>
          <w:cantSplit/>
          <w:jc w:val="center"/>
        </w:trPr>
        <w:tc>
          <w:tcPr>
            <w:tcW w:w="3765" w:type="dxa"/>
            <w:shd w:val="clear" w:color="auto" w:fill="auto"/>
          </w:tcPr>
          <w:p w14:paraId="132F7000" w14:textId="77777777" w:rsidR="003D7820" w:rsidRPr="00B55A80" w:rsidRDefault="003D7820" w:rsidP="00C17D2F">
            <w:pPr>
              <w:spacing w:before="20" w:after="20"/>
              <w:rPr>
                <w:rFonts w:eastAsia="Arial Unicode MS"/>
              </w:rPr>
            </w:pPr>
            <w:r w:rsidRPr="00B55A80">
              <w:rPr>
                <w:rFonts w:eastAsia="Arial Unicode MS"/>
              </w:rPr>
              <w:t>Crockett Cogeneration, LP</w:t>
            </w:r>
          </w:p>
        </w:tc>
        <w:tc>
          <w:tcPr>
            <w:tcW w:w="2352" w:type="dxa"/>
            <w:shd w:val="clear" w:color="auto" w:fill="auto"/>
            <w:vAlign w:val="center"/>
          </w:tcPr>
          <w:p w14:paraId="7B5361EA" w14:textId="77777777" w:rsidR="003D7820" w:rsidRPr="00B55A80" w:rsidRDefault="003D7820" w:rsidP="00C17D2F">
            <w:pPr>
              <w:jc w:val="center"/>
              <w:rPr>
                <w:color w:val="000000"/>
              </w:rPr>
            </w:pPr>
            <w:r>
              <w:rPr>
                <w:color w:val="000000"/>
              </w:rPr>
              <w:t>0.079</w:t>
            </w:r>
          </w:p>
        </w:tc>
        <w:tc>
          <w:tcPr>
            <w:tcW w:w="2328" w:type="dxa"/>
            <w:shd w:val="clear" w:color="auto" w:fill="auto"/>
            <w:vAlign w:val="center"/>
          </w:tcPr>
          <w:p w14:paraId="48E049DD" w14:textId="77777777" w:rsidR="003D7820" w:rsidRPr="00B55A80" w:rsidRDefault="003D7820" w:rsidP="00C17D2F">
            <w:pPr>
              <w:jc w:val="center"/>
              <w:rPr>
                <w:color w:val="000000"/>
              </w:rPr>
            </w:pPr>
            <w:r>
              <w:rPr>
                <w:color w:val="000000"/>
              </w:rPr>
              <w:t>0.12</w:t>
            </w:r>
          </w:p>
        </w:tc>
      </w:tr>
      <w:tr w:rsidR="003D7820" w:rsidRPr="00B55A80" w14:paraId="19074578" w14:textId="77777777" w:rsidTr="002E397C">
        <w:trPr>
          <w:cantSplit/>
          <w:jc w:val="center"/>
        </w:trPr>
        <w:tc>
          <w:tcPr>
            <w:tcW w:w="3765" w:type="dxa"/>
            <w:shd w:val="clear" w:color="auto" w:fill="auto"/>
          </w:tcPr>
          <w:p w14:paraId="1408B57D" w14:textId="77777777" w:rsidR="003D7820" w:rsidRPr="00B55A80" w:rsidRDefault="003D7820" w:rsidP="00C17D2F">
            <w:pPr>
              <w:spacing w:before="20" w:after="20"/>
              <w:rPr>
                <w:rFonts w:eastAsia="Arial Unicode MS"/>
              </w:rPr>
            </w:pPr>
            <w:r>
              <w:rPr>
                <w:rFonts w:eastAsia="Arial Unicode MS"/>
              </w:rPr>
              <w:t>Eco Services Operations LLC</w:t>
            </w:r>
          </w:p>
        </w:tc>
        <w:tc>
          <w:tcPr>
            <w:tcW w:w="2352" w:type="dxa"/>
            <w:shd w:val="clear" w:color="auto" w:fill="auto"/>
          </w:tcPr>
          <w:p w14:paraId="53876795" w14:textId="77777777" w:rsidR="003D7820" w:rsidRPr="00B55A80" w:rsidRDefault="003D7820" w:rsidP="00C17D2F">
            <w:pPr>
              <w:jc w:val="center"/>
              <w:rPr>
                <w:color w:val="000000"/>
              </w:rPr>
            </w:pPr>
            <w:r w:rsidRPr="006A40FD">
              <w:rPr>
                <w:color w:val="000000"/>
              </w:rPr>
              <w:t>0.079</w:t>
            </w:r>
          </w:p>
        </w:tc>
        <w:tc>
          <w:tcPr>
            <w:tcW w:w="2328" w:type="dxa"/>
            <w:shd w:val="clear" w:color="auto" w:fill="auto"/>
          </w:tcPr>
          <w:p w14:paraId="0C9DB3CC" w14:textId="77777777" w:rsidR="003D7820" w:rsidRPr="00B55A80" w:rsidRDefault="003D7820" w:rsidP="00C17D2F">
            <w:pPr>
              <w:jc w:val="center"/>
              <w:rPr>
                <w:color w:val="000000"/>
              </w:rPr>
            </w:pPr>
            <w:r w:rsidRPr="006A40FD">
              <w:rPr>
                <w:color w:val="000000"/>
              </w:rPr>
              <w:t>0.12</w:t>
            </w:r>
          </w:p>
        </w:tc>
      </w:tr>
      <w:tr w:rsidR="003D7820" w:rsidRPr="00B55A80" w14:paraId="2B5D2FC3" w14:textId="77777777" w:rsidTr="002E397C">
        <w:trPr>
          <w:cantSplit/>
          <w:jc w:val="center"/>
        </w:trPr>
        <w:tc>
          <w:tcPr>
            <w:tcW w:w="3765" w:type="dxa"/>
            <w:shd w:val="clear" w:color="auto" w:fill="auto"/>
          </w:tcPr>
          <w:p w14:paraId="4700D473" w14:textId="77777777" w:rsidR="003D7820" w:rsidRPr="00B55A80" w:rsidRDefault="003D7820" w:rsidP="00C17D2F">
            <w:pPr>
              <w:spacing w:before="20" w:after="20"/>
              <w:rPr>
                <w:rFonts w:eastAsia="Arial Unicode MS"/>
              </w:rPr>
            </w:pPr>
            <w:r>
              <w:rPr>
                <w:rFonts w:eastAsia="Arial Unicode MS"/>
              </w:rPr>
              <w:t>GenOn Delta, LLC</w:t>
            </w:r>
          </w:p>
        </w:tc>
        <w:tc>
          <w:tcPr>
            <w:tcW w:w="2352" w:type="dxa"/>
            <w:shd w:val="clear" w:color="auto" w:fill="auto"/>
          </w:tcPr>
          <w:p w14:paraId="75772744" w14:textId="77777777" w:rsidR="003D7820" w:rsidRPr="00B55A80" w:rsidRDefault="003D7820" w:rsidP="00C17D2F">
            <w:pPr>
              <w:jc w:val="center"/>
              <w:rPr>
                <w:color w:val="000000"/>
              </w:rPr>
            </w:pPr>
            <w:r w:rsidRPr="006A40FD">
              <w:rPr>
                <w:color w:val="000000"/>
              </w:rPr>
              <w:t>0.079</w:t>
            </w:r>
          </w:p>
        </w:tc>
        <w:tc>
          <w:tcPr>
            <w:tcW w:w="2328" w:type="dxa"/>
            <w:shd w:val="clear" w:color="auto" w:fill="auto"/>
          </w:tcPr>
          <w:p w14:paraId="772A431A" w14:textId="77777777" w:rsidR="003D7820" w:rsidRPr="00B55A80" w:rsidRDefault="003D7820" w:rsidP="00C17D2F">
            <w:pPr>
              <w:jc w:val="center"/>
              <w:rPr>
                <w:color w:val="000000"/>
              </w:rPr>
            </w:pPr>
            <w:r w:rsidRPr="006A40FD">
              <w:rPr>
                <w:color w:val="000000"/>
              </w:rPr>
              <w:t>0.12</w:t>
            </w:r>
          </w:p>
        </w:tc>
      </w:tr>
      <w:tr w:rsidR="003D7820" w:rsidRPr="00B55A80" w14:paraId="134102A0" w14:textId="77777777" w:rsidTr="002E397C">
        <w:trPr>
          <w:cantSplit/>
          <w:jc w:val="center"/>
        </w:trPr>
        <w:tc>
          <w:tcPr>
            <w:tcW w:w="3765" w:type="dxa"/>
            <w:tcBorders>
              <w:bottom w:val="single" w:sz="12" w:space="0" w:color="auto"/>
            </w:tcBorders>
            <w:shd w:val="clear" w:color="auto" w:fill="auto"/>
          </w:tcPr>
          <w:p w14:paraId="09E813CE" w14:textId="77777777" w:rsidR="003D7820" w:rsidRPr="00B55A80" w:rsidRDefault="003D7820" w:rsidP="00C17D2F">
            <w:pPr>
              <w:spacing w:before="20" w:after="20"/>
            </w:pPr>
            <w:r w:rsidRPr="00B55A80">
              <w:rPr>
                <w:rFonts w:eastAsia="Arial Unicode MS"/>
              </w:rPr>
              <w:t>USS-Posco Industries</w:t>
            </w:r>
          </w:p>
        </w:tc>
        <w:tc>
          <w:tcPr>
            <w:tcW w:w="2352" w:type="dxa"/>
            <w:tcBorders>
              <w:bottom w:val="single" w:sz="12" w:space="0" w:color="auto"/>
            </w:tcBorders>
            <w:shd w:val="clear" w:color="auto" w:fill="auto"/>
            <w:vAlign w:val="center"/>
          </w:tcPr>
          <w:p w14:paraId="39A63CF4" w14:textId="77777777" w:rsidR="003D7820" w:rsidRPr="00B55A80" w:rsidRDefault="003D7820" w:rsidP="00C17D2F">
            <w:pPr>
              <w:jc w:val="center"/>
              <w:rPr>
                <w:color w:val="000000"/>
              </w:rPr>
            </w:pPr>
            <w:r w:rsidRPr="006A40FD">
              <w:rPr>
                <w:color w:val="000000"/>
              </w:rPr>
              <w:t>0.079</w:t>
            </w:r>
          </w:p>
        </w:tc>
        <w:tc>
          <w:tcPr>
            <w:tcW w:w="2328" w:type="dxa"/>
            <w:tcBorders>
              <w:bottom w:val="single" w:sz="12" w:space="0" w:color="auto"/>
            </w:tcBorders>
            <w:shd w:val="clear" w:color="auto" w:fill="auto"/>
            <w:vAlign w:val="center"/>
          </w:tcPr>
          <w:p w14:paraId="397D3402" w14:textId="77777777" w:rsidR="003D7820" w:rsidRPr="00B55A80" w:rsidRDefault="003D7820" w:rsidP="00C17D2F">
            <w:pPr>
              <w:jc w:val="center"/>
              <w:rPr>
                <w:color w:val="000000"/>
              </w:rPr>
            </w:pPr>
            <w:r w:rsidRPr="006A40FD">
              <w:rPr>
                <w:color w:val="000000"/>
              </w:rPr>
              <w:t>0.12</w:t>
            </w:r>
          </w:p>
        </w:tc>
      </w:tr>
      <w:tr w:rsidR="00735C3E" w:rsidRPr="00B55A80" w14:paraId="6486FAA8" w14:textId="77777777" w:rsidTr="002E397C">
        <w:trPr>
          <w:cantSplit/>
          <w:jc w:val="center"/>
        </w:trPr>
        <w:tc>
          <w:tcPr>
            <w:tcW w:w="8445" w:type="dxa"/>
            <w:gridSpan w:val="3"/>
            <w:tcBorders>
              <w:top w:val="single" w:sz="12" w:space="0" w:color="auto"/>
              <w:bottom w:val="single" w:sz="12" w:space="0" w:color="auto"/>
            </w:tcBorders>
            <w:shd w:val="clear" w:color="auto" w:fill="D9D9D9" w:themeFill="background1" w:themeFillShade="D9"/>
          </w:tcPr>
          <w:p w14:paraId="2D6DB35E" w14:textId="2C0BD50A" w:rsidR="00735C3E" w:rsidRPr="006A40FD" w:rsidRDefault="00F66DF8" w:rsidP="00C17D2F">
            <w:pPr>
              <w:jc w:val="center"/>
              <w:rPr>
                <w:color w:val="000000"/>
              </w:rPr>
            </w:pPr>
            <w:r>
              <w:rPr>
                <w:b/>
                <w:color w:val="000000"/>
              </w:rPr>
              <w:t>Industrial Dischargers (Petroleum Refinery)</w:t>
            </w:r>
          </w:p>
        </w:tc>
      </w:tr>
      <w:tr w:rsidR="003D7820" w:rsidRPr="00B55A80" w14:paraId="6D8B3086" w14:textId="77777777" w:rsidTr="002E397C">
        <w:trPr>
          <w:cantSplit/>
          <w:jc w:val="center"/>
        </w:trPr>
        <w:tc>
          <w:tcPr>
            <w:tcW w:w="3765" w:type="dxa"/>
            <w:tcBorders>
              <w:top w:val="single" w:sz="12" w:space="0" w:color="auto"/>
            </w:tcBorders>
            <w:shd w:val="clear" w:color="auto" w:fill="auto"/>
          </w:tcPr>
          <w:p w14:paraId="2A9D82F1" w14:textId="77777777" w:rsidR="003D7820" w:rsidRPr="00B55A80" w:rsidRDefault="003D7820" w:rsidP="00C17D2F">
            <w:pPr>
              <w:spacing w:before="20" w:after="20"/>
            </w:pPr>
            <w:r w:rsidRPr="00B55A80">
              <w:t>Chevron Products Company</w:t>
            </w:r>
          </w:p>
        </w:tc>
        <w:tc>
          <w:tcPr>
            <w:tcW w:w="2352" w:type="dxa"/>
            <w:tcBorders>
              <w:top w:val="single" w:sz="12" w:space="0" w:color="auto"/>
            </w:tcBorders>
            <w:shd w:val="clear" w:color="auto" w:fill="auto"/>
          </w:tcPr>
          <w:p w14:paraId="798B8528" w14:textId="77777777" w:rsidR="003D7820" w:rsidRPr="00B55A80" w:rsidRDefault="003D7820" w:rsidP="00C17D2F">
            <w:pPr>
              <w:jc w:val="center"/>
              <w:rPr>
                <w:color w:val="000000"/>
              </w:rPr>
            </w:pPr>
            <w:r w:rsidRPr="006A40FD">
              <w:rPr>
                <w:color w:val="000000"/>
              </w:rPr>
              <w:t>0.079</w:t>
            </w:r>
          </w:p>
        </w:tc>
        <w:tc>
          <w:tcPr>
            <w:tcW w:w="2328" w:type="dxa"/>
            <w:tcBorders>
              <w:top w:val="single" w:sz="12" w:space="0" w:color="auto"/>
            </w:tcBorders>
            <w:shd w:val="clear" w:color="auto" w:fill="auto"/>
          </w:tcPr>
          <w:p w14:paraId="78805008" w14:textId="77777777" w:rsidR="003D7820" w:rsidRPr="00B55A80" w:rsidRDefault="003D7820" w:rsidP="00C17D2F">
            <w:pPr>
              <w:jc w:val="center"/>
              <w:rPr>
                <w:color w:val="000000"/>
              </w:rPr>
            </w:pPr>
            <w:r w:rsidRPr="006A40FD">
              <w:rPr>
                <w:color w:val="000000"/>
              </w:rPr>
              <w:t>0.12</w:t>
            </w:r>
          </w:p>
        </w:tc>
      </w:tr>
      <w:tr w:rsidR="003D7820" w:rsidRPr="00B55A80" w14:paraId="2C7BBC72" w14:textId="77777777" w:rsidTr="002E397C">
        <w:trPr>
          <w:cantSplit/>
          <w:jc w:val="center"/>
        </w:trPr>
        <w:tc>
          <w:tcPr>
            <w:tcW w:w="3765" w:type="dxa"/>
            <w:shd w:val="clear" w:color="auto" w:fill="auto"/>
          </w:tcPr>
          <w:p w14:paraId="0FD17AFF" w14:textId="77777777" w:rsidR="003D7820" w:rsidRPr="00B55A80" w:rsidRDefault="003D7820" w:rsidP="00C17D2F">
            <w:pPr>
              <w:spacing w:before="20" w:after="20"/>
            </w:pPr>
            <w:r w:rsidRPr="00B55A80">
              <w:t xml:space="preserve">Phillips 66 </w:t>
            </w:r>
          </w:p>
        </w:tc>
        <w:tc>
          <w:tcPr>
            <w:tcW w:w="2352" w:type="dxa"/>
            <w:shd w:val="clear" w:color="auto" w:fill="auto"/>
          </w:tcPr>
          <w:p w14:paraId="22C302A0" w14:textId="77777777" w:rsidR="003D7820" w:rsidRPr="00B55A80" w:rsidRDefault="003D7820" w:rsidP="00C17D2F">
            <w:pPr>
              <w:jc w:val="center"/>
              <w:rPr>
                <w:color w:val="000000"/>
              </w:rPr>
            </w:pPr>
            <w:r w:rsidRPr="006A40FD">
              <w:rPr>
                <w:color w:val="000000"/>
              </w:rPr>
              <w:t>0.079</w:t>
            </w:r>
          </w:p>
        </w:tc>
        <w:tc>
          <w:tcPr>
            <w:tcW w:w="2328" w:type="dxa"/>
            <w:shd w:val="clear" w:color="auto" w:fill="auto"/>
          </w:tcPr>
          <w:p w14:paraId="2E48734A" w14:textId="77777777" w:rsidR="003D7820" w:rsidRPr="00B55A80" w:rsidRDefault="003D7820" w:rsidP="00C17D2F">
            <w:pPr>
              <w:jc w:val="center"/>
              <w:rPr>
                <w:color w:val="000000"/>
              </w:rPr>
            </w:pPr>
            <w:r w:rsidRPr="006A40FD">
              <w:rPr>
                <w:color w:val="000000"/>
              </w:rPr>
              <w:t>0.12</w:t>
            </w:r>
          </w:p>
        </w:tc>
      </w:tr>
      <w:tr w:rsidR="003D7820" w:rsidRPr="00B55A80" w14:paraId="10BC3E41" w14:textId="77777777" w:rsidTr="002E397C">
        <w:trPr>
          <w:cantSplit/>
          <w:jc w:val="center"/>
        </w:trPr>
        <w:tc>
          <w:tcPr>
            <w:tcW w:w="3765" w:type="dxa"/>
            <w:shd w:val="clear" w:color="auto" w:fill="auto"/>
          </w:tcPr>
          <w:p w14:paraId="21F91DBC" w14:textId="77777777" w:rsidR="003D7820" w:rsidRPr="00B55A80" w:rsidRDefault="003D7820" w:rsidP="00C17D2F">
            <w:pPr>
              <w:tabs>
                <w:tab w:val="left" w:pos="459"/>
              </w:tabs>
              <w:rPr>
                <w:rFonts w:eastAsia="Arial Unicode MS"/>
              </w:rPr>
            </w:pPr>
            <w:r w:rsidRPr="00B55A80">
              <w:rPr>
                <w:rFonts w:eastAsia="Arial Unicode MS"/>
              </w:rPr>
              <w:t>Shell Oil Products US and Equilon Enterprises LLC</w:t>
            </w:r>
          </w:p>
        </w:tc>
        <w:tc>
          <w:tcPr>
            <w:tcW w:w="2352" w:type="dxa"/>
            <w:shd w:val="clear" w:color="auto" w:fill="auto"/>
            <w:vAlign w:val="center"/>
          </w:tcPr>
          <w:p w14:paraId="456316FD" w14:textId="77777777" w:rsidR="003D7820" w:rsidRPr="00B55A80" w:rsidRDefault="003D7820" w:rsidP="00C17D2F">
            <w:pPr>
              <w:jc w:val="center"/>
              <w:rPr>
                <w:color w:val="000000"/>
              </w:rPr>
            </w:pPr>
            <w:r w:rsidRPr="006A40FD">
              <w:rPr>
                <w:color w:val="000000"/>
              </w:rPr>
              <w:t>0.079</w:t>
            </w:r>
          </w:p>
        </w:tc>
        <w:tc>
          <w:tcPr>
            <w:tcW w:w="2328" w:type="dxa"/>
            <w:shd w:val="clear" w:color="auto" w:fill="auto"/>
            <w:vAlign w:val="center"/>
          </w:tcPr>
          <w:p w14:paraId="0575BC0F" w14:textId="77777777" w:rsidR="003D7820" w:rsidRPr="00B55A80" w:rsidRDefault="003D7820" w:rsidP="00C17D2F">
            <w:pPr>
              <w:jc w:val="center"/>
              <w:rPr>
                <w:color w:val="000000"/>
              </w:rPr>
            </w:pPr>
            <w:r w:rsidRPr="006A40FD">
              <w:rPr>
                <w:color w:val="000000"/>
              </w:rPr>
              <w:t>0.12</w:t>
            </w:r>
          </w:p>
        </w:tc>
      </w:tr>
      <w:tr w:rsidR="003D7820" w:rsidRPr="00B55A80" w14:paraId="0055E843" w14:textId="77777777" w:rsidTr="002E397C">
        <w:trPr>
          <w:cantSplit/>
          <w:jc w:val="center"/>
        </w:trPr>
        <w:tc>
          <w:tcPr>
            <w:tcW w:w="3765" w:type="dxa"/>
            <w:shd w:val="clear" w:color="auto" w:fill="auto"/>
          </w:tcPr>
          <w:p w14:paraId="20ACFCF0" w14:textId="77777777" w:rsidR="003D7820" w:rsidRPr="00B55A80" w:rsidRDefault="003D7820" w:rsidP="00C17D2F">
            <w:pPr>
              <w:spacing w:before="20" w:after="20"/>
              <w:rPr>
                <w:rFonts w:eastAsia="Arial Unicode MS"/>
              </w:rPr>
            </w:pPr>
            <w:r w:rsidRPr="00B55A80">
              <w:rPr>
                <w:rFonts w:eastAsia="Arial Unicode MS"/>
              </w:rPr>
              <w:t>Tesoro Refining &amp; Marketing Co.</w:t>
            </w:r>
          </w:p>
        </w:tc>
        <w:tc>
          <w:tcPr>
            <w:tcW w:w="2352" w:type="dxa"/>
            <w:shd w:val="clear" w:color="auto" w:fill="auto"/>
            <w:vAlign w:val="center"/>
          </w:tcPr>
          <w:p w14:paraId="16ABCC68" w14:textId="77777777" w:rsidR="003D7820" w:rsidRPr="00B55A80" w:rsidRDefault="003D7820" w:rsidP="00C17D2F">
            <w:pPr>
              <w:jc w:val="center"/>
              <w:rPr>
                <w:color w:val="000000"/>
              </w:rPr>
            </w:pPr>
            <w:r>
              <w:rPr>
                <w:bCs/>
                <w:color w:val="000000"/>
              </w:rPr>
              <w:t>0.079</w:t>
            </w:r>
          </w:p>
        </w:tc>
        <w:tc>
          <w:tcPr>
            <w:tcW w:w="2328" w:type="dxa"/>
            <w:shd w:val="clear" w:color="auto" w:fill="auto"/>
            <w:vAlign w:val="center"/>
          </w:tcPr>
          <w:p w14:paraId="57CD76DD" w14:textId="77777777" w:rsidR="003D7820" w:rsidRPr="00B55A80" w:rsidRDefault="003D7820" w:rsidP="00C17D2F">
            <w:pPr>
              <w:jc w:val="center"/>
              <w:rPr>
                <w:color w:val="000000"/>
              </w:rPr>
            </w:pPr>
            <w:r>
              <w:rPr>
                <w:color w:val="000000"/>
              </w:rPr>
              <w:t>0.12</w:t>
            </w:r>
          </w:p>
        </w:tc>
      </w:tr>
      <w:tr w:rsidR="003D7820" w:rsidRPr="00B55A80" w14:paraId="7393C4E2" w14:textId="77777777" w:rsidTr="002E397C">
        <w:trPr>
          <w:cantSplit/>
          <w:jc w:val="center"/>
        </w:trPr>
        <w:tc>
          <w:tcPr>
            <w:tcW w:w="3765" w:type="dxa"/>
            <w:shd w:val="clear" w:color="auto" w:fill="auto"/>
          </w:tcPr>
          <w:p w14:paraId="7ABBFBFF" w14:textId="77777777" w:rsidR="003D7820" w:rsidRPr="00B55A80" w:rsidRDefault="003D7820" w:rsidP="00C17D2F">
            <w:pPr>
              <w:spacing w:before="20" w:after="20"/>
              <w:rPr>
                <w:rFonts w:eastAsia="Arial Unicode MS"/>
              </w:rPr>
            </w:pPr>
            <w:r w:rsidRPr="00B55A80">
              <w:rPr>
                <w:rFonts w:eastAsia="Arial Unicode MS"/>
              </w:rPr>
              <w:t>Valero Refining Company</w:t>
            </w:r>
          </w:p>
        </w:tc>
        <w:tc>
          <w:tcPr>
            <w:tcW w:w="2352" w:type="dxa"/>
            <w:shd w:val="clear" w:color="auto" w:fill="auto"/>
            <w:vAlign w:val="center"/>
          </w:tcPr>
          <w:p w14:paraId="01A749C3" w14:textId="77777777" w:rsidR="003D7820" w:rsidRPr="00B55A80" w:rsidRDefault="003D7820" w:rsidP="00C17D2F">
            <w:pPr>
              <w:jc w:val="center"/>
              <w:rPr>
                <w:color w:val="000000"/>
              </w:rPr>
            </w:pPr>
            <w:r>
              <w:rPr>
                <w:bCs/>
                <w:color w:val="000000"/>
              </w:rPr>
              <w:t>0.079</w:t>
            </w:r>
          </w:p>
        </w:tc>
        <w:tc>
          <w:tcPr>
            <w:tcW w:w="2328" w:type="dxa"/>
            <w:shd w:val="clear" w:color="auto" w:fill="auto"/>
            <w:vAlign w:val="center"/>
          </w:tcPr>
          <w:p w14:paraId="09C55D2A" w14:textId="77777777" w:rsidR="003D7820" w:rsidRPr="00B55A80" w:rsidRDefault="003D7820" w:rsidP="00C17D2F">
            <w:pPr>
              <w:jc w:val="center"/>
              <w:rPr>
                <w:color w:val="000000"/>
              </w:rPr>
            </w:pPr>
            <w:r>
              <w:rPr>
                <w:color w:val="000000"/>
              </w:rPr>
              <w:t>0.12</w:t>
            </w:r>
          </w:p>
        </w:tc>
      </w:tr>
    </w:tbl>
    <w:p w14:paraId="43C34D8F" w14:textId="437B6ACA" w:rsidR="003D7820" w:rsidRPr="00AD16C3" w:rsidRDefault="003D7820" w:rsidP="003D7820">
      <w:pPr>
        <w:pStyle w:val="blankspacesaftertables"/>
        <w:tabs>
          <w:tab w:val="left" w:pos="540"/>
        </w:tabs>
        <w:spacing w:before="60" w:after="60"/>
        <w:ind w:firstLine="900"/>
        <w:rPr>
          <w:sz w:val="18"/>
          <w:szCs w:val="18"/>
          <w:u w:val="single"/>
        </w:rPr>
      </w:pPr>
      <w:r>
        <w:rPr>
          <w:sz w:val="18"/>
          <w:szCs w:val="18"/>
          <w:u w:val="single"/>
        </w:rPr>
        <w:t>Unit Abbreviation</w:t>
      </w:r>
      <w:r w:rsidRPr="00AD16C3">
        <w:rPr>
          <w:sz w:val="18"/>
          <w:szCs w:val="18"/>
          <w:u w:val="single"/>
        </w:rPr>
        <w:t>:</w:t>
      </w:r>
    </w:p>
    <w:p w14:paraId="3D571153" w14:textId="135C1077" w:rsidR="003D7820" w:rsidRPr="00A668A8" w:rsidRDefault="003D7820" w:rsidP="00A668A8">
      <w:pPr>
        <w:pStyle w:val="blankspacesaftertables"/>
        <w:tabs>
          <w:tab w:val="left" w:pos="1080"/>
        </w:tabs>
        <w:spacing w:after="240"/>
        <w:ind w:left="810" w:firstLine="90"/>
        <w:rPr>
          <w:sz w:val="18"/>
          <w:szCs w:val="18"/>
        </w:rPr>
      </w:pPr>
      <w:r>
        <w:rPr>
          <w:sz w:val="18"/>
          <w:szCs w:val="18"/>
        </w:rPr>
        <w:t xml:space="preserve">µg/L </w:t>
      </w:r>
      <w:r w:rsidRPr="00AD16C3">
        <w:rPr>
          <w:sz w:val="18"/>
          <w:szCs w:val="18"/>
        </w:rPr>
        <w:t>= micrograms per liter</w:t>
      </w:r>
    </w:p>
    <w:p w14:paraId="6327D95F" w14:textId="5FD92A2D" w:rsidR="00E860AF" w:rsidRDefault="00FC796C" w:rsidP="00E22C81">
      <w:pPr>
        <w:spacing w:after="240"/>
        <w:ind w:left="1440" w:hanging="360"/>
        <w:rPr>
          <w:bCs/>
          <w:sz w:val="24"/>
          <w:szCs w:val="24"/>
        </w:rPr>
      </w:pPr>
      <w:r>
        <w:rPr>
          <w:b/>
          <w:bCs/>
          <w:sz w:val="24"/>
          <w:szCs w:val="24"/>
        </w:rPr>
        <w:t>b</w:t>
      </w:r>
      <w:r w:rsidR="00A668A8" w:rsidRPr="00570B42">
        <w:rPr>
          <w:b/>
          <w:bCs/>
          <w:sz w:val="24"/>
          <w:szCs w:val="24"/>
        </w:rPr>
        <w:t>.</w:t>
      </w:r>
      <w:r w:rsidR="00A668A8" w:rsidRPr="00570B42">
        <w:rPr>
          <w:b/>
          <w:bCs/>
          <w:sz w:val="24"/>
          <w:szCs w:val="24"/>
        </w:rPr>
        <w:tab/>
      </w:r>
      <w:r w:rsidR="00A668A8">
        <w:rPr>
          <w:b/>
          <w:bCs/>
          <w:sz w:val="24"/>
          <w:szCs w:val="24"/>
        </w:rPr>
        <w:t xml:space="preserve">PCBs </w:t>
      </w:r>
      <w:r w:rsidR="00A668A8" w:rsidRPr="00570B42">
        <w:rPr>
          <w:b/>
        </w:rPr>
        <w:t>—</w:t>
      </w:r>
      <w:r w:rsidR="00A668A8" w:rsidRPr="00570B42">
        <w:rPr>
          <w:b/>
          <w:bCs/>
          <w:sz w:val="24"/>
          <w:szCs w:val="24"/>
        </w:rPr>
        <w:t xml:space="preserve"> </w:t>
      </w:r>
      <w:r w:rsidR="008869F9">
        <w:rPr>
          <w:bCs/>
          <w:sz w:val="24"/>
          <w:szCs w:val="24"/>
        </w:rPr>
        <w:t>Basin Plan section 7.2.3.6 states that NPDES permits shall include performance</w:t>
      </w:r>
      <w:r w:rsidR="008869F9">
        <w:rPr>
          <w:bCs/>
          <w:sz w:val="24"/>
          <w:szCs w:val="24"/>
        </w:rPr>
        <w:noBreakHyphen/>
        <w:t>based WQBELs that are consistent with the wasteload allocations of t</w:t>
      </w:r>
      <w:r w:rsidR="004167A5">
        <w:rPr>
          <w:bCs/>
          <w:sz w:val="24"/>
          <w:szCs w:val="24"/>
        </w:rPr>
        <w:t>he San Francisco Bay PCBs TMDL</w:t>
      </w:r>
      <w:r w:rsidR="008869F9">
        <w:rPr>
          <w:bCs/>
          <w:sz w:val="24"/>
          <w:szCs w:val="24"/>
        </w:rPr>
        <w:t xml:space="preserve">. </w:t>
      </w:r>
      <w:r w:rsidR="008869F9" w:rsidRPr="008869F9">
        <w:rPr>
          <w:bCs/>
          <w:sz w:val="24"/>
          <w:szCs w:val="24"/>
        </w:rPr>
        <w:t xml:space="preserve">This Order </w:t>
      </w:r>
      <w:r w:rsidR="00584ADF">
        <w:rPr>
          <w:bCs/>
          <w:sz w:val="24"/>
          <w:szCs w:val="24"/>
        </w:rPr>
        <w:t>retains</w:t>
      </w:r>
      <w:r w:rsidR="008869F9" w:rsidRPr="008869F9">
        <w:rPr>
          <w:bCs/>
          <w:sz w:val="24"/>
          <w:szCs w:val="24"/>
        </w:rPr>
        <w:t xml:space="preserve"> the individual concentration-based </w:t>
      </w:r>
      <w:r w:rsidR="00584ADF">
        <w:rPr>
          <w:bCs/>
          <w:sz w:val="24"/>
          <w:szCs w:val="24"/>
        </w:rPr>
        <w:t xml:space="preserve">effluent </w:t>
      </w:r>
      <w:r w:rsidR="008869F9" w:rsidRPr="008869F9">
        <w:rPr>
          <w:bCs/>
          <w:sz w:val="24"/>
          <w:szCs w:val="24"/>
        </w:rPr>
        <w:t>limitations from the previous order</w:t>
      </w:r>
      <w:r w:rsidR="008869F9">
        <w:rPr>
          <w:bCs/>
          <w:sz w:val="24"/>
          <w:szCs w:val="24"/>
        </w:rPr>
        <w:t xml:space="preserve"> because the</w:t>
      </w:r>
      <w:r w:rsidR="00530D80">
        <w:rPr>
          <w:bCs/>
          <w:sz w:val="24"/>
          <w:szCs w:val="24"/>
        </w:rPr>
        <w:t>se concentration limits resulted in mass discharges</w:t>
      </w:r>
      <w:r w:rsidR="008869F9">
        <w:rPr>
          <w:bCs/>
          <w:sz w:val="24"/>
          <w:szCs w:val="24"/>
        </w:rPr>
        <w:t xml:space="preserve"> </w:t>
      </w:r>
      <w:r w:rsidR="00530D80">
        <w:rPr>
          <w:bCs/>
          <w:sz w:val="24"/>
          <w:szCs w:val="24"/>
        </w:rPr>
        <w:t xml:space="preserve"> that complied with the TMDL</w:t>
      </w:r>
      <w:r w:rsidR="00A847C7">
        <w:rPr>
          <w:bCs/>
          <w:sz w:val="24"/>
          <w:szCs w:val="24"/>
        </w:rPr>
        <w:t xml:space="preserve"> </w:t>
      </w:r>
      <w:r w:rsidR="00C414F5">
        <w:rPr>
          <w:bCs/>
          <w:sz w:val="24"/>
          <w:szCs w:val="24"/>
        </w:rPr>
        <w:t>(see Appendix F-3 for U.S. EPA 1668C data of 66 PCBs congeners used to calculate loads between 2013 and 2016)</w:t>
      </w:r>
      <w:r w:rsidR="008869F9">
        <w:rPr>
          <w:bCs/>
          <w:sz w:val="24"/>
          <w:szCs w:val="24"/>
        </w:rPr>
        <w:t xml:space="preserve">. </w:t>
      </w:r>
    </w:p>
    <w:p w14:paraId="7D5CBD35" w14:textId="32715C17" w:rsidR="00A668A8" w:rsidRDefault="00EF67FD" w:rsidP="00E22C81">
      <w:pPr>
        <w:spacing w:after="240"/>
        <w:ind w:left="1440"/>
        <w:rPr>
          <w:bCs/>
          <w:sz w:val="24"/>
          <w:szCs w:val="24"/>
        </w:rPr>
      </w:pPr>
      <w:r>
        <w:rPr>
          <w:bCs/>
          <w:sz w:val="24"/>
          <w:szCs w:val="24"/>
        </w:rPr>
        <w:t>Four separate performance categories were derived using PCBs data between 1999 and 2001 (included in Appendix F-4 of this Fact Sheet): municipal secondary treatment, municipal advanced secondary treatment, petroleum refinery, and non</w:t>
      </w:r>
      <w:r w:rsidR="00E22C81">
        <w:rPr>
          <w:bCs/>
          <w:sz w:val="24"/>
          <w:szCs w:val="24"/>
        </w:rPr>
        <w:noBreakHyphen/>
      </w:r>
      <w:r>
        <w:rPr>
          <w:bCs/>
          <w:sz w:val="24"/>
          <w:szCs w:val="24"/>
        </w:rPr>
        <w:t>petroleum refinery. The data used to derive these performance</w:t>
      </w:r>
      <w:r w:rsidR="00E860AF">
        <w:rPr>
          <w:bCs/>
          <w:sz w:val="24"/>
          <w:szCs w:val="24"/>
        </w:rPr>
        <w:noBreakHyphen/>
      </w:r>
      <w:r>
        <w:rPr>
          <w:bCs/>
          <w:sz w:val="24"/>
          <w:szCs w:val="24"/>
        </w:rPr>
        <w:t>based limitations are from the same dataset used to calculate the San Francisco Bay PCBs TMDL’s wasteload allocations.</w:t>
      </w:r>
      <w:r w:rsidR="00E860AF">
        <w:rPr>
          <w:bCs/>
          <w:sz w:val="24"/>
          <w:szCs w:val="24"/>
        </w:rPr>
        <w:t xml:space="preserve"> </w:t>
      </w:r>
      <w:r w:rsidR="005472E1">
        <w:rPr>
          <w:bCs/>
          <w:sz w:val="24"/>
          <w:szCs w:val="24"/>
        </w:rPr>
        <w:t xml:space="preserve">Therefore, these performance-based limitations are consistent with the TMDL. </w:t>
      </w:r>
      <w:r w:rsidR="00E860AF">
        <w:rPr>
          <w:bCs/>
          <w:sz w:val="24"/>
          <w:szCs w:val="24"/>
        </w:rPr>
        <w:t xml:space="preserve">Calculating limits based on categories of treatment type reduce the likelihood of penalizing good performers and dischargers that have implemented effective control measures. </w:t>
      </w:r>
    </w:p>
    <w:p w14:paraId="73345288" w14:textId="17D4DDE9" w:rsidR="00E22C81" w:rsidRDefault="00E22C81" w:rsidP="00E22C81">
      <w:pPr>
        <w:spacing w:after="240"/>
        <w:ind w:left="1440"/>
        <w:rPr>
          <w:bCs/>
          <w:sz w:val="24"/>
          <w:szCs w:val="24"/>
        </w:rPr>
      </w:pPr>
      <w:r w:rsidRPr="00E22C81">
        <w:rPr>
          <w:bCs/>
          <w:sz w:val="24"/>
          <w:szCs w:val="24"/>
        </w:rPr>
        <w:lastRenderedPageBreak/>
        <w:t xml:space="preserve">40 C.F.R. </w:t>
      </w:r>
      <w:r w:rsidR="00426322">
        <w:rPr>
          <w:bCs/>
          <w:sz w:val="24"/>
          <w:szCs w:val="24"/>
        </w:rPr>
        <w:t xml:space="preserve">section </w:t>
      </w:r>
      <w:r w:rsidRPr="00E22C81">
        <w:rPr>
          <w:bCs/>
          <w:sz w:val="24"/>
          <w:szCs w:val="24"/>
        </w:rPr>
        <w:t>122.45(d) requires</w:t>
      </w:r>
      <w:r>
        <w:rPr>
          <w:bCs/>
          <w:sz w:val="24"/>
          <w:szCs w:val="24"/>
        </w:rPr>
        <w:t>, unless impracticable,</w:t>
      </w:r>
      <w:r w:rsidRPr="00E22C81">
        <w:rPr>
          <w:bCs/>
          <w:sz w:val="24"/>
          <w:szCs w:val="24"/>
        </w:rPr>
        <w:t xml:space="preserve"> average monthly and average weekly effluent limitations for Municipal Dischargers and average monthly and maximum daily effluent limitations for Industrial Dischargers.</w:t>
      </w:r>
      <w:r>
        <w:rPr>
          <w:bCs/>
          <w:sz w:val="24"/>
          <w:szCs w:val="24"/>
        </w:rPr>
        <w:t xml:space="preserve"> This Order continues to implement a maximum daily effluent limitation instead of an average weekly effluent limitation for Municipal Dischargers, which is consistent with the U.S. EPA’s Technical Support Document. Technical Support Document </w:t>
      </w:r>
      <w:r w:rsidR="005F6B0E">
        <w:rPr>
          <w:bCs/>
          <w:sz w:val="24"/>
          <w:szCs w:val="24"/>
        </w:rPr>
        <w:t xml:space="preserve">section 5.2.3 </w:t>
      </w:r>
      <w:r>
        <w:rPr>
          <w:bCs/>
          <w:sz w:val="24"/>
          <w:szCs w:val="24"/>
        </w:rPr>
        <w:t>states, “</w:t>
      </w:r>
      <w:r w:rsidR="005F6B0E">
        <w:rPr>
          <w:bCs/>
          <w:sz w:val="24"/>
          <w:szCs w:val="24"/>
        </w:rPr>
        <w:t>…i</w:t>
      </w:r>
      <w:r w:rsidRPr="00E22C81">
        <w:rPr>
          <w:bCs/>
          <w:sz w:val="24"/>
          <w:szCs w:val="24"/>
        </w:rPr>
        <w:t xml:space="preserve">n lieu of an AWL </w:t>
      </w:r>
      <w:r w:rsidR="005F6B0E">
        <w:rPr>
          <w:bCs/>
          <w:sz w:val="24"/>
          <w:szCs w:val="24"/>
        </w:rPr>
        <w:t xml:space="preserve">[average weekly effluent limitation] </w:t>
      </w:r>
      <w:r w:rsidRPr="00E22C81">
        <w:rPr>
          <w:bCs/>
          <w:sz w:val="24"/>
          <w:szCs w:val="24"/>
        </w:rPr>
        <w:t xml:space="preserve">for POTWs, EPA recommends establishing an MDL </w:t>
      </w:r>
      <w:r w:rsidR="005F6B0E">
        <w:rPr>
          <w:bCs/>
          <w:sz w:val="24"/>
          <w:szCs w:val="24"/>
        </w:rPr>
        <w:t xml:space="preserve">[maximum daily effluent limitation] </w:t>
      </w:r>
      <w:r w:rsidRPr="00E22C81">
        <w:rPr>
          <w:bCs/>
          <w:sz w:val="24"/>
          <w:szCs w:val="24"/>
        </w:rPr>
        <w:t>for toxic pollutants and pollutant parameters in water quality permitting.</w:t>
      </w:r>
      <w:r w:rsidR="005F6B0E">
        <w:rPr>
          <w:bCs/>
          <w:sz w:val="24"/>
          <w:szCs w:val="24"/>
        </w:rPr>
        <w:t xml:space="preserve">” </w:t>
      </w:r>
    </w:p>
    <w:p w14:paraId="03D33419" w14:textId="41E3B5A4" w:rsidR="00C41941" w:rsidRDefault="00C41941" w:rsidP="005F6B0E">
      <w:pPr>
        <w:spacing w:after="240"/>
        <w:ind w:left="1440"/>
        <w:rPr>
          <w:bCs/>
          <w:sz w:val="24"/>
          <w:szCs w:val="24"/>
        </w:rPr>
      </w:pPr>
      <w:r>
        <w:rPr>
          <w:bCs/>
          <w:sz w:val="24"/>
          <w:szCs w:val="24"/>
        </w:rPr>
        <w:t>Consistent with previous orders, this Order does not establish mass-based limitations</w:t>
      </w:r>
      <w:r w:rsidR="00347CA2">
        <w:rPr>
          <w:bCs/>
          <w:sz w:val="24"/>
          <w:szCs w:val="24"/>
        </w:rPr>
        <w:t>. Concentrati</w:t>
      </w:r>
      <w:r w:rsidR="00584ADF">
        <w:rPr>
          <w:bCs/>
          <w:sz w:val="24"/>
          <w:szCs w:val="24"/>
        </w:rPr>
        <w:t>on-based limitations</w:t>
      </w:r>
      <w:r w:rsidR="00347CA2">
        <w:rPr>
          <w:bCs/>
          <w:sz w:val="24"/>
          <w:szCs w:val="24"/>
        </w:rPr>
        <w:t xml:space="preserve"> are more related to the performance of a fa</w:t>
      </w:r>
      <w:r w:rsidR="00584ADF">
        <w:rPr>
          <w:bCs/>
          <w:sz w:val="24"/>
          <w:szCs w:val="24"/>
        </w:rPr>
        <w:t>cility because mass-based limitations</w:t>
      </w:r>
      <w:r w:rsidR="00347CA2">
        <w:rPr>
          <w:bCs/>
          <w:sz w:val="24"/>
          <w:szCs w:val="24"/>
        </w:rPr>
        <w:t xml:space="preserve"> rely on flows. Flows are highly influenced by rainfall, which is not within a Discharger’s control. Furthermore, the derivation of limitations with longer averaging periods, which would be required to establish mass-based limit</w:t>
      </w:r>
      <w:r w:rsidR="00F6466D">
        <w:rPr>
          <w:bCs/>
          <w:sz w:val="24"/>
          <w:szCs w:val="24"/>
        </w:rPr>
        <w:t>ation</w:t>
      </w:r>
      <w:r w:rsidR="00347CA2">
        <w:rPr>
          <w:bCs/>
          <w:sz w:val="24"/>
          <w:szCs w:val="24"/>
        </w:rPr>
        <w:t xml:space="preserve">s, </w:t>
      </w:r>
      <w:r w:rsidR="008C7B33">
        <w:rPr>
          <w:bCs/>
          <w:sz w:val="24"/>
          <w:szCs w:val="24"/>
        </w:rPr>
        <w:t xml:space="preserve">requires frequent monitoring (e.g., monthly) in order to capture performance variability. Frequent monitoring is not a reasonable or practicable use of resources because the Municipal and Industrial Dischargers are a small source of PCBs to the San Francisco Bay </w:t>
      </w:r>
      <w:r w:rsidR="00680B3A">
        <w:rPr>
          <w:bCs/>
          <w:sz w:val="24"/>
          <w:szCs w:val="24"/>
        </w:rPr>
        <w:t>(</w:t>
      </w:r>
      <w:r w:rsidR="00F122E2">
        <w:rPr>
          <w:bCs/>
          <w:sz w:val="24"/>
          <w:szCs w:val="24"/>
        </w:rPr>
        <w:t xml:space="preserve">less than </w:t>
      </w:r>
      <w:r w:rsidR="00F37613">
        <w:rPr>
          <w:bCs/>
          <w:sz w:val="24"/>
          <w:szCs w:val="24"/>
        </w:rPr>
        <w:t xml:space="preserve">seven </w:t>
      </w:r>
      <w:r w:rsidR="00680B3A">
        <w:rPr>
          <w:bCs/>
          <w:sz w:val="24"/>
          <w:szCs w:val="24"/>
        </w:rPr>
        <w:t xml:space="preserve">percent) </w:t>
      </w:r>
      <w:r w:rsidR="008C7B33">
        <w:rPr>
          <w:bCs/>
          <w:sz w:val="24"/>
          <w:szCs w:val="24"/>
        </w:rPr>
        <w:t xml:space="preserve">relative to the high cost of PCBs analyses (approximately $1,000 each). </w:t>
      </w:r>
    </w:p>
    <w:p w14:paraId="1B853C1F" w14:textId="3CAB137B" w:rsidR="00D75963" w:rsidRDefault="005F6B0E" w:rsidP="00606E49">
      <w:pPr>
        <w:spacing w:after="240"/>
        <w:ind w:left="1440"/>
        <w:rPr>
          <w:bCs/>
          <w:sz w:val="24"/>
          <w:szCs w:val="24"/>
        </w:rPr>
      </w:pPr>
      <w:r>
        <w:rPr>
          <w:bCs/>
          <w:sz w:val="24"/>
          <w:szCs w:val="24"/>
        </w:rPr>
        <w:t xml:space="preserve">The performance-based limitations were derived from the </w:t>
      </w:r>
      <w:r w:rsidR="005472E1">
        <w:rPr>
          <w:bCs/>
          <w:sz w:val="24"/>
          <w:szCs w:val="24"/>
        </w:rPr>
        <w:t xml:space="preserve">99 percent upper confidence limit (UCL) of the </w:t>
      </w:r>
      <w:r>
        <w:rPr>
          <w:bCs/>
          <w:sz w:val="24"/>
          <w:szCs w:val="24"/>
        </w:rPr>
        <w:t xml:space="preserve">mean concentration </w:t>
      </w:r>
      <w:r w:rsidR="005472E1">
        <w:rPr>
          <w:bCs/>
          <w:sz w:val="24"/>
          <w:szCs w:val="24"/>
        </w:rPr>
        <w:t xml:space="preserve">for each dataset </w:t>
      </w:r>
      <w:r>
        <w:rPr>
          <w:bCs/>
          <w:sz w:val="24"/>
          <w:szCs w:val="24"/>
        </w:rPr>
        <w:t xml:space="preserve">of the four </w:t>
      </w:r>
      <w:r w:rsidR="005472E1">
        <w:rPr>
          <w:bCs/>
          <w:sz w:val="24"/>
          <w:szCs w:val="24"/>
        </w:rPr>
        <w:t xml:space="preserve">performance categories.  </w:t>
      </w:r>
      <w:r w:rsidR="005472E1" w:rsidRPr="005472E1">
        <w:rPr>
          <w:bCs/>
          <w:sz w:val="24"/>
          <w:szCs w:val="24"/>
        </w:rPr>
        <w:t>The 99</w:t>
      </w:r>
      <w:r w:rsidR="002E397C">
        <w:rPr>
          <w:bCs/>
          <w:sz w:val="24"/>
          <w:szCs w:val="24"/>
        </w:rPr>
        <w:t xml:space="preserve"> percent</w:t>
      </w:r>
      <w:r w:rsidR="005472E1" w:rsidRPr="005472E1">
        <w:rPr>
          <w:bCs/>
          <w:sz w:val="24"/>
          <w:szCs w:val="24"/>
        </w:rPr>
        <w:t xml:space="preserve"> UCL </w:t>
      </w:r>
      <w:r w:rsidR="002E397C">
        <w:rPr>
          <w:bCs/>
          <w:sz w:val="24"/>
          <w:szCs w:val="24"/>
        </w:rPr>
        <w:t xml:space="preserve">was used </w:t>
      </w:r>
      <w:r w:rsidR="005472E1" w:rsidRPr="005472E1">
        <w:rPr>
          <w:bCs/>
          <w:sz w:val="24"/>
          <w:szCs w:val="24"/>
        </w:rPr>
        <w:t xml:space="preserve">on the mean </w:t>
      </w:r>
      <w:r w:rsidR="002E397C">
        <w:rPr>
          <w:bCs/>
          <w:sz w:val="24"/>
          <w:szCs w:val="24"/>
        </w:rPr>
        <w:t>of the datasets because of the</w:t>
      </w:r>
      <w:r w:rsidR="005472E1" w:rsidRPr="005472E1">
        <w:rPr>
          <w:bCs/>
          <w:sz w:val="24"/>
          <w:szCs w:val="24"/>
        </w:rPr>
        <w:t xml:space="preserve"> high level of uncertainty in the actual mean (or actual perfor</w:t>
      </w:r>
      <w:r w:rsidR="002E397C">
        <w:rPr>
          <w:bCs/>
          <w:sz w:val="24"/>
          <w:szCs w:val="24"/>
        </w:rPr>
        <w:t>mance) from the very small dataset for each discharge category</w:t>
      </w:r>
      <w:r w:rsidR="005472E1" w:rsidRPr="005472E1">
        <w:rPr>
          <w:bCs/>
          <w:sz w:val="24"/>
          <w:szCs w:val="24"/>
        </w:rPr>
        <w:t xml:space="preserve"> used to establish TMDL allocations</w:t>
      </w:r>
      <w:r w:rsidR="002E397C">
        <w:rPr>
          <w:bCs/>
          <w:sz w:val="24"/>
          <w:szCs w:val="24"/>
        </w:rPr>
        <w:t xml:space="preserve"> (the </w:t>
      </w:r>
      <w:r w:rsidR="002E397C" w:rsidRPr="005472E1">
        <w:rPr>
          <w:bCs/>
          <w:sz w:val="24"/>
          <w:szCs w:val="24"/>
        </w:rPr>
        <w:t xml:space="preserve">number of samples </w:t>
      </w:r>
      <w:r w:rsidR="002E397C">
        <w:rPr>
          <w:bCs/>
          <w:sz w:val="24"/>
          <w:szCs w:val="24"/>
        </w:rPr>
        <w:t xml:space="preserve">were </w:t>
      </w:r>
      <w:r w:rsidR="002E397C" w:rsidRPr="005472E1">
        <w:rPr>
          <w:bCs/>
          <w:sz w:val="24"/>
          <w:szCs w:val="24"/>
        </w:rPr>
        <w:t>between 6 and 14)</w:t>
      </w:r>
      <w:r w:rsidR="005472E1" w:rsidRPr="005472E1">
        <w:rPr>
          <w:bCs/>
          <w:sz w:val="24"/>
          <w:szCs w:val="24"/>
        </w:rPr>
        <w:t xml:space="preserve">. The Regional Water Board then multiplied the </w:t>
      </w:r>
      <w:r w:rsidR="002E397C">
        <w:rPr>
          <w:bCs/>
          <w:sz w:val="24"/>
          <w:szCs w:val="24"/>
        </w:rPr>
        <w:t xml:space="preserve">resulting </w:t>
      </w:r>
      <w:r w:rsidR="005472E1" w:rsidRPr="005472E1">
        <w:rPr>
          <w:bCs/>
          <w:sz w:val="24"/>
          <w:szCs w:val="24"/>
        </w:rPr>
        <w:t>long</w:t>
      </w:r>
      <w:r w:rsidR="002E397C">
        <w:rPr>
          <w:bCs/>
          <w:sz w:val="24"/>
          <w:szCs w:val="24"/>
        </w:rPr>
        <w:noBreakHyphen/>
        <w:t>term average for each performance</w:t>
      </w:r>
      <w:r w:rsidR="005472E1" w:rsidRPr="005472E1">
        <w:rPr>
          <w:bCs/>
          <w:sz w:val="24"/>
          <w:szCs w:val="24"/>
        </w:rPr>
        <w:t xml:space="preserve"> category by the appropriate multiplier from the Technical Support Document to calculate </w:t>
      </w:r>
      <w:r w:rsidR="002E397C">
        <w:rPr>
          <w:bCs/>
          <w:sz w:val="24"/>
          <w:szCs w:val="24"/>
        </w:rPr>
        <w:t>the average monthly and maximum daily effluent limitations</w:t>
      </w:r>
      <w:r w:rsidR="000521EB">
        <w:rPr>
          <w:bCs/>
          <w:sz w:val="24"/>
          <w:szCs w:val="24"/>
        </w:rPr>
        <w:t>, as shown in Table F-8</w:t>
      </w:r>
      <w:r w:rsidR="005472E1" w:rsidRPr="005472E1">
        <w:rPr>
          <w:bCs/>
          <w:sz w:val="24"/>
          <w:szCs w:val="24"/>
        </w:rPr>
        <w:t xml:space="preserve"> </w:t>
      </w:r>
      <w:r w:rsidR="000521EB">
        <w:rPr>
          <w:bCs/>
          <w:sz w:val="24"/>
          <w:szCs w:val="24"/>
        </w:rPr>
        <w:t>below.</w:t>
      </w:r>
    </w:p>
    <w:p w14:paraId="47918F55" w14:textId="10977EAA" w:rsidR="00D75963" w:rsidRPr="00132D28" w:rsidRDefault="00D75963" w:rsidP="00132D28">
      <w:pPr>
        <w:pStyle w:val="H-indent5025"/>
        <w:tabs>
          <w:tab w:val="clear" w:pos="1080"/>
          <w:tab w:val="left" w:pos="720"/>
        </w:tabs>
        <w:spacing w:after="0"/>
        <w:ind w:left="720" w:firstLine="0"/>
        <w:contextualSpacing/>
        <w:jc w:val="center"/>
        <w:rPr>
          <w:rFonts w:ascii="Times New Roman" w:hAnsi="Times New Roman" w:cs="Times New Roman"/>
          <w:b/>
          <w:color w:val="000000" w:themeColor="text1"/>
        </w:rPr>
      </w:pPr>
      <w:r w:rsidRPr="00132D28">
        <w:rPr>
          <w:rFonts w:ascii="Times New Roman" w:hAnsi="Times New Roman" w:cs="Times New Roman"/>
          <w:b/>
          <w:color w:val="000000" w:themeColor="text1"/>
        </w:rPr>
        <w:t xml:space="preserve">Table </w:t>
      </w:r>
      <w:r w:rsidR="00132D28">
        <w:rPr>
          <w:rFonts w:ascii="Times New Roman" w:hAnsi="Times New Roman" w:cs="Times New Roman"/>
          <w:b/>
          <w:color w:val="000000" w:themeColor="text1"/>
        </w:rPr>
        <w:t>F-8</w:t>
      </w:r>
      <w:r w:rsidRPr="00132D28">
        <w:rPr>
          <w:rFonts w:ascii="Times New Roman" w:hAnsi="Times New Roman" w:cs="Times New Roman"/>
          <w:b/>
          <w:color w:val="000000" w:themeColor="text1"/>
        </w:rPr>
        <w:t xml:space="preserve">.  </w:t>
      </w:r>
      <w:r w:rsidR="00132D28">
        <w:rPr>
          <w:rFonts w:ascii="Times New Roman" w:hAnsi="Times New Roman" w:cs="Times New Roman"/>
          <w:b/>
          <w:color w:val="000000" w:themeColor="text1"/>
        </w:rPr>
        <w:t>PCBs WQBEL Calculations</w:t>
      </w:r>
    </w:p>
    <w:tbl>
      <w:tblPr>
        <w:tblW w:w="9777" w:type="dxa"/>
        <w:tblInd w:w="8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690"/>
        <w:gridCol w:w="1561"/>
        <w:gridCol w:w="1561"/>
        <w:gridCol w:w="1435"/>
        <w:gridCol w:w="1530"/>
      </w:tblGrid>
      <w:tr w:rsidR="00D75963" w:rsidRPr="001D317B" w14:paraId="5B30920A" w14:textId="5F7987A5" w:rsidTr="00D75963">
        <w:trPr>
          <w:trHeight w:val="255"/>
          <w:tblHeader/>
        </w:trPr>
        <w:tc>
          <w:tcPr>
            <w:tcW w:w="3690" w:type="dxa"/>
            <w:tcBorders>
              <w:top w:val="single" w:sz="12" w:space="0" w:color="auto"/>
              <w:bottom w:val="single" w:sz="12" w:space="0" w:color="auto"/>
            </w:tcBorders>
            <w:shd w:val="clear" w:color="auto" w:fill="auto"/>
            <w:noWrap/>
            <w:vAlign w:val="center"/>
          </w:tcPr>
          <w:p w14:paraId="79444AE8" w14:textId="0F6A8EAA" w:rsidR="00D75963" w:rsidRPr="00652E20" w:rsidRDefault="00D75963" w:rsidP="00D75963">
            <w:pPr>
              <w:keepNext/>
              <w:jc w:val="center"/>
              <w:rPr>
                <w:b/>
                <w:bCs/>
              </w:rPr>
            </w:pPr>
          </w:p>
        </w:tc>
        <w:tc>
          <w:tcPr>
            <w:tcW w:w="1561" w:type="dxa"/>
            <w:tcBorders>
              <w:top w:val="single" w:sz="12" w:space="0" w:color="auto"/>
              <w:bottom w:val="single" w:sz="12" w:space="0" w:color="auto"/>
            </w:tcBorders>
            <w:vAlign w:val="center"/>
          </w:tcPr>
          <w:p w14:paraId="238EC79A" w14:textId="4308D709" w:rsidR="00D75963" w:rsidRPr="00652E20" w:rsidRDefault="00D75963" w:rsidP="00D75963">
            <w:pPr>
              <w:keepNext/>
              <w:jc w:val="center"/>
              <w:rPr>
                <w:b/>
                <w:bCs/>
              </w:rPr>
            </w:pPr>
            <w:r w:rsidRPr="00652E20">
              <w:rPr>
                <w:b/>
                <w:bCs/>
              </w:rPr>
              <w:t>Secondary</w:t>
            </w:r>
          </w:p>
        </w:tc>
        <w:tc>
          <w:tcPr>
            <w:tcW w:w="1561" w:type="dxa"/>
            <w:tcBorders>
              <w:top w:val="single" w:sz="12" w:space="0" w:color="auto"/>
              <w:bottom w:val="single" w:sz="12" w:space="0" w:color="auto"/>
            </w:tcBorders>
            <w:shd w:val="clear" w:color="auto" w:fill="auto"/>
            <w:noWrap/>
            <w:vAlign w:val="center"/>
          </w:tcPr>
          <w:p w14:paraId="4BFAACB4" w14:textId="123F5AE5" w:rsidR="00D75963" w:rsidRPr="00652E20" w:rsidRDefault="00D75963" w:rsidP="00D75963">
            <w:pPr>
              <w:keepNext/>
              <w:jc w:val="center"/>
              <w:rPr>
                <w:b/>
                <w:bCs/>
              </w:rPr>
            </w:pPr>
            <w:r w:rsidRPr="00652E20">
              <w:rPr>
                <w:b/>
                <w:bCs/>
              </w:rPr>
              <w:t>Advanced Secondary</w:t>
            </w:r>
          </w:p>
        </w:tc>
        <w:tc>
          <w:tcPr>
            <w:tcW w:w="1435" w:type="dxa"/>
            <w:tcBorders>
              <w:top w:val="single" w:sz="12" w:space="0" w:color="auto"/>
              <w:bottom w:val="single" w:sz="12" w:space="0" w:color="auto"/>
            </w:tcBorders>
            <w:shd w:val="clear" w:color="auto" w:fill="auto"/>
            <w:noWrap/>
            <w:vAlign w:val="center"/>
          </w:tcPr>
          <w:p w14:paraId="6DE8E4E6" w14:textId="77777777" w:rsidR="00D75963" w:rsidRPr="00652E20" w:rsidRDefault="00D75963" w:rsidP="00D75963">
            <w:pPr>
              <w:keepNext/>
              <w:jc w:val="center"/>
              <w:rPr>
                <w:b/>
                <w:bCs/>
              </w:rPr>
            </w:pPr>
            <w:r w:rsidRPr="00652E20">
              <w:rPr>
                <w:b/>
                <w:bCs/>
              </w:rPr>
              <w:t>Petroleum Refinery</w:t>
            </w:r>
          </w:p>
        </w:tc>
        <w:tc>
          <w:tcPr>
            <w:tcW w:w="1530" w:type="dxa"/>
            <w:tcBorders>
              <w:top w:val="single" w:sz="12" w:space="0" w:color="auto"/>
              <w:bottom w:val="single" w:sz="12" w:space="0" w:color="auto"/>
            </w:tcBorders>
            <w:shd w:val="clear" w:color="auto" w:fill="auto"/>
            <w:noWrap/>
            <w:vAlign w:val="center"/>
          </w:tcPr>
          <w:p w14:paraId="1AA230A3" w14:textId="350CF270" w:rsidR="00D75963" w:rsidRPr="00652E20" w:rsidRDefault="00D75963" w:rsidP="00D75963">
            <w:pPr>
              <w:keepNext/>
              <w:jc w:val="center"/>
              <w:rPr>
                <w:b/>
                <w:bCs/>
              </w:rPr>
            </w:pPr>
            <w:r>
              <w:rPr>
                <w:b/>
                <w:bCs/>
              </w:rPr>
              <w:t>Non-Petroleum Refinery</w:t>
            </w:r>
          </w:p>
        </w:tc>
      </w:tr>
      <w:tr w:rsidR="00D75963" w:rsidRPr="001D317B" w14:paraId="5A1E3667" w14:textId="767690C5" w:rsidTr="00D75963">
        <w:trPr>
          <w:trHeight w:val="255"/>
          <w:tblHeader/>
        </w:trPr>
        <w:tc>
          <w:tcPr>
            <w:tcW w:w="3690" w:type="dxa"/>
            <w:tcBorders>
              <w:top w:val="single" w:sz="12" w:space="0" w:color="auto"/>
            </w:tcBorders>
            <w:shd w:val="clear" w:color="auto" w:fill="auto"/>
            <w:noWrap/>
            <w:vAlign w:val="bottom"/>
          </w:tcPr>
          <w:p w14:paraId="715F65A4" w14:textId="77777777" w:rsidR="00D75963" w:rsidRPr="00652E20" w:rsidRDefault="00D75963" w:rsidP="00D75963">
            <w:pPr>
              <w:keepNext/>
              <w:jc w:val="center"/>
              <w:rPr>
                <w:b/>
                <w:bCs/>
              </w:rPr>
            </w:pPr>
            <w:r w:rsidRPr="00652E20">
              <w:rPr>
                <w:b/>
                <w:bCs/>
              </w:rPr>
              <w:t>Units</w:t>
            </w:r>
          </w:p>
        </w:tc>
        <w:tc>
          <w:tcPr>
            <w:tcW w:w="1561" w:type="dxa"/>
            <w:tcBorders>
              <w:top w:val="single" w:sz="12" w:space="0" w:color="auto"/>
            </w:tcBorders>
            <w:vAlign w:val="bottom"/>
          </w:tcPr>
          <w:p w14:paraId="187CB36E" w14:textId="452E3FB9" w:rsidR="00D75963" w:rsidRPr="00652E20" w:rsidRDefault="00D75963" w:rsidP="00D75963">
            <w:pPr>
              <w:keepNext/>
              <w:jc w:val="center"/>
              <w:rPr>
                <w:b/>
                <w:bCs/>
              </w:rPr>
            </w:pPr>
            <w:r w:rsidRPr="00652E20">
              <w:rPr>
                <w:b/>
                <w:bCs/>
              </w:rPr>
              <w:t>µg/L</w:t>
            </w:r>
          </w:p>
        </w:tc>
        <w:tc>
          <w:tcPr>
            <w:tcW w:w="1561" w:type="dxa"/>
            <w:tcBorders>
              <w:top w:val="single" w:sz="12" w:space="0" w:color="auto"/>
            </w:tcBorders>
            <w:shd w:val="clear" w:color="auto" w:fill="auto"/>
            <w:noWrap/>
            <w:vAlign w:val="bottom"/>
          </w:tcPr>
          <w:p w14:paraId="73CB46E0" w14:textId="378C3291" w:rsidR="00D75963" w:rsidRPr="00652E20" w:rsidRDefault="00D75963" w:rsidP="00D75963">
            <w:pPr>
              <w:keepNext/>
              <w:jc w:val="center"/>
              <w:rPr>
                <w:b/>
                <w:bCs/>
              </w:rPr>
            </w:pPr>
            <w:r w:rsidRPr="00652E20">
              <w:rPr>
                <w:b/>
                <w:bCs/>
              </w:rPr>
              <w:t>µg/L</w:t>
            </w:r>
          </w:p>
        </w:tc>
        <w:tc>
          <w:tcPr>
            <w:tcW w:w="1435" w:type="dxa"/>
            <w:tcBorders>
              <w:top w:val="single" w:sz="12" w:space="0" w:color="auto"/>
            </w:tcBorders>
            <w:shd w:val="clear" w:color="auto" w:fill="auto"/>
            <w:noWrap/>
            <w:vAlign w:val="bottom"/>
          </w:tcPr>
          <w:p w14:paraId="1B23AACB" w14:textId="77777777" w:rsidR="00D75963" w:rsidRPr="00652E20" w:rsidRDefault="00D75963" w:rsidP="00D75963">
            <w:pPr>
              <w:keepNext/>
              <w:jc w:val="center"/>
              <w:rPr>
                <w:b/>
                <w:bCs/>
              </w:rPr>
            </w:pPr>
            <w:r w:rsidRPr="00652E20">
              <w:rPr>
                <w:b/>
                <w:bCs/>
              </w:rPr>
              <w:t>µg/L</w:t>
            </w:r>
          </w:p>
        </w:tc>
        <w:tc>
          <w:tcPr>
            <w:tcW w:w="1530" w:type="dxa"/>
            <w:tcBorders>
              <w:top w:val="single" w:sz="12" w:space="0" w:color="auto"/>
            </w:tcBorders>
            <w:shd w:val="clear" w:color="auto" w:fill="auto"/>
            <w:noWrap/>
            <w:vAlign w:val="bottom"/>
          </w:tcPr>
          <w:p w14:paraId="425BE2F2" w14:textId="77777777" w:rsidR="00D75963" w:rsidRPr="00652E20" w:rsidRDefault="00D75963" w:rsidP="00D75963">
            <w:pPr>
              <w:keepNext/>
              <w:jc w:val="center"/>
              <w:rPr>
                <w:b/>
                <w:bCs/>
              </w:rPr>
            </w:pPr>
            <w:r w:rsidRPr="00652E20">
              <w:rPr>
                <w:b/>
                <w:bCs/>
              </w:rPr>
              <w:t>µg/L</w:t>
            </w:r>
          </w:p>
        </w:tc>
      </w:tr>
      <w:tr w:rsidR="00D75963" w:rsidRPr="001D317B" w14:paraId="21E5A730" w14:textId="437A070E" w:rsidTr="00D75963">
        <w:trPr>
          <w:trHeight w:val="510"/>
        </w:trPr>
        <w:tc>
          <w:tcPr>
            <w:tcW w:w="3690" w:type="dxa"/>
            <w:shd w:val="clear" w:color="auto" w:fill="auto"/>
            <w:vAlign w:val="bottom"/>
          </w:tcPr>
          <w:p w14:paraId="5419FB1D" w14:textId="77777777" w:rsidR="00D75963" w:rsidRPr="00652E20" w:rsidRDefault="00D75963" w:rsidP="00D75963">
            <w:pPr>
              <w:keepNext/>
            </w:pPr>
            <w:r w:rsidRPr="00652E20">
              <w:t>No. of data points &lt;10 or at least 80% of data reported non detect? (Y/N)</w:t>
            </w:r>
          </w:p>
        </w:tc>
        <w:tc>
          <w:tcPr>
            <w:tcW w:w="1561" w:type="dxa"/>
            <w:vAlign w:val="center"/>
          </w:tcPr>
          <w:p w14:paraId="20345EB3" w14:textId="1A4F72AD" w:rsidR="00D75963" w:rsidRPr="00652E20" w:rsidRDefault="00D75963" w:rsidP="00D75963">
            <w:pPr>
              <w:keepNext/>
              <w:jc w:val="center"/>
            </w:pPr>
            <w:r w:rsidRPr="00652E20">
              <w:t>Y</w:t>
            </w:r>
          </w:p>
        </w:tc>
        <w:tc>
          <w:tcPr>
            <w:tcW w:w="1561" w:type="dxa"/>
            <w:shd w:val="clear" w:color="auto" w:fill="auto"/>
            <w:noWrap/>
            <w:vAlign w:val="center"/>
          </w:tcPr>
          <w:p w14:paraId="03C35E62" w14:textId="02FC32C5" w:rsidR="00D75963" w:rsidRPr="00652E20" w:rsidRDefault="00D75963" w:rsidP="00D75963">
            <w:pPr>
              <w:keepNext/>
              <w:jc w:val="center"/>
            </w:pPr>
            <w:r w:rsidRPr="00652E20">
              <w:t>N</w:t>
            </w:r>
          </w:p>
        </w:tc>
        <w:tc>
          <w:tcPr>
            <w:tcW w:w="1435" w:type="dxa"/>
            <w:shd w:val="clear" w:color="auto" w:fill="auto"/>
            <w:noWrap/>
            <w:vAlign w:val="center"/>
          </w:tcPr>
          <w:p w14:paraId="54BF559F" w14:textId="77777777" w:rsidR="00D75963" w:rsidRPr="00652E20" w:rsidRDefault="00D75963" w:rsidP="00D75963">
            <w:pPr>
              <w:keepNext/>
              <w:jc w:val="center"/>
            </w:pPr>
            <w:r w:rsidRPr="00652E20">
              <w:t>N</w:t>
            </w:r>
          </w:p>
        </w:tc>
        <w:tc>
          <w:tcPr>
            <w:tcW w:w="1530" w:type="dxa"/>
            <w:shd w:val="clear" w:color="auto" w:fill="auto"/>
            <w:noWrap/>
            <w:vAlign w:val="center"/>
          </w:tcPr>
          <w:p w14:paraId="4B449A70" w14:textId="77777777" w:rsidR="00D75963" w:rsidRPr="00652E20" w:rsidRDefault="00D75963" w:rsidP="00D75963">
            <w:pPr>
              <w:keepNext/>
              <w:jc w:val="center"/>
            </w:pPr>
            <w:r w:rsidRPr="00652E20">
              <w:t>Y</w:t>
            </w:r>
          </w:p>
        </w:tc>
      </w:tr>
      <w:tr w:rsidR="00D75963" w:rsidRPr="001D317B" w14:paraId="37AF1C53" w14:textId="74E90338" w:rsidTr="00D75963">
        <w:trPr>
          <w:trHeight w:val="255"/>
        </w:trPr>
        <w:tc>
          <w:tcPr>
            <w:tcW w:w="3690" w:type="dxa"/>
            <w:shd w:val="clear" w:color="auto" w:fill="auto"/>
            <w:noWrap/>
            <w:vAlign w:val="bottom"/>
          </w:tcPr>
          <w:p w14:paraId="024B9084" w14:textId="77777777" w:rsidR="00D75963" w:rsidRPr="00652E20" w:rsidRDefault="00D75963" w:rsidP="00D75963">
            <w:r w:rsidRPr="00652E20">
              <w:t>Mean of TMDL effluent data points</w:t>
            </w:r>
          </w:p>
        </w:tc>
        <w:tc>
          <w:tcPr>
            <w:tcW w:w="1561" w:type="dxa"/>
            <w:vAlign w:val="bottom"/>
          </w:tcPr>
          <w:p w14:paraId="6C5688DA" w14:textId="74EF21D9" w:rsidR="00D75963" w:rsidRPr="00652E20" w:rsidRDefault="00D75963" w:rsidP="00D75963">
            <w:pPr>
              <w:jc w:val="center"/>
            </w:pPr>
            <w:r w:rsidRPr="00652E20">
              <w:t>0.003556</w:t>
            </w:r>
          </w:p>
        </w:tc>
        <w:tc>
          <w:tcPr>
            <w:tcW w:w="1561" w:type="dxa"/>
            <w:shd w:val="clear" w:color="auto" w:fill="auto"/>
            <w:noWrap/>
            <w:vAlign w:val="bottom"/>
          </w:tcPr>
          <w:p w14:paraId="27F3D4A6" w14:textId="1421B62D" w:rsidR="00D75963" w:rsidRPr="00652E20" w:rsidRDefault="00D75963" w:rsidP="00D75963">
            <w:pPr>
              <w:jc w:val="center"/>
            </w:pPr>
            <w:r w:rsidRPr="00652E20">
              <w:t>0.00211</w:t>
            </w:r>
          </w:p>
        </w:tc>
        <w:tc>
          <w:tcPr>
            <w:tcW w:w="1435" w:type="dxa"/>
            <w:shd w:val="clear" w:color="auto" w:fill="auto"/>
            <w:noWrap/>
            <w:vAlign w:val="bottom"/>
          </w:tcPr>
          <w:p w14:paraId="1A5673CC" w14:textId="77777777" w:rsidR="00D75963" w:rsidRPr="00652E20" w:rsidRDefault="00D75963" w:rsidP="00D75963">
            <w:pPr>
              <w:jc w:val="center"/>
            </w:pPr>
            <w:r w:rsidRPr="00652E20">
              <w:t>0.000272</w:t>
            </w:r>
          </w:p>
        </w:tc>
        <w:tc>
          <w:tcPr>
            <w:tcW w:w="1530" w:type="dxa"/>
            <w:shd w:val="clear" w:color="auto" w:fill="auto"/>
            <w:noWrap/>
            <w:vAlign w:val="bottom"/>
          </w:tcPr>
          <w:p w14:paraId="01A525FD" w14:textId="77777777" w:rsidR="00D75963" w:rsidRPr="00652E20" w:rsidRDefault="00D75963" w:rsidP="00D75963">
            <w:pPr>
              <w:jc w:val="center"/>
            </w:pPr>
            <w:r w:rsidRPr="00652E20">
              <w:t>0.003543</w:t>
            </w:r>
          </w:p>
        </w:tc>
      </w:tr>
      <w:tr w:rsidR="00D75963" w:rsidRPr="001D317B" w14:paraId="183F341A" w14:textId="2E879492" w:rsidTr="00D75963">
        <w:trPr>
          <w:trHeight w:val="255"/>
        </w:trPr>
        <w:tc>
          <w:tcPr>
            <w:tcW w:w="3690" w:type="dxa"/>
            <w:shd w:val="clear" w:color="auto" w:fill="auto"/>
            <w:noWrap/>
            <w:vAlign w:val="bottom"/>
          </w:tcPr>
          <w:p w14:paraId="53DE6595" w14:textId="77777777" w:rsidR="00D75963" w:rsidRPr="00652E20" w:rsidRDefault="00D75963" w:rsidP="00D75963">
            <w:r w:rsidRPr="00652E20">
              <w:t>Std Dev of TMDL effluent data points</w:t>
            </w:r>
          </w:p>
        </w:tc>
        <w:tc>
          <w:tcPr>
            <w:tcW w:w="1561" w:type="dxa"/>
            <w:vAlign w:val="bottom"/>
          </w:tcPr>
          <w:p w14:paraId="2BD2C8C9" w14:textId="14F27B38" w:rsidR="00D75963" w:rsidRPr="00652E20" w:rsidRDefault="00D75963" w:rsidP="00D75963">
            <w:pPr>
              <w:jc w:val="center"/>
            </w:pPr>
            <w:r w:rsidRPr="00652E20">
              <w:t>0.002206</w:t>
            </w:r>
          </w:p>
        </w:tc>
        <w:tc>
          <w:tcPr>
            <w:tcW w:w="1561" w:type="dxa"/>
            <w:shd w:val="clear" w:color="auto" w:fill="auto"/>
            <w:noWrap/>
            <w:vAlign w:val="bottom"/>
          </w:tcPr>
          <w:p w14:paraId="15EBEABC" w14:textId="4ECD0F5A" w:rsidR="00D75963" w:rsidRPr="00652E20" w:rsidRDefault="00D75963" w:rsidP="00D75963">
            <w:pPr>
              <w:jc w:val="center"/>
            </w:pPr>
            <w:r w:rsidRPr="00652E20">
              <w:t>0.000066</w:t>
            </w:r>
          </w:p>
        </w:tc>
        <w:tc>
          <w:tcPr>
            <w:tcW w:w="1435" w:type="dxa"/>
            <w:shd w:val="clear" w:color="auto" w:fill="auto"/>
            <w:noWrap/>
            <w:vAlign w:val="bottom"/>
          </w:tcPr>
          <w:p w14:paraId="03DAA66E" w14:textId="77777777" w:rsidR="00D75963" w:rsidRPr="00652E20" w:rsidRDefault="00D75963" w:rsidP="00D75963">
            <w:pPr>
              <w:jc w:val="center"/>
            </w:pPr>
            <w:r w:rsidRPr="00652E20">
              <w:t>0.000199</w:t>
            </w:r>
          </w:p>
        </w:tc>
        <w:tc>
          <w:tcPr>
            <w:tcW w:w="1530" w:type="dxa"/>
            <w:shd w:val="clear" w:color="auto" w:fill="auto"/>
            <w:noWrap/>
            <w:vAlign w:val="bottom"/>
          </w:tcPr>
          <w:p w14:paraId="762F8646" w14:textId="77777777" w:rsidR="00D75963" w:rsidRPr="00652E20" w:rsidRDefault="00D75963" w:rsidP="00D75963">
            <w:pPr>
              <w:jc w:val="center"/>
            </w:pPr>
            <w:r w:rsidRPr="00652E20">
              <w:t>0.001554</w:t>
            </w:r>
          </w:p>
        </w:tc>
      </w:tr>
      <w:tr w:rsidR="00D75963" w:rsidRPr="001D317B" w14:paraId="74C4BC84" w14:textId="27EC1445" w:rsidTr="00D75963">
        <w:trPr>
          <w:trHeight w:val="255"/>
        </w:trPr>
        <w:tc>
          <w:tcPr>
            <w:tcW w:w="3690" w:type="dxa"/>
            <w:shd w:val="clear" w:color="auto" w:fill="auto"/>
            <w:noWrap/>
            <w:vAlign w:val="bottom"/>
          </w:tcPr>
          <w:p w14:paraId="4BBE88E9" w14:textId="77777777" w:rsidR="00D75963" w:rsidRPr="00652E20" w:rsidRDefault="00D75963" w:rsidP="00D75963">
            <w:r w:rsidRPr="00652E20">
              <w:t>Coefficient of Variation (CV), calculated</w:t>
            </w:r>
          </w:p>
        </w:tc>
        <w:tc>
          <w:tcPr>
            <w:tcW w:w="1561" w:type="dxa"/>
            <w:vAlign w:val="bottom"/>
          </w:tcPr>
          <w:p w14:paraId="1895CB89" w14:textId="356DD0B6" w:rsidR="00D75963" w:rsidRPr="00652E20" w:rsidRDefault="00D75963" w:rsidP="00D75963">
            <w:pPr>
              <w:jc w:val="center"/>
            </w:pPr>
            <w:r w:rsidRPr="00652E20">
              <w:t>0.62</w:t>
            </w:r>
          </w:p>
        </w:tc>
        <w:tc>
          <w:tcPr>
            <w:tcW w:w="1561" w:type="dxa"/>
            <w:shd w:val="clear" w:color="auto" w:fill="auto"/>
            <w:noWrap/>
            <w:vAlign w:val="bottom"/>
          </w:tcPr>
          <w:p w14:paraId="679726B6" w14:textId="506D9FBC" w:rsidR="00D75963" w:rsidRPr="00652E20" w:rsidRDefault="00D75963" w:rsidP="00D75963">
            <w:pPr>
              <w:jc w:val="center"/>
            </w:pPr>
            <w:r w:rsidRPr="00652E20">
              <w:t>0.31</w:t>
            </w:r>
          </w:p>
        </w:tc>
        <w:tc>
          <w:tcPr>
            <w:tcW w:w="1435" w:type="dxa"/>
            <w:shd w:val="clear" w:color="auto" w:fill="auto"/>
            <w:noWrap/>
            <w:vAlign w:val="bottom"/>
          </w:tcPr>
          <w:p w14:paraId="38B42CA7" w14:textId="77777777" w:rsidR="00D75963" w:rsidRPr="00652E20" w:rsidRDefault="00D75963" w:rsidP="00D75963">
            <w:pPr>
              <w:jc w:val="center"/>
            </w:pPr>
            <w:r w:rsidRPr="00652E20">
              <w:t>0.73</w:t>
            </w:r>
          </w:p>
        </w:tc>
        <w:tc>
          <w:tcPr>
            <w:tcW w:w="1530" w:type="dxa"/>
            <w:shd w:val="clear" w:color="auto" w:fill="auto"/>
            <w:noWrap/>
            <w:vAlign w:val="bottom"/>
          </w:tcPr>
          <w:p w14:paraId="7321DA68" w14:textId="77777777" w:rsidR="00D75963" w:rsidRPr="00652E20" w:rsidRDefault="00D75963" w:rsidP="00D75963">
            <w:pPr>
              <w:jc w:val="center"/>
            </w:pPr>
            <w:r w:rsidRPr="00652E20">
              <w:t>0.44</w:t>
            </w:r>
          </w:p>
        </w:tc>
      </w:tr>
      <w:tr w:rsidR="00D75963" w:rsidRPr="001D317B" w14:paraId="3379D568" w14:textId="70943434" w:rsidTr="00D75963">
        <w:trPr>
          <w:trHeight w:val="255"/>
        </w:trPr>
        <w:tc>
          <w:tcPr>
            <w:tcW w:w="3690" w:type="dxa"/>
            <w:shd w:val="clear" w:color="auto" w:fill="auto"/>
            <w:noWrap/>
            <w:vAlign w:val="bottom"/>
          </w:tcPr>
          <w:p w14:paraId="3A811428" w14:textId="77777777" w:rsidR="00D75963" w:rsidRPr="00652E20" w:rsidRDefault="00D75963" w:rsidP="00D75963">
            <w:r w:rsidRPr="00652E20">
              <w:t>CV, Selected – Final</w:t>
            </w:r>
          </w:p>
        </w:tc>
        <w:tc>
          <w:tcPr>
            <w:tcW w:w="1561" w:type="dxa"/>
            <w:vAlign w:val="bottom"/>
          </w:tcPr>
          <w:p w14:paraId="41D88CDB" w14:textId="50ECA6E4" w:rsidR="00D75963" w:rsidRPr="00652E20" w:rsidRDefault="00D75963" w:rsidP="00D75963">
            <w:pPr>
              <w:jc w:val="center"/>
            </w:pPr>
            <w:r w:rsidRPr="00652E20">
              <w:t>0.60</w:t>
            </w:r>
          </w:p>
        </w:tc>
        <w:tc>
          <w:tcPr>
            <w:tcW w:w="1561" w:type="dxa"/>
            <w:shd w:val="clear" w:color="auto" w:fill="auto"/>
            <w:noWrap/>
            <w:vAlign w:val="bottom"/>
          </w:tcPr>
          <w:p w14:paraId="04EF1448" w14:textId="45AE1140" w:rsidR="00D75963" w:rsidRPr="00652E20" w:rsidRDefault="00D75963" w:rsidP="00D75963">
            <w:pPr>
              <w:jc w:val="center"/>
            </w:pPr>
            <w:r w:rsidRPr="00652E20">
              <w:t>0.31</w:t>
            </w:r>
          </w:p>
        </w:tc>
        <w:tc>
          <w:tcPr>
            <w:tcW w:w="1435" w:type="dxa"/>
            <w:shd w:val="clear" w:color="auto" w:fill="auto"/>
            <w:noWrap/>
            <w:vAlign w:val="bottom"/>
          </w:tcPr>
          <w:p w14:paraId="3DB04A46" w14:textId="77777777" w:rsidR="00D75963" w:rsidRPr="00652E20" w:rsidRDefault="00D75963" w:rsidP="00D75963">
            <w:pPr>
              <w:jc w:val="center"/>
            </w:pPr>
            <w:r w:rsidRPr="00652E20">
              <w:t>0.73</w:t>
            </w:r>
          </w:p>
        </w:tc>
        <w:tc>
          <w:tcPr>
            <w:tcW w:w="1530" w:type="dxa"/>
            <w:shd w:val="clear" w:color="auto" w:fill="auto"/>
            <w:noWrap/>
            <w:vAlign w:val="bottom"/>
          </w:tcPr>
          <w:p w14:paraId="2F1E2B8F" w14:textId="77777777" w:rsidR="00D75963" w:rsidRPr="00652E20" w:rsidRDefault="00D75963" w:rsidP="00D75963">
            <w:pPr>
              <w:jc w:val="center"/>
            </w:pPr>
            <w:r w:rsidRPr="00652E20">
              <w:t>0.60</w:t>
            </w:r>
          </w:p>
        </w:tc>
      </w:tr>
      <w:tr w:rsidR="00D75963" w:rsidRPr="001D317B" w14:paraId="12628E24" w14:textId="21532B1F" w:rsidTr="00D75963">
        <w:trPr>
          <w:trHeight w:val="255"/>
        </w:trPr>
        <w:tc>
          <w:tcPr>
            <w:tcW w:w="3690" w:type="dxa"/>
            <w:shd w:val="clear" w:color="auto" w:fill="auto"/>
            <w:noWrap/>
            <w:vAlign w:val="bottom"/>
          </w:tcPr>
          <w:p w14:paraId="63FCC30E" w14:textId="77777777" w:rsidR="00D75963" w:rsidRPr="00652E20" w:rsidRDefault="00D75963" w:rsidP="00D75963">
            <w:r w:rsidRPr="00652E20">
              <w:t>99% UCL on the Mean = long term avg.</w:t>
            </w:r>
          </w:p>
        </w:tc>
        <w:tc>
          <w:tcPr>
            <w:tcW w:w="1561" w:type="dxa"/>
            <w:vAlign w:val="bottom"/>
          </w:tcPr>
          <w:p w14:paraId="48858514" w14:textId="21CB4B54" w:rsidR="00D75963" w:rsidRPr="00652E20" w:rsidRDefault="00D75963" w:rsidP="00D75963">
            <w:pPr>
              <w:jc w:val="center"/>
            </w:pPr>
            <w:r w:rsidRPr="00652E20">
              <w:t>0.005547</w:t>
            </w:r>
          </w:p>
        </w:tc>
        <w:tc>
          <w:tcPr>
            <w:tcW w:w="1561" w:type="dxa"/>
            <w:shd w:val="clear" w:color="auto" w:fill="auto"/>
            <w:noWrap/>
            <w:vAlign w:val="bottom"/>
          </w:tcPr>
          <w:p w14:paraId="72D3ECD7" w14:textId="2BA087C6" w:rsidR="00D75963" w:rsidRPr="00652E20" w:rsidRDefault="00D75963" w:rsidP="00D75963">
            <w:pPr>
              <w:jc w:val="center"/>
            </w:pPr>
            <w:r w:rsidRPr="00652E20">
              <w:t>0.00025</w:t>
            </w:r>
          </w:p>
        </w:tc>
        <w:tc>
          <w:tcPr>
            <w:tcW w:w="1435" w:type="dxa"/>
            <w:shd w:val="clear" w:color="auto" w:fill="auto"/>
            <w:noWrap/>
            <w:vAlign w:val="bottom"/>
          </w:tcPr>
          <w:p w14:paraId="5F31D201" w14:textId="77777777" w:rsidR="00D75963" w:rsidRPr="00652E20" w:rsidRDefault="00D75963" w:rsidP="00D75963">
            <w:pPr>
              <w:jc w:val="center"/>
            </w:pPr>
            <w:r w:rsidRPr="00652E20">
              <w:t>0.000402</w:t>
            </w:r>
          </w:p>
        </w:tc>
        <w:tc>
          <w:tcPr>
            <w:tcW w:w="1530" w:type="dxa"/>
            <w:shd w:val="clear" w:color="auto" w:fill="auto"/>
            <w:noWrap/>
            <w:vAlign w:val="bottom"/>
          </w:tcPr>
          <w:p w14:paraId="155253B9" w14:textId="77777777" w:rsidR="00D75963" w:rsidRPr="00652E20" w:rsidRDefault="00D75963" w:rsidP="00D75963">
            <w:pPr>
              <w:jc w:val="center"/>
            </w:pPr>
            <w:r w:rsidRPr="00652E20">
              <w:t>0.005678</w:t>
            </w:r>
          </w:p>
        </w:tc>
      </w:tr>
      <w:tr w:rsidR="00D75963" w:rsidRPr="001D317B" w14:paraId="295D18E8" w14:textId="2D326110" w:rsidTr="00D75963">
        <w:trPr>
          <w:trHeight w:val="255"/>
        </w:trPr>
        <w:tc>
          <w:tcPr>
            <w:tcW w:w="3690" w:type="dxa"/>
            <w:shd w:val="clear" w:color="auto" w:fill="auto"/>
            <w:noWrap/>
            <w:vAlign w:val="bottom"/>
          </w:tcPr>
          <w:p w14:paraId="69F3BBD0" w14:textId="21CC0E67" w:rsidR="00D75963" w:rsidRPr="00652E20" w:rsidRDefault="00D75963" w:rsidP="00D75963">
            <w:r w:rsidRPr="00652E20">
              <w:t xml:space="preserve">AMEL multiplier95 from </w:t>
            </w:r>
            <w:r w:rsidR="00EE0813">
              <w:t>U.S. EPA</w:t>
            </w:r>
            <w:r w:rsidRPr="00652E20">
              <w:t xml:space="preserve"> TSD</w:t>
            </w:r>
          </w:p>
        </w:tc>
        <w:tc>
          <w:tcPr>
            <w:tcW w:w="1561" w:type="dxa"/>
            <w:vAlign w:val="bottom"/>
          </w:tcPr>
          <w:p w14:paraId="0BA7219C" w14:textId="0F158878" w:rsidR="00D75963" w:rsidRPr="00652E20" w:rsidRDefault="00D75963" w:rsidP="00D75963">
            <w:pPr>
              <w:jc w:val="center"/>
            </w:pPr>
            <w:r w:rsidRPr="00652E20">
              <w:t>2.13</w:t>
            </w:r>
          </w:p>
        </w:tc>
        <w:tc>
          <w:tcPr>
            <w:tcW w:w="1561" w:type="dxa"/>
            <w:shd w:val="clear" w:color="auto" w:fill="auto"/>
            <w:noWrap/>
            <w:vAlign w:val="bottom"/>
          </w:tcPr>
          <w:p w14:paraId="4679185E" w14:textId="454F3B6A" w:rsidR="00D75963" w:rsidRPr="00652E20" w:rsidRDefault="00D75963" w:rsidP="00D75963">
            <w:pPr>
              <w:jc w:val="center"/>
            </w:pPr>
            <w:r w:rsidRPr="00652E20">
              <w:t>1.58</w:t>
            </w:r>
          </w:p>
        </w:tc>
        <w:tc>
          <w:tcPr>
            <w:tcW w:w="1435" w:type="dxa"/>
            <w:shd w:val="clear" w:color="auto" w:fill="auto"/>
            <w:noWrap/>
            <w:vAlign w:val="bottom"/>
          </w:tcPr>
          <w:p w14:paraId="171C0844" w14:textId="77777777" w:rsidR="00D75963" w:rsidRPr="00652E20" w:rsidRDefault="00D75963" w:rsidP="00D75963">
            <w:pPr>
              <w:jc w:val="center"/>
            </w:pPr>
            <w:r w:rsidRPr="00652E20">
              <w:t>2.37</w:t>
            </w:r>
          </w:p>
        </w:tc>
        <w:tc>
          <w:tcPr>
            <w:tcW w:w="1530" w:type="dxa"/>
            <w:shd w:val="clear" w:color="auto" w:fill="auto"/>
            <w:noWrap/>
            <w:vAlign w:val="bottom"/>
          </w:tcPr>
          <w:p w14:paraId="2975DAF1" w14:textId="77777777" w:rsidR="00D75963" w:rsidRPr="00652E20" w:rsidRDefault="00D75963" w:rsidP="00D75963">
            <w:pPr>
              <w:jc w:val="center"/>
            </w:pPr>
            <w:r w:rsidRPr="00652E20">
              <w:t>2.13</w:t>
            </w:r>
          </w:p>
        </w:tc>
      </w:tr>
      <w:tr w:rsidR="00D75963" w:rsidRPr="001D317B" w14:paraId="55F8814F" w14:textId="3E536A01" w:rsidTr="00D75963">
        <w:trPr>
          <w:trHeight w:val="255"/>
        </w:trPr>
        <w:tc>
          <w:tcPr>
            <w:tcW w:w="3690" w:type="dxa"/>
            <w:shd w:val="clear" w:color="auto" w:fill="auto"/>
            <w:noWrap/>
            <w:vAlign w:val="bottom"/>
          </w:tcPr>
          <w:p w14:paraId="73914F73" w14:textId="44E924E1" w:rsidR="00D75963" w:rsidRPr="00652E20" w:rsidRDefault="00D75963" w:rsidP="00D75963">
            <w:r w:rsidRPr="00652E20">
              <w:t xml:space="preserve">MDEL multiplier99 from </w:t>
            </w:r>
            <w:r w:rsidR="00EE0813">
              <w:t>U.S. EPA</w:t>
            </w:r>
            <w:r w:rsidRPr="00652E20">
              <w:t xml:space="preserve"> TSD</w:t>
            </w:r>
          </w:p>
        </w:tc>
        <w:tc>
          <w:tcPr>
            <w:tcW w:w="1561" w:type="dxa"/>
            <w:vAlign w:val="bottom"/>
          </w:tcPr>
          <w:p w14:paraId="7BBB84F7" w14:textId="48212ADA" w:rsidR="00D75963" w:rsidRPr="00652E20" w:rsidRDefault="00D75963" w:rsidP="00D75963">
            <w:pPr>
              <w:jc w:val="center"/>
            </w:pPr>
            <w:r w:rsidRPr="00652E20">
              <w:t>3.11</w:t>
            </w:r>
          </w:p>
        </w:tc>
        <w:tc>
          <w:tcPr>
            <w:tcW w:w="1561" w:type="dxa"/>
            <w:shd w:val="clear" w:color="auto" w:fill="auto"/>
            <w:noWrap/>
            <w:vAlign w:val="bottom"/>
          </w:tcPr>
          <w:p w14:paraId="28A1E072" w14:textId="25C117D1" w:rsidR="00D75963" w:rsidRPr="00652E20" w:rsidRDefault="00D75963" w:rsidP="00D75963">
            <w:pPr>
              <w:jc w:val="center"/>
            </w:pPr>
            <w:r w:rsidRPr="00652E20">
              <w:t>1.94</w:t>
            </w:r>
          </w:p>
        </w:tc>
        <w:tc>
          <w:tcPr>
            <w:tcW w:w="1435" w:type="dxa"/>
            <w:shd w:val="clear" w:color="auto" w:fill="auto"/>
            <w:noWrap/>
            <w:vAlign w:val="bottom"/>
          </w:tcPr>
          <w:p w14:paraId="6D542007" w14:textId="77777777" w:rsidR="00D75963" w:rsidRPr="00652E20" w:rsidRDefault="00D75963" w:rsidP="00D75963">
            <w:pPr>
              <w:jc w:val="center"/>
            </w:pPr>
            <w:r w:rsidRPr="00652E20">
              <w:t>3.70</w:t>
            </w:r>
          </w:p>
        </w:tc>
        <w:tc>
          <w:tcPr>
            <w:tcW w:w="1530" w:type="dxa"/>
            <w:shd w:val="clear" w:color="auto" w:fill="auto"/>
            <w:noWrap/>
            <w:vAlign w:val="bottom"/>
          </w:tcPr>
          <w:p w14:paraId="4F5DA10E" w14:textId="77777777" w:rsidR="00D75963" w:rsidRPr="00652E20" w:rsidRDefault="00D75963" w:rsidP="00D75963">
            <w:pPr>
              <w:jc w:val="center"/>
            </w:pPr>
            <w:r w:rsidRPr="00652E20">
              <w:t>3.11</w:t>
            </w:r>
          </w:p>
        </w:tc>
      </w:tr>
      <w:tr w:rsidR="00D75963" w:rsidRPr="001D317B" w14:paraId="78F88A2B" w14:textId="7492B466" w:rsidTr="00D75963">
        <w:trPr>
          <w:trHeight w:val="255"/>
        </w:trPr>
        <w:tc>
          <w:tcPr>
            <w:tcW w:w="3690" w:type="dxa"/>
            <w:shd w:val="clear" w:color="auto" w:fill="auto"/>
            <w:noWrap/>
            <w:vAlign w:val="bottom"/>
          </w:tcPr>
          <w:p w14:paraId="39858AC4" w14:textId="77777777" w:rsidR="00D75963" w:rsidRPr="00D75963" w:rsidRDefault="00D75963" w:rsidP="00D75963">
            <w:pPr>
              <w:rPr>
                <w:b/>
              </w:rPr>
            </w:pPr>
            <w:r w:rsidRPr="00D75963">
              <w:rPr>
                <w:b/>
              </w:rPr>
              <w:t>AMEL</w:t>
            </w:r>
          </w:p>
        </w:tc>
        <w:tc>
          <w:tcPr>
            <w:tcW w:w="1561" w:type="dxa"/>
            <w:vAlign w:val="bottom"/>
          </w:tcPr>
          <w:p w14:paraId="78322389" w14:textId="3B75BD12" w:rsidR="00D75963" w:rsidRPr="00D75963" w:rsidRDefault="00D75963" w:rsidP="00D75963">
            <w:pPr>
              <w:jc w:val="center"/>
              <w:rPr>
                <w:b/>
              </w:rPr>
            </w:pPr>
            <w:r w:rsidRPr="00D75963">
              <w:rPr>
                <w:b/>
              </w:rPr>
              <w:t>0.012</w:t>
            </w:r>
          </w:p>
        </w:tc>
        <w:tc>
          <w:tcPr>
            <w:tcW w:w="1561" w:type="dxa"/>
            <w:shd w:val="clear" w:color="auto" w:fill="auto"/>
            <w:noWrap/>
            <w:vAlign w:val="bottom"/>
          </w:tcPr>
          <w:p w14:paraId="53295D97" w14:textId="63E8E1FA" w:rsidR="00D75963" w:rsidRPr="00D75963" w:rsidRDefault="00D75963" w:rsidP="00D75963">
            <w:pPr>
              <w:jc w:val="center"/>
              <w:rPr>
                <w:b/>
              </w:rPr>
            </w:pPr>
            <w:r w:rsidRPr="00D75963">
              <w:rPr>
                <w:b/>
              </w:rPr>
              <w:t>0.00039</w:t>
            </w:r>
          </w:p>
        </w:tc>
        <w:tc>
          <w:tcPr>
            <w:tcW w:w="1435" w:type="dxa"/>
            <w:shd w:val="clear" w:color="auto" w:fill="auto"/>
            <w:noWrap/>
            <w:vAlign w:val="bottom"/>
          </w:tcPr>
          <w:p w14:paraId="731337CA" w14:textId="77777777" w:rsidR="00D75963" w:rsidRPr="00D75963" w:rsidRDefault="00D75963" w:rsidP="00D75963">
            <w:pPr>
              <w:jc w:val="center"/>
              <w:rPr>
                <w:b/>
              </w:rPr>
            </w:pPr>
            <w:r w:rsidRPr="00D75963">
              <w:rPr>
                <w:b/>
              </w:rPr>
              <w:t>0.00095</w:t>
            </w:r>
          </w:p>
        </w:tc>
        <w:tc>
          <w:tcPr>
            <w:tcW w:w="1530" w:type="dxa"/>
            <w:shd w:val="clear" w:color="auto" w:fill="auto"/>
            <w:noWrap/>
            <w:vAlign w:val="bottom"/>
          </w:tcPr>
          <w:p w14:paraId="435041C9" w14:textId="77777777" w:rsidR="00D75963" w:rsidRPr="00D75963" w:rsidRDefault="00D75963" w:rsidP="00D75963">
            <w:pPr>
              <w:jc w:val="center"/>
              <w:rPr>
                <w:b/>
              </w:rPr>
            </w:pPr>
            <w:r w:rsidRPr="00D75963">
              <w:rPr>
                <w:b/>
              </w:rPr>
              <w:t>0.012</w:t>
            </w:r>
          </w:p>
        </w:tc>
      </w:tr>
      <w:tr w:rsidR="00D75963" w:rsidRPr="001D317B" w14:paraId="31115194" w14:textId="45C5B713" w:rsidTr="00D75963">
        <w:trPr>
          <w:trHeight w:val="255"/>
        </w:trPr>
        <w:tc>
          <w:tcPr>
            <w:tcW w:w="3690" w:type="dxa"/>
            <w:shd w:val="clear" w:color="auto" w:fill="auto"/>
            <w:noWrap/>
            <w:vAlign w:val="bottom"/>
          </w:tcPr>
          <w:p w14:paraId="71D97EC4" w14:textId="77777777" w:rsidR="00D75963" w:rsidRPr="00D75963" w:rsidRDefault="00D75963" w:rsidP="00D75963">
            <w:pPr>
              <w:rPr>
                <w:b/>
              </w:rPr>
            </w:pPr>
            <w:r w:rsidRPr="00D75963">
              <w:rPr>
                <w:b/>
              </w:rPr>
              <w:t>MDEL</w:t>
            </w:r>
          </w:p>
        </w:tc>
        <w:tc>
          <w:tcPr>
            <w:tcW w:w="1561" w:type="dxa"/>
            <w:vAlign w:val="bottom"/>
          </w:tcPr>
          <w:p w14:paraId="6F9ED3C9" w14:textId="2EE32725" w:rsidR="00D75963" w:rsidRPr="00D75963" w:rsidRDefault="00D75963" w:rsidP="00D75963">
            <w:pPr>
              <w:jc w:val="center"/>
              <w:rPr>
                <w:b/>
              </w:rPr>
            </w:pPr>
            <w:r w:rsidRPr="00D75963">
              <w:rPr>
                <w:b/>
              </w:rPr>
              <w:t>0.017</w:t>
            </w:r>
          </w:p>
        </w:tc>
        <w:tc>
          <w:tcPr>
            <w:tcW w:w="1561" w:type="dxa"/>
            <w:shd w:val="clear" w:color="auto" w:fill="auto"/>
            <w:noWrap/>
            <w:vAlign w:val="bottom"/>
          </w:tcPr>
          <w:p w14:paraId="3FE11BD1" w14:textId="368A384E" w:rsidR="00D75963" w:rsidRPr="00D75963" w:rsidRDefault="00D75963" w:rsidP="00D75963">
            <w:pPr>
              <w:jc w:val="center"/>
              <w:rPr>
                <w:b/>
              </w:rPr>
            </w:pPr>
            <w:r w:rsidRPr="00D75963">
              <w:rPr>
                <w:b/>
              </w:rPr>
              <w:t>0.00049</w:t>
            </w:r>
          </w:p>
        </w:tc>
        <w:tc>
          <w:tcPr>
            <w:tcW w:w="1435" w:type="dxa"/>
            <w:shd w:val="clear" w:color="auto" w:fill="auto"/>
            <w:noWrap/>
            <w:vAlign w:val="bottom"/>
          </w:tcPr>
          <w:p w14:paraId="039EA166" w14:textId="77777777" w:rsidR="00D75963" w:rsidRPr="00D75963" w:rsidRDefault="00D75963" w:rsidP="00D75963">
            <w:pPr>
              <w:jc w:val="center"/>
              <w:rPr>
                <w:b/>
              </w:rPr>
            </w:pPr>
            <w:r w:rsidRPr="00D75963">
              <w:rPr>
                <w:b/>
              </w:rPr>
              <w:t>0.0015</w:t>
            </w:r>
          </w:p>
        </w:tc>
        <w:tc>
          <w:tcPr>
            <w:tcW w:w="1530" w:type="dxa"/>
            <w:shd w:val="clear" w:color="auto" w:fill="auto"/>
            <w:noWrap/>
            <w:vAlign w:val="bottom"/>
          </w:tcPr>
          <w:p w14:paraId="77A28691" w14:textId="77777777" w:rsidR="00D75963" w:rsidRPr="00D75963" w:rsidRDefault="00D75963" w:rsidP="00D75963">
            <w:pPr>
              <w:jc w:val="center"/>
              <w:rPr>
                <w:b/>
              </w:rPr>
            </w:pPr>
            <w:r w:rsidRPr="00D75963">
              <w:rPr>
                <w:b/>
              </w:rPr>
              <w:t>0.018</w:t>
            </w:r>
          </w:p>
        </w:tc>
      </w:tr>
    </w:tbl>
    <w:p w14:paraId="55B89E7A" w14:textId="77777777" w:rsidR="00652E20" w:rsidRPr="000A5445" w:rsidRDefault="00652E20" w:rsidP="00606E49">
      <w:pPr>
        <w:rPr>
          <w:bCs/>
          <w:sz w:val="24"/>
          <w:szCs w:val="24"/>
        </w:rPr>
      </w:pPr>
    </w:p>
    <w:p w14:paraId="36046A4A" w14:textId="4F18913A" w:rsidR="00A668A8" w:rsidRDefault="00606E49" w:rsidP="00606E49">
      <w:pPr>
        <w:spacing w:after="240"/>
        <w:ind w:left="1440"/>
        <w:rPr>
          <w:bCs/>
          <w:sz w:val="24"/>
          <w:szCs w:val="24"/>
        </w:rPr>
      </w:pPr>
      <w:r>
        <w:rPr>
          <w:bCs/>
          <w:sz w:val="24"/>
          <w:szCs w:val="24"/>
        </w:rPr>
        <w:t xml:space="preserve">These limitations are based on data for 40 congeners that are representative surrogates for the PCBs causing impairment. </w:t>
      </w:r>
      <w:r w:rsidRPr="00606E49">
        <w:rPr>
          <w:bCs/>
          <w:sz w:val="24"/>
          <w:szCs w:val="24"/>
        </w:rPr>
        <w:t xml:space="preserve">These 40 congeners are the same ones monitored in the </w:t>
      </w:r>
      <w:r w:rsidRPr="00606E49">
        <w:rPr>
          <w:bCs/>
          <w:sz w:val="24"/>
          <w:szCs w:val="24"/>
        </w:rPr>
        <w:lastRenderedPageBreak/>
        <w:t>Regional Monitoring Program (using</w:t>
      </w:r>
      <w:r>
        <w:rPr>
          <w:bCs/>
          <w:sz w:val="24"/>
          <w:szCs w:val="24"/>
        </w:rPr>
        <w:t xml:space="preserve"> U</w:t>
      </w:r>
      <w:r w:rsidR="00C5538C">
        <w:rPr>
          <w:bCs/>
          <w:sz w:val="24"/>
          <w:szCs w:val="24"/>
        </w:rPr>
        <w:t>.</w:t>
      </w:r>
      <w:r>
        <w:rPr>
          <w:bCs/>
          <w:sz w:val="24"/>
          <w:szCs w:val="24"/>
        </w:rPr>
        <w:t>S</w:t>
      </w:r>
      <w:r w:rsidR="00C5538C">
        <w:rPr>
          <w:bCs/>
          <w:sz w:val="24"/>
          <w:szCs w:val="24"/>
        </w:rPr>
        <w:t xml:space="preserve">. </w:t>
      </w:r>
      <w:r>
        <w:rPr>
          <w:bCs/>
          <w:sz w:val="24"/>
          <w:szCs w:val="24"/>
        </w:rPr>
        <w:t>EPA</w:t>
      </w:r>
      <w:r w:rsidR="00C5538C">
        <w:rPr>
          <w:bCs/>
          <w:sz w:val="24"/>
          <w:szCs w:val="24"/>
        </w:rPr>
        <w:t xml:space="preserve"> Method 1668A</w:t>
      </w:r>
      <w:r w:rsidRPr="00606E49">
        <w:rPr>
          <w:bCs/>
          <w:sz w:val="24"/>
          <w:szCs w:val="24"/>
        </w:rPr>
        <w:t xml:space="preserve">) that formed the basis for the impairment. As some other congeners co-elute with these 40 congeners (using </w:t>
      </w:r>
      <w:r>
        <w:rPr>
          <w:bCs/>
          <w:sz w:val="24"/>
          <w:szCs w:val="24"/>
        </w:rPr>
        <w:t>U</w:t>
      </w:r>
      <w:r w:rsidR="00C5538C">
        <w:rPr>
          <w:bCs/>
          <w:sz w:val="24"/>
          <w:szCs w:val="24"/>
        </w:rPr>
        <w:t>.</w:t>
      </w:r>
      <w:r>
        <w:rPr>
          <w:bCs/>
          <w:sz w:val="24"/>
          <w:szCs w:val="24"/>
        </w:rPr>
        <w:t>S</w:t>
      </w:r>
      <w:r w:rsidR="00C5538C">
        <w:rPr>
          <w:bCs/>
          <w:sz w:val="24"/>
          <w:szCs w:val="24"/>
        </w:rPr>
        <w:t xml:space="preserve">. </w:t>
      </w:r>
      <w:r>
        <w:rPr>
          <w:bCs/>
          <w:sz w:val="24"/>
          <w:szCs w:val="24"/>
        </w:rPr>
        <w:t xml:space="preserve">EPA </w:t>
      </w:r>
      <w:r w:rsidR="00C5538C">
        <w:rPr>
          <w:bCs/>
          <w:sz w:val="24"/>
          <w:szCs w:val="24"/>
        </w:rPr>
        <w:t>Method 1668C</w:t>
      </w:r>
      <w:r w:rsidRPr="00606E49">
        <w:rPr>
          <w:bCs/>
          <w:sz w:val="24"/>
          <w:szCs w:val="24"/>
        </w:rPr>
        <w:t>), the concentrations of as many as 66 congeners, if the laboratory uses a SB</w:t>
      </w:r>
      <w:r>
        <w:rPr>
          <w:bCs/>
          <w:sz w:val="24"/>
          <w:szCs w:val="24"/>
        </w:rPr>
        <w:t>-Octyl column (shown in Table F-9</w:t>
      </w:r>
      <w:r w:rsidRPr="00606E49">
        <w:rPr>
          <w:bCs/>
          <w:sz w:val="24"/>
          <w:szCs w:val="24"/>
        </w:rPr>
        <w:t xml:space="preserve"> below), or as many as 59 congeners, if the laboratory uses a DB-1 column (shown in Table F-</w:t>
      </w:r>
      <w:r w:rsidR="00C5538C">
        <w:rPr>
          <w:bCs/>
          <w:sz w:val="24"/>
          <w:szCs w:val="24"/>
        </w:rPr>
        <w:t>10</w:t>
      </w:r>
      <w:r w:rsidRPr="00606E49">
        <w:rPr>
          <w:bCs/>
          <w:sz w:val="24"/>
          <w:szCs w:val="24"/>
        </w:rPr>
        <w:t xml:space="preserve"> below), form the basis for the limits. Therefore, it would be reasonable and consistent with the</w:t>
      </w:r>
      <w:r w:rsidR="00C5538C">
        <w:rPr>
          <w:bCs/>
          <w:sz w:val="24"/>
          <w:szCs w:val="24"/>
        </w:rPr>
        <w:t xml:space="preserve"> San Francisco Bay</w:t>
      </w:r>
      <w:r w:rsidRPr="00606E49">
        <w:rPr>
          <w:bCs/>
          <w:sz w:val="24"/>
          <w:szCs w:val="24"/>
        </w:rPr>
        <w:t xml:space="preserve"> PCBs TMDL (if U</w:t>
      </w:r>
      <w:r w:rsidR="00C5538C">
        <w:rPr>
          <w:bCs/>
          <w:sz w:val="24"/>
          <w:szCs w:val="24"/>
        </w:rPr>
        <w:t>.</w:t>
      </w:r>
      <w:r w:rsidRPr="00606E49">
        <w:rPr>
          <w:bCs/>
          <w:sz w:val="24"/>
          <w:szCs w:val="24"/>
        </w:rPr>
        <w:t>S</w:t>
      </w:r>
      <w:r w:rsidR="00C5538C">
        <w:rPr>
          <w:bCs/>
          <w:sz w:val="24"/>
          <w:szCs w:val="24"/>
        </w:rPr>
        <w:t>. EPA Proposed Method 1668C</w:t>
      </w:r>
      <w:r w:rsidRPr="00606E49">
        <w:rPr>
          <w:bCs/>
          <w:sz w:val="24"/>
          <w:szCs w:val="24"/>
        </w:rPr>
        <w:t xml:space="preserve"> is an approved method at the time of the next permit reissuance) that any future compliance with effluent limit</w:t>
      </w:r>
      <w:r w:rsidR="00C5538C">
        <w:rPr>
          <w:bCs/>
          <w:sz w:val="24"/>
          <w:szCs w:val="24"/>
        </w:rPr>
        <w:t>ation</w:t>
      </w:r>
      <w:r w:rsidRPr="00606E49">
        <w:rPr>
          <w:bCs/>
          <w:sz w:val="24"/>
          <w:szCs w:val="24"/>
        </w:rPr>
        <w:t>s be determined using the same congeners that were used in the derivation of the limits specified in this Order.</w:t>
      </w:r>
    </w:p>
    <w:p w14:paraId="6054DD4F" w14:textId="77777777" w:rsidR="0080326D" w:rsidRDefault="0080326D" w:rsidP="0080326D">
      <w:pPr>
        <w:pStyle w:val="H-indent5025"/>
        <w:tabs>
          <w:tab w:val="clear" w:pos="1080"/>
          <w:tab w:val="left" w:pos="720"/>
        </w:tabs>
        <w:spacing w:after="0"/>
        <w:ind w:left="720" w:firstLine="0"/>
        <w:contextualSpacing/>
        <w:jc w:val="center"/>
        <w:rPr>
          <w:rFonts w:ascii="Times New Roman" w:hAnsi="Times New Roman" w:cs="Times New Roman"/>
          <w:b/>
          <w:color w:val="000000" w:themeColor="text1"/>
        </w:rPr>
      </w:pPr>
      <w:r w:rsidRPr="00132D28">
        <w:rPr>
          <w:rFonts w:ascii="Times New Roman" w:hAnsi="Times New Roman" w:cs="Times New Roman"/>
          <w:b/>
          <w:color w:val="000000" w:themeColor="text1"/>
        </w:rPr>
        <w:t xml:space="preserve">Table </w:t>
      </w:r>
      <w:r>
        <w:rPr>
          <w:rFonts w:ascii="Times New Roman" w:hAnsi="Times New Roman" w:cs="Times New Roman"/>
          <w:b/>
          <w:color w:val="000000" w:themeColor="text1"/>
        </w:rPr>
        <w:t>F-9</w:t>
      </w:r>
      <w:r w:rsidRPr="00132D28">
        <w:rPr>
          <w:rFonts w:ascii="Times New Roman" w:hAnsi="Times New Roman" w:cs="Times New Roman"/>
          <w:b/>
          <w:color w:val="000000" w:themeColor="text1"/>
        </w:rPr>
        <w:t xml:space="preserve">.  </w:t>
      </w:r>
      <w:r>
        <w:rPr>
          <w:rFonts w:ascii="Times New Roman" w:hAnsi="Times New Roman" w:cs="Times New Roman"/>
          <w:b/>
          <w:color w:val="000000" w:themeColor="text1"/>
        </w:rPr>
        <w:t xml:space="preserve">PCB Congeners, Including Co-Elution (IUPAC No.) </w:t>
      </w:r>
    </w:p>
    <w:p w14:paraId="7C882EEA" w14:textId="2698110C" w:rsidR="0080326D" w:rsidRPr="0080326D" w:rsidRDefault="0080326D" w:rsidP="0080326D">
      <w:pPr>
        <w:pStyle w:val="H-indent5025"/>
        <w:tabs>
          <w:tab w:val="clear" w:pos="1080"/>
          <w:tab w:val="left" w:pos="720"/>
        </w:tabs>
        <w:spacing w:after="0"/>
        <w:ind w:left="720" w:firstLine="0"/>
        <w:contextualSpacing/>
        <w:jc w:val="center"/>
        <w:rPr>
          <w:rFonts w:ascii="Times New Roman" w:hAnsi="Times New Roman" w:cs="Times New Roman"/>
          <w:b/>
          <w:color w:val="000000" w:themeColor="text1"/>
        </w:rPr>
      </w:pPr>
      <w:r>
        <w:rPr>
          <w:rFonts w:ascii="Times New Roman" w:hAnsi="Times New Roman" w:cs="Times New Roman"/>
          <w:b/>
          <w:color w:val="000000" w:themeColor="text1"/>
        </w:rPr>
        <w:t>with SB-Octyl Column for TMDL Development</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15" w:type="dxa"/>
          <w:right w:w="115" w:type="dxa"/>
        </w:tblCellMar>
        <w:tblLook w:val="0000" w:firstRow="0" w:lastRow="0" w:firstColumn="0" w:lastColumn="0" w:noHBand="0" w:noVBand="0"/>
      </w:tblPr>
      <w:tblGrid>
        <w:gridCol w:w="1031"/>
        <w:gridCol w:w="1031"/>
        <w:gridCol w:w="1031"/>
        <w:gridCol w:w="1031"/>
        <w:gridCol w:w="1152"/>
      </w:tblGrid>
      <w:tr w:rsidR="0080326D" w:rsidRPr="0080326D" w14:paraId="6608684F" w14:textId="77777777" w:rsidTr="004E61EE">
        <w:trPr>
          <w:trHeight w:val="300"/>
          <w:jc w:val="center"/>
        </w:trPr>
        <w:tc>
          <w:tcPr>
            <w:tcW w:w="0" w:type="auto"/>
            <w:shd w:val="clear" w:color="auto" w:fill="auto"/>
            <w:noWrap/>
          </w:tcPr>
          <w:p w14:paraId="01C7E0D1" w14:textId="77777777" w:rsidR="0080326D" w:rsidRPr="0080326D" w:rsidRDefault="0080326D" w:rsidP="00C17D2F">
            <w:pPr>
              <w:rPr>
                <w:bCs/>
                <w:sz w:val="22"/>
                <w:szCs w:val="22"/>
              </w:rPr>
            </w:pPr>
            <w:r w:rsidRPr="0080326D">
              <w:rPr>
                <w:bCs/>
                <w:sz w:val="22"/>
                <w:szCs w:val="22"/>
              </w:rPr>
              <w:t>PCB 005</w:t>
            </w:r>
          </w:p>
        </w:tc>
        <w:tc>
          <w:tcPr>
            <w:tcW w:w="0" w:type="auto"/>
            <w:shd w:val="clear" w:color="auto" w:fill="auto"/>
            <w:noWrap/>
          </w:tcPr>
          <w:p w14:paraId="6C085C7C" w14:textId="77777777" w:rsidR="0080326D" w:rsidRPr="0080326D" w:rsidRDefault="0080326D" w:rsidP="00C17D2F">
            <w:pPr>
              <w:rPr>
                <w:bCs/>
                <w:sz w:val="22"/>
                <w:szCs w:val="22"/>
              </w:rPr>
            </w:pPr>
            <w:r w:rsidRPr="0080326D">
              <w:rPr>
                <w:bCs/>
                <w:sz w:val="22"/>
                <w:szCs w:val="22"/>
              </w:rPr>
              <w:t>PCB 061</w:t>
            </w:r>
          </w:p>
        </w:tc>
        <w:tc>
          <w:tcPr>
            <w:tcW w:w="0" w:type="auto"/>
            <w:shd w:val="clear" w:color="auto" w:fill="auto"/>
            <w:noWrap/>
          </w:tcPr>
          <w:p w14:paraId="17D0E17C" w14:textId="77777777" w:rsidR="0080326D" w:rsidRPr="0080326D" w:rsidRDefault="0080326D" w:rsidP="00C17D2F">
            <w:pPr>
              <w:rPr>
                <w:bCs/>
                <w:sz w:val="22"/>
                <w:szCs w:val="22"/>
              </w:rPr>
            </w:pPr>
            <w:r w:rsidRPr="0080326D">
              <w:rPr>
                <w:bCs/>
                <w:sz w:val="22"/>
                <w:szCs w:val="22"/>
              </w:rPr>
              <w:t>PCB 099</w:t>
            </w:r>
          </w:p>
        </w:tc>
        <w:tc>
          <w:tcPr>
            <w:tcW w:w="0" w:type="auto"/>
            <w:shd w:val="clear" w:color="auto" w:fill="auto"/>
            <w:noWrap/>
          </w:tcPr>
          <w:p w14:paraId="436713C2" w14:textId="77777777" w:rsidR="0080326D" w:rsidRPr="0080326D" w:rsidRDefault="0080326D" w:rsidP="00C17D2F">
            <w:pPr>
              <w:rPr>
                <w:bCs/>
                <w:sz w:val="22"/>
                <w:szCs w:val="22"/>
              </w:rPr>
            </w:pPr>
            <w:r w:rsidRPr="0080326D">
              <w:rPr>
                <w:bCs/>
                <w:sz w:val="22"/>
                <w:szCs w:val="22"/>
              </w:rPr>
              <w:t>PCB 149</w:t>
            </w:r>
          </w:p>
        </w:tc>
        <w:tc>
          <w:tcPr>
            <w:tcW w:w="1152" w:type="dxa"/>
          </w:tcPr>
          <w:p w14:paraId="646DDEC7" w14:textId="77777777" w:rsidR="0080326D" w:rsidRPr="0080326D" w:rsidRDefault="0080326D" w:rsidP="00C17D2F">
            <w:pPr>
              <w:rPr>
                <w:bCs/>
                <w:sz w:val="22"/>
                <w:szCs w:val="22"/>
              </w:rPr>
            </w:pPr>
            <w:r w:rsidRPr="0080326D">
              <w:rPr>
                <w:bCs/>
                <w:sz w:val="22"/>
                <w:szCs w:val="22"/>
              </w:rPr>
              <w:t>PCB 181</w:t>
            </w:r>
          </w:p>
        </w:tc>
      </w:tr>
      <w:tr w:rsidR="0080326D" w:rsidRPr="0080326D" w14:paraId="7C532B8F" w14:textId="77777777" w:rsidTr="004E61EE">
        <w:trPr>
          <w:trHeight w:val="300"/>
          <w:jc w:val="center"/>
        </w:trPr>
        <w:tc>
          <w:tcPr>
            <w:tcW w:w="0" w:type="auto"/>
            <w:shd w:val="clear" w:color="auto" w:fill="auto"/>
            <w:noWrap/>
          </w:tcPr>
          <w:p w14:paraId="6B968DBE" w14:textId="77777777" w:rsidR="0080326D" w:rsidRPr="0080326D" w:rsidRDefault="0080326D" w:rsidP="00C17D2F">
            <w:pPr>
              <w:rPr>
                <w:bCs/>
                <w:sz w:val="22"/>
                <w:szCs w:val="22"/>
              </w:rPr>
            </w:pPr>
            <w:r w:rsidRPr="0080326D">
              <w:rPr>
                <w:bCs/>
                <w:sz w:val="22"/>
                <w:szCs w:val="22"/>
              </w:rPr>
              <w:t>PCB 008</w:t>
            </w:r>
          </w:p>
        </w:tc>
        <w:tc>
          <w:tcPr>
            <w:tcW w:w="0" w:type="auto"/>
            <w:shd w:val="clear" w:color="auto" w:fill="auto"/>
            <w:noWrap/>
          </w:tcPr>
          <w:p w14:paraId="09C89336" w14:textId="77777777" w:rsidR="0080326D" w:rsidRPr="0080326D" w:rsidRDefault="0080326D" w:rsidP="00C17D2F">
            <w:pPr>
              <w:rPr>
                <w:bCs/>
                <w:sz w:val="22"/>
                <w:szCs w:val="22"/>
              </w:rPr>
            </w:pPr>
            <w:r w:rsidRPr="0080326D">
              <w:rPr>
                <w:bCs/>
                <w:sz w:val="22"/>
                <w:szCs w:val="22"/>
              </w:rPr>
              <w:t>PCB 066</w:t>
            </w:r>
          </w:p>
        </w:tc>
        <w:tc>
          <w:tcPr>
            <w:tcW w:w="0" w:type="auto"/>
            <w:shd w:val="clear" w:color="auto" w:fill="auto"/>
            <w:noWrap/>
          </w:tcPr>
          <w:p w14:paraId="6EC4225B" w14:textId="77777777" w:rsidR="0080326D" w:rsidRPr="0080326D" w:rsidRDefault="0080326D" w:rsidP="00C17D2F">
            <w:pPr>
              <w:rPr>
                <w:bCs/>
                <w:sz w:val="22"/>
                <w:szCs w:val="22"/>
              </w:rPr>
            </w:pPr>
            <w:r w:rsidRPr="0080326D">
              <w:rPr>
                <w:bCs/>
                <w:sz w:val="22"/>
                <w:szCs w:val="22"/>
              </w:rPr>
              <w:t>PCB 101</w:t>
            </w:r>
          </w:p>
        </w:tc>
        <w:tc>
          <w:tcPr>
            <w:tcW w:w="0" w:type="auto"/>
            <w:shd w:val="clear" w:color="auto" w:fill="auto"/>
            <w:noWrap/>
          </w:tcPr>
          <w:p w14:paraId="7566EF8C" w14:textId="77777777" w:rsidR="0080326D" w:rsidRPr="0080326D" w:rsidRDefault="0080326D" w:rsidP="00C17D2F">
            <w:pPr>
              <w:rPr>
                <w:bCs/>
                <w:sz w:val="22"/>
                <w:szCs w:val="22"/>
              </w:rPr>
            </w:pPr>
            <w:r w:rsidRPr="0080326D">
              <w:rPr>
                <w:bCs/>
                <w:sz w:val="22"/>
                <w:szCs w:val="22"/>
              </w:rPr>
              <w:t>PCB 151</w:t>
            </w:r>
          </w:p>
        </w:tc>
        <w:tc>
          <w:tcPr>
            <w:tcW w:w="1152" w:type="dxa"/>
          </w:tcPr>
          <w:p w14:paraId="0900BCAF" w14:textId="77777777" w:rsidR="0080326D" w:rsidRPr="0080326D" w:rsidRDefault="0080326D" w:rsidP="00C17D2F">
            <w:pPr>
              <w:rPr>
                <w:bCs/>
                <w:sz w:val="22"/>
                <w:szCs w:val="22"/>
              </w:rPr>
            </w:pPr>
            <w:r w:rsidRPr="0080326D">
              <w:rPr>
                <w:bCs/>
                <w:sz w:val="22"/>
                <w:szCs w:val="22"/>
              </w:rPr>
              <w:t>PCB 182</w:t>
            </w:r>
          </w:p>
        </w:tc>
      </w:tr>
      <w:tr w:rsidR="0080326D" w:rsidRPr="0080326D" w14:paraId="70B9BD73" w14:textId="77777777" w:rsidTr="004E61EE">
        <w:trPr>
          <w:trHeight w:val="300"/>
          <w:jc w:val="center"/>
        </w:trPr>
        <w:tc>
          <w:tcPr>
            <w:tcW w:w="0" w:type="auto"/>
            <w:shd w:val="clear" w:color="auto" w:fill="auto"/>
            <w:noWrap/>
          </w:tcPr>
          <w:p w14:paraId="1DBB10AD" w14:textId="77777777" w:rsidR="0080326D" w:rsidRPr="0080326D" w:rsidRDefault="0080326D" w:rsidP="00C17D2F">
            <w:pPr>
              <w:rPr>
                <w:bCs/>
                <w:sz w:val="22"/>
                <w:szCs w:val="22"/>
              </w:rPr>
            </w:pPr>
            <w:r w:rsidRPr="0080326D">
              <w:rPr>
                <w:bCs/>
                <w:sz w:val="22"/>
                <w:szCs w:val="22"/>
              </w:rPr>
              <w:t>PCB 018</w:t>
            </w:r>
          </w:p>
        </w:tc>
        <w:tc>
          <w:tcPr>
            <w:tcW w:w="0" w:type="auto"/>
            <w:shd w:val="clear" w:color="auto" w:fill="auto"/>
            <w:noWrap/>
          </w:tcPr>
          <w:p w14:paraId="2C7B7CEA" w14:textId="77777777" w:rsidR="0080326D" w:rsidRPr="0080326D" w:rsidRDefault="0080326D" w:rsidP="00C17D2F">
            <w:pPr>
              <w:rPr>
                <w:bCs/>
                <w:sz w:val="22"/>
                <w:szCs w:val="22"/>
              </w:rPr>
            </w:pPr>
            <w:r w:rsidRPr="0080326D">
              <w:rPr>
                <w:bCs/>
                <w:sz w:val="22"/>
                <w:szCs w:val="22"/>
              </w:rPr>
              <w:t>PCB 070</w:t>
            </w:r>
          </w:p>
        </w:tc>
        <w:tc>
          <w:tcPr>
            <w:tcW w:w="0" w:type="auto"/>
            <w:shd w:val="clear" w:color="auto" w:fill="auto"/>
            <w:noWrap/>
          </w:tcPr>
          <w:p w14:paraId="1873DC1A" w14:textId="77777777" w:rsidR="0080326D" w:rsidRPr="0080326D" w:rsidRDefault="0080326D" w:rsidP="00C17D2F">
            <w:pPr>
              <w:rPr>
                <w:bCs/>
                <w:sz w:val="22"/>
                <w:szCs w:val="22"/>
              </w:rPr>
            </w:pPr>
            <w:r w:rsidRPr="0080326D">
              <w:rPr>
                <w:bCs/>
                <w:sz w:val="22"/>
                <w:szCs w:val="22"/>
              </w:rPr>
              <w:t>PCB 105</w:t>
            </w:r>
          </w:p>
        </w:tc>
        <w:tc>
          <w:tcPr>
            <w:tcW w:w="0" w:type="auto"/>
            <w:shd w:val="clear" w:color="auto" w:fill="auto"/>
            <w:noWrap/>
          </w:tcPr>
          <w:p w14:paraId="2FCF82AD" w14:textId="77777777" w:rsidR="0080326D" w:rsidRPr="0080326D" w:rsidRDefault="0080326D" w:rsidP="00C17D2F">
            <w:pPr>
              <w:rPr>
                <w:bCs/>
                <w:sz w:val="22"/>
                <w:szCs w:val="22"/>
              </w:rPr>
            </w:pPr>
            <w:r w:rsidRPr="0080326D">
              <w:rPr>
                <w:bCs/>
                <w:sz w:val="22"/>
                <w:szCs w:val="22"/>
              </w:rPr>
              <w:t>PCB 153</w:t>
            </w:r>
          </w:p>
        </w:tc>
        <w:tc>
          <w:tcPr>
            <w:tcW w:w="1152" w:type="dxa"/>
          </w:tcPr>
          <w:p w14:paraId="46D4E749" w14:textId="77777777" w:rsidR="0080326D" w:rsidRPr="0080326D" w:rsidRDefault="0080326D" w:rsidP="00C17D2F">
            <w:pPr>
              <w:rPr>
                <w:bCs/>
                <w:sz w:val="22"/>
                <w:szCs w:val="22"/>
              </w:rPr>
            </w:pPr>
            <w:r w:rsidRPr="0080326D">
              <w:rPr>
                <w:bCs/>
                <w:sz w:val="22"/>
                <w:szCs w:val="22"/>
              </w:rPr>
              <w:t>PCB 183</w:t>
            </w:r>
          </w:p>
        </w:tc>
      </w:tr>
      <w:tr w:rsidR="0080326D" w:rsidRPr="0080326D" w14:paraId="141F3DA8" w14:textId="77777777" w:rsidTr="004E61EE">
        <w:trPr>
          <w:trHeight w:val="300"/>
          <w:jc w:val="center"/>
        </w:trPr>
        <w:tc>
          <w:tcPr>
            <w:tcW w:w="0" w:type="auto"/>
            <w:shd w:val="clear" w:color="auto" w:fill="auto"/>
            <w:noWrap/>
          </w:tcPr>
          <w:p w14:paraId="20A5CE21" w14:textId="77777777" w:rsidR="0080326D" w:rsidRPr="0080326D" w:rsidRDefault="0080326D" w:rsidP="00C17D2F">
            <w:pPr>
              <w:rPr>
                <w:bCs/>
                <w:sz w:val="22"/>
                <w:szCs w:val="22"/>
              </w:rPr>
            </w:pPr>
            <w:r w:rsidRPr="0080326D">
              <w:rPr>
                <w:bCs/>
                <w:sz w:val="22"/>
                <w:szCs w:val="22"/>
              </w:rPr>
              <w:t>PCB 020</w:t>
            </w:r>
          </w:p>
        </w:tc>
        <w:tc>
          <w:tcPr>
            <w:tcW w:w="0" w:type="auto"/>
            <w:shd w:val="clear" w:color="auto" w:fill="auto"/>
            <w:noWrap/>
          </w:tcPr>
          <w:p w14:paraId="13E18A74" w14:textId="77777777" w:rsidR="0080326D" w:rsidRPr="0080326D" w:rsidRDefault="0080326D" w:rsidP="00C17D2F">
            <w:pPr>
              <w:rPr>
                <w:bCs/>
                <w:sz w:val="22"/>
                <w:szCs w:val="22"/>
              </w:rPr>
            </w:pPr>
            <w:r w:rsidRPr="0080326D">
              <w:rPr>
                <w:bCs/>
                <w:sz w:val="22"/>
                <w:szCs w:val="22"/>
              </w:rPr>
              <w:t>PCB 073</w:t>
            </w:r>
          </w:p>
        </w:tc>
        <w:tc>
          <w:tcPr>
            <w:tcW w:w="0" w:type="auto"/>
            <w:shd w:val="clear" w:color="auto" w:fill="auto"/>
            <w:noWrap/>
          </w:tcPr>
          <w:p w14:paraId="4E893C09" w14:textId="77777777" w:rsidR="0080326D" w:rsidRPr="0080326D" w:rsidRDefault="0080326D" w:rsidP="00C17D2F">
            <w:pPr>
              <w:rPr>
                <w:bCs/>
                <w:sz w:val="22"/>
                <w:szCs w:val="22"/>
              </w:rPr>
            </w:pPr>
            <w:r w:rsidRPr="0080326D">
              <w:rPr>
                <w:bCs/>
                <w:sz w:val="22"/>
                <w:szCs w:val="22"/>
              </w:rPr>
              <w:t>PCB 106</w:t>
            </w:r>
          </w:p>
        </w:tc>
        <w:tc>
          <w:tcPr>
            <w:tcW w:w="0" w:type="auto"/>
            <w:shd w:val="clear" w:color="auto" w:fill="auto"/>
            <w:noWrap/>
          </w:tcPr>
          <w:p w14:paraId="01D11272" w14:textId="77777777" w:rsidR="0080326D" w:rsidRPr="0080326D" w:rsidRDefault="0080326D" w:rsidP="00C17D2F">
            <w:pPr>
              <w:rPr>
                <w:bCs/>
                <w:sz w:val="22"/>
                <w:szCs w:val="22"/>
              </w:rPr>
            </w:pPr>
            <w:r w:rsidRPr="0080326D">
              <w:rPr>
                <w:bCs/>
                <w:sz w:val="22"/>
                <w:szCs w:val="22"/>
              </w:rPr>
              <w:t>PCB 156</w:t>
            </w:r>
          </w:p>
        </w:tc>
        <w:tc>
          <w:tcPr>
            <w:tcW w:w="1152" w:type="dxa"/>
          </w:tcPr>
          <w:p w14:paraId="4CBD457A" w14:textId="77777777" w:rsidR="0080326D" w:rsidRPr="0080326D" w:rsidRDefault="0080326D" w:rsidP="00C17D2F">
            <w:pPr>
              <w:rPr>
                <w:bCs/>
                <w:sz w:val="22"/>
                <w:szCs w:val="22"/>
              </w:rPr>
            </w:pPr>
            <w:r w:rsidRPr="0080326D">
              <w:rPr>
                <w:bCs/>
                <w:sz w:val="22"/>
                <w:szCs w:val="22"/>
              </w:rPr>
              <w:t>PCB 187</w:t>
            </w:r>
          </w:p>
        </w:tc>
      </w:tr>
      <w:tr w:rsidR="0080326D" w:rsidRPr="0080326D" w14:paraId="4CFF130B" w14:textId="77777777" w:rsidTr="004E61EE">
        <w:trPr>
          <w:trHeight w:val="300"/>
          <w:jc w:val="center"/>
        </w:trPr>
        <w:tc>
          <w:tcPr>
            <w:tcW w:w="0" w:type="auto"/>
            <w:shd w:val="clear" w:color="auto" w:fill="auto"/>
            <w:noWrap/>
          </w:tcPr>
          <w:p w14:paraId="0D8D0278" w14:textId="77777777" w:rsidR="0080326D" w:rsidRPr="0080326D" w:rsidRDefault="0080326D" w:rsidP="00C17D2F">
            <w:pPr>
              <w:rPr>
                <w:bCs/>
                <w:sz w:val="22"/>
                <w:szCs w:val="22"/>
              </w:rPr>
            </w:pPr>
            <w:r w:rsidRPr="0080326D">
              <w:rPr>
                <w:bCs/>
                <w:sz w:val="22"/>
                <w:szCs w:val="22"/>
              </w:rPr>
              <w:t>PCB 021</w:t>
            </w:r>
          </w:p>
        </w:tc>
        <w:tc>
          <w:tcPr>
            <w:tcW w:w="0" w:type="auto"/>
            <w:shd w:val="clear" w:color="auto" w:fill="auto"/>
            <w:noWrap/>
          </w:tcPr>
          <w:p w14:paraId="75A45E0D" w14:textId="77777777" w:rsidR="0080326D" w:rsidRPr="0080326D" w:rsidRDefault="0080326D" w:rsidP="00C17D2F">
            <w:pPr>
              <w:rPr>
                <w:bCs/>
                <w:sz w:val="22"/>
                <w:szCs w:val="22"/>
              </w:rPr>
            </w:pPr>
            <w:r w:rsidRPr="0080326D">
              <w:rPr>
                <w:bCs/>
                <w:sz w:val="22"/>
                <w:szCs w:val="22"/>
              </w:rPr>
              <w:t>PCB 074</w:t>
            </w:r>
          </w:p>
        </w:tc>
        <w:tc>
          <w:tcPr>
            <w:tcW w:w="0" w:type="auto"/>
            <w:shd w:val="clear" w:color="auto" w:fill="auto"/>
            <w:noWrap/>
          </w:tcPr>
          <w:p w14:paraId="3DB91C39" w14:textId="77777777" w:rsidR="0080326D" w:rsidRPr="0080326D" w:rsidRDefault="0080326D" w:rsidP="00C17D2F">
            <w:pPr>
              <w:rPr>
                <w:bCs/>
                <w:sz w:val="22"/>
                <w:szCs w:val="22"/>
              </w:rPr>
            </w:pPr>
            <w:r w:rsidRPr="0080326D">
              <w:rPr>
                <w:bCs/>
                <w:sz w:val="22"/>
                <w:szCs w:val="22"/>
              </w:rPr>
              <w:t>PCB 110</w:t>
            </w:r>
          </w:p>
        </w:tc>
        <w:tc>
          <w:tcPr>
            <w:tcW w:w="0" w:type="auto"/>
            <w:shd w:val="clear" w:color="auto" w:fill="auto"/>
            <w:noWrap/>
          </w:tcPr>
          <w:p w14:paraId="017C8829" w14:textId="77777777" w:rsidR="0080326D" w:rsidRPr="0080326D" w:rsidRDefault="0080326D" w:rsidP="00C17D2F">
            <w:pPr>
              <w:rPr>
                <w:bCs/>
                <w:sz w:val="22"/>
                <w:szCs w:val="22"/>
              </w:rPr>
            </w:pPr>
            <w:r w:rsidRPr="0080326D">
              <w:rPr>
                <w:bCs/>
                <w:sz w:val="22"/>
                <w:szCs w:val="22"/>
              </w:rPr>
              <w:t>PCB 158</w:t>
            </w:r>
          </w:p>
        </w:tc>
        <w:tc>
          <w:tcPr>
            <w:tcW w:w="1152" w:type="dxa"/>
          </w:tcPr>
          <w:p w14:paraId="21802B05" w14:textId="77777777" w:rsidR="0080326D" w:rsidRPr="0080326D" w:rsidRDefault="0080326D" w:rsidP="00C17D2F">
            <w:pPr>
              <w:rPr>
                <w:bCs/>
                <w:sz w:val="22"/>
                <w:szCs w:val="22"/>
              </w:rPr>
            </w:pPr>
            <w:r w:rsidRPr="0080326D">
              <w:rPr>
                <w:bCs/>
                <w:sz w:val="22"/>
                <w:szCs w:val="22"/>
              </w:rPr>
              <w:t>PCB 190</w:t>
            </w:r>
          </w:p>
        </w:tc>
      </w:tr>
      <w:tr w:rsidR="0080326D" w:rsidRPr="0080326D" w14:paraId="6FFE55B6" w14:textId="77777777" w:rsidTr="004E61EE">
        <w:trPr>
          <w:trHeight w:val="300"/>
          <w:jc w:val="center"/>
        </w:trPr>
        <w:tc>
          <w:tcPr>
            <w:tcW w:w="0" w:type="auto"/>
            <w:shd w:val="clear" w:color="auto" w:fill="auto"/>
            <w:noWrap/>
          </w:tcPr>
          <w:p w14:paraId="708A6320" w14:textId="77777777" w:rsidR="0080326D" w:rsidRPr="0080326D" w:rsidRDefault="0080326D" w:rsidP="00C17D2F">
            <w:pPr>
              <w:rPr>
                <w:bCs/>
                <w:sz w:val="22"/>
                <w:szCs w:val="22"/>
              </w:rPr>
            </w:pPr>
            <w:r w:rsidRPr="0080326D">
              <w:rPr>
                <w:bCs/>
                <w:sz w:val="22"/>
                <w:szCs w:val="22"/>
              </w:rPr>
              <w:t>PCB 028</w:t>
            </w:r>
          </w:p>
        </w:tc>
        <w:tc>
          <w:tcPr>
            <w:tcW w:w="0" w:type="auto"/>
            <w:shd w:val="clear" w:color="auto" w:fill="auto"/>
            <w:noWrap/>
          </w:tcPr>
          <w:p w14:paraId="0809A7C8" w14:textId="77777777" w:rsidR="0080326D" w:rsidRPr="0080326D" w:rsidRDefault="0080326D" w:rsidP="00C17D2F">
            <w:pPr>
              <w:rPr>
                <w:bCs/>
                <w:sz w:val="22"/>
                <w:szCs w:val="22"/>
              </w:rPr>
            </w:pPr>
            <w:r w:rsidRPr="0080326D">
              <w:rPr>
                <w:bCs/>
                <w:sz w:val="22"/>
                <w:szCs w:val="22"/>
              </w:rPr>
              <w:t>PCB 076</w:t>
            </w:r>
          </w:p>
        </w:tc>
        <w:tc>
          <w:tcPr>
            <w:tcW w:w="0" w:type="auto"/>
            <w:shd w:val="clear" w:color="auto" w:fill="auto"/>
            <w:noWrap/>
          </w:tcPr>
          <w:p w14:paraId="75765F85" w14:textId="77777777" w:rsidR="0080326D" w:rsidRPr="0080326D" w:rsidRDefault="0080326D" w:rsidP="00C17D2F">
            <w:pPr>
              <w:rPr>
                <w:bCs/>
                <w:sz w:val="22"/>
                <w:szCs w:val="22"/>
              </w:rPr>
            </w:pPr>
            <w:r w:rsidRPr="0080326D">
              <w:rPr>
                <w:bCs/>
                <w:sz w:val="22"/>
                <w:szCs w:val="22"/>
              </w:rPr>
              <w:t>PCB 115</w:t>
            </w:r>
          </w:p>
        </w:tc>
        <w:tc>
          <w:tcPr>
            <w:tcW w:w="0" w:type="auto"/>
            <w:shd w:val="clear" w:color="auto" w:fill="auto"/>
            <w:noWrap/>
          </w:tcPr>
          <w:p w14:paraId="593B768A" w14:textId="77777777" w:rsidR="0080326D" w:rsidRPr="0080326D" w:rsidRDefault="0080326D" w:rsidP="00C17D2F">
            <w:pPr>
              <w:rPr>
                <w:bCs/>
                <w:sz w:val="22"/>
                <w:szCs w:val="22"/>
              </w:rPr>
            </w:pPr>
            <w:r w:rsidRPr="0080326D">
              <w:rPr>
                <w:bCs/>
                <w:sz w:val="22"/>
                <w:szCs w:val="22"/>
              </w:rPr>
              <w:t>PCB 160</w:t>
            </w:r>
          </w:p>
        </w:tc>
        <w:tc>
          <w:tcPr>
            <w:tcW w:w="1152" w:type="dxa"/>
          </w:tcPr>
          <w:p w14:paraId="593F6479" w14:textId="77777777" w:rsidR="0080326D" w:rsidRPr="0080326D" w:rsidRDefault="0080326D" w:rsidP="00C17D2F">
            <w:pPr>
              <w:rPr>
                <w:bCs/>
                <w:sz w:val="22"/>
                <w:szCs w:val="22"/>
              </w:rPr>
            </w:pPr>
            <w:r w:rsidRPr="0080326D">
              <w:rPr>
                <w:bCs/>
                <w:sz w:val="22"/>
                <w:szCs w:val="22"/>
              </w:rPr>
              <w:t>PCB 194</w:t>
            </w:r>
          </w:p>
        </w:tc>
      </w:tr>
      <w:tr w:rsidR="0080326D" w:rsidRPr="0080326D" w14:paraId="4382B6BD" w14:textId="77777777" w:rsidTr="004E61EE">
        <w:trPr>
          <w:trHeight w:val="300"/>
          <w:jc w:val="center"/>
        </w:trPr>
        <w:tc>
          <w:tcPr>
            <w:tcW w:w="0" w:type="auto"/>
            <w:shd w:val="clear" w:color="auto" w:fill="auto"/>
            <w:noWrap/>
          </w:tcPr>
          <w:p w14:paraId="0B2B2C91" w14:textId="77777777" w:rsidR="0080326D" w:rsidRPr="0080326D" w:rsidRDefault="0080326D" w:rsidP="00C17D2F">
            <w:pPr>
              <w:rPr>
                <w:bCs/>
                <w:sz w:val="22"/>
                <w:szCs w:val="22"/>
              </w:rPr>
            </w:pPr>
            <w:r w:rsidRPr="0080326D">
              <w:rPr>
                <w:bCs/>
                <w:sz w:val="22"/>
                <w:szCs w:val="22"/>
              </w:rPr>
              <w:t>PCB 031</w:t>
            </w:r>
          </w:p>
        </w:tc>
        <w:tc>
          <w:tcPr>
            <w:tcW w:w="0" w:type="auto"/>
            <w:shd w:val="clear" w:color="auto" w:fill="auto"/>
            <w:noWrap/>
          </w:tcPr>
          <w:p w14:paraId="12597D7C" w14:textId="77777777" w:rsidR="0080326D" w:rsidRPr="0080326D" w:rsidRDefault="0080326D" w:rsidP="00C17D2F">
            <w:pPr>
              <w:rPr>
                <w:bCs/>
                <w:sz w:val="22"/>
                <w:szCs w:val="22"/>
              </w:rPr>
            </w:pPr>
            <w:r w:rsidRPr="0080326D">
              <w:rPr>
                <w:bCs/>
                <w:sz w:val="22"/>
                <w:szCs w:val="22"/>
              </w:rPr>
              <w:t>PCB 080</w:t>
            </w:r>
          </w:p>
        </w:tc>
        <w:tc>
          <w:tcPr>
            <w:tcW w:w="0" w:type="auto"/>
            <w:shd w:val="clear" w:color="auto" w:fill="auto"/>
            <w:noWrap/>
          </w:tcPr>
          <w:p w14:paraId="0E2FCA7A" w14:textId="77777777" w:rsidR="0080326D" w:rsidRPr="0080326D" w:rsidRDefault="0080326D" w:rsidP="00C17D2F">
            <w:pPr>
              <w:rPr>
                <w:bCs/>
                <w:sz w:val="22"/>
                <w:szCs w:val="22"/>
              </w:rPr>
            </w:pPr>
            <w:r w:rsidRPr="0080326D">
              <w:rPr>
                <w:bCs/>
                <w:sz w:val="22"/>
                <w:szCs w:val="22"/>
              </w:rPr>
              <w:t>PCB 116</w:t>
            </w:r>
          </w:p>
        </w:tc>
        <w:tc>
          <w:tcPr>
            <w:tcW w:w="0" w:type="auto"/>
            <w:shd w:val="clear" w:color="auto" w:fill="auto"/>
            <w:noWrap/>
          </w:tcPr>
          <w:p w14:paraId="5A776849" w14:textId="77777777" w:rsidR="0080326D" w:rsidRPr="0080326D" w:rsidRDefault="0080326D" w:rsidP="00C17D2F">
            <w:pPr>
              <w:rPr>
                <w:bCs/>
                <w:sz w:val="22"/>
                <w:szCs w:val="22"/>
              </w:rPr>
            </w:pPr>
            <w:r w:rsidRPr="0080326D">
              <w:rPr>
                <w:bCs/>
                <w:sz w:val="22"/>
                <w:szCs w:val="22"/>
              </w:rPr>
              <w:t>PCB 163</w:t>
            </w:r>
          </w:p>
        </w:tc>
        <w:tc>
          <w:tcPr>
            <w:tcW w:w="1152" w:type="dxa"/>
          </w:tcPr>
          <w:p w14:paraId="31E89AAD" w14:textId="77777777" w:rsidR="0080326D" w:rsidRPr="0080326D" w:rsidRDefault="0080326D" w:rsidP="00C17D2F">
            <w:pPr>
              <w:rPr>
                <w:bCs/>
                <w:sz w:val="22"/>
                <w:szCs w:val="22"/>
              </w:rPr>
            </w:pPr>
            <w:r w:rsidRPr="0080326D">
              <w:rPr>
                <w:bCs/>
                <w:sz w:val="22"/>
                <w:szCs w:val="22"/>
              </w:rPr>
              <w:t>PCB 195</w:t>
            </w:r>
          </w:p>
        </w:tc>
      </w:tr>
      <w:tr w:rsidR="0080326D" w:rsidRPr="0080326D" w14:paraId="2CFD6D4A" w14:textId="77777777" w:rsidTr="004E61EE">
        <w:trPr>
          <w:trHeight w:val="300"/>
          <w:jc w:val="center"/>
        </w:trPr>
        <w:tc>
          <w:tcPr>
            <w:tcW w:w="0" w:type="auto"/>
            <w:shd w:val="clear" w:color="auto" w:fill="auto"/>
            <w:noWrap/>
          </w:tcPr>
          <w:p w14:paraId="08A94CFA" w14:textId="77777777" w:rsidR="0080326D" w:rsidRPr="0080326D" w:rsidRDefault="0080326D" w:rsidP="00C17D2F">
            <w:pPr>
              <w:rPr>
                <w:bCs/>
                <w:sz w:val="22"/>
                <w:szCs w:val="22"/>
              </w:rPr>
            </w:pPr>
            <w:r w:rsidRPr="0080326D">
              <w:rPr>
                <w:bCs/>
                <w:sz w:val="22"/>
                <w:szCs w:val="22"/>
              </w:rPr>
              <w:t>PCB 033</w:t>
            </w:r>
          </w:p>
        </w:tc>
        <w:tc>
          <w:tcPr>
            <w:tcW w:w="0" w:type="auto"/>
            <w:shd w:val="clear" w:color="auto" w:fill="auto"/>
            <w:noWrap/>
          </w:tcPr>
          <w:p w14:paraId="61FABDE7" w14:textId="77777777" w:rsidR="0080326D" w:rsidRPr="0080326D" w:rsidRDefault="0080326D" w:rsidP="00C17D2F">
            <w:pPr>
              <w:rPr>
                <w:bCs/>
                <w:sz w:val="22"/>
                <w:szCs w:val="22"/>
              </w:rPr>
            </w:pPr>
            <w:r w:rsidRPr="0080326D">
              <w:rPr>
                <w:bCs/>
                <w:sz w:val="22"/>
                <w:szCs w:val="22"/>
              </w:rPr>
              <w:t>PCB 086</w:t>
            </w:r>
          </w:p>
        </w:tc>
        <w:tc>
          <w:tcPr>
            <w:tcW w:w="0" w:type="auto"/>
            <w:shd w:val="clear" w:color="auto" w:fill="auto"/>
            <w:noWrap/>
          </w:tcPr>
          <w:p w14:paraId="6B5431C3" w14:textId="77777777" w:rsidR="0080326D" w:rsidRPr="0080326D" w:rsidRDefault="0080326D" w:rsidP="00C17D2F">
            <w:pPr>
              <w:rPr>
                <w:bCs/>
                <w:sz w:val="22"/>
                <w:szCs w:val="22"/>
              </w:rPr>
            </w:pPr>
            <w:r w:rsidRPr="0080326D">
              <w:rPr>
                <w:bCs/>
                <w:sz w:val="22"/>
                <w:szCs w:val="22"/>
              </w:rPr>
              <w:t>PCB 118</w:t>
            </w:r>
          </w:p>
        </w:tc>
        <w:tc>
          <w:tcPr>
            <w:tcW w:w="0" w:type="auto"/>
            <w:shd w:val="clear" w:color="auto" w:fill="auto"/>
            <w:noWrap/>
          </w:tcPr>
          <w:p w14:paraId="180606CB" w14:textId="77777777" w:rsidR="0080326D" w:rsidRPr="0080326D" w:rsidRDefault="0080326D" w:rsidP="00C17D2F">
            <w:pPr>
              <w:rPr>
                <w:bCs/>
                <w:sz w:val="22"/>
                <w:szCs w:val="22"/>
              </w:rPr>
            </w:pPr>
            <w:r w:rsidRPr="0080326D">
              <w:rPr>
                <w:bCs/>
                <w:sz w:val="22"/>
                <w:szCs w:val="22"/>
              </w:rPr>
              <w:t>PCB 164</w:t>
            </w:r>
          </w:p>
        </w:tc>
        <w:tc>
          <w:tcPr>
            <w:tcW w:w="1152" w:type="dxa"/>
          </w:tcPr>
          <w:p w14:paraId="3A3F6473" w14:textId="77777777" w:rsidR="0080326D" w:rsidRPr="0080326D" w:rsidRDefault="0080326D" w:rsidP="00C17D2F">
            <w:pPr>
              <w:rPr>
                <w:bCs/>
                <w:sz w:val="22"/>
                <w:szCs w:val="22"/>
              </w:rPr>
            </w:pPr>
            <w:r w:rsidRPr="0080326D">
              <w:rPr>
                <w:bCs/>
                <w:sz w:val="22"/>
                <w:szCs w:val="22"/>
              </w:rPr>
              <w:t>PCB 196</w:t>
            </w:r>
          </w:p>
        </w:tc>
      </w:tr>
      <w:tr w:rsidR="0080326D" w:rsidRPr="0080326D" w14:paraId="4C71803E" w14:textId="77777777" w:rsidTr="004E61EE">
        <w:trPr>
          <w:trHeight w:val="300"/>
          <w:jc w:val="center"/>
        </w:trPr>
        <w:tc>
          <w:tcPr>
            <w:tcW w:w="0" w:type="auto"/>
            <w:shd w:val="clear" w:color="auto" w:fill="auto"/>
            <w:noWrap/>
          </w:tcPr>
          <w:p w14:paraId="11567DBD" w14:textId="77777777" w:rsidR="0080326D" w:rsidRPr="0080326D" w:rsidRDefault="0080326D" w:rsidP="00C17D2F">
            <w:pPr>
              <w:rPr>
                <w:bCs/>
                <w:sz w:val="22"/>
                <w:szCs w:val="22"/>
              </w:rPr>
            </w:pPr>
            <w:r w:rsidRPr="0080326D">
              <w:rPr>
                <w:bCs/>
                <w:sz w:val="22"/>
                <w:szCs w:val="22"/>
              </w:rPr>
              <w:t>PCB 043</w:t>
            </w:r>
          </w:p>
        </w:tc>
        <w:tc>
          <w:tcPr>
            <w:tcW w:w="0" w:type="auto"/>
            <w:shd w:val="clear" w:color="auto" w:fill="auto"/>
            <w:noWrap/>
          </w:tcPr>
          <w:p w14:paraId="3E226492" w14:textId="77777777" w:rsidR="0080326D" w:rsidRPr="0080326D" w:rsidRDefault="0080326D" w:rsidP="00C17D2F">
            <w:pPr>
              <w:rPr>
                <w:bCs/>
                <w:sz w:val="22"/>
                <w:szCs w:val="22"/>
              </w:rPr>
            </w:pPr>
            <w:r w:rsidRPr="0080326D">
              <w:rPr>
                <w:bCs/>
                <w:sz w:val="22"/>
                <w:szCs w:val="22"/>
              </w:rPr>
              <w:t>PCB 087</w:t>
            </w:r>
          </w:p>
        </w:tc>
        <w:tc>
          <w:tcPr>
            <w:tcW w:w="0" w:type="auto"/>
            <w:shd w:val="clear" w:color="auto" w:fill="auto"/>
            <w:noWrap/>
          </w:tcPr>
          <w:p w14:paraId="4879159F" w14:textId="77777777" w:rsidR="0080326D" w:rsidRPr="0080326D" w:rsidRDefault="0080326D" w:rsidP="00C17D2F">
            <w:pPr>
              <w:rPr>
                <w:bCs/>
                <w:sz w:val="22"/>
                <w:szCs w:val="22"/>
              </w:rPr>
            </w:pPr>
            <w:r w:rsidRPr="0080326D">
              <w:rPr>
                <w:bCs/>
                <w:sz w:val="22"/>
                <w:szCs w:val="22"/>
              </w:rPr>
              <w:t>PCB 127</w:t>
            </w:r>
          </w:p>
        </w:tc>
        <w:tc>
          <w:tcPr>
            <w:tcW w:w="0" w:type="auto"/>
            <w:shd w:val="clear" w:color="auto" w:fill="auto"/>
            <w:noWrap/>
          </w:tcPr>
          <w:p w14:paraId="683F53C5" w14:textId="77777777" w:rsidR="0080326D" w:rsidRPr="0080326D" w:rsidRDefault="0080326D" w:rsidP="00C17D2F">
            <w:pPr>
              <w:rPr>
                <w:bCs/>
                <w:sz w:val="22"/>
                <w:szCs w:val="22"/>
              </w:rPr>
            </w:pPr>
            <w:r w:rsidRPr="0080326D">
              <w:rPr>
                <w:bCs/>
                <w:sz w:val="22"/>
                <w:szCs w:val="22"/>
              </w:rPr>
              <w:t>PCB 168</w:t>
            </w:r>
          </w:p>
        </w:tc>
        <w:tc>
          <w:tcPr>
            <w:tcW w:w="1152" w:type="dxa"/>
          </w:tcPr>
          <w:p w14:paraId="607D92B1" w14:textId="77777777" w:rsidR="0080326D" w:rsidRPr="0080326D" w:rsidRDefault="0080326D" w:rsidP="00C17D2F">
            <w:pPr>
              <w:rPr>
                <w:bCs/>
                <w:sz w:val="22"/>
                <w:szCs w:val="22"/>
              </w:rPr>
            </w:pPr>
            <w:r w:rsidRPr="0080326D">
              <w:rPr>
                <w:bCs/>
                <w:sz w:val="22"/>
                <w:szCs w:val="22"/>
              </w:rPr>
              <w:t>PCB 201</w:t>
            </w:r>
          </w:p>
        </w:tc>
      </w:tr>
      <w:tr w:rsidR="0080326D" w:rsidRPr="0080326D" w14:paraId="72C11353" w14:textId="77777777" w:rsidTr="004E61EE">
        <w:trPr>
          <w:trHeight w:val="300"/>
          <w:jc w:val="center"/>
        </w:trPr>
        <w:tc>
          <w:tcPr>
            <w:tcW w:w="0" w:type="auto"/>
            <w:shd w:val="clear" w:color="auto" w:fill="auto"/>
            <w:noWrap/>
          </w:tcPr>
          <w:p w14:paraId="3951B299" w14:textId="77777777" w:rsidR="0080326D" w:rsidRPr="0080326D" w:rsidRDefault="0080326D" w:rsidP="00C17D2F">
            <w:pPr>
              <w:rPr>
                <w:bCs/>
                <w:sz w:val="22"/>
                <w:szCs w:val="22"/>
              </w:rPr>
            </w:pPr>
            <w:r w:rsidRPr="0080326D">
              <w:rPr>
                <w:bCs/>
                <w:sz w:val="22"/>
                <w:szCs w:val="22"/>
              </w:rPr>
              <w:t>PCB 044</w:t>
            </w:r>
          </w:p>
        </w:tc>
        <w:tc>
          <w:tcPr>
            <w:tcW w:w="0" w:type="auto"/>
            <w:shd w:val="clear" w:color="auto" w:fill="auto"/>
            <w:noWrap/>
          </w:tcPr>
          <w:p w14:paraId="0E3D7CE3" w14:textId="77777777" w:rsidR="0080326D" w:rsidRPr="0080326D" w:rsidRDefault="0080326D" w:rsidP="00C17D2F">
            <w:pPr>
              <w:rPr>
                <w:bCs/>
                <w:sz w:val="22"/>
                <w:szCs w:val="22"/>
              </w:rPr>
            </w:pPr>
            <w:r w:rsidRPr="0080326D">
              <w:rPr>
                <w:bCs/>
                <w:sz w:val="22"/>
                <w:szCs w:val="22"/>
              </w:rPr>
              <w:t>PCB 089</w:t>
            </w:r>
          </w:p>
        </w:tc>
        <w:tc>
          <w:tcPr>
            <w:tcW w:w="0" w:type="auto"/>
            <w:shd w:val="clear" w:color="auto" w:fill="auto"/>
            <w:noWrap/>
          </w:tcPr>
          <w:p w14:paraId="67ECDA1E" w14:textId="77777777" w:rsidR="0080326D" w:rsidRPr="0080326D" w:rsidRDefault="0080326D" w:rsidP="00C17D2F">
            <w:pPr>
              <w:rPr>
                <w:bCs/>
                <w:sz w:val="22"/>
                <w:szCs w:val="22"/>
              </w:rPr>
            </w:pPr>
            <w:r w:rsidRPr="0080326D">
              <w:rPr>
                <w:bCs/>
                <w:sz w:val="22"/>
                <w:szCs w:val="22"/>
              </w:rPr>
              <w:t>PCB 128</w:t>
            </w:r>
          </w:p>
        </w:tc>
        <w:tc>
          <w:tcPr>
            <w:tcW w:w="0" w:type="auto"/>
            <w:shd w:val="clear" w:color="auto" w:fill="auto"/>
            <w:noWrap/>
          </w:tcPr>
          <w:p w14:paraId="04789FF2" w14:textId="77777777" w:rsidR="0080326D" w:rsidRPr="0080326D" w:rsidRDefault="0080326D" w:rsidP="00C17D2F">
            <w:pPr>
              <w:rPr>
                <w:bCs/>
                <w:sz w:val="22"/>
                <w:szCs w:val="22"/>
              </w:rPr>
            </w:pPr>
            <w:r w:rsidRPr="0080326D">
              <w:rPr>
                <w:bCs/>
                <w:sz w:val="22"/>
                <w:szCs w:val="22"/>
              </w:rPr>
              <w:t>PCB 169</w:t>
            </w:r>
          </w:p>
        </w:tc>
        <w:tc>
          <w:tcPr>
            <w:tcW w:w="1152" w:type="dxa"/>
          </w:tcPr>
          <w:p w14:paraId="229CC1BC" w14:textId="77777777" w:rsidR="0080326D" w:rsidRPr="0080326D" w:rsidRDefault="0080326D" w:rsidP="00C17D2F">
            <w:pPr>
              <w:rPr>
                <w:bCs/>
                <w:sz w:val="22"/>
                <w:szCs w:val="22"/>
              </w:rPr>
            </w:pPr>
            <w:r w:rsidRPr="0080326D">
              <w:rPr>
                <w:bCs/>
                <w:sz w:val="22"/>
                <w:szCs w:val="22"/>
              </w:rPr>
              <w:t>PCB 203</w:t>
            </w:r>
          </w:p>
        </w:tc>
      </w:tr>
      <w:tr w:rsidR="0080326D" w:rsidRPr="0080326D" w14:paraId="0A3DADA6" w14:textId="77777777" w:rsidTr="004E61EE">
        <w:trPr>
          <w:trHeight w:val="300"/>
          <w:jc w:val="center"/>
        </w:trPr>
        <w:tc>
          <w:tcPr>
            <w:tcW w:w="0" w:type="auto"/>
            <w:shd w:val="clear" w:color="auto" w:fill="auto"/>
            <w:noWrap/>
          </w:tcPr>
          <w:p w14:paraId="740F42AC" w14:textId="77777777" w:rsidR="0080326D" w:rsidRPr="0080326D" w:rsidRDefault="0080326D" w:rsidP="00C17D2F">
            <w:pPr>
              <w:rPr>
                <w:bCs/>
                <w:sz w:val="22"/>
                <w:szCs w:val="22"/>
              </w:rPr>
            </w:pPr>
            <w:r w:rsidRPr="0080326D">
              <w:rPr>
                <w:bCs/>
                <w:sz w:val="22"/>
                <w:szCs w:val="22"/>
              </w:rPr>
              <w:t>PCB 049</w:t>
            </w:r>
          </w:p>
        </w:tc>
        <w:tc>
          <w:tcPr>
            <w:tcW w:w="0" w:type="auto"/>
            <w:shd w:val="clear" w:color="auto" w:fill="auto"/>
            <w:noWrap/>
          </w:tcPr>
          <w:p w14:paraId="087DB381" w14:textId="77777777" w:rsidR="0080326D" w:rsidRPr="0080326D" w:rsidRDefault="0080326D" w:rsidP="00C17D2F">
            <w:pPr>
              <w:rPr>
                <w:bCs/>
                <w:sz w:val="22"/>
                <w:szCs w:val="22"/>
              </w:rPr>
            </w:pPr>
            <w:r w:rsidRPr="0080326D">
              <w:rPr>
                <w:bCs/>
                <w:sz w:val="22"/>
                <w:szCs w:val="22"/>
              </w:rPr>
              <w:t>PCB 090</w:t>
            </w:r>
          </w:p>
        </w:tc>
        <w:tc>
          <w:tcPr>
            <w:tcW w:w="0" w:type="auto"/>
            <w:shd w:val="clear" w:color="auto" w:fill="auto"/>
            <w:noWrap/>
          </w:tcPr>
          <w:p w14:paraId="595C0872" w14:textId="77777777" w:rsidR="0080326D" w:rsidRPr="0080326D" w:rsidRDefault="0080326D" w:rsidP="00C17D2F">
            <w:pPr>
              <w:rPr>
                <w:bCs/>
                <w:sz w:val="22"/>
                <w:szCs w:val="22"/>
              </w:rPr>
            </w:pPr>
            <w:r w:rsidRPr="0080326D">
              <w:rPr>
                <w:bCs/>
                <w:sz w:val="22"/>
                <w:szCs w:val="22"/>
              </w:rPr>
              <w:t>PCB 132</w:t>
            </w:r>
          </w:p>
        </w:tc>
        <w:tc>
          <w:tcPr>
            <w:tcW w:w="0" w:type="auto"/>
            <w:shd w:val="clear" w:color="auto" w:fill="auto"/>
            <w:noWrap/>
          </w:tcPr>
          <w:p w14:paraId="3ABCDA2D" w14:textId="77777777" w:rsidR="0080326D" w:rsidRPr="0080326D" w:rsidRDefault="0080326D" w:rsidP="00C17D2F">
            <w:pPr>
              <w:rPr>
                <w:bCs/>
                <w:sz w:val="22"/>
                <w:szCs w:val="22"/>
              </w:rPr>
            </w:pPr>
            <w:r w:rsidRPr="0080326D">
              <w:rPr>
                <w:bCs/>
                <w:sz w:val="22"/>
                <w:szCs w:val="22"/>
              </w:rPr>
              <w:t>PCB 170</w:t>
            </w:r>
          </w:p>
        </w:tc>
        <w:tc>
          <w:tcPr>
            <w:tcW w:w="1152" w:type="dxa"/>
          </w:tcPr>
          <w:p w14:paraId="7A0AC53D" w14:textId="77777777" w:rsidR="0080326D" w:rsidRPr="0080326D" w:rsidRDefault="0080326D" w:rsidP="00C17D2F">
            <w:pPr>
              <w:rPr>
                <w:bCs/>
                <w:sz w:val="22"/>
                <w:szCs w:val="22"/>
              </w:rPr>
            </w:pPr>
          </w:p>
        </w:tc>
      </w:tr>
      <w:tr w:rsidR="0080326D" w:rsidRPr="0080326D" w14:paraId="25C59ED3" w14:textId="77777777" w:rsidTr="004E61EE">
        <w:trPr>
          <w:trHeight w:val="300"/>
          <w:jc w:val="center"/>
        </w:trPr>
        <w:tc>
          <w:tcPr>
            <w:tcW w:w="0" w:type="auto"/>
            <w:shd w:val="clear" w:color="auto" w:fill="auto"/>
            <w:noWrap/>
          </w:tcPr>
          <w:p w14:paraId="7B3B6FC6" w14:textId="77777777" w:rsidR="0080326D" w:rsidRPr="0080326D" w:rsidRDefault="0080326D" w:rsidP="00C17D2F">
            <w:pPr>
              <w:rPr>
                <w:bCs/>
                <w:sz w:val="22"/>
                <w:szCs w:val="22"/>
              </w:rPr>
            </w:pPr>
            <w:r w:rsidRPr="0080326D">
              <w:rPr>
                <w:bCs/>
                <w:sz w:val="22"/>
                <w:szCs w:val="22"/>
              </w:rPr>
              <w:t>PCB 052</w:t>
            </w:r>
          </w:p>
        </w:tc>
        <w:tc>
          <w:tcPr>
            <w:tcW w:w="0" w:type="auto"/>
            <w:shd w:val="clear" w:color="auto" w:fill="auto"/>
            <w:noWrap/>
          </w:tcPr>
          <w:p w14:paraId="323C0128" w14:textId="77777777" w:rsidR="0080326D" w:rsidRPr="0080326D" w:rsidRDefault="0080326D" w:rsidP="00C17D2F">
            <w:pPr>
              <w:rPr>
                <w:bCs/>
                <w:sz w:val="22"/>
                <w:szCs w:val="22"/>
              </w:rPr>
            </w:pPr>
            <w:r w:rsidRPr="0080326D">
              <w:rPr>
                <w:bCs/>
                <w:sz w:val="22"/>
                <w:szCs w:val="22"/>
              </w:rPr>
              <w:t>PCB 093</w:t>
            </w:r>
          </w:p>
        </w:tc>
        <w:tc>
          <w:tcPr>
            <w:tcW w:w="0" w:type="auto"/>
            <w:shd w:val="clear" w:color="auto" w:fill="auto"/>
            <w:noWrap/>
          </w:tcPr>
          <w:p w14:paraId="430529AE" w14:textId="77777777" w:rsidR="0080326D" w:rsidRPr="0080326D" w:rsidRDefault="0080326D" w:rsidP="00C17D2F">
            <w:pPr>
              <w:rPr>
                <w:bCs/>
                <w:sz w:val="22"/>
                <w:szCs w:val="22"/>
              </w:rPr>
            </w:pPr>
            <w:r w:rsidRPr="0080326D">
              <w:rPr>
                <w:bCs/>
                <w:sz w:val="22"/>
                <w:szCs w:val="22"/>
              </w:rPr>
              <w:t>PCB 138</w:t>
            </w:r>
          </w:p>
        </w:tc>
        <w:tc>
          <w:tcPr>
            <w:tcW w:w="0" w:type="auto"/>
            <w:shd w:val="clear" w:color="auto" w:fill="auto"/>
            <w:noWrap/>
          </w:tcPr>
          <w:p w14:paraId="381CE35C" w14:textId="77777777" w:rsidR="0080326D" w:rsidRPr="0080326D" w:rsidRDefault="0080326D" w:rsidP="00C17D2F">
            <w:pPr>
              <w:rPr>
                <w:bCs/>
                <w:sz w:val="22"/>
                <w:szCs w:val="22"/>
              </w:rPr>
            </w:pPr>
            <w:r w:rsidRPr="0080326D">
              <w:rPr>
                <w:bCs/>
                <w:sz w:val="22"/>
                <w:szCs w:val="22"/>
              </w:rPr>
              <w:t>PCB 174</w:t>
            </w:r>
          </w:p>
        </w:tc>
        <w:tc>
          <w:tcPr>
            <w:tcW w:w="1152" w:type="dxa"/>
          </w:tcPr>
          <w:p w14:paraId="474B1085" w14:textId="77777777" w:rsidR="0080326D" w:rsidRPr="0080326D" w:rsidRDefault="0080326D" w:rsidP="00C17D2F">
            <w:pPr>
              <w:rPr>
                <w:bCs/>
                <w:sz w:val="22"/>
                <w:szCs w:val="22"/>
              </w:rPr>
            </w:pPr>
          </w:p>
        </w:tc>
      </w:tr>
      <w:tr w:rsidR="0080326D" w:rsidRPr="0080326D" w14:paraId="1EBE31E7" w14:textId="77777777" w:rsidTr="004E61EE">
        <w:trPr>
          <w:trHeight w:val="300"/>
          <w:jc w:val="center"/>
        </w:trPr>
        <w:tc>
          <w:tcPr>
            <w:tcW w:w="0" w:type="auto"/>
            <w:shd w:val="clear" w:color="auto" w:fill="auto"/>
            <w:noWrap/>
          </w:tcPr>
          <w:p w14:paraId="296ADCB2" w14:textId="77777777" w:rsidR="0080326D" w:rsidRPr="0080326D" w:rsidRDefault="0080326D" w:rsidP="00C17D2F">
            <w:pPr>
              <w:rPr>
                <w:bCs/>
                <w:sz w:val="22"/>
                <w:szCs w:val="22"/>
              </w:rPr>
            </w:pPr>
            <w:r w:rsidRPr="0080326D">
              <w:rPr>
                <w:bCs/>
                <w:sz w:val="22"/>
                <w:szCs w:val="22"/>
              </w:rPr>
              <w:t>PCB 056</w:t>
            </w:r>
          </w:p>
        </w:tc>
        <w:tc>
          <w:tcPr>
            <w:tcW w:w="0" w:type="auto"/>
            <w:shd w:val="clear" w:color="auto" w:fill="auto"/>
            <w:noWrap/>
          </w:tcPr>
          <w:p w14:paraId="03A15C8E" w14:textId="77777777" w:rsidR="0080326D" w:rsidRPr="0080326D" w:rsidRDefault="0080326D" w:rsidP="00C17D2F">
            <w:pPr>
              <w:rPr>
                <w:bCs/>
                <w:sz w:val="22"/>
                <w:szCs w:val="22"/>
              </w:rPr>
            </w:pPr>
            <w:r w:rsidRPr="0080326D">
              <w:rPr>
                <w:bCs/>
                <w:sz w:val="22"/>
                <w:szCs w:val="22"/>
              </w:rPr>
              <w:t>PCB 095</w:t>
            </w:r>
          </w:p>
        </w:tc>
        <w:tc>
          <w:tcPr>
            <w:tcW w:w="0" w:type="auto"/>
            <w:shd w:val="clear" w:color="auto" w:fill="auto"/>
            <w:noWrap/>
          </w:tcPr>
          <w:p w14:paraId="6068566D" w14:textId="77777777" w:rsidR="0080326D" w:rsidRPr="0080326D" w:rsidRDefault="0080326D" w:rsidP="00C17D2F">
            <w:pPr>
              <w:rPr>
                <w:bCs/>
                <w:sz w:val="22"/>
                <w:szCs w:val="22"/>
              </w:rPr>
            </w:pPr>
            <w:r w:rsidRPr="0080326D">
              <w:rPr>
                <w:bCs/>
                <w:sz w:val="22"/>
                <w:szCs w:val="22"/>
              </w:rPr>
              <w:t>PCB 139</w:t>
            </w:r>
          </w:p>
        </w:tc>
        <w:tc>
          <w:tcPr>
            <w:tcW w:w="0" w:type="auto"/>
            <w:shd w:val="clear" w:color="auto" w:fill="auto"/>
            <w:noWrap/>
          </w:tcPr>
          <w:p w14:paraId="1DC87F32" w14:textId="77777777" w:rsidR="0080326D" w:rsidRPr="0080326D" w:rsidRDefault="0080326D" w:rsidP="00C17D2F">
            <w:pPr>
              <w:rPr>
                <w:bCs/>
                <w:sz w:val="22"/>
                <w:szCs w:val="22"/>
              </w:rPr>
            </w:pPr>
            <w:r w:rsidRPr="0080326D">
              <w:rPr>
                <w:bCs/>
                <w:sz w:val="22"/>
                <w:szCs w:val="22"/>
              </w:rPr>
              <w:t>PCB 177</w:t>
            </w:r>
          </w:p>
        </w:tc>
        <w:tc>
          <w:tcPr>
            <w:tcW w:w="1152" w:type="dxa"/>
          </w:tcPr>
          <w:p w14:paraId="2FC474B6" w14:textId="77777777" w:rsidR="0080326D" w:rsidRPr="0080326D" w:rsidRDefault="0080326D" w:rsidP="00C17D2F">
            <w:pPr>
              <w:rPr>
                <w:bCs/>
                <w:sz w:val="22"/>
                <w:szCs w:val="22"/>
              </w:rPr>
            </w:pPr>
          </w:p>
        </w:tc>
      </w:tr>
      <w:tr w:rsidR="0080326D" w:rsidRPr="0080326D" w14:paraId="0E98C42D" w14:textId="77777777" w:rsidTr="004E61EE">
        <w:trPr>
          <w:trHeight w:val="300"/>
          <w:jc w:val="center"/>
        </w:trPr>
        <w:tc>
          <w:tcPr>
            <w:tcW w:w="0" w:type="auto"/>
            <w:shd w:val="clear" w:color="auto" w:fill="auto"/>
            <w:noWrap/>
          </w:tcPr>
          <w:p w14:paraId="018D1ED9" w14:textId="77777777" w:rsidR="0080326D" w:rsidRPr="0080326D" w:rsidRDefault="0080326D" w:rsidP="00C17D2F">
            <w:pPr>
              <w:rPr>
                <w:bCs/>
                <w:sz w:val="22"/>
                <w:szCs w:val="22"/>
              </w:rPr>
            </w:pPr>
            <w:r w:rsidRPr="0080326D">
              <w:rPr>
                <w:bCs/>
                <w:sz w:val="22"/>
                <w:szCs w:val="22"/>
              </w:rPr>
              <w:t>PCB 060</w:t>
            </w:r>
          </w:p>
        </w:tc>
        <w:tc>
          <w:tcPr>
            <w:tcW w:w="0" w:type="auto"/>
            <w:shd w:val="clear" w:color="auto" w:fill="auto"/>
            <w:noWrap/>
          </w:tcPr>
          <w:p w14:paraId="1DE51997" w14:textId="77777777" w:rsidR="0080326D" w:rsidRPr="0080326D" w:rsidRDefault="0080326D" w:rsidP="00C17D2F">
            <w:pPr>
              <w:rPr>
                <w:bCs/>
                <w:sz w:val="22"/>
                <w:szCs w:val="22"/>
              </w:rPr>
            </w:pPr>
            <w:r w:rsidRPr="0080326D">
              <w:rPr>
                <w:bCs/>
                <w:sz w:val="22"/>
                <w:szCs w:val="22"/>
              </w:rPr>
              <w:t>PCB 097</w:t>
            </w:r>
          </w:p>
        </w:tc>
        <w:tc>
          <w:tcPr>
            <w:tcW w:w="0" w:type="auto"/>
            <w:shd w:val="clear" w:color="auto" w:fill="auto"/>
            <w:noWrap/>
          </w:tcPr>
          <w:p w14:paraId="79137684" w14:textId="77777777" w:rsidR="0080326D" w:rsidRPr="0080326D" w:rsidRDefault="0080326D" w:rsidP="00C17D2F">
            <w:pPr>
              <w:rPr>
                <w:bCs/>
                <w:sz w:val="22"/>
                <w:szCs w:val="22"/>
              </w:rPr>
            </w:pPr>
            <w:r w:rsidRPr="0080326D">
              <w:rPr>
                <w:bCs/>
                <w:sz w:val="22"/>
                <w:szCs w:val="22"/>
              </w:rPr>
              <w:t>PCB 141</w:t>
            </w:r>
          </w:p>
        </w:tc>
        <w:tc>
          <w:tcPr>
            <w:tcW w:w="0" w:type="auto"/>
            <w:shd w:val="clear" w:color="auto" w:fill="auto"/>
            <w:noWrap/>
          </w:tcPr>
          <w:p w14:paraId="7AB6A84A" w14:textId="77777777" w:rsidR="0080326D" w:rsidRPr="0080326D" w:rsidRDefault="0080326D" w:rsidP="00C17D2F">
            <w:pPr>
              <w:rPr>
                <w:bCs/>
                <w:sz w:val="22"/>
                <w:szCs w:val="22"/>
              </w:rPr>
            </w:pPr>
            <w:r w:rsidRPr="0080326D">
              <w:rPr>
                <w:bCs/>
                <w:sz w:val="22"/>
                <w:szCs w:val="22"/>
              </w:rPr>
              <w:t>PCB 180</w:t>
            </w:r>
          </w:p>
        </w:tc>
        <w:tc>
          <w:tcPr>
            <w:tcW w:w="1152" w:type="dxa"/>
          </w:tcPr>
          <w:p w14:paraId="4C630A8E" w14:textId="77777777" w:rsidR="0080326D" w:rsidRPr="0080326D" w:rsidRDefault="0080326D" w:rsidP="00C17D2F">
            <w:pPr>
              <w:rPr>
                <w:bCs/>
                <w:sz w:val="22"/>
                <w:szCs w:val="22"/>
              </w:rPr>
            </w:pPr>
          </w:p>
        </w:tc>
      </w:tr>
    </w:tbl>
    <w:p w14:paraId="5112147C" w14:textId="3B1BE1B4" w:rsidR="0080326D" w:rsidRDefault="0080326D" w:rsidP="002708E4">
      <w:pPr>
        <w:rPr>
          <w:bCs/>
          <w:sz w:val="24"/>
          <w:szCs w:val="24"/>
        </w:rPr>
      </w:pPr>
    </w:p>
    <w:p w14:paraId="396DF71D" w14:textId="23AF1DBE" w:rsidR="0080326D" w:rsidRDefault="0080326D" w:rsidP="0080326D">
      <w:pPr>
        <w:pStyle w:val="H-indent5025"/>
        <w:tabs>
          <w:tab w:val="clear" w:pos="1080"/>
          <w:tab w:val="left" w:pos="720"/>
        </w:tabs>
        <w:spacing w:after="0"/>
        <w:ind w:left="720" w:firstLine="0"/>
        <w:contextualSpacing/>
        <w:jc w:val="center"/>
        <w:rPr>
          <w:rFonts w:ascii="Times New Roman" w:hAnsi="Times New Roman" w:cs="Times New Roman"/>
          <w:b/>
          <w:color w:val="000000" w:themeColor="text1"/>
        </w:rPr>
      </w:pPr>
      <w:r w:rsidRPr="00132D28">
        <w:rPr>
          <w:rFonts w:ascii="Times New Roman" w:hAnsi="Times New Roman" w:cs="Times New Roman"/>
          <w:b/>
          <w:color w:val="000000" w:themeColor="text1"/>
        </w:rPr>
        <w:t xml:space="preserve">Table </w:t>
      </w:r>
      <w:r>
        <w:rPr>
          <w:rFonts w:ascii="Times New Roman" w:hAnsi="Times New Roman" w:cs="Times New Roman"/>
          <w:b/>
          <w:color w:val="000000" w:themeColor="text1"/>
        </w:rPr>
        <w:t>F-10</w:t>
      </w:r>
      <w:r w:rsidRPr="00132D28">
        <w:rPr>
          <w:rFonts w:ascii="Times New Roman" w:hAnsi="Times New Roman" w:cs="Times New Roman"/>
          <w:b/>
          <w:color w:val="000000" w:themeColor="text1"/>
        </w:rPr>
        <w:t xml:space="preserve">.  </w:t>
      </w:r>
      <w:r>
        <w:rPr>
          <w:rFonts w:ascii="Times New Roman" w:hAnsi="Times New Roman" w:cs="Times New Roman"/>
          <w:b/>
          <w:color w:val="000000" w:themeColor="text1"/>
        </w:rPr>
        <w:t xml:space="preserve">PCB Congeners, Including Co-Elution (IUPAC No.) </w:t>
      </w:r>
    </w:p>
    <w:p w14:paraId="37AE915B" w14:textId="33F99BAD" w:rsidR="0080326D" w:rsidRPr="0080326D" w:rsidRDefault="0080326D" w:rsidP="0080326D">
      <w:pPr>
        <w:pStyle w:val="H-indent5025"/>
        <w:tabs>
          <w:tab w:val="clear" w:pos="1080"/>
          <w:tab w:val="left" w:pos="720"/>
        </w:tabs>
        <w:spacing w:after="0"/>
        <w:ind w:left="720" w:firstLine="0"/>
        <w:contextualSpacing/>
        <w:jc w:val="center"/>
        <w:rPr>
          <w:rFonts w:ascii="Times New Roman" w:hAnsi="Times New Roman" w:cs="Times New Roman"/>
          <w:b/>
          <w:color w:val="000000" w:themeColor="text1"/>
        </w:rPr>
      </w:pPr>
      <w:r>
        <w:rPr>
          <w:rFonts w:ascii="Times New Roman" w:hAnsi="Times New Roman" w:cs="Times New Roman"/>
          <w:b/>
          <w:color w:val="000000" w:themeColor="text1"/>
        </w:rPr>
        <w:t>with DB-1 Column for TMDL Development</w:t>
      </w: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115" w:type="dxa"/>
          <w:right w:w="115" w:type="dxa"/>
        </w:tblCellMar>
        <w:tblLook w:val="0000" w:firstRow="0" w:lastRow="0" w:firstColumn="0" w:lastColumn="0" w:noHBand="0" w:noVBand="0"/>
      </w:tblPr>
      <w:tblGrid>
        <w:gridCol w:w="1031"/>
        <w:gridCol w:w="1031"/>
        <w:gridCol w:w="1031"/>
        <w:gridCol w:w="1031"/>
        <w:gridCol w:w="1152"/>
      </w:tblGrid>
      <w:tr w:rsidR="0080326D" w:rsidRPr="0080326D" w14:paraId="456B4837" w14:textId="77777777" w:rsidTr="004E61EE">
        <w:trPr>
          <w:trHeight w:val="300"/>
          <w:jc w:val="center"/>
        </w:trPr>
        <w:tc>
          <w:tcPr>
            <w:tcW w:w="0" w:type="auto"/>
            <w:shd w:val="clear" w:color="auto" w:fill="auto"/>
            <w:noWrap/>
          </w:tcPr>
          <w:p w14:paraId="13AFC512" w14:textId="77777777" w:rsidR="0080326D" w:rsidRPr="0080326D" w:rsidRDefault="0080326D" w:rsidP="00C17D2F">
            <w:pPr>
              <w:keepNext/>
              <w:rPr>
                <w:bCs/>
                <w:sz w:val="22"/>
                <w:szCs w:val="22"/>
              </w:rPr>
            </w:pPr>
            <w:r w:rsidRPr="0080326D">
              <w:rPr>
                <w:bCs/>
                <w:sz w:val="22"/>
                <w:szCs w:val="22"/>
              </w:rPr>
              <w:t>PCB 005</w:t>
            </w:r>
          </w:p>
        </w:tc>
        <w:tc>
          <w:tcPr>
            <w:tcW w:w="0" w:type="auto"/>
            <w:shd w:val="clear" w:color="auto" w:fill="auto"/>
            <w:noWrap/>
          </w:tcPr>
          <w:p w14:paraId="5927F883" w14:textId="77777777" w:rsidR="0080326D" w:rsidRPr="0080326D" w:rsidRDefault="0080326D" w:rsidP="00C17D2F">
            <w:pPr>
              <w:keepNext/>
              <w:rPr>
                <w:bCs/>
                <w:sz w:val="22"/>
                <w:szCs w:val="22"/>
              </w:rPr>
            </w:pPr>
            <w:r w:rsidRPr="0080326D">
              <w:rPr>
                <w:bCs/>
                <w:sz w:val="22"/>
                <w:szCs w:val="22"/>
              </w:rPr>
              <w:t>PCB 061</w:t>
            </w:r>
          </w:p>
        </w:tc>
        <w:tc>
          <w:tcPr>
            <w:tcW w:w="0" w:type="auto"/>
            <w:shd w:val="clear" w:color="auto" w:fill="auto"/>
            <w:noWrap/>
          </w:tcPr>
          <w:p w14:paraId="6D75A389" w14:textId="77777777" w:rsidR="0080326D" w:rsidRPr="0080326D" w:rsidRDefault="0080326D" w:rsidP="00C17D2F">
            <w:pPr>
              <w:keepNext/>
              <w:rPr>
                <w:bCs/>
                <w:sz w:val="22"/>
                <w:szCs w:val="22"/>
              </w:rPr>
            </w:pPr>
            <w:r w:rsidRPr="0080326D">
              <w:rPr>
                <w:bCs/>
                <w:sz w:val="22"/>
                <w:szCs w:val="22"/>
              </w:rPr>
              <w:t>PCB 110</w:t>
            </w:r>
          </w:p>
        </w:tc>
        <w:tc>
          <w:tcPr>
            <w:tcW w:w="0" w:type="auto"/>
            <w:shd w:val="clear" w:color="auto" w:fill="auto"/>
            <w:noWrap/>
          </w:tcPr>
          <w:p w14:paraId="550FB8D4" w14:textId="77777777" w:rsidR="0080326D" w:rsidRPr="0080326D" w:rsidRDefault="0080326D" w:rsidP="00C17D2F">
            <w:pPr>
              <w:keepNext/>
              <w:rPr>
                <w:bCs/>
                <w:sz w:val="22"/>
                <w:szCs w:val="22"/>
              </w:rPr>
            </w:pPr>
            <w:r w:rsidRPr="0080326D">
              <w:rPr>
                <w:bCs/>
                <w:sz w:val="22"/>
                <w:szCs w:val="22"/>
              </w:rPr>
              <w:t>PCB 160</w:t>
            </w:r>
          </w:p>
        </w:tc>
        <w:tc>
          <w:tcPr>
            <w:tcW w:w="1152" w:type="dxa"/>
          </w:tcPr>
          <w:p w14:paraId="573272CF" w14:textId="77777777" w:rsidR="0080326D" w:rsidRPr="0080326D" w:rsidRDefault="0080326D" w:rsidP="00C17D2F">
            <w:pPr>
              <w:keepNext/>
              <w:rPr>
                <w:bCs/>
                <w:sz w:val="22"/>
                <w:szCs w:val="22"/>
              </w:rPr>
            </w:pPr>
            <w:r w:rsidRPr="0080326D">
              <w:rPr>
                <w:bCs/>
                <w:sz w:val="22"/>
                <w:szCs w:val="22"/>
              </w:rPr>
              <w:t>PCB 196</w:t>
            </w:r>
          </w:p>
        </w:tc>
      </w:tr>
      <w:tr w:rsidR="0080326D" w:rsidRPr="0080326D" w14:paraId="2D39726A" w14:textId="77777777" w:rsidTr="004E61EE">
        <w:trPr>
          <w:trHeight w:val="300"/>
          <w:jc w:val="center"/>
        </w:trPr>
        <w:tc>
          <w:tcPr>
            <w:tcW w:w="0" w:type="auto"/>
            <w:shd w:val="clear" w:color="auto" w:fill="auto"/>
            <w:noWrap/>
          </w:tcPr>
          <w:p w14:paraId="3FBE37BA" w14:textId="77777777" w:rsidR="0080326D" w:rsidRPr="0080326D" w:rsidRDefault="0080326D" w:rsidP="00C17D2F">
            <w:pPr>
              <w:keepNext/>
              <w:rPr>
                <w:bCs/>
                <w:sz w:val="22"/>
                <w:szCs w:val="22"/>
              </w:rPr>
            </w:pPr>
            <w:r w:rsidRPr="0080326D">
              <w:rPr>
                <w:bCs/>
                <w:sz w:val="22"/>
                <w:szCs w:val="22"/>
              </w:rPr>
              <w:t>PCB 008</w:t>
            </w:r>
          </w:p>
        </w:tc>
        <w:tc>
          <w:tcPr>
            <w:tcW w:w="0" w:type="auto"/>
            <w:shd w:val="clear" w:color="auto" w:fill="auto"/>
            <w:noWrap/>
          </w:tcPr>
          <w:p w14:paraId="7F6CBAED" w14:textId="77777777" w:rsidR="0080326D" w:rsidRPr="0080326D" w:rsidRDefault="0080326D" w:rsidP="00C17D2F">
            <w:pPr>
              <w:keepNext/>
              <w:rPr>
                <w:bCs/>
                <w:sz w:val="22"/>
                <w:szCs w:val="22"/>
              </w:rPr>
            </w:pPr>
            <w:r w:rsidRPr="0080326D">
              <w:rPr>
                <w:bCs/>
                <w:sz w:val="22"/>
                <w:szCs w:val="22"/>
              </w:rPr>
              <w:t>PCB 066</w:t>
            </w:r>
          </w:p>
        </w:tc>
        <w:tc>
          <w:tcPr>
            <w:tcW w:w="0" w:type="auto"/>
            <w:shd w:val="clear" w:color="auto" w:fill="auto"/>
            <w:noWrap/>
          </w:tcPr>
          <w:p w14:paraId="094C0692" w14:textId="77777777" w:rsidR="0080326D" w:rsidRPr="0080326D" w:rsidRDefault="0080326D" w:rsidP="00C17D2F">
            <w:pPr>
              <w:keepNext/>
              <w:rPr>
                <w:bCs/>
                <w:sz w:val="22"/>
                <w:szCs w:val="22"/>
              </w:rPr>
            </w:pPr>
            <w:r w:rsidRPr="0080326D">
              <w:rPr>
                <w:bCs/>
                <w:sz w:val="22"/>
                <w:szCs w:val="22"/>
              </w:rPr>
              <w:t>PCB 117</w:t>
            </w:r>
          </w:p>
        </w:tc>
        <w:tc>
          <w:tcPr>
            <w:tcW w:w="0" w:type="auto"/>
            <w:shd w:val="clear" w:color="auto" w:fill="auto"/>
            <w:noWrap/>
          </w:tcPr>
          <w:p w14:paraId="44A4B4E1" w14:textId="77777777" w:rsidR="0080326D" w:rsidRPr="0080326D" w:rsidRDefault="0080326D" w:rsidP="00C17D2F">
            <w:pPr>
              <w:keepNext/>
              <w:rPr>
                <w:bCs/>
                <w:sz w:val="22"/>
                <w:szCs w:val="22"/>
              </w:rPr>
            </w:pPr>
            <w:r w:rsidRPr="0080326D">
              <w:rPr>
                <w:bCs/>
                <w:sz w:val="22"/>
                <w:szCs w:val="22"/>
              </w:rPr>
              <w:t>PCB 161</w:t>
            </w:r>
          </w:p>
        </w:tc>
        <w:tc>
          <w:tcPr>
            <w:tcW w:w="1152" w:type="dxa"/>
          </w:tcPr>
          <w:p w14:paraId="7DBBEB29" w14:textId="77777777" w:rsidR="0080326D" w:rsidRPr="0080326D" w:rsidRDefault="0080326D" w:rsidP="00C17D2F">
            <w:pPr>
              <w:keepNext/>
              <w:rPr>
                <w:bCs/>
                <w:sz w:val="22"/>
                <w:szCs w:val="22"/>
              </w:rPr>
            </w:pPr>
            <w:r w:rsidRPr="0080326D">
              <w:rPr>
                <w:bCs/>
                <w:sz w:val="22"/>
                <w:szCs w:val="22"/>
              </w:rPr>
              <w:t>PCB 201</w:t>
            </w:r>
          </w:p>
        </w:tc>
      </w:tr>
      <w:tr w:rsidR="0080326D" w:rsidRPr="0080326D" w14:paraId="30075D38" w14:textId="77777777" w:rsidTr="004E61EE">
        <w:trPr>
          <w:trHeight w:val="300"/>
          <w:jc w:val="center"/>
        </w:trPr>
        <w:tc>
          <w:tcPr>
            <w:tcW w:w="0" w:type="auto"/>
            <w:shd w:val="clear" w:color="auto" w:fill="auto"/>
            <w:noWrap/>
          </w:tcPr>
          <w:p w14:paraId="0FE7235A" w14:textId="77777777" w:rsidR="0080326D" w:rsidRPr="0080326D" w:rsidRDefault="0080326D" w:rsidP="00C17D2F">
            <w:pPr>
              <w:keepNext/>
              <w:rPr>
                <w:bCs/>
                <w:sz w:val="22"/>
                <w:szCs w:val="22"/>
              </w:rPr>
            </w:pPr>
            <w:r w:rsidRPr="0080326D">
              <w:rPr>
                <w:bCs/>
                <w:sz w:val="22"/>
                <w:szCs w:val="22"/>
              </w:rPr>
              <w:t>PCB 018</w:t>
            </w:r>
          </w:p>
        </w:tc>
        <w:tc>
          <w:tcPr>
            <w:tcW w:w="0" w:type="auto"/>
            <w:shd w:val="clear" w:color="auto" w:fill="auto"/>
            <w:noWrap/>
          </w:tcPr>
          <w:p w14:paraId="3143FB2E" w14:textId="77777777" w:rsidR="0080326D" w:rsidRPr="0080326D" w:rsidRDefault="0080326D" w:rsidP="00C17D2F">
            <w:pPr>
              <w:keepNext/>
              <w:rPr>
                <w:bCs/>
                <w:sz w:val="22"/>
                <w:szCs w:val="22"/>
              </w:rPr>
            </w:pPr>
            <w:r w:rsidRPr="0080326D">
              <w:rPr>
                <w:bCs/>
                <w:sz w:val="22"/>
                <w:szCs w:val="22"/>
              </w:rPr>
              <w:t>PCB 069</w:t>
            </w:r>
          </w:p>
        </w:tc>
        <w:tc>
          <w:tcPr>
            <w:tcW w:w="0" w:type="auto"/>
            <w:shd w:val="clear" w:color="auto" w:fill="auto"/>
            <w:noWrap/>
          </w:tcPr>
          <w:p w14:paraId="1807D221" w14:textId="77777777" w:rsidR="0080326D" w:rsidRPr="0080326D" w:rsidRDefault="0080326D" w:rsidP="00C17D2F">
            <w:pPr>
              <w:keepNext/>
              <w:rPr>
                <w:bCs/>
                <w:sz w:val="22"/>
                <w:szCs w:val="22"/>
              </w:rPr>
            </w:pPr>
            <w:r w:rsidRPr="0080326D">
              <w:rPr>
                <w:bCs/>
                <w:sz w:val="22"/>
                <w:szCs w:val="22"/>
              </w:rPr>
              <w:t>PCB 118</w:t>
            </w:r>
          </w:p>
        </w:tc>
        <w:tc>
          <w:tcPr>
            <w:tcW w:w="0" w:type="auto"/>
            <w:shd w:val="clear" w:color="auto" w:fill="auto"/>
            <w:noWrap/>
          </w:tcPr>
          <w:p w14:paraId="7F14FB39" w14:textId="77777777" w:rsidR="0080326D" w:rsidRPr="0080326D" w:rsidRDefault="0080326D" w:rsidP="00C17D2F">
            <w:pPr>
              <w:keepNext/>
              <w:rPr>
                <w:bCs/>
                <w:sz w:val="22"/>
                <w:szCs w:val="22"/>
              </w:rPr>
            </w:pPr>
            <w:r w:rsidRPr="0080326D">
              <w:rPr>
                <w:bCs/>
                <w:sz w:val="22"/>
                <w:szCs w:val="22"/>
              </w:rPr>
              <w:t>PCB 162</w:t>
            </w:r>
          </w:p>
        </w:tc>
        <w:tc>
          <w:tcPr>
            <w:tcW w:w="1152" w:type="dxa"/>
          </w:tcPr>
          <w:p w14:paraId="62F6C599" w14:textId="77777777" w:rsidR="0080326D" w:rsidRPr="0080326D" w:rsidRDefault="0080326D" w:rsidP="00C17D2F">
            <w:pPr>
              <w:keepNext/>
              <w:rPr>
                <w:bCs/>
                <w:sz w:val="22"/>
                <w:szCs w:val="22"/>
              </w:rPr>
            </w:pPr>
            <w:r w:rsidRPr="0080326D">
              <w:rPr>
                <w:bCs/>
                <w:sz w:val="22"/>
                <w:szCs w:val="22"/>
              </w:rPr>
              <w:t>PCB 203</w:t>
            </w:r>
          </w:p>
        </w:tc>
      </w:tr>
      <w:tr w:rsidR="0080326D" w:rsidRPr="0080326D" w14:paraId="19AE74AE" w14:textId="77777777" w:rsidTr="004E61EE">
        <w:trPr>
          <w:trHeight w:val="300"/>
          <w:jc w:val="center"/>
        </w:trPr>
        <w:tc>
          <w:tcPr>
            <w:tcW w:w="0" w:type="auto"/>
            <w:shd w:val="clear" w:color="auto" w:fill="auto"/>
            <w:noWrap/>
          </w:tcPr>
          <w:p w14:paraId="258FF0A2" w14:textId="77777777" w:rsidR="0080326D" w:rsidRPr="0080326D" w:rsidRDefault="0080326D" w:rsidP="00C17D2F">
            <w:pPr>
              <w:keepNext/>
              <w:rPr>
                <w:bCs/>
                <w:sz w:val="22"/>
                <w:szCs w:val="22"/>
              </w:rPr>
            </w:pPr>
            <w:r w:rsidRPr="0080326D">
              <w:rPr>
                <w:bCs/>
                <w:sz w:val="22"/>
                <w:szCs w:val="22"/>
              </w:rPr>
              <w:t>PCB 020</w:t>
            </w:r>
          </w:p>
        </w:tc>
        <w:tc>
          <w:tcPr>
            <w:tcW w:w="0" w:type="auto"/>
            <w:shd w:val="clear" w:color="auto" w:fill="auto"/>
            <w:noWrap/>
          </w:tcPr>
          <w:p w14:paraId="1E0F2EAD" w14:textId="77777777" w:rsidR="0080326D" w:rsidRPr="0080326D" w:rsidRDefault="0080326D" w:rsidP="00C17D2F">
            <w:pPr>
              <w:keepNext/>
              <w:rPr>
                <w:bCs/>
                <w:sz w:val="22"/>
                <w:szCs w:val="22"/>
              </w:rPr>
            </w:pPr>
            <w:r w:rsidRPr="0080326D">
              <w:rPr>
                <w:bCs/>
                <w:sz w:val="22"/>
                <w:szCs w:val="22"/>
              </w:rPr>
              <w:t>PCB 070</w:t>
            </w:r>
          </w:p>
        </w:tc>
        <w:tc>
          <w:tcPr>
            <w:tcW w:w="0" w:type="auto"/>
            <w:shd w:val="clear" w:color="auto" w:fill="auto"/>
            <w:noWrap/>
          </w:tcPr>
          <w:p w14:paraId="477E62B0" w14:textId="77777777" w:rsidR="0080326D" w:rsidRPr="0080326D" w:rsidRDefault="0080326D" w:rsidP="00C17D2F">
            <w:pPr>
              <w:keepNext/>
              <w:rPr>
                <w:bCs/>
                <w:sz w:val="22"/>
                <w:szCs w:val="22"/>
              </w:rPr>
            </w:pPr>
            <w:r w:rsidRPr="0080326D">
              <w:rPr>
                <w:bCs/>
                <w:sz w:val="22"/>
                <w:szCs w:val="22"/>
              </w:rPr>
              <w:t>PCB 125</w:t>
            </w:r>
          </w:p>
        </w:tc>
        <w:tc>
          <w:tcPr>
            <w:tcW w:w="0" w:type="auto"/>
            <w:shd w:val="clear" w:color="auto" w:fill="auto"/>
            <w:noWrap/>
          </w:tcPr>
          <w:p w14:paraId="569CCA7C" w14:textId="77777777" w:rsidR="0080326D" w:rsidRPr="0080326D" w:rsidRDefault="0080326D" w:rsidP="00C17D2F">
            <w:pPr>
              <w:keepNext/>
              <w:rPr>
                <w:bCs/>
                <w:sz w:val="22"/>
                <w:szCs w:val="22"/>
              </w:rPr>
            </w:pPr>
            <w:r w:rsidRPr="0080326D">
              <w:rPr>
                <w:bCs/>
                <w:sz w:val="22"/>
                <w:szCs w:val="22"/>
              </w:rPr>
              <w:t>PCB 163</w:t>
            </w:r>
          </w:p>
        </w:tc>
        <w:tc>
          <w:tcPr>
            <w:tcW w:w="1152" w:type="dxa"/>
          </w:tcPr>
          <w:p w14:paraId="5810DB00" w14:textId="77777777" w:rsidR="0080326D" w:rsidRPr="0080326D" w:rsidRDefault="0080326D" w:rsidP="00C17D2F">
            <w:pPr>
              <w:keepNext/>
              <w:rPr>
                <w:bCs/>
                <w:sz w:val="22"/>
                <w:szCs w:val="22"/>
              </w:rPr>
            </w:pPr>
          </w:p>
        </w:tc>
      </w:tr>
      <w:tr w:rsidR="0080326D" w:rsidRPr="0080326D" w14:paraId="258B8DA6" w14:textId="77777777" w:rsidTr="004E61EE">
        <w:trPr>
          <w:trHeight w:val="300"/>
          <w:jc w:val="center"/>
        </w:trPr>
        <w:tc>
          <w:tcPr>
            <w:tcW w:w="0" w:type="auto"/>
            <w:shd w:val="clear" w:color="auto" w:fill="auto"/>
            <w:noWrap/>
          </w:tcPr>
          <w:p w14:paraId="54BEFD58" w14:textId="77777777" w:rsidR="0080326D" w:rsidRPr="0080326D" w:rsidRDefault="0080326D" w:rsidP="00C17D2F">
            <w:pPr>
              <w:rPr>
                <w:bCs/>
                <w:sz w:val="22"/>
                <w:szCs w:val="22"/>
              </w:rPr>
            </w:pPr>
            <w:r w:rsidRPr="0080326D">
              <w:rPr>
                <w:bCs/>
                <w:sz w:val="22"/>
                <w:szCs w:val="22"/>
              </w:rPr>
              <w:t>PCB 021</w:t>
            </w:r>
          </w:p>
        </w:tc>
        <w:tc>
          <w:tcPr>
            <w:tcW w:w="0" w:type="auto"/>
            <w:shd w:val="clear" w:color="auto" w:fill="auto"/>
            <w:noWrap/>
          </w:tcPr>
          <w:p w14:paraId="3E09F368" w14:textId="77777777" w:rsidR="0080326D" w:rsidRPr="0080326D" w:rsidRDefault="0080326D" w:rsidP="00C17D2F">
            <w:pPr>
              <w:rPr>
                <w:bCs/>
                <w:sz w:val="22"/>
                <w:szCs w:val="22"/>
              </w:rPr>
            </w:pPr>
            <w:r w:rsidRPr="0080326D">
              <w:rPr>
                <w:bCs/>
                <w:sz w:val="22"/>
                <w:szCs w:val="22"/>
              </w:rPr>
              <w:t>PCB 074</w:t>
            </w:r>
          </w:p>
        </w:tc>
        <w:tc>
          <w:tcPr>
            <w:tcW w:w="0" w:type="auto"/>
            <w:shd w:val="clear" w:color="auto" w:fill="auto"/>
            <w:noWrap/>
          </w:tcPr>
          <w:p w14:paraId="1ECBBFD7" w14:textId="77777777" w:rsidR="0080326D" w:rsidRPr="0080326D" w:rsidRDefault="0080326D" w:rsidP="00C17D2F">
            <w:pPr>
              <w:rPr>
                <w:bCs/>
                <w:sz w:val="22"/>
                <w:szCs w:val="22"/>
              </w:rPr>
            </w:pPr>
            <w:r w:rsidRPr="0080326D">
              <w:rPr>
                <w:bCs/>
                <w:sz w:val="22"/>
                <w:szCs w:val="22"/>
              </w:rPr>
              <w:t>PCB 128</w:t>
            </w:r>
          </w:p>
        </w:tc>
        <w:tc>
          <w:tcPr>
            <w:tcW w:w="0" w:type="auto"/>
            <w:shd w:val="clear" w:color="auto" w:fill="auto"/>
            <w:noWrap/>
          </w:tcPr>
          <w:p w14:paraId="098B5388" w14:textId="77777777" w:rsidR="0080326D" w:rsidRPr="0080326D" w:rsidRDefault="0080326D" w:rsidP="00C17D2F">
            <w:pPr>
              <w:rPr>
                <w:bCs/>
                <w:sz w:val="22"/>
                <w:szCs w:val="22"/>
              </w:rPr>
            </w:pPr>
            <w:r w:rsidRPr="0080326D">
              <w:rPr>
                <w:bCs/>
                <w:sz w:val="22"/>
                <w:szCs w:val="22"/>
              </w:rPr>
              <w:t>PCB 164</w:t>
            </w:r>
          </w:p>
        </w:tc>
        <w:tc>
          <w:tcPr>
            <w:tcW w:w="1152" w:type="dxa"/>
          </w:tcPr>
          <w:p w14:paraId="41103344" w14:textId="77777777" w:rsidR="0080326D" w:rsidRPr="0080326D" w:rsidRDefault="0080326D" w:rsidP="00C17D2F">
            <w:pPr>
              <w:rPr>
                <w:bCs/>
                <w:sz w:val="22"/>
                <w:szCs w:val="22"/>
              </w:rPr>
            </w:pPr>
          </w:p>
        </w:tc>
      </w:tr>
      <w:tr w:rsidR="0080326D" w:rsidRPr="0080326D" w14:paraId="210176FE" w14:textId="77777777" w:rsidTr="004E61EE">
        <w:trPr>
          <w:trHeight w:val="300"/>
          <w:jc w:val="center"/>
        </w:trPr>
        <w:tc>
          <w:tcPr>
            <w:tcW w:w="0" w:type="auto"/>
            <w:shd w:val="clear" w:color="auto" w:fill="auto"/>
            <w:noWrap/>
          </w:tcPr>
          <w:p w14:paraId="75C5D9E4" w14:textId="77777777" w:rsidR="0080326D" w:rsidRPr="0080326D" w:rsidRDefault="0080326D" w:rsidP="00C17D2F">
            <w:pPr>
              <w:rPr>
                <w:bCs/>
                <w:sz w:val="22"/>
                <w:szCs w:val="22"/>
              </w:rPr>
            </w:pPr>
            <w:r w:rsidRPr="0080326D">
              <w:rPr>
                <w:bCs/>
                <w:sz w:val="22"/>
                <w:szCs w:val="22"/>
              </w:rPr>
              <w:t>PCB 028</w:t>
            </w:r>
          </w:p>
        </w:tc>
        <w:tc>
          <w:tcPr>
            <w:tcW w:w="0" w:type="auto"/>
            <w:shd w:val="clear" w:color="auto" w:fill="auto"/>
            <w:noWrap/>
          </w:tcPr>
          <w:p w14:paraId="4244EFB2" w14:textId="77777777" w:rsidR="0080326D" w:rsidRPr="0080326D" w:rsidRDefault="0080326D" w:rsidP="00C17D2F">
            <w:pPr>
              <w:rPr>
                <w:bCs/>
                <w:sz w:val="22"/>
                <w:szCs w:val="22"/>
              </w:rPr>
            </w:pPr>
            <w:r w:rsidRPr="0080326D">
              <w:rPr>
                <w:bCs/>
                <w:sz w:val="22"/>
                <w:szCs w:val="22"/>
              </w:rPr>
              <w:t>PCB 076</w:t>
            </w:r>
          </w:p>
        </w:tc>
        <w:tc>
          <w:tcPr>
            <w:tcW w:w="0" w:type="auto"/>
            <w:shd w:val="clear" w:color="auto" w:fill="auto"/>
            <w:noWrap/>
          </w:tcPr>
          <w:p w14:paraId="69AC60D8" w14:textId="77777777" w:rsidR="0080326D" w:rsidRPr="0080326D" w:rsidRDefault="0080326D" w:rsidP="00C17D2F">
            <w:pPr>
              <w:rPr>
                <w:bCs/>
                <w:sz w:val="22"/>
                <w:szCs w:val="22"/>
              </w:rPr>
            </w:pPr>
            <w:r w:rsidRPr="0080326D">
              <w:rPr>
                <w:bCs/>
                <w:sz w:val="22"/>
                <w:szCs w:val="22"/>
              </w:rPr>
              <w:t>PCB 132</w:t>
            </w:r>
          </w:p>
        </w:tc>
        <w:tc>
          <w:tcPr>
            <w:tcW w:w="0" w:type="auto"/>
            <w:shd w:val="clear" w:color="auto" w:fill="auto"/>
            <w:noWrap/>
          </w:tcPr>
          <w:p w14:paraId="150C2EDD" w14:textId="77777777" w:rsidR="0080326D" w:rsidRPr="0080326D" w:rsidRDefault="0080326D" w:rsidP="00C17D2F">
            <w:pPr>
              <w:rPr>
                <w:bCs/>
                <w:sz w:val="22"/>
                <w:szCs w:val="22"/>
              </w:rPr>
            </w:pPr>
            <w:r w:rsidRPr="0080326D">
              <w:rPr>
                <w:bCs/>
                <w:sz w:val="22"/>
                <w:szCs w:val="22"/>
              </w:rPr>
              <w:t>PCB 170</w:t>
            </w:r>
          </w:p>
        </w:tc>
        <w:tc>
          <w:tcPr>
            <w:tcW w:w="1152" w:type="dxa"/>
          </w:tcPr>
          <w:p w14:paraId="0F6E9972" w14:textId="77777777" w:rsidR="0080326D" w:rsidRPr="0080326D" w:rsidRDefault="0080326D" w:rsidP="00C17D2F">
            <w:pPr>
              <w:rPr>
                <w:bCs/>
                <w:sz w:val="22"/>
                <w:szCs w:val="22"/>
              </w:rPr>
            </w:pPr>
          </w:p>
        </w:tc>
      </w:tr>
      <w:tr w:rsidR="0080326D" w:rsidRPr="0080326D" w14:paraId="08DFA700" w14:textId="77777777" w:rsidTr="004E61EE">
        <w:trPr>
          <w:trHeight w:val="300"/>
          <w:jc w:val="center"/>
        </w:trPr>
        <w:tc>
          <w:tcPr>
            <w:tcW w:w="0" w:type="auto"/>
            <w:shd w:val="clear" w:color="auto" w:fill="auto"/>
            <w:noWrap/>
          </w:tcPr>
          <w:p w14:paraId="503EBA2D" w14:textId="77777777" w:rsidR="0080326D" w:rsidRPr="0080326D" w:rsidRDefault="0080326D" w:rsidP="00C17D2F">
            <w:pPr>
              <w:rPr>
                <w:bCs/>
                <w:sz w:val="22"/>
                <w:szCs w:val="22"/>
              </w:rPr>
            </w:pPr>
            <w:r w:rsidRPr="0080326D">
              <w:rPr>
                <w:bCs/>
                <w:sz w:val="22"/>
                <w:szCs w:val="22"/>
              </w:rPr>
              <w:t>PCB 031</w:t>
            </w:r>
          </w:p>
        </w:tc>
        <w:tc>
          <w:tcPr>
            <w:tcW w:w="0" w:type="auto"/>
            <w:shd w:val="clear" w:color="auto" w:fill="auto"/>
            <w:noWrap/>
          </w:tcPr>
          <w:p w14:paraId="11792A44" w14:textId="77777777" w:rsidR="0080326D" w:rsidRPr="0080326D" w:rsidRDefault="0080326D" w:rsidP="00C17D2F">
            <w:pPr>
              <w:rPr>
                <w:bCs/>
                <w:sz w:val="22"/>
                <w:szCs w:val="22"/>
              </w:rPr>
            </w:pPr>
            <w:r w:rsidRPr="0080326D">
              <w:rPr>
                <w:bCs/>
                <w:sz w:val="22"/>
                <w:szCs w:val="22"/>
              </w:rPr>
              <w:t>PCB 087</w:t>
            </w:r>
          </w:p>
        </w:tc>
        <w:tc>
          <w:tcPr>
            <w:tcW w:w="0" w:type="auto"/>
            <w:shd w:val="clear" w:color="auto" w:fill="auto"/>
            <w:noWrap/>
          </w:tcPr>
          <w:p w14:paraId="705724FA" w14:textId="77777777" w:rsidR="0080326D" w:rsidRPr="0080326D" w:rsidRDefault="0080326D" w:rsidP="00C17D2F">
            <w:pPr>
              <w:rPr>
                <w:bCs/>
                <w:sz w:val="22"/>
                <w:szCs w:val="22"/>
              </w:rPr>
            </w:pPr>
            <w:r w:rsidRPr="0080326D">
              <w:rPr>
                <w:bCs/>
                <w:sz w:val="22"/>
                <w:szCs w:val="22"/>
              </w:rPr>
              <w:t>PCB 138</w:t>
            </w:r>
          </w:p>
        </w:tc>
        <w:tc>
          <w:tcPr>
            <w:tcW w:w="0" w:type="auto"/>
            <w:shd w:val="clear" w:color="auto" w:fill="auto"/>
            <w:noWrap/>
          </w:tcPr>
          <w:p w14:paraId="5A328673" w14:textId="77777777" w:rsidR="0080326D" w:rsidRPr="0080326D" w:rsidRDefault="0080326D" w:rsidP="00C17D2F">
            <w:pPr>
              <w:rPr>
                <w:bCs/>
                <w:sz w:val="22"/>
                <w:szCs w:val="22"/>
              </w:rPr>
            </w:pPr>
            <w:r w:rsidRPr="0080326D">
              <w:rPr>
                <w:bCs/>
                <w:sz w:val="22"/>
                <w:szCs w:val="22"/>
              </w:rPr>
              <w:t>PCB 174</w:t>
            </w:r>
          </w:p>
        </w:tc>
        <w:tc>
          <w:tcPr>
            <w:tcW w:w="1152" w:type="dxa"/>
          </w:tcPr>
          <w:p w14:paraId="5F5CDEE4" w14:textId="77777777" w:rsidR="0080326D" w:rsidRPr="0080326D" w:rsidRDefault="0080326D" w:rsidP="00C17D2F">
            <w:pPr>
              <w:rPr>
                <w:bCs/>
                <w:sz w:val="22"/>
                <w:szCs w:val="22"/>
              </w:rPr>
            </w:pPr>
          </w:p>
        </w:tc>
      </w:tr>
      <w:tr w:rsidR="0080326D" w:rsidRPr="0080326D" w14:paraId="127A4545" w14:textId="77777777" w:rsidTr="004E61EE">
        <w:trPr>
          <w:trHeight w:val="300"/>
          <w:jc w:val="center"/>
        </w:trPr>
        <w:tc>
          <w:tcPr>
            <w:tcW w:w="0" w:type="auto"/>
            <w:shd w:val="clear" w:color="auto" w:fill="auto"/>
            <w:noWrap/>
          </w:tcPr>
          <w:p w14:paraId="07165A22" w14:textId="77777777" w:rsidR="0080326D" w:rsidRPr="0080326D" w:rsidRDefault="0080326D" w:rsidP="00C17D2F">
            <w:pPr>
              <w:rPr>
                <w:bCs/>
                <w:sz w:val="22"/>
                <w:szCs w:val="22"/>
              </w:rPr>
            </w:pPr>
            <w:r w:rsidRPr="0080326D">
              <w:rPr>
                <w:bCs/>
                <w:sz w:val="22"/>
                <w:szCs w:val="22"/>
              </w:rPr>
              <w:t>PCB 033</w:t>
            </w:r>
          </w:p>
        </w:tc>
        <w:tc>
          <w:tcPr>
            <w:tcW w:w="0" w:type="auto"/>
            <w:shd w:val="clear" w:color="auto" w:fill="auto"/>
            <w:noWrap/>
          </w:tcPr>
          <w:p w14:paraId="7F8C877D" w14:textId="77777777" w:rsidR="0080326D" w:rsidRPr="0080326D" w:rsidRDefault="0080326D" w:rsidP="00C17D2F">
            <w:pPr>
              <w:rPr>
                <w:bCs/>
                <w:sz w:val="22"/>
                <w:szCs w:val="22"/>
              </w:rPr>
            </w:pPr>
            <w:r w:rsidRPr="0080326D">
              <w:rPr>
                <w:bCs/>
                <w:sz w:val="22"/>
                <w:szCs w:val="22"/>
              </w:rPr>
              <w:t>PCB 090</w:t>
            </w:r>
          </w:p>
        </w:tc>
        <w:tc>
          <w:tcPr>
            <w:tcW w:w="0" w:type="auto"/>
            <w:shd w:val="clear" w:color="auto" w:fill="auto"/>
            <w:noWrap/>
          </w:tcPr>
          <w:p w14:paraId="4D36CF01" w14:textId="77777777" w:rsidR="0080326D" w:rsidRPr="0080326D" w:rsidRDefault="0080326D" w:rsidP="00C17D2F">
            <w:pPr>
              <w:rPr>
                <w:bCs/>
                <w:sz w:val="22"/>
                <w:szCs w:val="22"/>
              </w:rPr>
            </w:pPr>
            <w:r w:rsidRPr="0080326D">
              <w:rPr>
                <w:bCs/>
                <w:sz w:val="22"/>
                <w:szCs w:val="22"/>
              </w:rPr>
              <w:t>PCB 139</w:t>
            </w:r>
          </w:p>
        </w:tc>
        <w:tc>
          <w:tcPr>
            <w:tcW w:w="0" w:type="auto"/>
            <w:shd w:val="clear" w:color="auto" w:fill="auto"/>
            <w:noWrap/>
          </w:tcPr>
          <w:p w14:paraId="4AB0384C" w14:textId="77777777" w:rsidR="0080326D" w:rsidRPr="0080326D" w:rsidRDefault="0080326D" w:rsidP="00C17D2F">
            <w:pPr>
              <w:rPr>
                <w:bCs/>
                <w:sz w:val="22"/>
                <w:szCs w:val="22"/>
              </w:rPr>
            </w:pPr>
            <w:r w:rsidRPr="0080326D">
              <w:rPr>
                <w:bCs/>
                <w:sz w:val="22"/>
                <w:szCs w:val="22"/>
              </w:rPr>
              <w:t>PCB 177</w:t>
            </w:r>
          </w:p>
        </w:tc>
        <w:tc>
          <w:tcPr>
            <w:tcW w:w="1152" w:type="dxa"/>
          </w:tcPr>
          <w:p w14:paraId="656C9AC4" w14:textId="77777777" w:rsidR="0080326D" w:rsidRPr="0080326D" w:rsidRDefault="0080326D" w:rsidP="00C17D2F">
            <w:pPr>
              <w:rPr>
                <w:bCs/>
                <w:sz w:val="22"/>
                <w:szCs w:val="22"/>
              </w:rPr>
            </w:pPr>
          </w:p>
        </w:tc>
      </w:tr>
      <w:tr w:rsidR="0080326D" w:rsidRPr="0080326D" w14:paraId="271C3296" w14:textId="77777777" w:rsidTr="004E61EE">
        <w:trPr>
          <w:trHeight w:val="300"/>
          <w:jc w:val="center"/>
        </w:trPr>
        <w:tc>
          <w:tcPr>
            <w:tcW w:w="0" w:type="auto"/>
            <w:shd w:val="clear" w:color="auto" w:fill="auto"/>
            <w:noWrap/>
          </w:tcPr>
          <w:p w14:paraId="77C02967" w14:textId="77777777" w:rsidR="0080326D" w:rsidRPr="0080326D" w:rsidRDefault="0080326D" w:rsidP="00C17D2F">
            <w:pPr>
              <w:rPr>
                <w:bCs/>
                <w:sz w:val="22"/>
                <w:szCs w:val="22"/>
              </w:rPr>
            </w:pPr>
            <w:r w:rsidRPr="0080326D">
              <w:rPr>
                <w:bCs/>
                <w:sz w:val="22"/>
                <w:szCs w:val="22"/>
              </w:rPr>
              <w:t>PCB 043</w:t>
            </w:r>
          </w:p>
        </w:tc>
        <w:tc>
          <w:tcPr>
            <w:tcW w:w="0" w:type="auto"/>
            <w:shd w:val="clear" w:color="auto" w:fill="auto"/>
            <w:noWrap/>
          </w:tcPr>
          <w:p w14:paraId="22013D3F" w14:textId="77777777" w:rsidR="0080326D" w:rsidRPr="0080326D" w:rsidRDefault="0080326D" w:rsidP="00C17D2F">
            <w:pPr>
              <w:rPr>
                <w:bCs/>
                <w:sz w:val="22"/>
                <w:szCs w:val="22"/>
              </w:rPr>
            </w:pPr>
            <w:r w:rsidRPr="0080326D">
              <w:rPr>
                <w:bCs/>
                <w:sz w:val="22"/>
                <w:szCs w:val="22"/>
              </w:rPr>
              <w:t>PCB 095</w:t>
            </w:r>
          </w:p>
        </w:tc>
        <w:tc>
          <w:tcPr>
            <w:tcW w:w="0" w:type="auto"/>
            <w:shd w:val="clear" w:color="auto" w:fill="auto"/>
            <w:noWrap/>
          </w:tcPr>
          <w:p w14:paraId="249751DC" w14:textId="77777777" w:rsidR="0080326D" w:rsidRPr="0080326D" w:rsidRDefault="0080326D" w:rsidP="00C17D2F">
            <w:pPr>
              <w:rPr>
                <w:bCs/>
                <w:sz w:val="22"/>
                <w:szCs w:val="22"/>
              </w:rPr>
            </w:pPr>
            <w:r w:rsidRPr="0080326D">
              <w:rPr>
                <w:bCs/>
                <w:sz w:val="22"/>
                <w:szCs w:val="22"/>
              </w:rPr>
              <w:t>PCB 141</w:t>
            </w:r>
          </w:p>
        </w:tc>
        <w:tc>
          <w:tcPr>
            <w:tcW w:w="0" w:type="auto"/>
            <w:shd w:val="clear" w:color="auto" w:fill="auto"/>
            <w:noWrap/>
          </w:tcPr>
          <w:p w14:paraId="5C2C32B2" w14:textId="77777777" w:rsidR="0080326D" w:rsidRPr="0080326D" w:rsidRDefault="0080326D" w:rsidP="00C17D2F">
            <w:pPr>
              <w:rPr>
                <w:bCs/>
                <w:sz w:val="22"/>
                <w:szCs w:val="22"/>
              </w:rPr>
            </w:pPr>
            <w:r w:rsidRPr="0080326D">
              <w:rPr>
                <w:bCs/>
                <w:sz w:val="22"/>
                <w:szCs w:val="22"/>
              </w:rPr>
              <w:t>PCB 180</w:t>
            </w:r>
          </w:p>
        </w:tc>
        <w:tc>
          <w:tcPr>
            <w:tcW w:w="1152" w:type="dxa"/>
          </w:tcPr>
          <w:p w14:paraId="26A1C556" w14:textId="77777777" w:rsidR="0080326D" w:rsidRPr="0080326D" w:rsidRDefault="0080326D" w:rsidP="00C17D2F">
            <w:pPr>
              <w:rPr>
                <w:bCs/>
                <w:sz w:val="22"/>
                <w:szCs w:val="22"/>
              </w:rPr>
            </w:pPr>
          </w:p>
        </w:tc>
      </w:tr>
      <w:tr w:rsidR="0080326D" w:rsidRPr="0080326D" w14:paraId="5DC9E004" w14:textId="77777777" w:rsidTr="004E61EE">
        <w:trPr>
          <w:trHeight w:val="300"/>
          <w:jc w:val="center"/>
        </w:trPr>
        <w:tc>
          <w:tcPr>
            <w:tcW w:w="0" w:type="auto"/>
            <w:shd w:val="clear" w:color="auto" w:fill="auto"/>
            <w:noWrap/>
          </w:tcPr>
          <w:p w14:paraId="7FCD5CC3" w14:textId="77777777" w:rsidR="0080326D" w:rsidRPr="0080326D" w:rsidRDefault="0080326D" w:rsidP="00C17D2F">
            <w:pPr>
              <w:rPr>
                <w:bCs/>
                <w:sz w:val="22"/>
                <w:szCs w:val="22"/>
              </w:rPr>
            </w:pPr>
            <w:r w:rsidRPr="0080326D">
              <w:rPr>
                <w:bCs/>
                <w:sz w:val="22"/>
                <w:szCs w:val="22"/>
              </w:rPr>
              <w:t>PCB 044</w:t>
            </w:r>
          </w:p>
        </w:tc>
        <w:tc>
          <w:tcPr>
            <w:tcW w:w="0" w:type="auto"/>
            <w:shd w:val="clear" w:color="auto" w:fill="auto"/>
            <w:noWrap/>
          </w:tcPr>
          <w:p w14:paraId="046C8E7E" w14:textId="77777777" w:rsidR="0080326D" w:rsidRPr="0080326D" w:rsidRDefault="0080326D" w:rsidP="00C17D2F">
            <w:pPr>
              <w:rPr>
                <w:bCs/>
                <w:sz w:val="22"/>
                <w:szCs w:val="22"/>
              </w:rPr>
            </w:pPr>
            <w:r w:rsidRPr="0080326D">
              <w:rPr>
                <w:bCs/>
                <w:sz w:val="22"/>
                <w:szCs w:val="22"/>
              </w:rPr>
              <w:t>PCB 097</w:t>
            </w:r>
          </w:p>
        </w:tc>
        <w:tc>
          <w:tcPr>
            <w:tcW w:w="0" w:type="auto"/>
            <w:shd w:val="clear" w:color="auto" w:fill="auto"/>
            <w:noWrap/>
          </w:tcPr>
          <w:p w14:paraId="53A32FBE" w14:textId="77777777" w:rsidR="0080326D" w:rsidRPr="0080326D" w:rsidRDefault="0080326D" w:rsidP="00C17D2F">
            <w:pPr>
              <w:rPr>
                <w:bCs/>
                <w:sz w:val="22"/>
                <w:szCs w:val="22"/>
              </w:rPr>
            </w:pPr>
            <w:r w:rsidRPr="0080326D">
              <w:rPr>
                <w:bCs/>
                <w:sz w:val="22"/>
                <w:szCs w:val="22"/>
              </w:rPr>
              <w:t>PCB 149</w:t>
            </w:r>
          </w:p>
        </w:tc>
        <w:tc>
          <w:tcPr>
            <w:tcW w:w="0" w:type="auto"/>
            <w:shd w:val="clear" w:color="auto" w:fill="auto"/>
            <w:noWrap/>
          </w:tcPr>
          <w:p w14:paraId="366B802A" w14:textId="77777777" w:rsidR="0080326D" w:rsidRPr="0080326D" w:rsidRDefault="0080326D" w:rsidP="00C17D2F">
            <w:pPr>
              <w:rPr>
                <w:bCs/>
                <w:sz w:val="22"/>
                <w:szCs w:val="22"/>
              </w:rPr>
            </w:pPr>
            <w:r w:rsidRPr="0080326D">
              <w:rPr>
                <w:bCs/>
                <w:sz w:val="22"/>
                <w:szCs w:val="22"/>
              </w:rPr>
              <w:t>PCB 182</w:t>
            </w:r>
          </w:p>
        </w:tc>
        <w:tc>
          <w:tcPr>
            <w:tcW w:w="1152" w:type="dxa"/>
          </w:tcPr>
          <w:p w14:paraId="55209390" w14:textId="77777777" w:rsidR="0080326D" w:rsidRPr="0080326D" w:rsidRDefault="0080326D" w:rsidP="00C17D2F">
            <w:pPr>
              <w:rPr>
                <w:bCs/>
                <w:sz w:val="22"/>
                <w:szCs w:val="22"/>
              </w:rPr>
            </w:pPr>
          </w:p>
        </w:tc>
      </w:tr>
      <w:tr w:rsidR="0080326D" w:rsidRPr="0080326D" w14:paraId="59BC5F73" w14:textId="77777777" w:rsidTr="004E61EE">
        <w:trPr>
          <w:trHeight w:val="300"/>
          <w:jc w:val="center"/>
        </w:trPr>
        <w:tc>
          <w:tcPr>
            <w:tcW w:w="0" w:type="auto"/>
            <w:shd w:val="clear" w:color="auto" w:fill="auto"/>
            <w:noWrap/>
          </w:tcPr>
          <w:p w14:paraId="24A3D817" w14:textId="77777777" w:rsidR="0080326D" w:rsidRPr="0080326D" w:rsidRDefault="0080326D" w:rsidP="00C17D2F">
            <w:pPr>
              <w:rPr>
                <w:bCs/>
                <w:sz w:val="22"/>
                <w:szCs w:val="22"/>
              </w:rPr>
            </w:pPr>
            <w:r w:rsidRPr="0080326D">
              <w:rPr>
                <w:bCs/>
                <w:sz w:val="22"/>
                <w:szCs w:val="22"/>
              </w:rPr>
              <w:t>PCB 049</w:t>
            </w:r>
          </w:p>
        </w:tc>
        <w:tc>
          <w:tcPr>
            <w:tcW w:w="0" w:type="auto"/>
            <w:shd w:val="clear" w:color="auto" w:fill="auto"/>
            <w:noWrap/>
          </w:tcPr>
          <w:p w14:paraId="3CA5ADA4" w14:textId="77777777" w:rsidR="0080326D" w:rsidRPr="0080326D" w:rsidRDefault="0080326D" w:rsidP="00C17D2F">
            <w:pPr>
              <w:rPr>
                <w:bCs/>
                <w:sz w:val="22"/>
                <w:szCs w:val="22"/>
              </w:rPr>
            </w:pPr>
            <w:r w:rsidRPr="0080326D">
              <w:rPr>
                <w:bCs/>
                <w:sz w:val="22"/>
                <w:szCs w:val="22"/>
              </w:rPr>
              <w:t>PCB 099</w:t>
            </w:r>
          </w:p>
        </w:tc>
        <w:tc>
          <w:tcPr>
            <w:tcW w:w="0" w:type="auto"/>
            <w:shd w:val="clear" w:color="auto" w:fill="auto"/>
            <w:noWrap/>
          </w:tcPr>
          <w:p w14:paraId="3B034AC3" w14:textId="77777777" w:rsidR="0080326D" w:rsidRPr="0080326D" w:rsidRDefault="0080326D" w:rsidP="00C17D2F">
            <w:pPr>
              <w:rPr>
                <w:bCs/>
                <w:sz w:val="22"/>
                <w:szCs w:val="22"/>
              </w:rPr>
            </w:pPr>
            <w:r w:rsidRPr="0080326D">
              <w:rPr>
                <w:bCs/>
                <w:sz w:val="22"/>
                <w:szCs w:val="22"/>
              </w:rPr>
              <w:t>PCB 151</w:t>
            </w:r>
          </w:p>
        </w:tc>
        <w:tc>
          <w:tcPr>
            <w:tcW w:w="0" w:type="auto"/>
            <w:shd w:val="clear" w:color="auto" w:fill="auto"/>
            <w:noWrap/>
          </w:tcPr>
          <w:p w14:paraId="0858010C" w14:textId="77777777" w:rsidR="0080326D" w:rsidRPr="0080326D" w:rsidRDefault="0080326D" w:rsidP="00C17D2F">
            <w:pPr>
              <w:rPr>
                <w:bCs/>
                <w:sz w:val="22"/>
                <w:szCs w:val="22"/>
              </w:rPr>
            </w:pPr>
            <w:r w:rsidRPr="0080326D">
              <w:rPr>
                <w:bCs/>
                <w:sz w:val="22"/>
                <w:szCs w:val="22"/>
              </w:rPr>
              <w:t>PCB 183</w:t>
            </w:r>
          </w:p>
        </w:tc>
        <w:tc>
          <w:tcPr>
            <w:tcW w:w="1152" w:type="dxa"/>
          </w:tcPr>
          <w:p w14:paraId="332CD38C" w14:textId="77777777" w:rsidR="0080326D" w:rsidRPr="0080326D" w:rsidRDefault="0080326D" w:rsidP="00C17D2F">
            <w:pPr>
              <w:rPr>
                <w:bCs/>
                <w:sz w:val="22"/>
                <w:szCs w:val="22"/>
              </w:rPr>
            </w:pPr>
          </w:p>
        </w:tc>
      </w:tr>
      <w:tr w:rsidR="0080326D" w:rsidRPr="0080326D" w14:paraId="3A2C927F" w14:textId="77777777" w:rsidTr="004E61EE">
        <w:trPr>
          <w:trHeight w:val="300"/>
          <w:jc w:val="center"/>
        </w:trPr>
        <w:tc>
          <w:tcPr>
            <w:tcW w:w="0" w:type="auto"/>
            <w:shd w:val="clear" w:color="auto" w:fill="auto"/>
            <w:noWrap/>
          </w:tcPr>
          <w:p w14:paraId="2AA6A475" w14:textId="77777777" w:rsidR="0080326D" w:rsidRPr="0080326D" w:rsidRDefault="0080326D" w:rsidP="00C17D2F">
            <w:pPr>
              <w:rPr>
                <w:bCs/>
                <w:sz w:val="22"/>
                <w:szCs w:val="22"/>
              </w:rPr>
            </w:pPr>
            <w:r w:rsidRPr="0080326D">
              <w:rPr>
                <w:bCs/>
                <w:sz w:val="22"/>
                <w:szCs w:val="22"/>
              </w:rPr>
              <w:t>PCB 052</w:t>
            </w:r>
          </w:p>
        </w:tc>
        <w:tc>
          <w:tcPr>
            <w:tcW w:w="0" w:type="auto"/>
            <w:shd w:val="clear" w:color="auto" w:fill="auto"/>
            <w:noWrap/>
          </w:tcPr>
          <w:p w14:paraId="55FFE2A3" w14:textId="77777777" w:rsidR="0080326D" w:rsidRPr="0080326D" w:rsidRDefault="0080326D" w:rsidP="00C17D2F">
            <w:pPr>
              <w:rPr>
                <w:bCs/>
                <w:sz w:val="22"/>
                <w:szCs w:val="22"/>
              </w:rPr>
            </w:pPr>
            <w:r w:rsidRPr="0080326D">
              <w:rPr>
                <w:bCs/>
                <w:sz w:val="22"/>
                <w:szCs w:val="22"/>
              </w:rPr>
              <w:t>PCB 101</w:t>
            </w:r>
          </w:p>
        </w:tc>
        <w:tc>
          <w:tcPr>
            <w:tcW w:w="0" w:type="auto"/>
            <w:shd w:val="clear" w:color="auto" w:fill="auto"/>
            <w:noWrap/>
          </w:tcPr>
          <w:p w14:paraId="54A661A7" w14:textId="77777777" w:rsidR="0080326D" w:rsidRPr="0080326D" w:rsidRDefault="0080326D" w:rsidP="00C17D2F">
            <w:pPr>
              <w:rPr>
                <w:bCs/>
                <w:sz w:val="22"/>
                <w:szCs w:val="22"/>
              </w:rPr>
            </w:pPr>
            <w:r w:rsidRPr="0080326D">
              <w:rPr>
                <w:bCs/>
                <w:sz w:val="22"/>
                <w:szCs w:val="22"/>
              </w:rPr>
              <w:t>PCB 153</w:t>
            </w:r>
          </w:p>
        </w:tc>
        <w:tc>
          <w:tcPr>
            <w:tcW w:w="0" w:type="auto"/>
            <w:shd w:val="clear" w:color="auto" w:fill="auto"/>
            <w:noWrap/>
          </w:tcPr>
          <w:p w14:paraId="0DFD26BA" w14:textId="77777777" w:rsidR="0080326D" w:rsidRPr="0080326D" w:rsidRDefault="0080326D" w:rsidP="00C17D2F">
            <w:pPr>
              <w:rPr>
                <w:bCs/>
                <w:sz w:val="22"/>
                <w:szCs w:val="22"/>
              </w:rPr>
            </w:pPr>
            <w:r w:rsidRPr="0080326D">
              <w:rPr>
                <w:bCs/>
                <w:sz w:val="22"/>
                <w:szCs w:val="22"/>
              </w:rPr>
              <w:t>PCB 187</w:t>
            </w:r>
          </w:p>
        </w:tc>
        <w:tc>
          <w:tcPr>
            <w:tcW w:w="1152" w:type="dxa"/>
          </w:tcPr>
          <w:p w14:paraId="43C365FE" w14:textId="77777777" w:rsidR="0080326D" w:rsidRPr="0080326D" w:rsidRDefault="0080326D" w:rsidP="00C17D2F">
            <w:pPr>
              <w:rPr>
                <w:bCs/>
                <w:sz w:val="22"/>
                <w:szCs w:val="22"/>
              </w:rPr>
            </w:pPr>
          </w:p>
        </w:tc>
      </w:tr>
      <w:tr w:rsidR="0080326D" w:rsidRPr="0080326D" w14:paraId="7FF46C50" w14:textId="77777777" w:rsidTr="004E61EE">
        <w:trPr>
          <w:trHeight w:val="300"/>
          <w:jc w:val="center"/>
        </w:trPr>
        <w:tc>
          <w:tcPr>
            <w:tcW w:w="0" w:type="auto"/>
            <w:shd w:val="clear" w:color="auto" w:fill="auto"/>
            <w:noWrap/>
          </w:tcPr>
          <w:p w14:paraId="5AFCE814" w14:textId="77777777" w:rsidR="0080326D" w:rsidRPr="0080326D" w:rsidRDefault="0080326D" w:rsidP="00C17D2F">
            <w:pPr>
              <w:rPr>
                <w:bCs/>
                <w:sz w:val="22"/>
                <w:szCs w:val="22"/>
              </w:rPr>
            </w:pPr>
            <w:r w:rsidRPr="0080326D">
              <w:rPr>
                <w:bCs/>
                <w:sz w:val="22"/>
                <w:szCs w:val="22"/>
              </w:rPr>
              <w:t>PCB 056</w:t>
            </w:r>
          </w:p>
        </w:tc>
        <w:tc>
          <w:tcPr>
            <w:tcW w:w="0" w:type="auto"/>
            <w:shd w:val="clear" w:color="auto" w:fill="auto"/>
            <w:noWrap/>
          </w:tcPr>
          <w:p w14:paraId="33602E38" w14:textId="77777777" w:rsidR="0080326D" w:rsidRPr="0080326D" w:rsidRDefault="0080326D" w:rsidP="00C17D2F">
            <w:pPr>
              <w:rPr>
                <w:bCs/>
                <w:sz w:val="22"/>
                <w:szCs w:val="22"/>
              </w:rPr>
            </w:pPr>
            <w:r w:rsidRPr="0080326D">
              <w:rPr>
                <w:bCs/>
                <w:sz w:val="22"/>
                <w:szCs w:val="22"/>
              </w:rPr>
              <w:t>PCB 105</w:t>
            </w:r>
          </w:p>
        </w:tc>
        <w:tc>
          <w:tcPr>
            <w:tcW w:w="0" w:type="auto"/>
            <w:shd w:val="clear" w:color="auto" w:fill="auto"/>
            <w:noWrap/>
          </w:tcPr>
          <w:p w14:paraId="0BD9E3DA" w14:textId="77777777" w:rsidR="0080326D" w:rsidRPr="0080326D" w:rsidRDefault="0080326D" w:rsidP="00C17D2F">
            <w:pPr>
              <w:rPr>
                <w:bCs/>
                <w:sz w:val="22"/>
                <w:szCs w:val="22"/>
              </w:rPr>
            </w:pPr>
            <w:r w:rsidRPr="0080326D">
              <w:rPr>
                <w:bCs/>
                <w:sz w:val="22"/>
                <w:szCs w:val="22"/>
              </w:rPr>
              <w:t>PCB 156</w:t>
            </w:r>
          </w:p>
        </w:tc>
        <w:tc>
          <w:tcPr>
            <w:tcW w:w="0" w:type="auto"/>
            <w:shd w:val="clear" w:color="auto" w:fill="auto"/>
            <w:noWrap/>
          </w:tcPr>
          <w:p w14:paraId="4106DCF0" w14:textId="77777777" w:rsidR="0080326D" w:rsidRPr="0080326D" w:rsidRDefault="0080326D" w:rsidP="00C17D2F">
            <w:pPr>
              <w:rPr>
                <w:bCs/>
                <w:sz w:val="22"/>
                <w:szCs w:val="22"/>
              </w:rPr>
            </w:pPr>
            <w:r w:rsidRPr="0080326D">
              <w:rPr>
                <w:bCs/>
                <w:sz w:val="22"/>
                <w:szCs w:val="22"/>
              </w:rPr>
              <w:t>PCB 194</w:t>
            </w:r>
          </w:p>
        </w:tc>
        <w:tc>
          <w:tcPr>
            <w:tcW w:w="1152" w:type="dxa"/>
          </w:tcPr>
          <w:p w14:paraId="3F56CC9D" w14:textId="77777777" w:rsidR="0080326D" w:rsidRPr="0080326D" w:rsidRDefault="0080326D" w:rsidP="00C17D2F">
            <w:pPr>
              <w:rPr>
                <w:bCs/>
                <w:sz w:val="22"/>
                <w:szCs w:val="22"/>
              </w:rPr>
            </w:pPr>
          </w:p>
        </w:tc>
      </w:tr>
      <w:tr w:rsidR="0080326D" w:rsidRPr="0080326D" w14:paraId="76430F39" w14:textId="77777777" w:rsidTr="004E61EE">
        <w:trPr>
          <w:trHeight w:val="300"/>
          <w:jc w:val="center"/>
        </w:trPr>
        <w:tc>
          <w:tcPr>
            <w:tcW w:w="0" w:type="auto"/>
            <w:shd w:val="clear" w:color="auto" w:fill="auto"/>
            <w:noWrap/>
          </w:tcPr>
          <w:p w14:paraId="5EEC2BA0" w14:textId="77777777" w:rsidR="0080326D" w:rsidRPr="0080326D" w:rsidRDefault="0080326D" w:rsidP="00C17D2F">
            <w:pPr>
              <w:rPr>
                <w:bCs/>
                <w:sz w:val="22"/>
                <w:szCs w:val="22"/>
              </w:rPr>
            </w:pPr>
            <w:r w:rsidRPr="0080326D">
              <w:rPr>
                <w:bCs/>
                <w:sz w:val="22"/>
                <w:szCs w:val="22"/>
              </w:rPr>
              <w:lastRenderedPageBreak/>
              <w:t>PCB 060</w:t>
            </w:r>
          </w:p>
        </w:tc>
        <w:tc>
          <w:tcPr>
            <w:tcW w:w="0" w:type="auto"/>
            <w:shd w:val="clear" w:color="auto" w:fill="auto"/>
            <w:noWrap/>
          </w:tcPr>
          <w:p w14:paraId="25528EFD" w14:textId="77777777" w:rsidR="0080326D" w:rsidRPr="0080326D" w:rsidRDefault="0080326D" w:rsidP="00C17D2F">
            <w:pPr>
              <w:rPr>
                <w:bCs/>
                <w:sz w:val="22"/>
                <w:szCs w:val="22"/>
              </w:rPr>
            </w:pPr>
            <w:r w:rsidRPr="0080326D">
              <w:rPr>
                <w:bCs/>
                <w:sz w:val="22"/>
                <w:szCs w:val="22"/>
              </w:rPr>
              <w:t>PCB 106</w:t>
            </w:r>
          </w:p>
        </w:tc>
        <w:tc>
          <w:tcPr>
            <w:tcW w:w="0" w:type="auto"/>
            <w:shd w:val="clear" w:color="auto" w:fill="auto"/>
            <w:noWrap/>
          </w:tcPr>
          <w:p w14:paraId="6B444F08" w14:textId="77777777" w:rsidR="0080326D" w:rsidRPr="0080326D" w:rsidRDefault="0080326D" w:rsidP="00C17D2F">
            <w:pPr>
              <w:rPr>
                <w:bCs/>
                <w:sz w:val="22"/>
                <w:szCs w:val="22"/>
              </w:rPr>
            </w:pPr>
            <w:r w:rsidRPr="0080326D">
              <w:rPr>
                <w:bCs/>
                <w:sz w:val="22"/>
                <w:szCs w:val="22"/>
              </w:rPr>
              <w:t>PCB 158</w:t>
            </w:r>
          </w:p>
        </w:tc>
        <w:tc>
          <w:tcPr>
            <w:tcW w:w="0" w:type="auto"/>
            <w:shd w:val="clear" w:color="auto" w:fill="auto"/>
            <w:noWrap/>
          </w:tcPr>
          <w:p w14:paraId="3698DEEB" w14:textId="77777777" w:rsidR="0080326D" w:rsidRPr="0080326D" w:rsidRDefault="0080326D" w:rsidP="00C17D2F">
            <w:pPr>
              <w:rPr>
                <w:bCs/>
                <w:sz w:val="22"/>
                <w:szCs w:val="22"/>
              </w:rPr>
            </w:pPr>
            <w:r w:rsidRPr="0080326D">
              <w:rPr>
                <w:bCs/>
                <w:sz w:val="22"/>
                <w:szCs w:val="22"/>
              </w:rPr>
              <w:t>PCB 195</w:t>
            </w:r>
          </w:p>
        </w:tc>
        <w:tc>
          <w:tcPr>
            <w:tcW w:w="1152" w:type="dxa"/>
          </w:tcPr>
          <w:p w14:paraId="21AC9E56" w14:textId="77777777" w:rsidR="0080326D" w:rsidRPr="0080326D" w:rsidRDefault="0080326D" w:rsidP="00C17D2F">
            <w:pPr>
              <w:rPr>
                <w:bCs/>
                <w:sz w:val="22"/>
                <w:szCs w:val="22"/>
              </w:rPr>
            </w:pPr>
          </w:p>
        </w:tc>
      </w:tr>
    </w:tbl>
    <w:p w14:paraId="29EBDA1B" w14:textId="77777777" w:rsidR="0080326D" w:rsidRPr="00606E49" w:rsidRDefault="0080326D" w:rsidP="002708E4">
      <w:pPr>
        <w:ind w:left="1440"/>
        <w:rPr>
          <w:bCs/>
          <w:sz w:val="24"/>
          <w:szCs w:val="24"/>
        </w:rPr>
      </w:pPr>
    </w:p>
    <w:p w14:paraId="2C8BA9D2" w14:textId="77777777" w:rsidR="00DE1E8E" w:rsidRPr="00570B42" w:rsidRDefault="00DE1E8E" w:rsidP="00DE1E8E">
      <w:pPr>
        <w:pStyle w:val="Heading2-F"/>
        <w:rPr>
          <w:rFonts w:ascii="Times New Roman" w:hAnsi="Times New Roman" w:cs="Times New Roman"/>
          <w:sz w:val="24"/>
          <w:szCs w:val="24"/>
        </w:rPr>
      </w:pPr>
      <w:bookmarkStart w:id="310" w:name="_Toc367981360"/>
      <w:bookmarkStart w:id="311" w:name="_Toc487829697"/>
      <w:bookmarkStart w:id="312" w:name="_Toc125358846"/>
      <w:bookmarkStart w:id="313" w:name="OLE_LINK9"/>
      <w:bookmarkStart w:id="314" w:name="OLE_LINK10"/>
      <w:bookmarkStart w:id="315" w:name="_Toc338152931"/>
      <w:bookmarkStart w:id="316" w:name="_Toc340137657"/>
      <w:bookmarkEnd w:id="281"/>
      <w:bookmarkEnd w:id="304"/>
      <w:bookmarkEnd w:id="305"/>
      <w:r w:rsidRPr="00570B42">
        <w:rPr>
          <w:rFonts w:ascii="Times New Roman" w:hAnsi="Times New Roman" w:cs="Times New Roman"/>
          <w:sz w:val="24"/>
          <w:szCs w:val="24"/>
        </w:rPr>
        <w:t>D.</w:t>
      </w:r>
      <w:r w:rsidRPr="00570B42">
        <w:rPr>
          <w:rFonts w:ascii="Times New Roman" w:hAnsi="Times New Roman" w:cs="Times New Roman"/>
          <w:sz w:val="24"/>
          <w:szCs w:val="24"/>
        </w:rPr>
        <w:tab/>
      </w:r>
      <w:r w:rsidR="00BD1ABD" w:rsidRPr="00570B42">
        <w:rPr>
          <w:rFonts w:ascii="Times New Roman" w:hAnsi="Times New Roman" w:cs="Times New Roman"/>
          <w:sz w:val="24"/>
          <w:szCs w:val="24"/>
        </w:rPr>
        <w:t xml:space="preserve">Discharge Requirement </w:t>
      </w:r>
      <w:r w:rsidRPr="00570B42">
        <w:rPr>
          <w:rFonts w:ascii="Times New Roman" w:hAnsi="Times New Roman" w:cs="Times New Roman"/>
          <w:sz w:val="24"/>
          <w:szCs w:val="24"/>
        </w:rPr>
        <w:t>Considerations</w:t>
      </w:r>
      <w:bookmarkEnd w:id="310"/>
      <w:bookmarkEnd w:id="311"/>
    </w:p>
    <w:p w14:paraId="04FEB748" w14:textId="77777777" w:rsidR="00396664" w:rsidRPr="00570B42" w:rsidRDefault="00DE1E8E" w:rsidP="006C6EC1">
      <w:pPr>
        <w:pStyle w:val="H-indent5025"/>
        <w:rPr>
          <w:rFonts w:ascii="Times New Roman" w:hAnsi="Times New Roman" w:cs="Times New Roman"/>
        </w:rPr>
      </w:pPr>
      <w:r w:rsidRPr="00570B42">
        <w:rPr>
          <w:rFonts w:ascii="Times New Roman" w:hAnsi="Times New Roman" w:cs="Times New Roman"/>
          <w:b/>
        </w:rPr>
        <w:t>1.</w:t>
      </w:r>
      <w:r w:rsidRPr="00570B42">
        <w:rPr>
          <w:rFonts w:ascii="Times New Roman" w:hAnsi="Times New Roman" w:cs="Times New Roman"/>
          <w:b/>
        </w:rPr>
        <w:tab/>
      </w:r>
      <w:r w:rsidR="00464710" w:rsidRPr="00570B42">
        <w:rPr>
          <w:rFonts w:ascii="Times New Roman" w:hAnsi="Times New Roman" w:cs="Times New Roman"/>
          <w:b/>
        </w:rPr>
        <w:t xml:space="preserve">Anti-backsliding. </w:t>
      </w:r>
      <w:r w:rsidR="00464710" w:rsidRPr="00570B42">
        <w:rPr>
          <w:rFonts w:ascii="Times New Roman" w:hAnsi="Times New Roman" w:cs="Times New Roman"/>
        </w:rPr>
        <w:t>This Order complies with the anti-backsliding provisions of CWA sections 402(o) and 303(d)(4) and 40 C.F.R. section 122.44(l), which generally require effluent limitations in a reissued permit to be as stringent as those in the previous permit.</w:t>
      </w:r>
      <w:r w:rsidR="00B410A6" w:rsidRPr="00570B42">
        <w:rPr>
          <w:rFonts w:ascii="Times New Roman" w:hAnsi="Times New Roman" w:cs="Times New Roman"/>
        </w:rPr>
        <w:t xml:space="preserve"> The requirements of this Order are at least as stringent as those in the previous order.</w:t>
      </w:r>
    </w:p>
    <w:bookmarkEnd w:id="312"/>
    <w:bookmarkEnd w:id="313"/>
    <w:bookmarkEnd w:id="314"/>
    <w:bookmarkEnd w:id="315"/>
    <w:bookmarkEnd w:id="316"/>
    <w:p w14:paraId="72318690" w14:textId="344E60FD" w:rsidR="00E621D0" w:rsidRPr="00570B42" w:rsidRDefault="00DE1E8E" w:rsidP="00860668">
      <w:pPr>
        <w:pStyle w:val="H-indent5025"/>
        <w:rPr>
          <w:rFonts w:ascii="Times New Roman" w:hAnsi="Times New Roman" w:cs="Times New Roman"/>
        </w:rPr>
      </w:pPr>
      <w:r w:rsidRPr="00570B42">
        <w:rPr>
          <w:rFonts w:ascii="Times New Roman" w:hAnsi="Times New Roman" w:cs="Times New Roman"/>
          <w:b/>
        </w:rPr>
        <w:t>2.</w:t>
      </w:r>
      <w:r w:rsidRPr="00570B42">
        <w:rPr>
          <w:rFonts w:ascii="Times New Roman" w:hAnsi="Times New Roman" w:cs="Times New Roman"/>
          <w:b/>
        </w:rPr>
        <w:tab/>
      </w:r>
      <w:r w:rsidR="00464710" w:rsidRPr="00570B42">
        <w:rPr>
          <w:rFonts w:ascii="Times New Roman" w:hAnsi="Times New Roman" w:cs="Times New Roman"/>
          <w:b/>
        </w:rPr>
        <w:t>Antidegradation.</w:t>
      </w:r>
      <w:r w:rsidR="00464710" w:rsidRPr="00570B42">
        <w:rPr>
          <w:rFonts w:ascii="Times New Roman" w:hAnsi="Times New Roman" w:cs="Times New Roman"/>
        </w:rPr>
        <w:t xml:space="preserve"> This Order complies with the antidegradation provisions of 40 C.F.R. section 131.12 and State Water Board Resolution No. 68-16. It continues the status quo with respect to the level of discharge authorized in the previous order, which was adopted in accordance with antidegradation policies</w:t>
      </w:r>
      <w:r w:rsidR="004B1368" w:rsidRPr="00570B42">
        <w:rPr>
          <w:rFonts w:ascii="Times New Roman" w:hAnsi="Times New Roman" w:cs="Times New Roman"/>
        </w:rPr>
        <w:t xml:space="preserve"> and t</w:t>
      </w:r>
      <w:r w:rsidR="00464710" w:rsidRPr="00570B42">
        <w:rPr>
          <w:rFonts w:ascii="Times New Roman" w:hAnsi="Times New Roman" w:cs="Times New Roman"/>
        </w:rPr>
        <w:t>hus</w:t>
      </w:r>
      <w:r w:rsidR="004B1368" w:rsidRPr="00570B42">
        <w:rPr>
          <w:rFonts w:ascii="Times New Roman" w:hAnsi="Times New Roman" w:cs="Times New Roman"/>
        </w:rPr>
        <w:t xml:space="preserve"> serves as</w:t>
      </w:r>
      <w:r w:rsidR="00464710" w:rsidRPr="00570B42">
        <w:rPr>
          <w:rFonts w:ascii="Times New Roman" w:hAnsi="Times New Roman" w:cs="Times New Roman"/>
        </w:rPr>
        <w:t xml:space="preserve"> the baseline by which to measure whether degradation will occur. This Order does not allow for a reduced level of treatment or </w:t>
      </w:r>
      <w:r w:rsidR="009273C3" w:rsidRPr="00570B42">
        <w:rPr>
          <w:rFonts w:ascii="Times New Roman" w:hAnsi="Times New Roman" w:cs="Times New Roman"/>
        </w:rPr>
        <w:t xml:space="preserve">an </w:t>
      </w:r>
      <w:r w:rsidR="00464710" w:rsidRPr="00570B42">
        <w:rPr>
          <w:rFonts w:ascii="Times New Roman" w:hAnsi="Times New Roman" w:cs="Times New Roman"/>
        </w:rPr>
        <w:t>increas</w:t>
      </w:r>
      <w:r w:rsidR="00D77B37">
        <w:rPr>
          <w:rFonts w:ascii="Times New Roman" w:hAnsi="Times New Roman" w:cs="Times New Roman"/>
        </w:rPr>
        <w:t>e</w:t>
      </w:r>
      <w:r w:rsidR="00D77B37" w:rsidRPr="00D77B37">
        <w:rPr>
          <w:rFonts w:ascii="Times New Roman" w:hAnsi="Times New Roman" w:cs="Times New Roman"/>
        </w:rPr>
        <w:t xml:space="preserve"> </w:t>
      </w:r>
      <w:r w:rsidR="00D77B37" w:rsidRPr="00570B42">
        <w:rPr>
          <w:rFonts w:ascii="Times New Roman" w:hAnsi="Times New Roman" w:cs="Times New Roman"/>
        </w:rPr>
        <w:t>in effluent limitations relative to those in the previous order.</w:t>
      </w:r>
    </w:p>
    <w:p w14:paraId="710437A6" w14:textId="7412D2E3" w:rsidR="00DE1E8E" w:rsidRPr="001B3CAE" w:rsidRDefault="00DE1E8E" w:rsidP="001B3CAE">
      <w:pPr>
        <w:pStyle w:val="H-indent5025"/>
        <w:rPr>
          <w:rFonts w:ascii="Times New Roman" w:hAnsi="Times New Roman" w:cs="Times New Roman"/>
        </w:rPr>
      </w:pPr>
      <w:r w:rsidRPr="00570B42">
        <w:rPr>
          <w:rFonts w:ascii="Times New Roman" w:hAnsi="Times New Roman" w:cs="Times New Roman"/>
          <w:b/>
        </w:rPr>
        <w:t>3.</w:t>
      </w:r>
      <w:r w:rsidRPr="00570B42">
        <w:rPr>
          <w:rFonts w:ascii="Times New Roman" w:hAnsi="Times New Roman" w:cs="Times New Roman"/>
          <w:b/>
        </w:rPr>
        <w:tab/>
      </w:r>
      <w:r w:rsidR="00464710" w:rsidRPr="00570B42">
        <w:rPr>
          <w:rFonts w:ascii="Times New Roman" w:hAnsi="Times New Roman" w:cs="Times New Roman"/>
          <w:b/>
        </w:rPr>
        <w:t xml:space="preserve">Stringency of Requirements for </w:t>
      </w:r>
      <w:r w:rsidR="001B3CAE">
        <w:rPr>
          <w:rFonts w:ascii="Times New Roman" w:hAnsi="Times New Roman" w:cs="Times New Roman"/>
          <w:b/>
        </w:rPr>
        <w:t>Mercury and PCBs</w:t>
      </w:r>
      <w:r w:rsidR="00464710" w:rsidRPr="00570B42">
        <w:rPr>
          <w:rFonts w:ascii="Times New Roman" w:hAnsi="Times New Roman" w:cs="Times New Roman"/>
          <w:b/>
        </w:rPr>
        <w:t xml:space="preserve">. </w:t>
      </w:r>
      <w:r w:rsidR="00464710" w:rsidRPr="00570B42">
        <w:rPr>
          <w:rFonts w:ascii="Times New Roman" w:hAnsi="Times New Roman" w:cs="Times New Roman"/>
        </w:rPr>
        <w:t xml:space="preserve">This Order </w:t>
      </w:r>
      <w:r w:rsidR="001B3CAE">
        <w:rPr>
          <w:rFonts w:ascii="Times New Roman" w:hAnsi="Times New Roman" w:cs="Times New Roman"/>
        </w:rPr>
        <w:t xml:space="preserve">contains </w:t>
      </w:r>
      <w:r w:rsidR="0005744F" w:rsidRPr="00570B42">
        <w:rPr>
          <w:rFonts w:ascii="Times New Roman" w:hAnsi="Times New Roman" w:cs="Times New Roman"/>
        </w:rPr>
        <w:t>WQBELs</w:t>
      </w:r>
      <w:r w:rsidR="00464710" w:rsidRPr="00570B42">
        <w:rPr>
          <w:rFonts w:ascii="Times New Roman" w:hAnsi="Times New Roman" w:cs="Times New Roman"/>
        </w:rPr>
        <w:t xml:space="preserve"> for </w:t>
      </w:r>
      <w:r w:rsidR="001B3CAE">
        <w:rPr>
          <w:rFonts w:ascii="Times New Roman" w:hAnsi="Times New Roman" w:cs="Times New Roman"/>
        </w:rPr>
        <w:t xml:space="preserve">mercury and PCBs, which </w:t>
      </w:r>
      <w:r w:rsidR="00464710" w:rsidRPr="00570B42">
        <w:rPr>
          <w:rFonts w:ascii="Times New Roman" w:hAnsi="Times New Roman" w:cs="Times New Roman"/>
        </w:rPr>
        <w:t>are no more stringent than required to implement CWA requirements.</w:t>
      </w:r>
      <w:r w:rsidR="001B3CAE" w:rsidRPr="001B3CAE">
        <w:t xml:space="preserve"> </w:t>
      </w:r>
      <w:r w:rsidR="00860668">
        <w:rPr>
          <w:rFonts w:ascii="Times New Roman" w:hAnsi="Times New Roman" w:cs="Times New Roman"/>
        </w:rPr>
        <w:t>The</w:t>
      </w:r>
      <w:r w:rsidR="001B3CAE" w:rsidRPr="001B3CAE">
        <w:rPr>
          <w:rFonts w:ascii="Times New Roman" w:hAnsi="Times New Roman" w:cs="Times New Roman"/>
        </w:rPr>
        <w:t xml:space="preserve"> mercury and PCBs </w:t>
      </w:r>
      <w:r w:rsidR="00860668">
        <w:rPr>
          <w:rFonts w:ascii="Times New Roman" w:hAnsi="Times New Roman" w:cs="Times New Roman"/>
        </w:rPr>
        <w:t>WQBELs</w:t>
      </w:r>
      <w:r w:rsidR="001B3CAE" w:rsidRPr="001B3CAE">
        <w:rPr>
          <w:rFonts w:ascii="Times New Roman" w:hAnsi="Times New Roman" w:cs="Times New Roman"/>
        </w:rPr>
        <w:t xml:space="preserve">, which implement wasteload allocations, have been computed to satisfy the </w:t>
      </w:r>
      <w:r w:rsidR="00E35614">
        <w:rPr>
          <w:rFonts w:ascii="Times New Roman" w:hAnsi="Times New Roman" w:cs="Times New Roman"/>
        </w:rPr>
        <w:t xml:space="preserve">San Francisco Bay </w:t>
      </w:r>
      <w:r w:rsidR="003B3F50">
        <w:rPr>
          <w:rFonts w:ascii="Times New Roman" w:hAnsi="Times New Roman" w:cs="Times New Roman"/>
        </w:rPr>
        <w:t>Mercury and PCBs TMDLs</w:t>
      </w:r>
      <w:r w:rsidR="00446C5C">
        <w:rPr>
          <w:rFonts w:ascii="Times New Roman" w:hAnsi="Times New Roman" w:cs="Times New Roman"/>
        </w:rPr>
        <w:t>. Compliance with the WQBELs</w:t>
      </w:r>
      <w:r w:rsidR="001B3CAE" w:rsidRPr="001B3CAE">
        <w:rPr>
          <w:rFonts w:ascii="Times New Roman" w:hAnsi="Times New Roman" w:cs="Times New Roman"/>
        </w:rPr>
        <w:t xml:space="preserve"> will allow the San Francisco Bay to come into attainment with mercury and PCBs water quality objectives</w:t>
      </w:r>
      <w:r w:rsidR="00E35614">
        <w:rPr>
          <w:rFonts w:ascii="Times New Roman" w:hAnsi="Times New Roman" w:cs="Times New Roman"/>
        </w:rPr>
        <w:t xml:space="preserve"> necessary to protect beneficial uses. </w:t>
      </w:r>
    </w:p>
    <w:p w14:paraId="75E8002E" w14:textId="77777777" w:rsidR="00D34786" w:rsidRPr="00570B42" w:rsidRDefault="00D34786" w:rsidP="00D34786">
      <w:pPr>
        <w:pStyle w:val="Heading1-F"/>
        <w:rPr>
          <w:rFonts w:ascii="Times New Roman" w:hAnsi="Times New Roman"/>
          <w:sz w:val="24"/>
        </w:rPr>
      </w:pPr>
      <w:bookmarkStart w:id="317" w:name="_Toc487829698"/>
      <w:r w:rsidRPr="00570B42">
        <w:rPr>
          <w:rFonts w:ascii="Times New Roman" w:hAnsi="Times New Roman"/>
          <w:sz w:val="24"/>
        </w:rPr>
        <w:t>V.</w:t>
      </w:r>
      <w:r w:rsidRPr="00570B42">
        <w:rPr>
          <w:rFonts w:ascii="Times New Roman" w:hAnsi="Times New Roman"/>
          <w:sz w:val="24"/>
        </w:rPr>
        <w:tab/>
        <w:t>Rationale for Receiving Water Limitations</w:t>
      </w:r>
      <w:bookmarkEnd w:id="265"/>
      <w:bookmarkEnd w:id="266"/>
      <w:bookmarkEnd w:id="267"/>
      <w:bookmarkEnd w:id="268"/>
      <w:bookmarkEnd w:id="269"/>
      <w:bookmarkEnd w:id="270"/>
      <w:bookmarkEnd w:id="271"/>
      <w:bookmarkEnd w:id="317"/>
      <w:r w:rsidRPr="00570B42">
        <w:rPr>
          <w:rFonts w:ascii="Times New Roman" w:hAnsi="Times New Roman"/>
          <w:sz w:val="24"/>
        </w:rPr>
        <w:t xml:space="preserve"> </w:t>
      </w:r>
    </w:p>
    <w:p w14:paraId="605BEE6D" w14:textId="718ECCD0" w:rsidR="00D34786" w:rsidRPr="00570B42" w:rsidRDefault="00A13698" w:rsidP="00D34786">
      <w:pPr>
        <w:pStyle w:val="paratextindented"/>
        <w:rPr>
          <w:rFonts w:ascii="Times New Roman" w:hAnsi="Times New Roman" w:cs="Times New Roman"/>
          <w:szCs w:val="24"/>
        </w:rPr>
      </w:pPr>
      <w:r w:rsidRPr="00A13698">
        <w:rPr>
          <w:rFonts w:ascii="Times New Roman" w:hAnsi="Times New Roman" w:cs="Times New Roman"/>
          <w:szCs w:val="24"/>
        </w:rPr>
        <w:t xml:space="preserve">No additional receiving water limits beyond those already specified in the Dischargers’ individual </w:t>
      </w:r>
      <w:r>
        <w:rPr>
          <w:rFonts w:ascii="Times New Roman" w:hAnsi="Times New Roman" w:cs="Times New Roman"/>
          <w:szCs w:val="24"/>
        </w:rPr>
        <w:t xml:space="preserve">NPDES </w:t>
      </w:r>
      <w:r w:rsidRPr="00A13698">
        <w:rPr>
          <w:rFonts w:ascii="Times New Roman" w:hAnsi="Times New Roman" w:cs="Times New Roman"/>
          <w:szCs w:val="24"/>
        </w:rPr>
        <w:t>permits are necessary</w:t>
      </w:r>
      <w:r>
        <w:rPr>
          <w:rFonts w:ascii="Times New Roman" w:hAnsi="Times New Roman" w:cs="Times New Roman"/>
          <w:szCs w:val="24"/>
        </w:rPr>
        <w:t xml:space="preserve"> in this Order</w:t>
      </w:r>
      <w:r w:rsidRPr="00A13698">
        <w:rPr>
          <w:rFonts w:ascii="Times New Roman" w:hAnsi="Times New Roman" w:cs="Times New Roman"/>
          <w:szCs w:val="24"/>
        </w:rPr>
        <w:t xml:space="preserve"> </w:t>
      </w:r>
      <w:r>
        <w:rPr>
          <w:rFonts w:ascii="Times New Roman" w:hAnsi="Times New Roman" w:cs="Times New Roman"/>
          <w:szCs w:val="24"/>
        </w:rPr>
        <w:t xml:space="preserve">to satisfy the San Francisco Bay </w:t>
      </w:r>
      <w:r w:rsidR="003B3F50">
        <w:rPr>
          <w:rFonts w:ascii="Times New Roman" w:hAnsi="Times New Roman" w:cs="Times New Roman"/>
          <w:szCs w:val="24"/>
        </w:rPr>
        <w:t>Mercury and PCBs TMDLs</w:t>
      </w:r>
      <w:r w:rsidRPr="00A13698">
        <w:rPr>
          <w:rFonts w:ascii="Times New Roman" w:hAnsi="Times New Roman" w:cs="Times New Roman"/>
          <w:szCs w:val="24"/>
        </w:rPr>
        <w:t>.</w:t>
      </w:r>
    </w:p>
    <w:p w14:paraId="41D6C668" w14:textId="77777777" w:rsidR="00D34786" w:rsidRPr="00570B42" w:rsidRDefault="00D34786" w:rsidP="005A68CE">
      <w:pPr>
        <w:pStyle w:val="Heading1-F"/>
        <w:rPr>
          <w:rFonts w:ascii="Times New Roman" w:hAnsi="Times New Roman"/>
          <w:sz w:val="24"/>
        </w:rPr>
      </w:pPr>
      <w:bookmarkStart w:id="318" w:name="_Toc85803968"/>
      <w:bookmarkStart w:id="319" w:name="_Toc87088835"/>
      <w:bookmarkStart w:id="320" w:name="_Toc92870822"/>
      <w:bookmarkStart w:id="321" w:name="_Toc125358848"/>
      <w:bookmarkStart w:id="322" w:name="_Toc338152933"/>
      <w:bookmarkStart w:id="323" w:name="_Toc340137659"/>
      <w:bookmarkStart w:id="324" w:name="_Toc487829699"/>
      <w:r w:rsidRPr="00570B42">
        <w:rPr>
          <w:rFonts w:ascii="Times New Roman" w:hAnsi="Times New Roman"/>
          <w:sz w:val="24"/>
        </w:rPr>
        <w:t>VI.</w:t>
      </w:r>
      <w:r w:rsidRPr="00570B42">
        <w:rPr>
          <w:rFonts w:ascii="Times New Roman" w:hAnsi="Times New Roman"/>
          <w:sz w:val="24"/>
        </w:rPr>
        <w:tab/>
      </w:r>
      <w:bookmarkStart w:id="325" w:name="_Toc85803975"/>
      <w:bookmarkStart w:id="326" w:name="_Toc87088836"/>
      <w:bookmarkStart w:id="327" w:name="_Toc92870830"/>
      <w:bookmarkStart w:id="328" w:name="_Toc125358853"/>
      <w:bookmarkStart w:id="329" w:name="_Toc338152939"/>
      <w:bookmarkStart w:id="330" w:name="_Toc340137665"/>
      <w:bookmarkEnd w:id="318"/>
      <w:bookmarkEnd w:id="319"/>
      <w:bookmarkEnd w:id="320"/>
      <w:bookmarkEnd w:id="321"/>
      <w:bookmarkEnd w:id="322"/>
      <w:bookmarkEnd w:id="323"/>
      <w:r w:rsidRPr="00570B42">
        <w:rPr>
          <w:rFonts w:ascii="Times New Roman" w:hAnsi="Times New Roman"/>
          <w:sz w:val="24"/>
        </w:rPr>
        <w:t>Rationale for Provisions</w:t>
      </w:r>
      <w:bookmarkEnd w:id="324"/>
      <w:bookmarkEnd w:id="325"/>
      <w:bookmarkEnd w:id="326"/>
      <w:bookmarkEnd w:id="327"/>
      <w:bookmarkEnd w:id="328"/>
      <w:bookmarkEnd w:id="329"/>
      <w:bookmarkEnd w:id="330"/>
    </w:p>
    <w:p w14:paraId="67865274" w14:textId="77777777" w:rsidR="00D34786" w:rsidRPr="00570B42" w:rsidRDefault="00D34786" w:rsidP="006F25EC">
      <w:pPr>
        <w:pStyle w:val="Heading2-F"/>
        <w:rPr>
          <w:rFonts w:ascii="Times New Roman" w:hAnsi="Times New Roman" w:cs="Times New Roman"/>
          <w:b w:val="0"/>
          <w:sz w:val="24"/>
          <w:szCs w:val="24"/>
        </w:rPr>
      </w:pPr>
      <w:bookmarkStart w:id="331" w:name="_Toc102376493"/>
      <w:bookmarkStart w:id="332" w:name="_Toc125358854"/>
      <w:bookmarkStart w:id="333" w:name="_Toc338152940"/>
      <w:bookmarkStart w:id="334" w:name="_Toc340137666"/>
      <w:bookmarkStart w:id="335" w:name="_Toc487829700"/>
      <w:bookmarkStart w:id="336" w:name="_Toc85803976"/>
      <w:bookmarkStart w:id="337" w:name="_Toc92870831"/>
      <w:r w:rsidRPr="00570B42">
        <w:rPr>
          <w:rFonts w:ascii="Times New Roman" w:hAnsi="Times New Roman" w:cs="Times New Roman"/>
          <w:sz w:val="24"/>
          <w:szCs w:val="24"/>
        </w:rPr>
        <w:t>A.</w:t>
      </w:r>
      <w:r w:rsidRPr="00570B42">
        <w:rPr>
          <w:rFonts w:ascii="Times New Roman" w:hAnsi="Times New Roman" w:cs="Times New Roman"/>
          <w:sz w:val="24"/>
          <w:szCs w:val="24"/>
        </w:rPr>
        <w:tab/>
        <w:t>Standard Provisions</w:t>
      </w:r>
      <w:bookmarkEnd w:id="331"/>
      <w:bookmarkEnd w:id="332"/>
      <w:bookmarkEnd w:id="333"/>
      <w:bookmarkEnd w:id="334"/>
      <w:bookmarkEnd w:id="335"/>
    </w:p>
    <w:p w14:paraId="271621B4" w14:textId="132C1A1C" w:rsidR="00195036" w:rsidRPr="00570B42" w:rsidRDefault="00E1394F" w:rsidP="00E1394F">
      <w:pPr>
        <w:autoSpaceDE w:val="0"/>
        <w:autoSpaceDN w:val="0"/>
        <w:adjustRightInd w:val="0"/>
        <w:ind w:left="720"/>
        <w:rPr>
          <w:sz w:val="24"/>
          <w:szCs w:val="24"/>
        </w:rPr>
      </w:pPr>
      <w:r w:rsidRPr="00570B42">
        <w:rPr>
          <w:sz w:val="24"/>
          <w:szCs w:val="24"/>
        </w:rPr>
        <w:t xml:space="preserve">Attachment D </w:t>
      </w:r>
      <w:r w:rsidR="00C17D2F">
        <w:rPr>
          <w:sz w:val="24"/>
          <w:szCs w:val="24"/>
        </w:rPr>
        <w:t xml:space="preserve">of each individual NPDES permit </w:t>
      </w:r>
      <w:r w:rsidRPr="00570B42">
        <w:rPr>
          <w:sz w:val="24"/>
          <w:szCs w:val="24"/>
        </w:rPr>
        <w:t xml:space="preserve">contains standard provisions that apply to all NPDES permits in accordance with 40 C.F.R. section 122.41 and additional conditions applicable to specific categories of permits in accordance with 40 C.F.R. section 122.42. </w:t>
      </w:r>
      <w:r w:rsidR="00C17D2F">
        <w:rPr>
          <w:sz w:val="24"/>
          <w:szCs w:val="24"/>
        </w:rPr>
        <w:t>Dischargers</w:t>
      </w:r>
      <w:r w:rsidRPr="00570B42">
        <w:rPr>
          <w:sz w:val="24"/>
          <w:szCs w:val="24"/>
        </w:rPr>
        <w:t xml:space="preserve"> must comply with </w:t>
      </w:r>
      <w:r w:rsidR="00E44B7E" w:rsidRPr="00570B42">
        <w:rPr>
          <w:sz w:val="24"/>
          <w:szCs w:val="24"/>
        </w:rPr>
        <w:t>these</w:t>
      </w:r>
      <w:r w:rsidRPr="00570B42">
        <w:rPr>
          <w:sz w:val="24"/>
          <w:szCs w:val="24"/>
        </w:rPr>
        <w:t xml:space="preserve"> provisions.</w:t>
      </w:r>
      <w:r w:rsidR="00195036" w:rsidRPr="00570B42">
        <w:rPr>
          <w:sz w:val="24"/>
          <w:szCs w:val="24"/>
        </w:rPr>
        <w:t xml:space="preserve"> </w:t>
      </w:r>
    </w:p>
    <w:p w14:paraId="1717D002" w14:textId="77777777" w:rsidR="00195036" w:rsidRPr="00570B42" w:rsidRDefault="00195036" w:rsidP="00E1394F">
      <w:pPr>
        <w:autoSpaceDE w:val="0"/>
        <w:autoSpaceDN w:val="0"/>
        <w:adjustRightInd w:val="0"/>
        <w:ind w:left="720"/>
        <w:rPr>
          <w:sz w:val="24"/>
          <w:szCs w:val="24"/>
        </w:rPr>
      </w:pPr>
    </w:p>
    <w:p w14:paraId="0793997F" w14:textId="16B08ECE" w:rsidR="00E1394F" w:rsidRPr="00570B42" w:rsidRDefault="004E4CE6" w:rsidP="00E1394F">
      <w:pPr>
        <w:autoSpaceDE w:val="0"/>
        <w:autoSpaceDN w:val="0"/>
        <w:adjustRightInd w:val="0"/>
        <w:ind w:left="720"/>
        <w:rPr>
          <w:sz w:val="24"/>
          <w:szCs w:val="24"/>
        </w:rPr>
      </w:pPr>
      <w:r w:rsidRPr="00570B42">
        <w:rPr>
          <w:sz w:val="24"/>
          <w:szCs w:val="24"/>
        </w:rPr>
        <w:t xml:space="preserve">In accordance with </w:t>
      </w:r>
      <w:r w:rsidR="00E1394F" w:rsidRPr="00570B42">
        <w:rPr>
          <w:sz w:val="24"/>
          <w:szCs w:val="24"/>
        </w:rPr>
        <w:t xml:space="preserve">40 C.F.R. </w:t>
      </w:r>
      <w:r w:rsidRPr="00570B42">
        <w:rPr>
          <w:sz w:val="24"/>
          <w:szCs w:val="24"/>
        </w:rPr>
        <w:t>section 123.25(a)(12), s</w:t>
      </w:r>
      <w:r w:rsidR="00E1394F" w:rsidRPr="00570B42">
        <w:rPr>
          <w:sz w:val="24"/>
          <w:szCs w:val="24"/>
        </w:rPr>
        <w:t>tate</w:t>
      </w:r>
      <w:r w:rsidRPr="00570B42">
        <w:rPr>
          <w:sz w:val="24"/>
          <w:szCs w:val="24"/>
        </w:rPr>
        <w:t>s may</w:t>
      </w:r>
      <w:r w:rsidR="00E1394F" w:rsidRPr="00570B42">
        <w:rPr>
          <w:sz w:val="24"/>
          <w:szCs w:val="24"/>
        </w:rPr>
        <w:t xml:space="preserve"> omit or modify conditions to impose more stringent requirements. </w:t>
      </w:r>
      <w:r w:rsidR="00393F3F" w:rsidRPr="00570B42">
        <w:rPr>
          <w:sz w:val="24"/>
          <w:szCs w:val="24"/>
        </w:rPr>
        <w:t xml:space="preserve">Attachment G </w:t>
      </w:r>
      <w:r w:rsidR="001E0637">
        <w:rPr>
          <w:sz w:val="24"/>
          <w:szCs w:val="24"/>
        </w:rPr>
        <w:t xml:space="preserve">of each individual NPDES permit </w:t>
      </w:r>
      <w:r w:rsidR="00393F3F" w:rsidRPr="00570B42">
        <w:rPr>
          <w:sz w:val="24"/>
          <w:szCs w:val="24"/>
        </w:rPr>
        <w:t xml:space="preserve">contains </w:t>
      </w:r>
      <w:r w:rsidR="001E0637">
        <w:rPr>
          <w:sz w:val="24"/>
          <w:szCs w:val="24"/>
        </w:rPr>
        <w:t xml:space="preserve">contain sampling and reporting requirements for mercury and PCBs and additional </w:t>
      </w:r>
      <w:r w:rsidR="00D53B39" w:rsidRPr="00570B42">
        <w:rPr>
          <w:sz w:val="24"/>
          <w:szCs w:val="24"/>
        </w:rPr>
        <w:t>standard provisions</w:t>
      </w:r>
      <w:r w:rsidR="00195036" w:rsidRPr="00570B42">
        <w:rPr>
          <w:sz w:val="24"/>
          <w:szCs w:val="24"/>
        </w:rPr>
        <w:t xml:space="preserve"> </w:t>
      </w:r>
      <w:r w:rsidR="00393F3F" w:rsidRPr="00570B42">
        <w:rPr>
          <w:sz w:val="24"/>
          <w:szCs w:val="24"/>
        </w:rPr>
        <w:t>that</w:t>
      </w:r>
      <w:r w:rsidR="00195036" w:rsidRPr="00570B42">
        <w:rPr>
          <w:sz w:val="24"/>
          <w:szCs w:val="24"/>
        </w:rPr>
        <w:t xml:space="preserve"> supplement the federal standard provisions in Attachment D. </w:t>
      </w:r>
      <w:r w:rsidRPr="00570B42">
        <w:rPr>
          <w:sz w:val="24"/>
          <w:szCs w:val="24"/>
        </w:rPr>
        <w:t>T</w:t>
      </w:r>
      <w:r w:rsidR="00E1394F" w:rsidRPr="00570B42">
        <w:rPr>
          <w:sz w:val="24"/>
          <w:szCs w:val="24"/>
        </w:rPr>
        <w:t xml:space="preserve">his </w:t>
      </w:r>
      <w:r w:rsidR="0005714F" w:rsidRPr="00570B42">
        <w:rPr>
          <w:sz w:val="24"/>
          <w:szCs w:val="24"/>
        </w:rPr>
        <w:t>Order</w:t>
      </w:r>
      <w:r w:rsidR="001617A1" w:rsidRPr="00570B42">
        <w:rPr>
          <w:sz w:val="24"/>
          <w:szCs w:val="24"/>
        </w:rPr>
        <w:t xml:space="preserve"> </w:t>
      </w:r>
      <w:r w:rsidR="00E1394F" w:rsidRPr="00570B42">
        <w:rPr>
          <w:sz w:val="24"/>
          <w:szCs w:val="24"/>
        </w:rPr>
        <w:t xml:space="preserve">omits </w:t>
      </w:r>
      <w:r w:rsidR="000657CD" w:rsidRPr="00570B42">
        <w:rPr>
          <w:sz w:val="24"/>
          <w:szCs w:val="24"/>
        </w:rPr>
        <w:t xml:space="preserve">the </w:t>
      </w:r>
      <w:r w:rsidR="00E1394F" w:rsidRPr="00570B42">
        <w:rPr>
          <w:sz w:val="24"/>
          <w:szCs w:val="24"/>
        </w:rPr>
        <w:t xml:space="preserve">federal conditions that address enforcement authority specified in 40 C.F.R. sections 122.41(j)(5) and (k)(2) because the </w:t>
      </w:r>
      <w:r w:rsidR="00393F3F" w:rsidRPr="00570B42">
        <w:rPr>
          <w:sz w:val="24"/>
          <w:szCs w:val="24"/>
        </w:rPr>
        <w:t xml:space="preserve">State’s </w:t>
      </w:r>
      <w:r w:rsidR="00E1394F" w:rsidRPr="00570B42">
        <w:rPr>
          <w:sz w:val="24"/>
          <w:szCs w:val="24"/>
        </w:rPr>
        <w:t xml:space="preserve">enforcement authority under the Water Code is more stringent. In lieu of these conditions, this </w:t>
      </w:r>
      <w:r w:rsidR="0005714F" w:rsidRPr="00570B42">
        <w:rPr>
          <w:sz w:val="24"/>
          <w:szCs w:val="24"/>
        </w:rPr>
        <w:t>Order</w:t>
      </w:r>
      <w:r w:rsidR="001617A1" w:rsidRPr="00570B42">
        <w:rPr>
          <w:sz w:val="24"/>
          <w:szCs w:val="24"/>
        </w:rPr>
        <w:t xml:space="preserve"> </w:t>
      </w:r>
      <w:r w:rsidR="00E1394F" w:rsidRPr="00570B42">
        <w:rPr>
          <w:sz w:val="24"/>
          <w:szCs w:val="24"/>
        </w:rPr>
        <w:t>incorporates Water Code section 13387(e)</w:t>
      </w:r>
      <w:r w:rsidR="00393F3F" w:rsidRPr="00570B42">
        <w:rPr>
          <w:sz w:val="24"/>
          <w:szCs w:val="24"/>
        </w:rPr>
        <w:t xml:space="preserve"> by reference</w:t>
      </w:r>
      <w:r w:rsidR="00E1394F" w:rsidRPr="00570B42">
        <w:rPr>
          <w:sz w:val="24"/>
          <w:szCs w:val="24"/>
        </w:rPr>
        <w:t>.</w:t>
      </w:r>
    </w:p>
    <w:p w14:paraId="44745C87" w14:textId="77777777" w:rsidR="00E1394F" w:rsidRPr="00570B42" w:rsidRDefault="00E1394F" w:rsidP="00E1394F">
      <w:pPr>
        <w:autoSpaceDE w:val="0"/>
        <w:autoSpaceDN w:val="0"/>
        <w:adjustRightInd w:val="0"/>
        <w:ind w:left="720"/>
        <w:rPr>
          <w:rFonts w:ascii="TimesNewRomanPSMT" w:hAnsi="TimesNewRomanPSMT" w:cs="TimesNewRomanPSMT"/>
          <w:color w:val="00B0F0"/>
          <w:sz w:val="24"/>
          <w:szCs w:val="24"/>
        </w:rPr>
      </w:pPr>
    </w:p>
    <w:p w14:paraId="3F0E7425" w14:textId="77777777" w:rsidR="00D34786" w:rsidRPr="00570B42" w:rsidRDefault="00D34786" w:rsidP="00D34786">
      <w:pPr>
        <w:pStyle w:val="Heading2-F"/>
        <w:rPr>
          <w:rFonts w:ascii="Times New Roman" w:hAnsi="Times New Roman"/>
          <w:bCs/>
          <w:sz w:val="24"/>
          <w:szCs w:val="24"/>
        </w:rPr>
      </w:pPr>
      <w:bookmarkStart w:id="338" w:name="_Toc136449556"/>
      <w:bookmarkStart w:id="339" w:name="_Toc136934928"/>
      <w:bookmarkStart w:id="340" w:name="_Toc136935082"/>
      <w:bookmarkStart w:id="341" w:name="_Toc137458917"/>
      <w:bookmarkStart w:id="342" w:name="_Toc137460039"/>
      <w:bookmarkStart w:id="343" w:name="_Toc338152941"/>
      <w:bookmarkStart w:id="344" w:name="_Toc340137667"/>
      <w:bookmarkStart w:id="345" w:name="_Toc487829701"/>
      <w:bookmarkStart w:id="346" w:name="_Toc129164347"/>
      <w:bookmarkStart w:id="347" w:name="_Toc129318543"/>
      <w:bookmarkStart w:id="348" w:name="_Toc129318679"/>
      <w:bookmarkStart w:id="349" w:name="_Toc129318816"/>
      <w:bookmarkStart w:id="350" w:name="_Toc129322215"/>
      <w:bookmarkStart w:id="351" w:name="_Toc129322391"/>
      <w:bookmarkStart w:id="352" w:name="_Toc129325149"/>
      <w:bookmarkStart w:id="353" w:name="_Toc129325261"/>
      <w:bookmarkStart w:id="354" w:name="_Toc129325429"/>
      <w:bookmarkStart w:id="355" w:name="_Toc129325813"/>
      <w:bookmarkStart w:id="356" w:name="_Toc129326200"/>
      <w:bookmarkStart w:id="357" w:name="_Toc129332690"/>
      <w:bookmarkStart w:id="358" w:name="_Toc129332893"/>
      <w:bookmarkStart w:id="359" w:name="_Toc130348798"/>
      <w:bookmarkStart w:id="360" w:name="_Toc130349109"/>
      <w:bookmarkStart w:id="361" w:name="_Toc130351056"/>
      <w:bookmarkStart w:id="362" w:name="_Toc130351186"/>
      <w:bookmarkStart w:id="363" w:name="_Toc130351525"/>
      <w:bookmarkStart w:id="364" w:name="_Toc130391381"/>
      <w:bookmarkStart w:id="365" w:name="_Toc131560989"/>
      <w:bookmarkStart w:id="366" w:name="_Toc131561123"/>
      <w:bookmarkStart w:id="367" w:name="_Toc134415424"/>
      <w:r w:rsidRPr="00570B42">
        <w:rPr>
          <w:rFonts w:ascii="Times New Roman" w:hAnsi="Times New Roman"/>
          <w:bCs/>
          <w:sz w:val="24"/>
          <w:szCs w:val="24"/>
        </w:rPr>
        <w:lastRenderedPageBreak/>
        <w:t>B.</w:t>
      </w:r>
      <w:r w:rsidRPr="00570B42">
        <w:rPr>
          <w:rFonts w:ascii="Times New Roman" w:hAnsi="Times New Roman"/>
          <w:bCs/>
          <w:sz w:val="24"/>
          <w:szCs w:val="24"/>
        </w:rPr>
        <w:tab/>
      </w:r>
      <w:bookmarkEnd w:id="338"/>
      <w:bookmarkEnd w:id="339"/>
      <w:bookmarkEnd w:id="340"/>
      <w:bookmarkEnd w:id="341"/>
      <w:bookmarkEnd w:id="342"/>
      <w:bookmarkEnd w:id="343"/>
      <w:bookmarkEnd w:id="344"/>
      <w:r w:rsidR="006A4FC4" w:rsidRPr="00570B42">
        <w:rPr>
          <w:rFonts w:ascii="Times New Roman" w:hAnsi="Times New Roman"/>
          <w:bCs/>
          <w:sz w:val="24"/>
          <w:szCs w:val="24"/>
        </w:rPr>
        <w:t>Monitoring and Reporting</w:t>
      </w:r>
      <w:bookmarkEnd w:id="345"/>
    </w:p>
    <w:p w14:paraId="288A85C3" w14:textId="3FAD26DD" w:rsidR="00393F3F" w:rsidRPr="00570B42" w:rsidRDefault="00931716" w:rsidP="00150610">
      <w:pPr>
        <w:autoSpaceDE w:val="0"/>
        <w:autoSpaceDN w:val="0"/>
        <w:adjustRightInd w:val="0"/>
        <w:spacing w:after="240"/>
        <w:ind w:left="720"/>
        <w:rPr>
          <w:sz w:val="24"/>
          <w:szCs w:val="24"/>
        </w:rPr>
      </w:pPr>
      <w:r w:rsidRPr="00570B42">
        <w:rPr>
          <w:rFonts w:ascii="TimesNewRomanPSMT" w:hAnsi="TimesNewRomanPSMT" w:cs="TimesNewRomanPSMT"/>
          <w:sz w:val="24"/>
          <w:szCs w:val="24"/>
        </w:rPr>
        <w:t>CWA section 308 and 40 C.F.R. sections</w:t>
      </w:r>
      <w:r w:rsidRPr="00570B42">
        <w:rPr>
          <w:sz w:val="24"/>
          <w:szCs w:val="24"/>
        </w:rPr>
        <w:t xml:space="preserve"> 122.41(h), 122.41(j)-(l), 122.44(i), and</w:t>
      </w:r>
      <w:r w:rsidRPr="00570B42">
        <w:rPr>
          <w:rFonts w:ascii="TimesNewRomanPSMT" w:hAnsi="TimesNewRomanPSMT" w:cs="TimesNewRomanPSMT"/>
          <w:sz w:val="24"/>
          <w:szCs w:val="24"/>
        </w:rPr>
        <w:t xml:space="preserve"> 122.48 require that NPDES permits specify monitoring and reporting requirements. Water Code sections 13267 and 13383 also authorize the Regional Water Board to establish monitoring, inspection, entry, reporting, and recordkeeping requirements. The MRP establishes monitoring, reporting, and recordkeeping requirements that implement federal and State requirements. For more background regarding these requirements, see Fact Sheet section VII.</w:t>
      </w:r>
      <w:r w:rsidR="00150610" w:rsidRPr="00570B42">
        <w:rPr>
          <w:sz w:val="24"/>
          <w:szCs w:val="24"/>
        </w:rPr>
        <w:t xml:space="preserve"> Regional Water Board Order No. R2-2016-0008 allows the Discharger to opt </w:t>
      </w:r>
      <w:r w:rsidR="00323E70" w:rsidRPr="00570B42">
        <w:rPr>
          <w:sz w:val="24"/>
          <w:szCs w:val="24"/>
        </w:rPr>
        <w:t>for</w:t>
      </w:r>
      <w:r w:rsidR="00150610" w:rsidRPr="00570B42">
        <w:rPr>
          <w:sz w:val="24"/>
          <w:szCs w:val="24"/>
        </w:rPr>
        <w:t xml:space="preserve"> certain alternat</w:t>
      </w:r>
      <w:r w:rsidR="00353CFD">
        <w:rPr>
          <w:sz w:val="24"/>
          <w:szCs w:val="24"/>
        </w:rPr>
        <w:t>e</w:t>
      </w:r>
      <w:r w:rsidR="00150610" w:rsidRPr="00570B42">
        <w:rPr>
          <w:sz w:val="24"/>
          <w:szCs w:val="24"/>
        </w:rPr>
        <w:t xml:space="preserve"> monitoring requirements.</w:t>
      </w:r>
    </w:p>
    <w:p w14:paraId="653A46E8" w14:textId="77777777" w:rsidR="009914AF" w:rsidRPr="00570B42" w:rsidRDefault="009914AF" w:rsidP="009914AF">
      <w:pPr>
        <w:pStyle w:val="Heading2-F"/>
        <w:rPr>
          <w:rFonts w:ascii="Times New Roman" w:hAnsi="Times New Roman"/>
          <w:bCs/>
          <w:sz w:val="24"/>
          <w:szCs w:val="24"/>
        </w:rPr>
      </w:pPr>
      <w:bookmarkStart w:id="368" w:name="_Toc338945360"/>
      <w:bookmarkStart w:id="369" w:name="_Toc487829702"/>
      <w:bookmarkStart w:id="370" w:name="_Toc136449557"/>
      <w:bookmarkStart w:id="371" w:name="_Toc136934929"/>
      <w:bookmarkStart w:id="372" w:name="_Toc136935083"/>
      <w:bookmarkStart w:id="373" w:name="_Toc137458918"/>
      <w:bookmarkStart w:id="374" w:name="_Toc137460040"/>
      <w:r w:rsidRPr="00570B42">
        <w:rPr>
          <w:rFonts w:ascii="Times New Roman" w:hAnsi="Times New Roman"/>
          <w:bCs/>
          <w:sz w:val="24"/>
          <w:szCs w:val="24"/>
        </w:rPr>
        <w:t>C.</w:t>
      </w:r>
      <w:r w:rsidRPr="00570B42">
        <w:rPr>
          <w:rFonts w:ascii="Times New Roman" w:hAnsi="Times New Roman"/>
          <w:bCs/>
          <w:sz w:val="24"/>
          <w:szCs w:val="24"/>
        </w:rPr>
        <w:tab/>
      </w:r>
      <w:bookmarkEnd w:id="368"/>
      <w:r w:rsidR="000C5161" w:rsidRPr="00570B42">
        <w:rPr>
          <w:rFonts w:ascii="Times New Roman" w:hAnsi="Times New Roman"/>
          <w:bCs/>
          <w:sz w:val="24"/>
          <w:szCs w:val="24"/>
        </w:rPr>
        <w:t>Special Provisions</w:t>
      </w:r>
      <w:bookmarkEnd w:id="369"/>
      <w:r w:rsidR="000C5161" w:rsidRPr="00570B42">
        <w:rPr>
          <w:rFonts w:ascii="Times New Roman" w:hAnsi="Times New Roman"/>
          <w:bCs/>
          <w:sz w:val="24"/>
          <w:szCs w:val="24"/>
        </w:rPr>
        <w:t xml:space="preserve"> </w:t>
      </w:r>
    </w:p>
    <w:p w14:paraId="07BF0D8C" w14:textId="77777777" w:rsidR="00302EAB" w:rsidRPr="00570B42" w:rsidRDefault="009914AF" w:rsidP="00F009DF">
      <w:pPr>
        <w:pStyle w:val="Heading3-F"/>
        <w:numPr>
          <w:ilvl w:val="0"/>
          <w:numId w:val="29"/>
        </w:numPr>
        <w:rPr>
          <w:sz w:val="24"/>
        </w:rPr>
      </w:pPr>
      <w:bookmarkStart w:id="375" w:name="_Toc338945361"/>
      <w:bookmarkStart w:id="376" w:name="_Toc487829703"/>
      <w:r w:rsidRPr="00570B42">
        <w:rPr>
          <w:sz w:val="24"/>
        </w:rPr>
        <w:t>Reopener Provisions</w:t>
      </w:r>
      <w:bookmarkEnd w:id="375"/>
      <w:bookmarkEnd w:id="376"/>
      <w:r w:rsidR="002F1564" w:rsidRPr="00570B42">
        <w:rPr>
          <w:sz w:val="24"/>
        </w:rPr>
        <w:t xml:space="preserve"> </w:t>
      </w:r>
    </w:p>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70"/>
    <w:bookmarkEnd w:id="371"/>
    <w:bookmarkEnd w:id="372"/>
    <w:bookmarkEnd w:id="373"/>
    <w:bookmarkEnd w:id="374"/>
    <w:p w14:paraId="4777707A" w14:textId="2D690E04" w:rsidR="00D34786" w:rsidRPr="008B1361" w:rsidRDefault="008B1361" w:rsidP="008B1361">
      <w:pPr>
        <w:autoSpaceDE w:val="0"/>
        <w:autoSpaceDN w:val="0"/>
        <w:adjustRightInd w:val="0"/>
        <w:spacing w:after="240"/>
        <w:ind w:left="1080"/>
        <w:rPr>
          <w:rFonts w:ascii="TimesNewRomanPSMT" w:hAnsi="TimesNewRomanPSMT" w:cs="TimesNewRomanPSMT"/>
          <w:sz w:val="24"/>
          <w:szCs w:val="24"/>
        </w:rPr>
      </w:pPr>
      <w:r>
        <w:rPr>
          <w:rFonts w:ascii="TimesNewRomanPSMT" w:hAnsi="TimesNewRomanPSMT" w:cs="TimesNewRomanPSMT"/>
          <w:sz w:val="24"/>
          <w:szCs w:val="24"/>
        </w:rPr>
        <w:t xml:space="preserve">This </w:t>
      </w:r>
      <w:r w:rsidRPr="008B1361">
        <w:rPr>
          <w:rFonts w:ascii="TimesNewRomanPSMT" w:hAnsi="TimesNewRomanPSMT" w:cs="TimesNewRomanPSMT"/>
          <w:sz w:val="24"/>
          <w:szCs w:val="24"/>
        </w:rPr>
        <w:t>reopener is to cover any changes or modifications to the mercury or PCBs TMDLs.</w:t>
      </w:r>
    </w:p>
    <w:p w14:paraId="4C22D023" w14:textId="29A656EB" w:rsidR="00302EAB" w:rsidRPr="00570B42" w:rsidRDefault="00257C31" w:rsidP="00F009DF">
      <w:pPr>
        <w:pStyle w:val="Heading3-F"/>
        <w:numPr>
          <w:ilvl w:val="0"/>
          <w:numId w:val="29"/>
        </w:numPr>
        <w:rPr>
          <w:sz w:val="24"/>
        </w:rPr>
      </w:pPr>
      <w:bookmarkStart w:id="377" w:name="_Toc487829704"/>
      <w:r>
        <w:rPr>
          <w:sz w:val="24"/>
        </w:rPr>
        <w:t>Triggers for Additional Mercury Control</w:t>
      </w:r>
      <w:bookmarkEnd w:id="377"/>
      <w:r>
        <w:rPr>
          <w:sz w:val="24"/>
        </w:rPr>
        <w:t xml:space="preserve"> </w:t>
      </w:r>
    </w:p>
    <w:p w14:paraId="0F5EFD85" w14:textId="4661C302" w:rsidR="00257C31" w:rsidRPr="00257C31" w:rsidRDefault="00257C31" w:rsidP="00257C31">
      <w:pPr>
        <w:autoSpaceDE w:val="0"/>
        <w:autoSpaceDN w:val="0"/>
        <w:adjustRightInd w:val="0"/>
        <w:spacing w:after="240"/>
        <w:ind w:left="1080"/>
        <w:rPr>
          <w:rFonts w:ascii="TimesNewRomanPSMT" w:hAnsi="TimesNewRomanPSMT" w:cs="TimesNewRomanPSMT"/>
          <w:sz w:val="24"/>
          <w:szCs w:val="24"/>
        </w:rPr>
      </w:pPr>
      <w:r w:rsidRPr="00257C31">
        <w:rPr>
          <w:rFonts w:ascii="TimesNewRomanPSMT" w:hAnsi="TimesNewRomanPSMT" w:cs="TimesNewRomanPSMT"/>
          <w:sz w:val="24"/>
          <w:szCs w:val="24"/>
        </w:rPr>
        <w:t>Mass and concentration</w:t>
      </w:r>
      <w:r>
        <w:rPr>
          <w:rFonts w:ascii="TimesNewRomanPSMT" w:hAnsi="TimesNewRomanPSMT" w:cs="TimesNewRomanPSMT"/>
          <w:sz w:val="24"/>
          <w:szCs w:val="24"/>
        </w:rPr>
        <w:t>-based</w:t>
      </w:r>
      <w:r w:rsidRPr="00257C31">
        <w:rPr>
          <w:rFonts w:ascii="TimesNewRomanPSMT" w:hAnsi="TimesNewRomanPSMT" w:cs="TimesNewRomanPSMT"/>
          <w:sz w:val="24"/>
          <w:szCs w:val="24"/>
        </w:rPr>
        <w:t xml:space="preserve"> triggers were developed to allow for early required actions in the event an increasing trend in mercury discharge is observed by </w:t>
      </w:r>
      <w:r>
        <w:rPr>
          <w:rFonts w:ascii="TimesNewRomanPSMT" w:hAnsi="TimesNewRomanPSMT" w:cs="TimesNewRomanPSMT"/>
          <w:sz w:val="24"/>
          <w:szCs w:val="24"/>
        </w:rPr>
        <w:t>a Discharger</w:t>
      </w:r>
      <w:r w:rsidRPr="00257C31">
        <w:rPr>
          <w:rFonts w:ascii="TimesNewRomanPSMT" w:hAnsi="TimesNewRomanPSMT" w:cs="TimesNewRomanPSMT"/>
          <w:sz w:val="24"/>
          <w:szCs w:val="24"/>
        </w:rPr>
        <w:t xml:space="preserve">. The purpose of the triggers is to evaluate the source of new mercury and identify a method for reduction before levels become elevated.  </w:t>
      </w:r>
    </w:p>
    <w:p w14:paraId="42CAE51C" w14:textId="769D01DA" w:rsidR="00257C31" w:rsidRPr="00257C31" w:rsidRDefault="00257C31" w:rsidP="00257C31">
      <w:pPr>
        <w:autoSpaceDE w:val="0"/>
        <w:autoSpaceDN w:val="0"/>
        <w:adjustRightInd w:val="0"/>
        <w:spacing w:after="240"/>
        <w:ind w:left="1080"/>
        <w:rPr>
          <w:rFonts w:ascii="TimesNewRomanPSMT" w:hAnsi="TimesNewRomanPSMT" w:cs="TimesNewRomanPSMT"/>
          <w:sz w:val="24"/>
          <w:szCs w:val="24"/>
        </w:rPr>
      </w:pPr>
      <w:r w:rsidRPr="00257C31">
        <w:rPr>
          <w:rFonts w:ascii="TimesNewRomanPSMT" w:hAnsi="TimesNewRomanPSMT" w:cs="TimesNewRomanPSMT"/>
          <w:sz w:val="24"/>
          <w:szCs w:val="24"/>
        </w:rPr>
        <w:t xml:space="preserve">Consistent with the </w:t>
      </w:r>
      <w:r w:rsidR="00AC661A">
        <w:rPr>
          <w:rFonts w:ascii="TimesNewRomanPSMT" w:hAnsi="TimesNewRomanPSMT" w:cs="TimesNewRomanPSMT"/>
          <w:sz w:val="24"/>
          <w:szCs w:val="24"/>
        </w:rPr>
        <w:t xml:space="preserve">San Francisco Bay </w:t>
      </w:r>
      <w:r w:rsidR="003B3F50">
        <w:rPr>
          <w:rFonts w:ascii="TimesNewRomanPSMT" w:hAnsi="TimesNewRomanPSMT" w:cs="TimesNewRomanPSMT"/>
          <w:sz w:val="24"/>
          <w:szCs w:val="24"/>
        </w:rPr>
        <w:t>Mercury TMDL</w:t>
      </w:r>
      <w:r w:rsidRPr="00257C31">
        <w:rPr>
          <w:rFonts w:ascii="TimesNewRomanPSMT" w:hAnsi="TimesNewRomanPSMT" w:cs="TimesNewRomanPSMT"/>
          <w:sz w:val="24"/>
          <w:szCs w:val="24"/>
        </w:rPr>
        <w:t>, mass triggers for Municipal and Industrial Dischargers are equivalent to the indi</w:t>
      </w:r>
      <w:r w:rsidR="00AC661A">
        <w:rPr>
          <w:rFonts w:ascii="TimesNewRomanPSMT" w:hAnsi="TimesNewRomanPSMT" w:cs="TimesNewRomanPSMT"/>
          <w:sz w:val="24"/>
          <w:szCs w:val="24"/>
        </w:rPr>
        <w:t>vidual mass-based limitations stated in this</w:t>
      </w:r>
      <w:r w:rsidRPr="00257C31">
        <w:rPr>
          <w:rFonts w:ascii="TimesNewRomanPSMT" w:hAnsi="TimesNewRomanPSMT" w:cs="TimesNewRomanPSMT"/>
          <w:sz w:val="24"/>
          <w:szCs w:val="24"/>
        </w:rPr>
        <w:t xml:space="preserve"> Order, </w:t>
      </w:r>
      <w:r w:rsidR="00AC661A">
        <w:rPr>
          <w:rFonts w:ascii="TimesNewRomanPSMT" w:hAnsi="TimesNewRomanPSMT" w:cs="TimesNewRomanPSMT"/>
          <w:sz w:val="24"/>
          <w:szCs w:val="24"/>
        </w:rPr>
        <w:t xml:space="preserve">with the exception that compliance with the </w:t>
      </w:r>
      <w:r w:rsidR="003F524C">
        <w:rPr>
          <w:rFonts w:ascii="TimesNewRomanPSMT" w:hAnsi="TimesNewRomanPSMT" w:cs="TimesNewRomanPSMT"/>
          <w:sz w:val="24"/>
          <w:szCs w:val="24"/>
        </w:rPr>
        <w:t>mass-based limitations are</w:t>
      </w:r>
      <w:r w:rsidR="00AC661A">
        <w:rPr>
          <w:rFonts w:ascii="TimesNewRomanPSMT" w:hAnsi="TimesNewRomanPSMT" w:cs="TimesNewRomanPSMT"/>
          <w:sz w:val="24"/>
          <w:szCs w:val="24"/>
        </w:rPr>
        <w:t xml:space="preserve"> </w:t>
      </w:r>
      <w:r w:rsidRPr="00257C31">
        <w:rPr>
          <w:rFonts w:ascii="TimesNewRomanPSMT" w:hAnsi="TimesNewRomanPSMT" w:cs="TimesNewRomanPSMT"/>
          <w:sz w:val="24"/>
          <w:szCs w:val="24"/>
        </w:rPr>
        <w:t xml:space="preserve">determined monthly, instead of annually, using a rolling 12-month average. This is necessary in order to capture any </w:t>
      </w:r>
      <w:r w:rsidR="003F524C">
        <w:rPr>
          <w:rFonts w:ascii="TimesNewRomanPSMT" w:hAnsi="TimesNewRomanPSMT" w:cs="TimesNewRomanPSMT"/>
          <w:sz w:val="24"/>
          <w:szCs w:val="24"/>
        </w:rPr>
        <w:t>mercury load increases earlier</w:t>
      </w:r>
      <w:r w:rsidRPr="00257C31">
        <w:rPr>
          <w:rFonts w:ascii="TimesNewRomanPSMT" w:hAnsi="TimesNewRomanPSMT" w:cs="TimesNewRomanPSMT"/>
          <w:sz w:val="24"/>
          <w:szCs w:val="24"/>
        </w:rPr>
        <w:t xml:space="preserve"> to allow development and implementation of reduction measures that may avoid an actual effluent limit violation.</w:t>
      </w:r>
    </w:p>
    <w:p w14:paraId="0DC1C0A6" w14:textId="6751CA40" w:rsidR="00257C31" w:rsidRPr="00257C31" w:rsidRDefault="00257C31" w:rsidP="00257C31">
      <w:pPr>
        <w:autoSpaceDE w:val="0"/>
        <w:autoSpaceDN w:val="0"/>
        <w:adjustRightInd w:val="0"/>
        <w:spacing w:after="240"/>
        <w:ind w:left="1080"/>
        <w:rPr>
          <w:rFonts w:ascii="TimesNewRomanPSMT" w:hAnsi="TimesNewRomanPSMT" w:cs="TimesNewRomanPSMT"/>
          <w:sz w:val="24"/>
          <w:szCs w:val="24"/>
        </w:rPr>
      </w:pPr>
      <w:r w:rsidRPr="00257C31">
        <w:rPr>
          <w:rFonts w:ascii="TimesNewRomanPSMT" w:hAnsi="TimesNewRomanPSMT" w:cs="TimesNewRomanPSMT"/>
          <w:sz w:val="24"/>
          <w:szCs w:val="24"/>
        </w:rPr>
        <w:t>For concentration</w:t>
      </w:r>
      <w:r w:rsidR="00151D04">
        <w:rPr>
          <w:rFonts w:ascii="TimesNewRomanPSMT" w:hAnsi="TimesNewRomanPSMT" w:cs="TimesNewRomanPSMT"/>
          <w:sz w:val="24"/>
          <w:szCs w:val="24"/>
        </w:rPr>
        <w:t>-based</w:t>
      </w:r>
      <w:r w:rsidRPr="00257C31">
        <w:rPr>
          <w:rFonts w:ascii="TimesNewRomanPSMT" w:hAnsi="TimesNewRomanPSMT" w:cs="TimesNewRomanPSMT"/>
          <w:sz w:val="24"/>
          <w:szCs w:val="24"/>
        </w:rPr>
        <w:t xml:space="preserve"> triggers, there are two broad categories of municipal fa</w:t>
      </w:r>
      <w:r w:rsidR="003F524C">
        <w:rPr>
          <w:rFonts w:ascii="TimesNewRomanPSMT" w:hAnsi="TimesNewRomanPSMT" w:cs="TimesNewRomanPSMT"/>
          <w:sz w:val="24"/>
          <w:szCs w:val="24"/>
        </w:rPr>
        <w:t xml:space="preserve">cilities: (1) </w:t>
      </w:r>
      <w:r w:rsidR="00787C0C">
        <w:rPr>
          <w:rFonts w:ascii="TimesNewRomanPSMT" w:hAnsi="TimesNewRomanPSMT" w:cs="TimesNewRomanPSMT"/>
          <w:sz w:val="24"/>
          <w:szCs w:val="24"/>
        </w:rPr>
        <w:t>t</w:t>
      </w:r>
      <w:r w:rsidRPr="00257C31">
        <w:rPr>
          <w:rFonts w:ascii="TimesNewRomanPSMT" w:hAnsi="TimesNewRomanPSMT" w:cs="TimesNewRomanPSMT"/>
          <w:sz w:val="24"/>
          <w:szCs w:val="24"/>
        </w:rPr>
        <w:t xml:space="preserve">hose that provide secondary treatment, and </w:t>
      </w:r>
      <w:r w:rsidR="00787C0C">
        <w:rPr>
          <w:rFonts w:ascii="TimesNewRomanPSMT" w:hAnsi="TimesNewRomanPSMT" w:cs="TimesNewRomanPSMT"/>
          <w:sz w:val="24"/>
          <w:szCs w:val="24"/>
        </w:rPr>
        <w:t xml:space="preserve">(2) </w:t>
      </w:r>
      <w:r w:rsidRPr="00257C31">
        <w:rPr>
          <w:rFonts w:ascii="TimesNewRomanPSMT" w:hAnsi="TimesNewRomanPSMT" w:cs="TimesNewRomanPSMT"/>
          <w:sz w:val="24"/>
          <w:szCs w:val="24"/>
        </w:rPr>
        <w:t>those that provide advanced</w:t>
      </w:r>
      <w:r w:rsidR="00B23042">
        <w:rPr>
          <w:rFonts w:ascii="TimesNewRomanPSMT" w:hAnsi="TimesNewRomanPSMT" w:cs="TimesNewRomanPSMT"/>
          <w:sz w:val="24"/>
          <w:szCs w:val="24"/>
        </w:rPr>
        <w:t xml:space="preserve"> secondary</w:t>
      </w:r>
      <w:r w:rsidRPr="00257C31">
        <w:rPr>
          <w:rFonts w:ascii="TimesNewRomanPSMT" w:hAnsi="TimesNewRomanPSMT" w:cs="TimesNewRomanPSMT"/>
          <w:sz w:val="24"/>
          <w:szCs w:val="24"/>
        </w:rPr>
        <w:t xml:space="preserve"> treatment. Facilities providing advanced treatment have better performance, hence lower effluent concentrations than those</w:t>
      </w:r>
      <w:r w:rsidR="00B23042">
        <w:rPr>
          <w:rFonts w:ascii="TimesNewRomanPSMT" w:hAnsi="TimesNewRomanPSMT" w:cs="TimesNewRomanPSMT"/>
          <w:sz w:val="24"/>
          <w:szCs w:val="24"/>
        </w:rPr>
        <w:t xml:space="preserve"> providing secondary treatment. Therefore, </w:t>
      </w:r>
      <w:r w:rsidRPr="00257C31">
        <w:rPr>
          <w:rFonts w:ascii="TimesNewRomanPSMT" w:hAnsi="TimesNewRomanPSMT" w:cs="TimesNewRomanPSMT"/>
          <w:sz w:val="24"/>
          <w:szCs w:val="24"/>
        </w:rPr>
        <w:t xml:space="preserve">the trigger concentrations for advanced facilities are lower than those for secondary treatment facilities.  </w:t>
      </w:r>
    </w:p>
    <w:p w14:paraId="21A0070F" w14:textId="379CFC97" w:rsidR="00257C31" w:rsidRPr="00257C31" w:rsidRDefault="00257C31" w:rsidP="00257C31">
      <w:pPr>
        <w:autoSpaceDE w:val="0"/>
        <w:autoSpaceDN w:val="0"/>
        <w:adjustRightInd w:val="0"/>
        <w:spacing w:after="240"/>
        <w:ind w:left="1080"/>
        <w:rPr>
          <w:rFonts w:ascii="TimesNewRomanPSMT" w:hAnsi="TimesNewRomanPSMT" w:cs="TimesNewRomanPSMT"/>
          <w:sz w:val="24"/>
          <w:szCs w:val="24"/>
        </w:rPr>
      </w:pPr>
      <w:r w:rsidRPr="00257C31">
        <w:rPr>
          <w:rFonts w:ascii="TimesNewRomanPSMT" w:hAnsi="TimesNewRomanPSMT" w:cs="TimesNewRomanPSMT"/>
          <w:sz w:val="24"/>
          <w:szCs w:val="24"/>
        </w:rPr>
        <w:t>Consistent with the TMDL implementation plan, the proposed effluent mercury concentration trigger values for municipal secondary treatment facilities are a daily maximum of 0.065 μg/l total mercury (derived from the 99th percentile concentration of effluent data collected from January 2000 to September 2002) and a monthly average of 0.041 μg/l total mercury (derived from the 95th percentile concentration of effluent data collected from January 2000 to September 2002).  For facilities providing advanced treatment, the proposed concentration triggers are a daily maximum of 0.021 μg/l total mercury (the 99th percentile concentration) and a monthly average of 0.011 μg/l total mercury (the 95th percentile concentration).</w:t>
      </w:r>
    </w:p>
    <w:p w14:paraId="6E97A40E" w14:textId="7991FA01" w:rsidR="00302EAB" w:rsidRDefault="00257C31" w:rsidP="00257C31">
      <w:pPr>
        <w:autoSpaceDE w:val="0"/>
        <w:autoSpaceDN w:val="0"/>
        <w:adjustRightInd w:val="0"/>
        <w:spacing w:after="240"/>
        <w:ind w:left="1080"/>
        <w:rPr>
          <w:rFonts w:ascii="TimesNewRomanPSMT" w:hAnsi="TimesNewRomanPSMT" w:cs="TimesNewRomanPSMT"/>
          <w:sz w:val="24"/>
          <w:szCs w:val="24"/>
        </w:rPr>
      </w:pPr>
      <w:r w:rsidRPr="00257C31">
        <w:rPr>
          <w:rFonts w:ascii="TimesNewRomanPSMT" w:hAnsi="TimesNewRomanPSMT" w:cs="TimesNewRomanPSMT"/>
          <w:sz w:val="24"/>
          <w:szCs w:val="24"/>
        </w:rPr>
        <w:t xml:space="preserve">Consistent with the TMDL implementation plan, the proposed effluent trigger concentrations for </w:t>
      </w:r>
      <w:r w:rsidR="005C2773">
        <w:rPr>
          <w:rFonts w:ascii="TimesNewRomanPSMT" w:hAnsi="TimesNewRomanPSMT" w:cs="TimesNewRomanPSMT"/>
          <w:sz w:val="24"/>
          <w:szCs w:val="24"/>
        </w:rPr>
        <w:t>I</w:t>
      </w:r>
      <w:r w:rsidRPr="00257C31">
        <w:rPr>
          <w:rFonts w:ascii="TimesNewRomanPSMT" w:hAnsi="TimesNewRomanPSMT" w:cs="TimesNewRomanPSMT"/>
          <w:sz w:val="24"/>
          <w:szCs w:val="24"/>
        </w:rPr>
        <w:t xml:space="preserve">ndustrial </w:t>
      </w:r>
      <w:r w:rsidR="005C2773">
        <w:rPr>
          <w:rFonts w:ascii="TimesNewRomanPSMT" w:hAnsi="TimesNewRomanPSMT" w:cs="TimesNewRomanPSMT"/>
          <w:sz w:val="24"/>
          <w:szCs w:val="24"/>
        </w:rPr>
        <w:t>D</w:t>
      </w:r>
      <w:r w:rsidR="00C507F2">
        <w:rPr>
          <w:rFonts w:ascii="TimesNewRomanPSMT" w:hAnsi="TimesNewRomanPSMT" w:cs="TimesNewRomanPSMT"/>
          <w:sz w:val="24"/>
          <w:szCs w:val="24"/>
        </w:rPr>
        <w:t>ischargers</w:t>
      </w:r>
      <w:r w:rsidR="00C507F2" w:rsidRPr="00257C31">
        <w:rPr>
          <w:rFonts w:ascii="TimesNewRomanPSMT" w:hAnsi="TimesNewRomanPSMT" w:cs="TimesNewRomanPSMT"/>
          <w:sz w:val="24"/>
          <w:szCs w:val="24"/>
        </w:rPr>
        <w:t xml:space="preserve"> </w:t>
      </w:r>
      <w:r w:rsidRPr="00257C31">
        <w:rPr>
          <w:rFonts w:ascii="TimesNewRomanPSMT" w:hAnsi="TimesNewRomanPSMT" w:cs="TimesNewRomanPSMT"/>
          <w:sz w:val="24"/>
          <w:szCs w:val="24"/>
        </w:rPr>
        <w:t xml:space="preserve">are a daily maximum of 0.062 μg/l total mercury (derived from the </w:t>
      </w:r>
      <w:r w:rsidRPr="00257C31">
        <w:rPr>
          <w:rFonts w:ascii="TimesNewRomanPSMT" w:hAnsi="TimesNewRomanPSMT" w:cs="TimesNewRomanPSMT"/>
          <w:sz w:val="24"/>
          <w:szCs w:val="24"/>
        </w:rPr>
        <w:lastRenderedPageBreak/>
        <w:t xml:space="preserve">99th percentile concentration of </w:t>
      </w:r>
      <w:r w:rsidR="00B23042">
        <w:rPr>
          <w:rFonts w:ascii="TimesNewRomanPSMT" w:hAnsi="TimesNewRomanPSMT" w:cs="TimesNewRomanPSMT"/>
          <w:sz w:val="24"/>
          <w:szCs w:val="24"/>
        </w:rPr>
        <w:t xml:space="preserve">petroleum-refinery </w:t>
      </w:r>
      <w:r w:rsidRPr="00257C31">
        <w:rPr>
          <w:rFonts w:ascii="TimesNewRomanPSMT" w:hAnsi="TimesNewRomanPSMT" w:cs="TimesNewRomanPSMT"/>
          <w:sz w:val="24"/>
          <w:szCs w:val="24"/>
        </w:rPr>
        <w:t xml:space="preserve">effluent data collected from January 2000 to September 2002) and a monthly average of 0.037 μg/l total mercury (derived from the 95th percentile concentration of </w:t>
      </w:r>
      <w:r w:rsidR="00B23042">
        <w:rPr>
          <w:rFonts w:ascii="TimesNewRomanPSMT" w:hAnsi="TimesNewRomanPSMT" w:cs="TimesNewRomanPSMT"/>
          <w:sz w:val="24"/>
          <w:szCs w:val="24"/>
        </w:rPr>
        <w:t xml:space="preserve">petroleum-refinery </w:t>
      </w:r>
      <w:r w:rsidRPr="00257C31">
        <w:rPr>
          <w:rFonts w:ascii="TimesNewRomanPSMT" w:hAnsi="TimesNewRomanPSMT" w:cs="TimesNewRomanPSMT"/>
          <w:sz w:val="24"/>
          <w:szCs w:val="24"/>
        </w:rPr>
        <w:t xml:space="preserve">effluent data collected from January 2000 to September 2002).  </w:t>
      </w:r>
    </w:p>
    <w:p w14:paraId="1A76D412" w14:textId="4ECA6811" w:rsidR="00257C31" w:rsidRDefault="00257C31" w:rsidP="00257C31">
      <w:pPr>
        <w:autoSpaceDE w:val="0"/>
        <w:autoSpaceDN w:val="0"/>
        <w:adjustRightInd w:val="0"/>
        <w:spacing w:after="240"/>
        <w:ind w:left="1080"/>
        <w:rPr>
          <w:rFonts w:ascii="TimesNewRomanPSMT" w:hAnsi="TimesNewRomanPSMT" w:cs="TimesNewRomanPSMT"/>
          <w:sz w:val="24"/>
          <w:szCs w:val="24"/>
        </w:rPr>
      </w:pPr>
      <w:r w:rsidRPr="00257C31">
        <w:rPr>
          <w:rFonts w:ascii="TimesNewRomanPSMT" w:hAnsi="TimesNewRomanPSMT" w:cs="TimesNewRomanPSMT"/>
          <w:sz w:val="24"/>
          <w:szCs w:val="24"/>
        </w:rPr>
        <w:t>Consistent with the TMDL</w:t>
      </w:r>
      <w:r w:rsidR="00B23042">
        <w:rPr>
          <w:rFonts w:ascii="TimesNewRomanPSMT" w:hAnsi="TimesNewRomanPSMT" w:cs="TimesNewRomanPSMT"/>
          <w:sz w:val="24"/>
          <w:szCs w:val="24"/>
        </w:rPr>
        <w:t xml:space="preserve">, </w:t>
      </w:r>
      <w:r w:rsidRPr="00257C31">
        <w:rPr>
          <w:rFonts w:ascii="TimesNewRomanPSMT" w:hAnsi="TimesNewRomanPSMT" w:cs="TimesNewRomanPSMT"/>
          <w:sz w:val="24"/>
          <w:szCs w:val="24"/>
        </w:rPr>
        <w:t xml:space="preserve">if a Discharger exceeds either </w:t>
      </w:r>
      <w:r w:rsidR="00B23042">
        <w:rPr>
          <w:rFonts w:ascii="TimesNewRomanPSMT" w:hAnsi="TimesNewRomanPSMT" w:cs="TimesNewRomanPSMT"/>
          <w:sz w:val="24"/>
          <w:szCs w:val="24"/>
        </w:rPr>
        <w:t>its</w:t>
      </w:r>
      <w:r w:rsidRPr="00257C31">
        <w:rPr>
          <w:rFonts w:ascii="TimesNewRomanPSMT" w:hAnsi="TimesNewRomanPSMT" w:cs="TimesNewRomanPSMT"/>
          <w:sz w:val="24"/>
          <w:szCs w:val="24"/>
        </w:rPr>
        <w:t xml:space="preserve"> ma</w:t>
      </w:r>
      <w:r w:rsidR="00B23042">
        <w:rPr>
          <w:rFonts w:ascii="TimesNewRomanPSMT" w:hAnsi="TimesNewRomanPSMT" w:cs="TimesNewRomanPSMT"/>
          <w:sz w:val="24"/>
          <w:szCs w:val="24"/>
        </w:rPr>
        <w:t>ss or concentration trigger, this</w:t>
      </w:r>
      <w:r w:rsidRPr="00257C31">
        <w:rPr>
          <w:rFonts w:ascii="TimesNewRomanPSMT" w:hAnsi="TimesNewRomanPSMT" w:cs="TimesNewRomanPSMT"/>
          <w:sz w:val="24"/>
          <w:szCs w:val="24"/>
        </w:rPr>
        <w:t xml:space="preserve"> Order requires the Discharger to report the exceedance in its Self-Monitoring Report</w:t>
      </w:r>
      <w:r w:rsidR="00B23042">
        <w:rPr>
          <w:rFonts w:ascii="TimesNewRomanPSMT" w:hAnsi="TimesNewRomanPSMT" w:cs="TimesNewRomanPSMT"/>
          <w:sz w:val="24"/>
          <w:szCs w:val="24"/>
        </w:rPr>
        <w:t xml:space="preserve"> and include the following</w:t>
      </w:r>
      <w:r w:rsidRPr="00257C31">
        <w:rPr>
          <w:rFonts w:ascii="TimesNewRomanPSMT" w:hAnsi="TimesNewRomanPSMT" w:cs="TimesNewRomanPSMT"/>
          <w:sz w:val="24"/>
          <w:szCs w:val="24"/>
        </w:rPr>
        <w:t>:</w:t>
      </w:r>
    </w:p>
    <w:p w14:paraId="2E30B37F" w14:textId="2BED28B9" w:rsidR="00B23042" w:rsidRPr="00B23042" w:rsidRDefault="00B23042" w:rsidP="00B23042">
      <w:pPr>
        <w:autoSpaceDE w:val="0"/>
        <w:autoSpaceDN w:val="0"/>
        <w:adjustRightInd w:val="0"/>
        <w:spacing w:after="240"/>
        <w:ind w:left="1440" w:hanging="360"/>
        <w:rPr>
          <w:rFonts w:ascii="TimesNewRomanPSMT" w:hAnsi="TimesNewRomanPSMT" w:cs="TimesNewRomanPSMT"/>
          <w:sz w:val="24"/>
          <w:szCs w:val="24"/>
        </w:rPr>
      </w:pPr>
      <w:r>
        <w:rPr>
          <w:b/>
          <w:bCs/>
          <w:sz w:val="24"/>
          <w:szCs w:val="24"/>
        </w:rPr>
        <w:t>a</w:t>
      </w:r>
      <w:r w:rsidRPr="00570B42">
        <w:rPr>
          <w:b/>
          <w:bCs/>
          <w:sz w:val="24"/>
          <w:szCs w:val="24"/>
        </w:rPr>
        <w:t>.</w:t>
      </w:r>
      <w:r>
        <w:rPr>
          <w:b/>
          <w:bCs/>
          <w:sz w:val="24"/>
          <w:szCs w:val="24"/>
        </w:rPr>
        <w:t xml:space="preserve"> </w:t>
      </w:r>
      <w:r>
        <w:rPr>
          <w:b/>
          <w:bCs/>
          <w:sz w:val="24"/>
          <w:szCs w:val="24"/>
        </w:rPr>
        <w:tab/>
      </w:r>
      <w:r>
        <w:rPr>
          <w:bCs/>
          <w:sz w:val="24"/>
          <w:szCs w:val="24"/>
        </w:rPr>
        <w:t xml:space="preserve">Evaluation of the cause of the trigger exceedance </w:t>
      </w:r>
    </w:p>
    <w:p w14:paraId="68F871D6" w14:textId="3772BCE8" w:rsidR="00257C31" w:rsidRPr="00257C31" w:rsidRDefault="00413B32" w:rsidP="00B23042">
      <w:pPr>
        <w:autoSpaceDE w:val="0"/>
        <w:autoSpaceDN w:val="0"/>
        <w:adjustRightInd w:val="0"/>
        <w:spacing w:after="240"/>
        <w:ind w:left="1440" w:hanging="360"/>
        <w:rPr>
          <w:rFonts w:ascii="TimesNewRomanPSMT" w:hAnsi="TimesNewRomanPSMT" w:cs="TimesNewRomanPSMT"/>
          <w:sz w:val="24"/>
          <w:szCs w:val="24"/>
        </w:rPr>
      </w:pPr>
      <w:r>
        <w:rPr>
          <w:rFonts w:ascii="TimesNewRomanPSMT" w:hAnsi="TimesNewRomanPSMT" w:cs="TimesNewRomanPSMT"/>
          <w:b/>
          <w:sz w:val="24"/>
          <w:szCs w:val="24"/>
        </w:rPr>
        <w:t>b</w:t>
      </w:r>
      <w:r w:rsidR="00B23042" w:rsidRPr="00B23042">
        <w:rPr>
          <w:rFonts w:ascii="TimesNewRomanPSMT" w:hAnsi="TimesNewRomanPSMT" w:cs="TimesNewRomanPSMT"/>
          <w:b/>
          <w:sz w:val="24"/>
          <w:szCs w:val="24"/>
        </w:rPr>
        <w:t>.</w:t>
      </w:r>
      <w:r w:rsidR="00B23042">
        <w:rPr>
          <w:rFonts w:ascii="TimesNewRomanPSMT" w:hAnsi="TimesNewRomanPSMT" w:cs="TimesNewRomanPSMT"/>
          <w:sz w:val="24"/>
          <w:szCs w:val="24"/>
        </w:rPr>
        <w:tab/>
        <w:t>Evaluation of</w:t>
      </w:r>
      <w:r w:rsidR="00257C31" w:rsidRPr="00257C31">
        <w:rPr>
          <w:rFonts w:ascii="TimesNewRomanPSMT" w:hAnsi="TimesNewRomanPSMT" w:cs="TimesNewRomanPSMT"/>
          <w:sz w:val="24"/>
          <w:szCs w:val="24"/>
        </w:rPr>
        <w:t xml:space="preserve"> the effectiveness of existing pollution preventi</w:t>
      </w:r>
      <w:r w:rsidR="00B23042">
        <w:rPr>
          <w:rFonts w:ascii="TimesNewRomanPSMT" w:hAnsi="TimesNewRomanPSMT" w:cs="TimesNewRomanPSMT"/>
          <w:sz w:val="24"/>
          <w:szCs w:val="24"/>
        </w:rPr>
        <w:t xml:space="preserve">on or pretreatment programs and </w:t>
      </w:r>
      <w:r w:rsidR="00257C31" w:rsidRPr="00257C31">
        <w:rPr>
          <w:rFonts w:ascii="TimesNewRomanPSMT" w:hAnsi="TimesNewRomanPSMT" w:cs="TimesNewRomanPSMT"/>
          <w:sz w:val="24"/>
          <w:szCs w:val="24"/>
        </w:rPr>
        <w:t>methods for preventing future exceedances;</w:t>
      </w:r>
    </w:p>
    <w:p w14:paraId="4CAE8876" w14:textId="17E46D6D" w:rsidR="00257C31" w:rsidRPr="00257C31" w:rsidRDefault="00413B32" w:rsidP="001E364F">
      <w:pPr>
        <w:autoSpaceDE w:val="0"/>
        <w:autoSpaceDN w:val="0"/>
        <w:adjustRightInd w:val="0"/>
        <w:spacing w:after="240"/>
        <w:ind w:left="1440" w:hanging="360"/>
        <w:rPr>
          <w:rFonts w:ascii="TimesNewRomanPSMT" w:hAnsi="TimesNewRomanPSMT" w:cs="TimesNewRomanPSMT"/>
          <w:sz w:val="24"/>
          <w:szCs w:val="24"/>
        </w:rPr>
      </w:pPr>
      <w:r>
        <w:rPr>
          <w:rFonts w:ascii="TimesNewRomanPSMT" w:hAnsi="TimesNewRomanPSMT" w:cs="TimesNewRomanPSMT"/>
          <w:b/>
          <w:sz w:val="24"/>
          <w:szCs w:val="24"/>
        </w:rPr>
        <w:t>c</w:t>
      </w:r>
      <w:r w:rsidR="00B23042" w:rsidRPr="00B23042">
        <w:rPr>
          <w:rFonts w:ascii="TimesNewRomanPSMT" w:hAnsi="TimesNewRomanPSMT" w:cs="TimesNewRomanPSMT"/>
          <w:b/>
          <w:sz w:val="24"/>
          <w:szCs w:val="24"/>
        </w:rPr>
        <w:t>.</w:t>
      </w:r>
      <w:r w:rsidR="001E364F">
        <w:rPr>
          <w:rFonts w:ascii="TimesNewRomanPSMT" w:hAnsi="TimesNewRomanPSMT" w:cs="TimesNewRomanPSMT"/>
          <w:sz w:val="24"/>
          <w:szCs w:val="24"/>
        </w:rPr>
        <w:tab/>
        <w:t xml:space="preserve"> Evaluation of</w:t>
      </w:r>
      <w:r w:rsidR="00257C31" w:rsidRPr="00257C31">
        <w:rPr>
          <w:rFonts w:ascii="TimesNewRomanPSMT" w:hAnsi="TimesNewRomanPSMT" w:cs="TimesNewRomanPSMT"/>
          <w:sz w:val="24"/>
          <w:szCs w:val="24"/>
        </w:rPr>
        <w:t xml:space="preserve"> the feasibility and effectiveness of technology enhancements to improve plant performance. </w:t>
      </w:r>
    </w:p>
    <w:p w14:paraId="06642FF8" w14:textId="7C4AB5CE" w:rsidR="00257C31" w:rsidRPr="00257C31" w:rsidRDefault="00D110E7" w:rsidP="00257C31">
      <w:pPr>
        <w:autoSpaceDE w:val="0"/>
        <w:autoSpaceDN w:val="0"/>
        <w:adjustRightInd w:val="0"/>
        <w:spacing w:after="240"/>
        <w:ind w:left="1080"/>
        <w:rPr>
          <w:rFonts w:ascii="TimesNewRomanPSMT" w:hAnsi="TimesNewRomanPSMT" w:cs="TimesNewRomanPSMT"/>
          <w:sz w:val="24"/>
          <w:szCs w:val="24"/>
        </w:rPr>
      </w:pPr>
      <w:r>
        <w:rPr>
          <w:rFonts w:ascii="TimesNewRomanPSMT" w:hAnsi="TimesNewRomanPSMT" w:cs="TimesNewRomanPSMT"/>
          <w:sz w:val="24"/>
          <w:szCs w:val="24"/>
        </w:rPr>
        <w:t xml:space="preserve">This </w:t>
      </w:r>
      <w:r w:rsidR="00257C31" w:rsidRPr="00257C31">
        <w:rPr>
          <w:rFonts w:ascii="TimesNewRomanPSMT" w:hAnsi="TimesNewRomanPSMT" w:cs="TimesNewRomanPSMT"/>
          <w:sz w:val="24"/>
          <w:szCs w:val="24"/>
        </w:rPr>
        <w:t>Order provides for 130 days to provide this report, which allows for 30 days for standard laboratory turnaround on ultra clean samples, plus 40 days for accelerated monitoring to verify and better characterize trigger exceedances, and finally the 60-day timeframe from the TMDL implementation plan to submit the report. The Regional Water Board will pursue enforcement action against Dischargers that do not respond to exceedances of triggers or do not implement actions to correct and prevent trigger exceedances. Determination of appropriate actions will be based on an updated assessment of source control measures and wastewater treatment technologies applicable for the term of each issued or reissued permit.</w:t>
      </w:r>
    </w:p>
    <w:p w14:paraId="7235A282" w14:textId="2F454C7A" w:rsidR="00257C31" w:rsidRPr="00257C31" w:rsidRDefault="00257C31" w:rsidP="00257C31">
      <w:pPr>
        <w:autoSpaceDE w:val="0"/>
        <w:autoSpaceDN w:val="0"/>
        <w:adjustRightInd w:val="0"/>
        <w:spacing w:after="240"/>
        <w:ind w:left="1080"/>
        <w:rPr>
          <w:rFonts w:ascii="TimesNewRomanPSMT" w:hAnsi="TimesNewRomanPSMT" w:cs="TimesNewRomanPSMT"/>
          <w:sz w:val="24"/>
          <w:szCs w:val="24"/>
        </w:rPr>
      </w:pPr>
      <w:r w:rsidRPr="00257C31">
        <w:rPr>
          <w:rFonts w:ascii="TimesNewRomanPSMT" w:hAnsi="TimesNewRomanPSMT" w:cs="TimesNewRomanPSMT"/>
          <w:sz w:val="24"/>
          <w:szCs w:val="24"/>
        </w:rPr>
        <w:t>The TMDL implementation plan requires the permit to specify that an exceedance of a t</w:t>
      </w:r>
      <w:r w:rsidR="008B70E8">
        <w:rPr>
          <w:rFonts w:ascii="TimesNewRomanPSMT" w:hAnsi="TimesNewRomanPSMT" w:cs="TimesNewRomanPSMT"/>
          <w:sz w:val="24"/>
          <w:szCs w:val="24"/>
        </w:rPr>
        <w:t>rigger level would trigger a D</w:t>
      </w:r>
      <w:r w:rsidRPr="00257C31">
        <w:rPr>
          <w:rFonts w:ascii="TimesNewRomanPSMT" w:hAnsi="TimesNewRomanPSMT" w:cs="TimesNewRomanPSMT"/>
          <w:sz w:val="24"/>
          <w:szCs w:val="24"/>
        </w:rPr>
        <w:t xml:space="preserve">ischarger to take corrective actions. The TMDL implementation plan explains that one of the concepts behind requiring triggered actions is to ensure that wastewater dischargers </w:t>
      </w:r>
      <w:r w:rsidR="00297B04" w:rsidRPr="00257C31">
        <w:rPr>
          <w:rFonts w:ascii="TimesNewRomanPSMT" w:hAnsi="TimesNewRomanPSMT" w:cs="TimesNewRomanPSMT"/>
          <w:sz w:val="24"/>
          <w:szCs w:val="24"/>
        </w:rPr>
        <w:t>continue</w:t>
      </w:r>
      <w:r w:rsidRPr="00257C31">
        <w:rPr>
          <w:rFonts w:ascii="TimesNewRomanPSMT" w:hAnsi="TimesNewRomanPSMT" w:cs="TimesNewRomanPSMT"/>
          <w:sz w:val="24"/>
          <w:szCs w:val="24"/>
        </w:rPr>
        <w:t xml:space="preserve"> ongoing operation, maintenance, and performance of their t</w:t>
      </w:r>
      <w:r w:rsidR="008B70E8">
        <w:rPr>
          <w:rFonts w:ascii="TimesNewRomanPSMT" w:hAnsi="TimesNewRomanPSMT" w:cs="TimesNewRomanPSMT"/>
          <w:sz w:val="24"/>
          <w:szCs w:val="24"/>
        </w:rPr>
        <w:t xml:space="preserve">reatment facilities. This Order </w:t>
      </w:r>
      <w:r w:rsidRPr="00257C31">
        <w:rPr>
          <w:rFonts w:ascii="TimesNewRomanPSMT" w:hAnsi="TimesNewRomanPSMT" w:cs="TimesNewRomanPSMT"/>
          <w:sz w:val="24"/>
          <w:szCs w:val="24"/>
        </w:rPr>
        <w:t>is consistent with th</w:t>
      </w:r>
      <w:r w:rsidR="008B70E8">
        <w:rPr>
          <w:rFonts w:ascii="TimesNewRomanPSMT" w:hAnsi="TimesNewRomanPSMT" w:cs="TimesNewRomanPSMT"/>
          <w:sz w:val="24"/>
          <w:szCs w:val="24"/>
        </w:rPr>
        <w:t>e TMDL</w:t>
      </w:r>
      <w:r w:rsidR="00297B04">
        <w:rPr>
          <w:rFonts w:ascii="TimesNewRomanPSMT" w:hAnsi="TimesNewRomanPSMT" w:cs="TimesNewRomanPSMT"/>
          <w:sz w:val="24"/>
          <w:szCs w:val="24"/>
        </w:rPr>
        <w:t xml:space="preserve"> because it</w:t>
      </w:r>
      <w:r w:rsidR="008B70E8">
        <w:rPr>
          <w:rFonts w:ascii="TimesNewRomanPSMT" w:hAnsi="TimesNewRomanPSMT" w:cs="TimesNewRomanPSMT"/>
          <w:sz w:val="24"/>
          <w:szCs w:val="24"/>
        </w:rPr>
        <w:t xml:space="preserve"> allow</w:t>
      </w:r>
      <w:r w:rsidR="00297B04">
        <w:rPr>
          <w:rFonts w:ascii="TimesNewRomanPSMT" w:hAnsi="TimesNewRomanPSMT" w:cs="TimesNewRomanPSMT"/>
          <w:sz w:val="24"/>
          <w:szCs w:val="24"/>
        </w:rPr>
        <w:t>s</w:t>
      </w:r>
      <w:r w:rsidR="008B70E8">
        <w:rPr>
          <w:rFonts w:ascii="TimesNewRomanPSMT" w:hAnsi="TimesNewRomanPSMT" w:cs="TimesNewRomanPSMT"/>
          <w:sz w:val="24"/>
          <w:szCs w:val="24"/>
        </w:rPr>
        <w:t xml:space="preserve"> </w:t>
      </w:r>
      <w:r w:rsidRPr="00257C31">
        <w:rPr>
          <w:rFonts w:ascii="TimesNewRomanPSMT" w:hAnsi="TimesNewRomanPSMT" w:cs="TimesNewRomanPSMT"/>
          <w:sz w:val="24"/>
          <w:szCs w:val="24"/>
        </w:rPr>
        <w:t>accelerated monitoring to determine if ongoing performance was maintained before corrective measures must be taken. Accelerated weekly monitoring for at least six events that would span over two months would provide reasonable and convincing weight of evidence that the first initial trigger was either an anomaly or a spurious source and could be disregarded. These additional samples would also help to characterize the duration and magnitude of the exceedance and help with development of the action plan should one be necessary.</w:t>
      </w:r>
    </w:p>
    <w:p w14:paraId="67ADB7F7" w14:textId="22E26A6B" w:rsidR="00257C31" w:rsidRPr="00570B42" w:rsidRDefault="00257C31" w:rsidP="00257C31">
      <w:pPr>
        <w:autoSpaceDE w:val="0"/>
        <w:autoSpaceDN w:val="0"/>
        <w:adjustRightInd w:val="0"/>
        <w:spacing w:after="240"/>
        <w:ind w:left="1080"/>
        <w:rPr>
          <w:rFonts w:ascii="TimesNewRomanPSMT" w:hAnsi="TimesNewRomanPSMT" w:cs="TimesNewRomanPSMT"/>
          <w:sz w:val="24"/>
          <w:szCs w:val="24"/>
        </w:rPr>
      </w:pPr>
      <w:r w:rsidRPr="00257C31">
        <w:rPr>
          <w:rFonts w:ascii="TimesNewRomanPSMT" w:hAnsi="TimesNewRomanPSMT" w:cs="TimesNewRomanPSMT"/>
          <w:sz w:val="24"/>
          <w:szCs w:val="24"/>
        </w:rPr>
        <w:t>See Appendix F-1 for an example of actions required in response</w:t>
      </w:r>
      <w:r w:rsidR="00DC1405">
        <w:rPr>
          <w:rFonts w:ascii="TimesNewRomanPSMT" w:hAnsi="TimesNewRomanPSMT" w:cs="TimesNewRomanPSMT"/>
          <w:sz w:val="24"/>
          <w:szCs w:val="24"/>
        </w:rPr>
        <w:t xml:space="preserve"> to initial trigger exceedances.</w:t>
      </w:r>
    </w:p>
    <w:p w14:paraId="4A7DA904" w14:textId="1B87E94C" w:rsidR="00302EAB" w:rsidRPr="00570B42" w:rsidRDefault="00257C31" w:rsidP="00F009DF">
      <w:pPr>
        <w:pStyle w:val="Heading3-F"/>
        <w:numPr>
          <w:ilvl w:val="0"/>
          <w:numId w:val="29"/>
        </w:numPr>
        <w:rPr>
          <w:sz w:val="24"/>
        </w:rPr>
      </w:pPr>
      <w:bookmarkStart w:id="378" w:name="_Toc487829705"/>
      <w:r>
        <w:rPr>
          <w:sz w:val="24"/>
        </w:rPr>
        <w:t>Mercury and PCBs Source Control Program</w:t>
      </w:r>
      <w:bookmarkEnd w:id="378"/>
    </w:p>
    <w:p w14:paraId="51C9E913" w14:textId="4DB770F9" w:rsidR="00D34786" w:rsidRPr="00570B42" w:rsidRDefault="001D371E" w:rsidP="008077EF">
      <w:pPr>
        <w:autoSpaceDE w:val="0"/>
        <w:autoSpaceDN w:val="0"/>
        <w:adjustRightInd w:val="0"/>
        <w:spacing w:after="240"/>
        <w:ind w:left="1080"/>
        <w:rPr>
          <w:rFonts w:ascii="TimesNewRomanPSMT" w:hAnsi="TimesNewRomanPSMT" w:cs="TimesNewRomanPSMT"/>
          <w:sz w:val="24"/>
          <w:szCs w:val="24"/>
        </w:rPr>
      </w:pPr>
      <w:r w:rsidRPr="001D371E">
        <w:rPr>
          <w:rFonts w:ascii="TimesNewRomanPSMT" w:hAnsi="TimesNewRomanPSMT" w:cs="TimesNewRomanPSMT"/>
          <w:sz w:val="24"/>
          <w:szCs w:val="24"/>
        </w:rPr>
        <w:t xml:space="preserve">The </w:t>
      </w:r>
      <w:r>
        <w:rPr>
          <w:rFonts w:ascii="TimesNewRomanPSMT" w:hAnsi="TimesNewRomanPSMT" w:cs="TimesNewRomanPSMT"/>
          <w:sz w:val="24"/>
          <w:szCs w:val="24"/>
        </w:rPr>
        <w:t xml:space="preserve">San Francisco Bay </w:t>
      </w:r>
      <w:r w:rsidR="003B3F50">
        <w:rPr>
          <w:rFonts w:ascii="TimesNewRomanPSMT" w:hAnsi="TimesNewRomanPSMT" w:cs="TimesNewRomanPSMT"/>
          <w:sz w:val="24"/>
          <w:szCs w:val="24"/>
        </w:rPr>
        <w:t>Mercury and PCBs TMDLs</w:t>
      </w:r>
      <w:r w:rsidRPr="001D371E">
        <w:rPr>
          <w:rFonts w:ascii="TimesNewRomanPSMT" w:hAnsi="TimesNewRomanPSMT" w:cs="TimesNewRomanPSMT"/>
          <w:sz w:val="24"/>
          <w:szCs w:val="24"/>
        </w:rPr>
        <w:t xml:space="preserve"> both require that </w:t>
      </w:r>
      <w:r w:rsidR="001C115D">
        <w:rPr>
          <w:rFonts w:ascii="TimesNewRomanPSMT" w:hAnsi="TimesNewRomanPSMT" w:cs="TimesNewRomanPSMT"/>
          <w:sz w:val="24"/>
          <w:szCs w:val="24"/>
        </w:rPr>
        <w:t xml:space="preserve">Municipal and Industrial </w:t>
      </w:r>
      <w:r w:rsidRPr="001D371E">
        <w:rPr>
          <w:rFonts w:ascii="TimesNewRomanPSMT" w:hAnsi="TimesNewRomanPSMT" w:cs="TimesNewRomanPSMT"/>
          <w:sz w:val="24"/>
          <w:szCs w:val="24"/>
        </w:rPr>
        <w:t xml:space="preserve">Dischargers develop and implement programs to identify and control manageable sources of mercury and PCBs. Therefore, this Order requires Dischargers to implement </w:t>
      </w:r>
      <w:r w:rsidRPr="001D371E">
        <w:rPr>
          <w:rFonts w:ascii="TimesNewRomanPSMT" w:hAnsi="TimesNewRomanPSMT" w:cs="TimesNewRomanPSMT"/>
          <w:sz w:val="24"/>
          <w:szCs w:val="24"/>
        </w:rPr>
        <w:lastRenderedPageBreak/>
        <w:t>source control programs to reduce mercury and PCBs loads to their respective treatment plants</w:t>
      </w:r>
      <w:r>
        <w:rPr>
          <w:rFonts w:ascii="TimesNewRomanPSMT" w:hAnsi="TimesNewRomanPSMT" w:cs="TimesNewRomanPSMT"/>
          <w:sz w:val="24"/>
          <w:szCs w:val="24"/>
        </w:rPr>
        <w:t>.</w:t>
      </w:r>
    </w:p>
    <w:p w14:paraId="49FF69F3" w14:textId="340BE5E7" w:rsidR="00E776BE" w:rsidRPr="00570B42" w:rsidRDefault="00257C31" w:rsidP="00F009DF">
      <w:pPr>
        <w:pStyle w:val="Heading3-F"/>
        <w:numPr>
          <w:ilvl w:val="0"/>
          <w:numId w:val="29"/>
        </w:numPr>
        <w:rPr>
          <w:sz w:val="24"/>
        </w:rPr>
      </w:pPr>
      <w:bookmarkStart w:id="379" w:name="_Toc487829706"/>
      <w:bookmarkStart w:id="380" w:name="_Toc125358862"/>
      <w:bookmarkStart w:id="381" w:name="_Toc130348808"/>
      <w:bookmarkStart w:id="382" w:name="_Toc130349119"/>
      <w:bookmarkStart w:id="383" w:name="_Toc130351066"/>
      <w:bookmarkStart w:id="384" w:name="_Toc130351196"/>
      <w:bookmarkStart w:id="385" w:name="_Toc130351535"/>
      <w:bookmarkStart w:id="386" w:name="_Toc130391391"/>
      <w:bookmarkStart w:id="387" w:name="_Toc131560999"/>
      <w:bookmarkStart w:id="388" w:name="_Toc131561133"/>
      <w:r>
        <w:rPr>
          <w:sz w:val="24"/>
        </w:rPr>
        <w:t>Risk Reduction Programs</w:t>
      </w:r>
      <w:bookmarkEnd w:id="379"/>
    </w:p>
    <w:p w14:paraId="2A7B8C16" w14:textId="727DB92F" w:rsidR="001C115D" w:rsidRPr="001C115D" w:rsidRDefault="001C115D" w:rsidP="001C115D">
      <w:pPr>
        <w:autoSpaceDE w:val="0"/>
        <w:autoSpaceDN w:val="0"/>
        <w:adjustRightInd w:val="0"/>
        <w:spacing w:after="240"/>
        <w:ind w:left="1080"/>
        <w:rPr>
          <w:rFonts w:ascii="TimesNewRomanPSMT" w:hAnsi="TimesNewRomanPSMT" w:cs="TimesNewRomanPSMT"/>
          <w:sz w:val="24"/>
          <w:szCs w:val="24"/>
        </w:rPr>
      </w:pPr>
      <w:r w:rsidRPr="001C115D">
        <w:rPr>
          <w:rFonts w:ascii="TimesNewRomanPSMT" w:hAnsi="TimesNewRomanPSMT" w:cs="TimesNewRomanPSMT"/>
          <w:sz w:val="24"/>
          <w:szCs w:val="24"/>
        </w:rPr>
        <w:t>The</w:t>
      </w:r>
      <w:r>
        <w:rPr>
          <w:rFonts w:ascii="TimesNewRomanPSMT" w:hAnsi="TimesNewRomanPSMT" w:cs="TimesNewRomanPSMT"/>
          <w:sz w:val="24"/>
          <w:szCs w:val="24"/>
        </w:rPr>
        <w:t xml:space="preserve"> San Francisco Bay</w:t>
      </w:r>
      <w:r w:rsidRPr="001C115D">
        <w:rPr>
          <w:rFonts w:ascii="TimesNewRomanPSMT" w:hAnsi="TimesNewRomanPSMT" w:cs="TimesNewRomanPSMT"/>
          <w:sz w:val="24"/>
          <w:szCs w:val="24"/>
        </w:rPr>
        <w:t xml:space="preserve"> </w:t>
      </w:r>
      <w:r w:rsidR="003B3F50">
        <w:rPr>
          <w:rFonts w:ascii="TimesNewRomanPSMT" w:hAnsi="TimesNewRomanPSMT" w:cs="TimesNewRomanPSMT"/>
          <w:sz w:val="24"/>
          <w:szCs w:val="24"/>
        </w:rPr>
        <w:t>Mercury and PCBs TMDLs</w:t>
      </w:r>
      <w:r>
        <w:rPr>
          <w:rFonts w:ascii="TimesNewRomanPSMT" w:hAnsi="TimesNewRomanPSMT" w:cs="TimesNewRomanPSMT"/>
          <w:sz w:val="24"/>
          <w:szCs w:val="24"/>
        </w:rPr>
        <w:t xml:space="preserve"> require Municipal and I</w:t>
      </w:r>
      <w:r w:rsidRPr="001C115D">
        <w:rPr>
          <w:rFonts w:ascii="TimesNewRomanPSMT" w:hAnsi="TimesNewRomanPSMT" w:cs="TimesNewRomanPSMT"/>
          <w:sz w:val="24"/>
          <w:szCs w:val="24"/>
        </w:rPr>
        <w:t>ndus</w:t>
      </w:r>
      <w:r>
        <w:rPr>
          <w:rFonts w:ascii="TimesNewRomanPSMT" w:hAnsi="TimesNewRomanPSMT" w:cs="TimesNewRomanPSMT"/>
          <w:sz w:val="24"/>
          <w:szCs w:val="24"/>
        </w:rPr>
        <w:t>trial D</w:t>
      </w:r>
      <w:r w:rsidRPr="001C115D">
        <w:rPr>
          <w:rFonts w:ascii="TimesNewRomanPSMT" w:hAnsi="TimesNewRomanPSMT" w:cs="TimesNewRomanPSMT"/>
          <w:sz w:val="24"/>
          <w:szCs w:val="24"/>
        </w:rPr>
        <w:t>ischargers to develop and implement effective programs to reduce mercury</w:t>
      </w:r>
      <w:r>
        <w:rPr>
          <w:rFonts w:ascii="TimesNewRomanPSMT" w:hAnsi="TimesNewRomanPSMT" w:cs="TimesNewRomanPSMT"/>
          <w:sz w:val="24"/>
          <w:szCs w:val="24"/>
        </w:rPr>
        <w:noBreakHyphen/>
      </w:r>
      <w:r w:rsidRPr="001C115D">
        <w:rPr>
          <w:rFonts w:ascii="TimesNewRomanPSMT" w:hAnsi="TimesNewRomanPSMT" w:cs="TimesNewRomanPSMT"/>
          <w:sz w:val="24"/>
          <w:szCs w:val="24"/>
        </w:rPr>
        <w:t xml:space="preserve">related </w:t>
      </w:r>
      <w:r>
        <w:rPr>
          <w:rFonts w:ascii="TimesNewRomanPSMT" w:hAnsi="TimesNewRomanPSMT" w:cs="TimesNewRomanPSMT"/>
          <w:sz w:val="24"/>
          <w:szCs w:val="24"/>
        </w:rPr>
        <w:t>and PCBs-related risks to human health</w:t>
      </w:r>
      <w:r w:rsidRPr="001C115D">
        <w:rPr>
          <w:rFonts w:ascii="TimesNewRomanPSMT" w:hAnsi="TimesNewRomanPSMT" w:cs="TimesNewRomanPSMT"/>
          <w:sz w:val="24"/>
          <w:szCs w:val="24"/>
        </w:rPr>
        <w:t xml:space="preserve"> and </w:t>
      </w:r>
      <w:r>
        <w:rPr>
          <w:rFonts w:ascii="TimesNewRomanPSMT" w:hAnsi="TimesNewRomanPSMT" w:cs="TimesNewRomanPSMT"/>
          <w:sz w:val="24"/>
          <w:szCs w:val="24"/>
        </w:rPr>
        <w:t xml:space="preserve">aquatic organisms and </w:t>
      </w:r>
      <w:r w:rsidRPr="001C115D">
        <w:rPr>
          <w:rFonts w:ascii="TimesNewRomanPSMT" w:hAnsi="TimesNewRomanPSMT" w:cs="TimesNewRomanPSMT"/>
          <w:sz w:val="24"/>
          <w:szCs w:val="24"/>
        </w:rPr>
        <w:t>wildlife</w:t>
      </w:r>
      <w:r>
        <w:rPr>
          <w:rFonts w:ascii="TimesNewRomanPSMT" w:hAnsi="TimesNewRomanPSMT" w:cs="TimesNewRomanPSMT"/>
          <w:sz w:val="24"/>
          <w:szCs w:val="24"/>
        </w:rPr>
        <w:t>,</w:t>
      </w:r>
      <w:r w:rsidRPr="001C115D">
        <w:rPr>
          <w:rFonts w:ascii="TimesNewRomanPSMT" w:hAnsi="TimesNewRomanPSMT" w:cs="TimesNewRomanPSMT"/>
          <w:sz w:val="24"/>
          <w:szCs w:val="24"/>
        </w:rPr>
        <w:t xml:space="preserve"> and </w:t>
      </w:r>
      <w:r>
        <w:rPr>
          <w:rFonts w:ascii="TimesNewRomanPSMT" w:hAnsi="TimesNewRomanPSMT" w:cs="TimesNewRomanPSMT"/>
          <w:sz w:val="24"/>
          <w:szCs w:val="24"/>
        </w:rPr>
        <w:t xml:space="preserve">to </w:t>
      </w:r>
      <w:r w:rsidRPr="001C115D">
        <w:rPr>
          <w:rFonts w:ascii="TimesNewRomanPSMT" w:hAnsi="TimesNewRomanPSMT" w:cs="TimesNewRomanPSMT"/>
          <w:sz w:val="24"/>
          <w:szCs w:val="24"/>
        </w:rPr>
        <w:t>quantify risk reductions resulting from these activities. This Order requires Dischargers to implement these measures to reduce mercury and PCB-related risks.</w:t>
      </w:r>
    </w:p>
    <w:p w14:paraId="1FC08396" w14:textId="770442F1" w:rsidR="002668F3" w:rsidRPr="00570B42" w:rsidRDefault="001C115D" w:rsidP="001C115D">
      <w:pPr>
        <w:autoSpaceDE w:val="0"/>
        <w:autoSpaceDN w:val="0"/>
        <w:adjustRightInd w:val="0"/>
        <w:spacing w:after="240"/>
        <w:ind w:left="1080"/>
        <w:rPr>
          <w:rFonts w:ascii="TimesNewRomanPSMT" w:hAnsi="TimesNewRomanPSMT" w:cs="TimesNewRomanPSMT"/>
          <w:sz w:val="24"/>
          <w:szCs w:val="24"/>
        </w:rPr>
      </w:pPr>
      <w:r w:rsidRPr="001C115D">
        <w:rPr>
          <w:rFonts w:ascii="TimesNewRomanPSMT" w:hAnsi="TimesNewRomanPSMT" w:cs="TimesNewRomanPSMT"/>
          <w:sz w:val="24"/>
          <w:szCs w:val="24"/>
        </w:rPr>
        <w:t xml:space="preserve">In this effort, the Regional Water Board will work with the California Office of Environmental Health Hazard Assessment, the California Department of Public Health, and other organizations including Dischargers that pursue risk management as part of their mercury and PCB-related programs. For an effective and efficient regional program, </w:t>
      </w:r>
      <w:r>
        <w:rPr>
          <w:rFonts w:ascii="TimesNewRomanPSMT" w:hAnsi="TimesNewRomanPSMT" w:cs="TimesNewRomanPSMT"/>
          <w:sz w:val="24"/>
          <w:szCs w:val="24"/>
        </w:rPr>
        <w:t xml:space="preserve">this </w:t>
      </w:r>
      <w:r w:rsidR="00BD7C0B">
        <w:rPr>
          <w:rFonts w:ascii="TimesNewRomanPSMT" w:hAnsi="TimesNewRomanPSMT" w:cs="TimesNewRomanPSMT"/>
          <w:sz w:val="24"/>
          <w:szCs w:val="24"/>
        </w:rPr>
        <w:t xml:space="preserve">Order allows for third parties, such as the Regional Monitoring Program, </w:t>
      </w:r>
      <w:r w:rsidR="00FD744F">
        <w:rPr>
          <w:rFonts w:ascii="TimesNewRomanPSMT" w:hAnsi="TimesNewRomanPSMT" w:cs="TimesNewRomanPSMT"/>
          <w:sz w:val="24"/>
          <w:szCs w:val="24"/>
        </w:rPr>
        <w:t>to conduct</w:t>
      </w:r>
      <w:r w:rsidR="00BD7C0B">
        <w:rPr>
          <w:rFonts w:ascii="TimesNewRomanPSMT" w:hAnsi="TimesNewRomanPSMT" w:cs="TimesNewRomanPSMT"/>
          <w:sz w:val="24"/>
          <w:szCs w:val="24"/>
        </w:rPr>
        <w:t xml:space="preserve"> these programs </w:t>
      </w:r>
      <w:r w:rsidRPr="001C115D">
        <w:rPr>
          <w:rFonts w:ascii="TimesNewRomanPSMT" w:hAnsi="TimesNewRomanPSMT" w:cs="TimesNewRomanPSMT"/>
          <w:sz w:val="24"/>
          <w:szCs w:val="24"/>
        </w:rPr>
        <w:t xml:space="preserve">if Dischargers provide funding for this purpose. </w:t>
      </w:r>
    </w:p>
    <w:p w14:paraId="3784D17B" w14:textId="502D984C" w:rsidR="008077EF" w:rsidRDefault="00257C31" w:rsidP="00F009DF">
      <w:pPr>
        <w:pStyle w:val="Heading3-F"/>
        <w:numPr>
          <w:ilvl w:val="0"/>
          <w:numId w:val="29"/>
        </w:numPr>
        <w:rPr>
          <w:sz w:val="24"/>
        </w:rPr>
      </w:pPr>
      <w:bookmarkStart w:id="389" w:name="_Toc487829707"/>
      <w:r>
        <w:rPr>
          <w:sz w:val="24"/>
        </w:rPr>
        <w:t>Mercury and PCBs Discharge Adjustments for Recycled Wastewater Use by Industrial Dischargers</w:t>
      </w:r>
      <w:bookmarkEnd w:id="389"/>
    </w:p>
    <w:p w14:paraId="7C2EE87D" w14:textId="77777777" w:rsidR="00164084" w:rsidRDefault="00FB4DA6" w:rsidP="00164084">
      <w:pPr>
        <w:pStyle w:val="Heading3-F"/>
        <w:ind w:left="1080"/>
        <w:rPr>
          <w:b w:val="0"/>
          <w:sz w:val="24"/>
        </w:rPr>
      </w:pPr>
      <w:bookmarkStart w:id="390" w:name="_Toc487829708"/>
      <w:r>
        <w:rPr>
          <w:b w:val="0"/>
          <w:sz w:val="24"/>
        </w:rPr>
        <w:t xml:space="preserve">The Regional Water Board encourages water recycling pursuant to </w:t>
      </w:r>
      <w:r w:rsidRPr="00FB4DA6">
        <w:rPr>
          <w:b w:val="0"/>
          <w:sz w:val="24"/>
        </w:rPr>
        <w:t>California Water Cod</w:t>
      </w:r>
      <w:r>
        <w:rPr>
          <w:b w:val="0"/>
          <w:sz w:val="24"/>
        </w:rPr>
        <w:t>e sections 13510 through 13512. Recycled wastewater can preserve</w:t>
      </w:r>
      <w:r w:rsidRPr="00FB4DA6">
        <w:rPr>
          <w:b w:val="0"/>
          <w:sz w:val="24"/>
        </w:rPr>
        <w:t xml:space="preserve"> potable water supply sources. </w:t>
      </w:r>
      <w:r w:rsidR="007D49CA">
        <w:rPr>
          <w:b w:val="0"/>
          <w:sz w:val="24"/>
        </w:rPr>
        <w:t>Consistent with Basin Plan section 4.6.1.1, t</w:t>
      </w:r>
      <w:r w:rsidRPr="00FB4DA6">
        <w:rPr>
          <w:b w:val="0"/>
          <w:sz w:val="24"/>
        </w:rPr>
        <w:t xml:space="preserve">he </w:t>
      </w:r>
      <w:r>
        <w:rPr>
          <w:b w:val="0"/>
          <w:sz w:val="24"/>
        </w:rPr>
        <w:t>Mercury or PCBs Adjustment</w:t>
      </w:r>
      <w:r w:rsidRPr="00FB4DA6">
        <w:rPr>
          <w:b w:val="0"/>
          <w:sz w:val="24"/>
        </w:rPr>
        <w:t xml:space="preserve"> provided in this Order </w:t>
      </w:r>
      <w:r>
        <w:rPr>
          <w:b w:val="0"/>
          <w:sz w:val="24"/>
        </w:rPr>
        <w:t>allows Municipal Dischargers, who produce recycled water, and Industrial Dischargers, who use recycled water in its industrial processes, to not get penalized.</w:t>
      </w:r>
      <w:bookmarkEnd w:id="390"/>
      <w:r>
        <w:rPr>
          <w:b w:val="0"/>
          <w:sz w:val="24"/>
        </w:rPr>
        <w:t xml:space="preserve"> </w:t>
      </w:r>
    </w:p>
    <w:p w14:paraId="2920ED9B" w14:textId="315CD489" w:rsidR="00164084" w:rsidRDefault="00FB4DA6" w:rsidP="00164084">
      <w:pPr>
        <w:pStyle w:val="Heading3-F"/>
        <w:ind w:left="1080"/>
        <w:rPr>
          <w:b w:val="0"/>
          <w:sz w:val="24"/>
        </w:rPr>
      </w:pPr>
      <w:bookmarkStart w:id="391" w:name="_Toc487829709"/>
      <w:r w:rsidRPr="00FB4DA6">
        <w:rPr>
          <w:b w:val="0"/>
          <w:sz w:val="24"/>
        </w:rPr>
        <w:t xml:space="preserve">The </w:t>
      </w:r>
      <w:r w:rsidR="00F01ECB">
        <w:rPr>
          <w:b w:val="0"/>
          <w:sz w:val="24"/>
        </w:rPr>
        <w:t>Adjustments are</w:t>
      </w:r>
      <w:r w:rsidRPr="00FB4DA6">
        <w:rPr>
          <w:b w:val="0"/>
          <w:sz w:val="24"/>
        </w:rPr>
        <w:t xml:space="preserve"> onl</w:t>
      </w:r>
      <w:r w:rsidR="00F01ECB">
        <w:rPr>
          <w:b w:val="0"/>
          <w:sz w:val="24"/>
        </w:rPr>
        <w:t xml:space="preserve">y applicable if the mercury </w:t>
      </w:r>
      <w:r w:rsidRPr="00FB4DA6">
        <w:rPr>
          <w:b w:val="0"/>
          <w:sz w:val="24"/>
        </w:rPr>
        <w:t>or PCBs in the recycled wastewater is ul</w:t>
      </w:r>
      <w:r w:rsidR="00F01ECB">
        <w:rPr>
          <w:b w:val="0"/>
          <w:sz w:val="24"/>
        </w:rPr>
        <w:t>timately discharged through an Industrial D</w:t>
      </w:r>
      <w:r w:rsidRPr="00FB4DA6">
        <w:rPr>
          <w:b w:val="0"/>
          <w:sz w:val="24"/>
        </w:rPr>
        <w:t>ischarger’s outfall. The Adjustments are calculated based on ma</w:t>
      </w:r>
      <w:r w:rsidR="00F01ECB">
        <w:rPr>
          <w:b w:val="0"/>
          <w:sz w:val="24"/>
        </w:rPr>
        <w:t xml:space="preserve">ss balance principles and will </w:t>
      </w:r>
      <w:r w:rsidRPr="00FB4DA6">
        <w:rPr>
          <w:b w:val="0"/>
          <w:sz w:val="24"/>
        </w:rPr>
        <w:t>not result in any net increase in</w:t>
      </w:r>
      <w:r w:rsidR="005F4C7E">
        <w:rPr>
          <w:b w:val="0"/>
          <w:sz w:val="24"/>
        </w:rPr>
        <w:t xml:space="preserve"> mercury or PCBs loadings to</w:t>
      </w:r>
      <w:r w:rsidR="00F01ECB">
        <w:rPr>
          <w:b w:val="0"/>
          <w:sz w:val="24"/>
        </w:rPr>
        <w:t xml:space="preserve"> San Francisco</w:t>
      </w:r>
      <w:r w:rsidRPr="00FB4DA6">
        <w:rPr>
          <w:b w:val="0"/>
          <w:sz w:val="24"/>
        </w:rPr>
        <w:t xml:space="preserve"> Bay.</w:t>
      </w:r>
      <w:bookmarkEnd w:id="391"/>
      <w:r w:rsidRPr="00FB4DA6">
        <w:rPr>
          <w:b w:val="0"/>
          <w:sz w:val="24"/>
        </w:rPr>
        <w:t xml:space="preserve"> </w:t>
      </w:r>
    </w:p>
    <w:p w14:paraId="634FE72E" w14:textId="4CB34F4B" w:rsidR="00FB4DA6" w:rsidRPr="00FB4DA6" w:rsidRDefault="00FB4DA6" w:rsidP="00FB4DA6">
      <w:pPr>
        <w:pStyle w:val="Heading3-F"/>
        <w:ind w:left="1080"/>
        <w:rPr>
          <w:b w:val="0"/>
          <w:sz w:val="24"/>
        </w:rPr>
      </w:pPr>
      <w:bookmarkStart w:id="392" w:name="_Toc487829710"/>
      <w:r w:rsidRPr="000018F2">
        <w:rPr>
          <w:b w:val="0"/>
          <w:sz w:val="24"/>
        </w:rPr>
        <w:t xml:space="preserve">The Mass </w:t>
      </w:r>
      <w:r w:rsidR="005F4C7E" w:rsidRPr="000018F2">
        <w:rPr>
          <w:b w:val="0"/>
          <w:sz w:val="24"/>
        </w:rPr>
        <w:t xml:space="preserve">Adjustment </w:t>
      </w:r>
      <w:r w:rsidR="00164084" w:rsidRPr="000018F2">
        <w:rPr>
          <w:b w:val="0"/>
          <w:sz w:val="24"/>
        </w:rPr>
        <w:t xml:space="preserve">is </w:t>
      </w:r>
      <w:r w:rsidR="005F4C7E" w:rsidRPr="00BE548F">
        <w:rPr>
          <w:b w:val="0"/>
          <w:sz w:val="24"/>
        </w:rPr>
        <w:t xml:space="preserve">subtracted from one Industrial Discharger </w:t>
      </w:r>
      <w:r w:rsidR="00164084" w:rsidRPr="000018F2">
        <w:rPr>
          <w:b w:val="0"/>
          <w:sz w:val="24"/>
        </w:rPr>
        <w:t>and is</w:t>
      </w:r>
      <w:r w:rsidR="005F4C7E" w:rsidRPr="000018F2">
        <w:rPr>
          <w:b w:val="0"/>
          <w:sz w:val="24"/>
        </w:rPr>
        <w:t xml:space="preserve"> then added to the Municipal D</w:t>
      </w:r>
      <w:r w:rsidRPr="000018F2">
        <w:rPr>
          <w:b w:val="0"/>
          <w:sz w:val="24"/>
        </w:rPr>
        <w:t xml:space="preserve">ischarger who supplied the recycled wastewater who would have otherwise discharged that mercury </w:t>
      </w:r>
      <w:r w:rsidR="005F4C7E" w:rsidRPr="000018F2">
        <w:rPr>
          <w:b w:val="0"/>
          <w:sz w:val="24"/>
        </w:rPr>
        <w:t xml:space="preserve">or </w:t>
      </w:r>
      <w:r w:rsidRPr="000018F2">
        <w:rPr>
          <w:b w:val="0"/>
          <w:sz w:val="24"/>
        </w:rPr>
        <w:t>PCBs through its municipal treatment plant outfall.</w:t>
      </w:r>
      <w:r w:rsidRPr="00FB4DA6">
        <w:rPr>
          <w:b w:val="0"/>
          <w:sz w:val="24"/>
        </w:rPr>
        <w:t xml:space="preserve"> Local impacts from this shifting in load </w:t>
      </w:r>
      <w:r w:rsidR="005F4C7E">
        <w:rPr>
          <w:b w:val="0"/>
          <w:sz w:val="24"/>
        </w:rPr>
        <w:t>would</w:t>
      </w:r>
      <w:r w:rsidRPr="00FB4DA6">
        <w:rPr>
          <w:b w:val="0"/>
          <w:sz w:val="24"/>
        </w:rPr>
        <w:t xml:space="preserve"> be minimal because the </w:t>
      </w:r>
      <w:r w:rsidR="005F4C7E">
        <w:rPr>
          <w:b w:val="0"/>
          <w:sz w:val="24"/>
        </w:rPr>
        <w:t xml:space="preserve">municipal or industrial </w:t>
      </w:r>
      <w:r w:rsidRPr="00FB4DA6">
        <w:rPr>
          <w:b w:val="0"/>
          <w:sz w:val="24"/>
        </w:rPr>
        <w:t xml:space="preserve">discharge </w:t>
      </w:r>
      <w:r w:rsidR="005F4C7E">
        <w:rPr>
          <w:b w:val="0"/>
          <w:sz w:val="24"/>
        </w:rPr>
        <w:t>would</w:t>
      </w:r>
      <w:r w:rsidRPr="00FB4DA6">
        <w:rPr>
          <w:b w:val="0"/>
          <w:sz w:val="24"/>
        </w:rPr>
        <w:t xml:space="preserve"> be</w:t>
      </w:r>
      <w:r w:rsidR="00164084">
        <w:rPr>
          <w:b w:val="0"/>
          <w:sz w:val="24"/>
        </w:rPr>
        <w:t xml:space="preserve"> discharged</w:t>
      </w:r>
      <w:r w:rsidRPr="00FB4DA6">
        <w:rPr>
          <w:b w:val="0"/>
          <w:sz w:val="24"/>
        </w:rPr>
        <w:t xml:space="preserve"> to</w:t>
      </w:r>
      <w:r w:rsidR="00164084">
        <w:rPr>
          <w:b w:val="0"/>
          <w:sz w:val="24"/>
        </w:rPr>
        <w:t xml:space="preserve"> the same receiving water body; </w:t>
      </w:r>
      <w:r w:rsidRPr="00FB4DA6">
        <w:rPr>
          <w:b w:val="0"/>
          <w:sz w:val="24"/>
        </w:rPr>
        <w:t>the cost of water transport between facilities that are very far apart would make the reuse project infeasible.</w:t>
      </w:r>
      <w:bookmarkEnd w:id="392"/>
      <w:r w:rsidRPr="00FB4DA6">
        <w:rPr>
          <w:b w:val="0"/>
          <w:sz w:val="24"/>
        </w:rPr>
        <w:t xml:space="preserve"> </w:t>
      </w:r>
    </w:p>
    <w:p w14:paraId="3546F8A8" w14:textId="504509F9" w:rsidR="00FB4DA6" w:rsidRPr="00FB4DA6" w:rsidRDefault="00FB4DA6" w:rsidP="00FB4DA6">
      <w:pPr>
        <w:pStyle w:val="Heading3-F"/>
        <w:ind w:left="1080"/>
        <w:rPr>
          <w:b w:val="0"/>
          <w:sz w:val="24"/>
        </w:rPr>
      </w:pPr>
      <w:bookmarkStart w:id="393" w:name="_Toc487829711"/>
      <w:r w:rsidRPr="00FB4DA6">
        <w:rPr>
          <w:b w:val="0"/>
          <w:sz w:val="24"/>
        </w:rPr>
        <w:t>A Concentration Adjustment is provided because a typical reuse project</w:t>
      </w:r>
      <w:r w:rsidR="00164084">
        <w:rPr>
          <w:b w:val="0"/>
          <w:sz w:val="24"/>
        </w:rPr>
        <w:t xml:space="preserve"> for an industrial facility</w:t>
      </w:r>
      <w:r w:rsidRPr="00FB4DA6">
        <w:rPr>
          <w:b w:val="0"/>
          <w:sz w:val="24"/>
        </w:rPr>
        <w:t xml:space="preserve"> involves </w:t>
      </w:r>
      <w:r w:rsidR="00164084">
        <w:rPr>
          <w:b w:val="0"/>
          <w:sz w:val="24"/>
        </w:rPr>
        <w:t>using</w:t>
      </w:r>
      <w:r w:rsidRPr="00FB4DA6">
        <w:rPr>
          <w:b w:val="0"/>
          <w:sz w:val="24"/>
        </w:rPr>
        <w:t xml:space="preserve"> the recycled water in cooling towers or boilers where</w:t>
      </w:r>
      <w:r w:rsidR="00164084">
        <w:rPr>
          <w:b w:val="0"/>
          <w:sz w:val="24"/>
        </w:rPr>
        <w:t xml:space="preserve"> the concentration of mercury or</w:t>
      </w:r>
      <w:r w:rsidRPr="00FB4DA6">
        <w:rPr>
          <w:b w:val="0"/>
          <w:sz w:val="24"/>
        </w:rPr>
        <w:t xml:space="preserve"> PCBs increases through evaporative losses</w:t>
      </w:r>
      <w:r w:rsidR="00164084">
        <w:rPr>
          <w:b w:val="0"/>
          <w:sz w:val="24"/>
        </w:rPr>
        <w:t>. The blowdown would eventually go to the Industrial D</w:t>
      </w:r>
      <w:r w:rsidRPr="00FB4DA6">
        <w:rPr>
          <w:b w:val="0"/>
          <w:sz w:val="24"/>
        </w:rPr>
        <w:t>ischarger’s sewer and potentially elevate its discharge concentration. S</w:t>
      </w:r>
      <w:r w:rsidR="00F207FC">
        <w:rPr>
          <w:b w:val="0"/>
          <w:sz w:val="24"/>
        </w:rPr>
        <w:t xml:space="preserve">ince the concentration limit is </w:t>
      </w:r>
      <w:r w:rsidRPr="00FB4DA6">
        <w:rPr>
          <w:b w:val="0"/>
          <w:sz w:val="24"/>
        </w:rPr>
        <w:t>based on past performance, future recycled wastewat</w:t>
      </w:r>
      <w:r w:rsidR="00164084">
        <w:rPr>
          <w:b w:val="0"/>
          <w:sz w:val="24"/>
        </w:rPr>
        <w:t>er use could impact the Industrial D</w:t>
      </w:r>
      <w:r w:rsidRPr="00FB4DA6">
        <w:rPr>
          <w:b w:val="0"/>
          <w:sz w:val="24"/>
        </w:rPr>
        <w:t>ischarger’s compliance with the</w:t>
      </w:r>
      <w:r w:rsidR="00164084">
        <w:rPr>
          <w:b w:val="0"/>
          <w:sz w:val="24"/>
        </w:rPr>
        <w:t xml:space="preserve"> performance limit</w:t>
      </w:r>
      <w:r w:rsidR="00F207FC">
        <w:rPr>
          <w:b w:val="0"/>
          <w:sz w:val="24"/>
        </w:rPr>
        <w:t>ation</w:t>
      </w:r>
      <w:r w:rsidR="00164084">
        <w:rPr>
          <w:b w:val="0"/>
          <w:sz w:val="24"/>
        </w:rPr>
        <w:t xml:space="preserve">. </w:t>
      </w:r>
      <w:r w:rsidRPr="00FB4DA6">
        <w:rPr>
          <w:b w:val="0"/>
          <w:sz w:val="24"/>
        </w:rPr>
        <w:t xml:space="preserve">Unlike the Mass Adjustment, it is inappropriate to </w:t>
      </w:r>
      <w:r w:rsidR="00F207FC">
        <w:rPr>
          <w:b w:val="0"/>
          <w:sz w:val="24"/>
        </w:rPr>
        <w:t>add th</w:t>
      </w:r>
      <w:r w:rsidRPr="00FB4DA6">
        <w:rPr>
          <w:b w:val="0"/>
          <w:sz w:val="24"/>
        </w:rPr>
        <w:t>e Concentratio</w:t>
      </w:r>
      <w:r w:rsidR="00F207FC">
        <w:rPr>
          <w:b w:val="0"/>
          <w:sz w:val="24"/>
        </w:rPr>
        <w:t xml:space="preserve">n </w:t>
      </w:r>
      <w:r w:rsidR="00F207FC">
        <w:rPr>
          <w:b w:val="0"/>
          <w:sz w:val="24"/>
        </w:rPr>
        <w:lastRenderedPageBreak/>
        <w:t xml:space="preserve">Adjustment </w:t>
      </w:r>
      <w:r w:rsidR="00164084">
        <w:rPr>
          <w:b w:val="0"/>
          <w:sz w:val="24"/>
        </w:rPr>
        <w:t>to the supplying Municipal D</w:t>
      </w:r>
      <w:r w:rsidRPr="00FB4DA6">
        <w:rPr>
          <w:b w:val="0"/>
          <w:sz w:val="24"/>
        </w:rPr>
        <w:t xml:space="preserve">ischarger because </w:t>
      </w:r>
      <w:r w:rsidR="00F207FC">
        <w:rPr>
          <w:b w:val="0"/>
          <w:sz w:val="24"/>
        </w:rPr>
        <w:t>an increase in concentration that</w:t>
      </w:r>
      <w:r w:rsidRPr="00FB4DA6">
        <w:rPr>
          <w:b w:val="0"/>
          <w:sz w:val="24"/>
        </w:rPr>
        <w:t xml:space="preserve"> occur</w:t>
      </w:r>
      <w:r w:rsidR="00F207FC">
        <w:rPr>
          <w:b w:val="0"/>
          <w:sz w:val="24"/>
        </w:rPr>
        <w:t>s</w:t>
      </w:r>
      <w:r w:rsidRPr="00FB4DA6">
        <w:rPr>
          <w:b w:val="0"/>
          <w:sz w:val="24"/>
        </w:rPr>
        <w:t xml:space="preserve"> at the industrial facility </w:t>
      </w:r>
      <w:r w:rsidR="00F207FC">
        <w:rPr>
          <w:b w:val="0"/>
          <w:sz w:val="24"/>
        </w:rPr>
        <w:t>does not affect the Municipal D</w:t>
      </w:r>
      <w:r w:rsidRPr="00FB4DA6">
        <w:rPr>
          <w:b w:val="0"/>
          <w:sz w:val="24"/>
        </w:rPr>
        <w:t>ischarger’s performance.</w:t>
      </w:r>
      <w:bookmarkEnd w:id="393"/>
    </w:p>
    <w:p w14:paraId="2DAE235B" w14:textId="0A666492" w:rsidR="00257C31" w:rsidRDefault="00257C31" w:rsidP="00F009DF">
      <w:pPr>
        <w:pStyle w:val="Heading3-F"/>
        <w:numPr>
          <w:ilvl w:val="0"/>
          <w:numId w:val="29"/>
        </w:numPr>
        <w:rPr>
          <w:sz w:val="24"/>
        </w:rPr>
      </w:pPr>
      <w:bookmarkStart w:id="394" w:name="_Toc487829712"/>
      <w:r>
        <w:rPr>
          <w:sz w:val="24"/>
        </w:rPr>
        <w:t>PCBs Discharge Adjustment for Urban Stormwater Treatment by Municipal Dischargers</w:t>
      </w:r>
      <w:bookmarkEnd w:id="394"/>
    </w:p>
    <w:p w14:paraId="1E94B056" w14:textId="1AA05AD6" w:rsidR="00636488" w:rsidRPr="00636488" w:rsidRDefault="00636488" w:rsidP="00636488">
      <w:pPr>
        <w:pStyle w:val="Heading3-F"/>
        <w:ind w:left="1080"/>
        <w:rPr>
          <w:b w:val="0"/>
          <w:sz w:val="24"/>
        </w:rPr>
      </w:pPr>
      <w:bookmarkStart w:id="395" w:name="_Toc487829713"/>
      <w:r w:rsidRPr="00636488">
        <w:rPr>
          <w:b w:val="0"/>
          <w:sz w:val="24"/>
        </w:rPr>
        <w:t>The Regional Water Board recognizes that routing urban runoff through municipal wastewater treatment facilities may be an efficient means of reducing PCBs and other particle-associated contaminant loads to the</w:t>
      </w:r>
      <w:r>
        <w:rPr>
          <w:b w:val="0"/>
          <w:sz w:val="24"/>
        </w:rPr>
        <w:t xml:space="preserve"> San Francisco</w:t>
      </w:r>
      <w:r w:rsidRPr="00636488">
        <w:rPr>
          <w:b w:val="0"/>
          <w:sz w:val="24"/>
        </w:rPr>
        <w:t xml:space="preserve"> Bay. For this reason, the </w:t>
      </w:r>
      <w:r>
        <w:rPr>
          <w:b w:val="0"/>
          <w:sz w:val="24"/>
        </w:rPr>
        <w:t xml:space="preserve">San Francisco Bay </w:t>
      </w:r>
      <w:r w:rsidRPr="00636488">
        <w:rPr>
          <w:b w:val="0"/>
          <w:sz w:val="24"/>
        </w:rPr>
        <w:t xml:space="preserve">PCBs TMDL includes a reserve allocation of </w:t>
      </w:r>
      <w:r w:rsidR="00647B0C">
        <w:rPr>
          <w:b w:val="0"/>
          <w:sz w:val="24"/>
        </w:rPr>
        <w:t>1.0</w:t>
      </w:r>
      <w:r w:rsidR="00647B0C" w:rsidRPr="00636488">
        <w:rPr>
          <w:b w:val="0"/>
          <w:sz w:val="24"/>
        </w:rPr>
        <w:t xml:space="preserve"> </w:t>
      </w:r>
      <w:r w:rsidRPr="00636488">
        <w:rPr>
          <w:b w:val="0"/>
          <w:sz w:val="24"/>
        </w:rPr>
        <w:t>kg/year for municipal wastewater treatment plants to treat urban runoff</w:t>
      </w:r>
      <w:r w:rsidR="00647B0C">
        <w:rPr>
          <w:b w:val="0"/>
          <w:sz w:val="24"/>
        </w:rPr>
        <w:t xml:space="preserve"> (specified in Basin Plan Table 7.2.3-2)</w:t>
      </w:r>
      <w:r w:rsidRPr="00636488">
        <w:rPr>
          <w:b w:val="0"/>
          <w:sz w:val="24"/>
        </w:rPr>
        <w:t>. This provision provides a mechanism for Municipal Dischargers to receive a credit for treating urban runoff that would otherwise be discharged directly to San Francisco Bay.</w:t>
      </w:r>
      <w:bookmarkEnd w:id="395"/>
      <w:r w:rsidRPr="00636488">
        <w:rPr>
          <w:b w:val="0"/>
          <w:sz w:val="24"/>
        </w:rPr>
        <w:t xml:space="preserve"> </w:t>
      </w:r>
    </w:p>
    <w:p w14:paraId="5B79AF14" w14:textId="024D45D1" w:rsidR="00636488" w:rsidRPr="00636488" w:rsidRDefault="00636488" w:rsidP="00636488">
      <w:pPr>
        <w:pStyle w:val="Heading3-F"/>
        <w:ind w:left="1080"/>
        <w:rPr>
          <w:b w:val="0"/>
          <w:sz w:val="24"/>
        </w:rPr>
      </w:pPr>
      <w:bookmarkStart w:id="396" w:name="_Toc487829714"/>
      <w:r w:rsidRPr="00636488">
        <w:rPr>
          <w:b w:val="0"/>
          <w:sz w:val="24"/>
        </w:rPr>
        <w:t xml:space="preserve">As with </w:t>
      </w:r>
      <w:r>
        <w:rPr>
          <w:b w:val="0"/>
          <w:sz w:val="24"/>
        </w:rPr>
        <w:t>the Adjustments for</w:t>
      </w:r>
      <w:r w:rsidRPr="00636488">
        <w:rPr>
          <w:b w:val="0"/>
          <w:sz w:val="24"/>
        </w:rPr>
        <w:t xml:space="preserve"> Industrial Dischargers, Adjustments are calculated based on mass </w:t>
      </w:r>
      <w:r>
        <w:rPr>
          <w:b w:val="0"/>
          <w:sz w:val="24"/>
        </w:rPr>
        <w:t>balance principles and will</w:t>
      </w:r>
      <w:r w:rsidRPr="00636488">
        <w:rPr>
          <w:b w:val="0"/>
          <w:sz w:val="24"/>
        </w:rPr>
        <w:t xml:space="preserve"> not result in any net i</w:t>
      </w:r>
      <w:r>
        <w:rPr>
          <w:b w:val="0"/>
          <w:sz w:val="24"/>
        </w:rPr>
        <w:t xml:space="preserve">ncrease in PCBs loadings to San Francisco </w:t>
      </w:r>
      <w:r w:rsidRPr="00636488">
        <w:rPr>
          <w:b w:val="0"/>
          <w:sz w:val="24"/>
        </w:rPr>
        <w:t xml:space="preserve">Bay. Unlike the use of recycled water, urban runoff diversions will occur in </w:t>
      </w:r>
      <w:r>
        <w:rPr>
          <w:b w:val="0"/>
          <w:sz w:val="24"/>
        </w:rPr>
        <w:t>intermittent periods of time</w:t>
      </w:r>
      <w:r w:rsidRPr="00636488">
        <w:rPr>
          <w:b w:val="0"/>
          <w:sz w:val="24"/>
        </w:rPr>
        <w:t xml:space="preserve">, most likely over a period </w:t>
      </w:r>
      <w:r>
        <w:rPr>
          <w:b w:val="0"/>
          <w:sz w:val="24"/>
        </w:rPr>
        <w:t>of hours.  For this reason, it is</w:t>
      </w:r>
      <w:r w:rsidRPr="00636488">
        <w:rPr>
          <w:b w:val="0"/>
          <w:sz w:val="24"/>
        </w:rPr>
        <w:t xml:space="preserve"> not possible to coordinate sampling of influent and effluent with the precision applied for recycled water </w:t>
      </w:r>
      <w:r>
        <w:rPr>
          <w:b w:val="0"/>
          <w:sz w:val="24"/>
        </w:rPr>
        <w:t>credits</w:t>
      </w:r>
      <w:r w:rsidRPr="00636488">
        <w:rPr>
          <w:b w:val="0"/>
          <w:sz w:val="24"/>
        </w:rPr>
        <w:t>. Additionally, the concentrations of PCBs in urban runoff are expected to be much more variable than those found in recycled water. East Bay Munic</w:t>
      </w:r>
      <w:r>
        <w:rPr>
          <w:b w:val="0"/>
          <w:sz w:val="24"/>
        </w:rPr>
        <w:t xml:space="preserve">ipal Utility District’s study, </w:t>
      </w:r>
      <w:r w:rsidRPr="00636488">
        <w:rPr>
          <w:b w:val="0"/>
          <w:i/>
          <w:sz w:val="24"/>
        </w:rPr>
        <w:t>Characterization of Stormwater Flows, Diversion of Dry Weather and First Flush Flows to a Publicly-Owned Treatment Works</w:t>
      </w:r>
      <w:r>
        <w:rPr>
          <w:b w:val="0"/>
          <w:sz w:val="24"/>
        </w:rPr>
        <w:t xml:space="preserve"> (</w:t>
      </w:r>
      <w:r w:rsidRPr="00636488">
        <w:rPr>
          <w:b w:val="0"/>
          <w:sz w:val="24"/>
        </w:rPr>
        <w:t xml:space="preserve">July </w:t>
      </w:r>
      <w:r>
        <w:rPr>
          <w:b w:val="0"/>
          <w:sz w:val="24"/>
        </w:rPr>
        <w:t xml:space="preserve">2010) </w:t>
      </w:r>
      <w:r w:rsidRPr="00636488">
        <w:rPr>
          <w:b w:val="0"/>
          <w:sz w:val="24"/>
        </w:rPr>
        <w:t xml:space="preserve">found the concentrations of PCBs in dry weather runoff to be almost an order of magnitude lower than those found in wet weather. As such, when determining credits for urban runoff diversions, this Order groups them into two categories:  </w:t>
      </w:r>
      <w:r>
        <w:rPr>
          <w:b w:val="0"/>
          <w:sz w:val="24"/>
        </w:rPr>
        <w:t xml:space="preserve">(1) </w:t>
      </w:r>
      <w:r w:rsidRPr="00636488">
        <w:rPr>
          <w:b w:val="0"/>
          <w:sz w:val="24"/>
        </w:rPr>
        <w:t>dry weather diversions and</w:t>
      </w:r>
      <w:r>
        <w:rPr>
          <w:b w:val="0"/>
          <w:sz w:val="24"/>
        </w:rPr>
        <w:t xml:space="preserve"> (2)</w:t>
      </w:r>
      <w:r w:rsidRPr="00636488">
        <w:rPr>
          <w:b w:val="0"/>
          <w:sz w:val="24"/>
        </w:rPr>
        <w:t xml:space="preserve"> wet weather diversions.</w:t>
      </w:r>
      <w:bookmarkEnd w:id="396"/>
    </w:p>
    <w:p w14:paraId="458DCCA1" w14:textId="78F877B0" w:rsidR="00232E16" w:rsidRPr="00636488" w:rsidRDefault="00636488" w:rsidP="00636488">
      <w:pPr>
        <w:pStyle w:val="Heading3-F"/>
        <w:tabs>
          <w:tab w:val="clear" w:pos="1080"/>
        </w:tabs>
        <w:ind w:left="1080"/>
        <w:rPr>
          <w:b w:val="0"/>
          <w:sz w:val="24"/>
        </w:rPr>
      </w:pPr>
      <w:bookmarkStart w:id="397" w:name="_Toc487829715"/>
      <w:r w:rsidRPr="00636488">
        <w:rPr>
          <w:b w:val="0"/>
          <w:sz w:val="24"/>
        </w:rPr>
        <w:t xml:space="preserve">During this </w:t>
      </w:r>
      <w:r>
        <w:rPr>
          <w:b w:val="0"/>
          <w:sz w:val="24"/>
        </w:rPr>
        <w:t xml:space="preserve">Order </w:t>
      </w:r>
      <w:r w:rsidRPr="00636488">
        <w:rPr>
          <w:b w:val="0"/>
          <w:sz w:val="24"/>
        </w:rPr>
        <w:t xml:space="preserve">term, the Municipal Discharger may use the entire influent PCBs mass for the concentration adjustment described in </w:t>
      </w:r>
      <w:r w:rsidR="000F70F3">
        <w:rPr>
          <w:b w:val="0"/>
          <w:sz w:val="24"/>
        </w:rPr>
        <w:t>Provision</w:t>
      </w:r>
      <w:r w:rsidR="000F70F3" w:rsidRPr="00636488">
        <w:rPr>
          <w:b w:val="0"/>
          <w:sz w:val="24"/>
        </w:rPr>
        <w:t xml:space="preserve"> </w:t>
      </w:r>
      <w:r w:rsidRPr="00636488">
        <w:rPr>
          <w:b w:val="0"/>
          <w:sz w:val="24"/>
        </w:rPr>
        <w:t>V</w:t>
      </w:r>
      <w:r>
        <w:rPr>
          <w:b w:val="0"/>
          <w:sz w:val="24"/>
        </w:rPr>
        <w:t>I.C.6</w:t>
      </w:r>
      <w:r w:rsidRPr="00636488">
        <w:rPr>
          <w:b w:val="0"/>
          <w:sz w:val="24"/>
        </w:rPr>
        <w:t>.</w:t>
      </w:r>
      <w:bookmarkEnd w:id="397"/>
      <w:r w:rsidRPr="00636488">
        <w:rPr>
          <w:b w:val="0"/>
          <w:sz w:val="24"/>
        </w:rPr>
        <w:t xml:space="preserve"> </w:t>
      </w:r>
    </w:p>
    <w:p w14:paraId="6BF02529" w14:textId="77777777" w:rsidR="00393F3F" w:rsidRPr="00570B42" w:rsidRDefault="00393F3F" w:rsidP="005A68CE">
      <w:pPr>
        <w:pStyle w:val="Heading1-F"/>
        <w:rPr>
          <w:rFonts w:ascii="Times New Roman" w:hAnsi="Times New Roman"/>
          <w:sz w:val="24"/>
        </w:rPr>
      </w:pPr>
      <w:bookmarkStart w:id="398" w:name="_Toc85803981"/>
      <w:bookmarkStart w:id="399" w:name="_Toc87088837"/>
      <w:bookmarkStart w:id="400" w:name="_Toc92870839"/>
      <w:bookmarkStart w:id="401" w:name="_Toc125358871"/>
      <w:bookmarkStart w:id="402" w:name="_Toc338152948"/>
      <w:bookmarkStart w:id="403" w:name="_Toc340137674"/>
      <w:bookmarkStart w:id="404" w:name="_Toc487829716"/>
      <w:bookmarkStart w:id="405" w:name="_Toc102376503"/>
      <w:bookmarkStart w:id="406" w:name="_Toc125358872"/>
      <w:bookmarkStart w:id="407" w:name="_Toc338152949"/>
      <w:bookmarkStart w:id="408" w:name="_Toc340137675"/>
      <w:bookmarkEnd w:id="336"/>
      <w:bookmarkEnd w:id="337"/>
      <w:bookmarkEnd w:id="380"/>
      <w:bookmarkEnd w:id="381"/>
      <w:bookmarkEnd w:id="382"/>
      <w:bookmarkEnd w:id="383"/>
      <w:bookmarkEnd w:id="384"/>
      <w:bookmarkEnd w:id="385"/>
      <w:bookmarkEnd w:id="386"/>
      <w:bookmarkEnd w:id="387"/>
      <w:bookmarkEnd w:id="388"/>
      <w:r w:rsidRPr="00570B42">
        <w:rPr>
          <w:rFonts w:ascii="Times New Roman" w:hAnsi="Times New Roman"/>
          <w:sz w:val="24"/>
        </w:rPr>
        <w:t xml:space="preserve">VII. </w:t>
      </w:r>
      <w:bookmarkEnd w:id="398"/>
      <w:bookmarkEnd w:id="399"/>
      <w:bookmarkEnd w:id="400"/>
      <w:bookmarkEnd w:id="401"/>
      <w:bookmarkEnd w:id="402"/>
      <w:bookmarkEnd w:id="403"/>
      <w:r w:rsidR="00203BF9" w:rsidRPr="00570B42">
        <w:rPr>
          <w:rFonts w:ascii="Times New Roman" w:hAnsi="Times New Roman"/>
          <w:sz w:val="24"/>
        </w:rPr>
        <w:t xml:space="preserve">Rationale </w:t>
      </w:r>
      <w:r w:rsidR="00BB65B2" w:rsidRPr="00570B42">
        <w:rPr>
          <w:rFonts w:ascii="Times New Roman" w:hAnsi="Times New Roman"/>
          <w:sz w:val="24"/>
        </w:rPr>
        <w:t xml:space="preserve">for </w:t>
      </w:r>
      <w:r w:rsidR="00B83237" w:rsidRPr="00570B42">
        <w:rPr>
          <w:rFonts w:ascii="Times New Roman" w:hAnsi="Times New Roman"/>
          <w:sz w:val="24"/>
        </w:rPr>
        <w:t>M</w:t>
      </w:r>
      <w:r w:rsidRPr="00570B42">
        <w:rPr>
          <w:rFonts w:ascii="Times New Roman" w:hAnsi="Times New Roman"/>
          <w:sz w:val="24"/>
        </w:rPr>
        <w:t xml:space="preserve">onitoring and </w:t>
      </w:r>
      <w:r w:rsidR="00B83237" w:rsidRPr="00570B42">
        <w:rPr>
          <w:rFonts w:ascii="Times New Roman" w:hAnsi="Times New Roman"/>
          <w:sz w:val="24"/>
        </w:rPr>
        <w:t>R</w:t>
      </w:r>
      <w:r w:rsidRPr="00570B42">
        <w:rPr>
          <w:rFonts w:ascii="Times New Roman" w:hAnsi="Times New Roman"/>
          <w:sz w:val="24"/>
        </w:rPr>
        <w:t xml:space="preserve">eporting </w:t>
      </w:r>
      <w:r w:rsidR="00B83237" w:rsidRPr="00570B42">
        <w:rPr>
          <w:rFonts w:ascii="Times New Roman" w:hAnsi="Times New Roman"/>
          <w:sz w:val="24"/>
        </w:rPr>
        <w:t>P</w:t>
      </w:r>
      <w:r w:rsidRPr="00570B42">
        <w:rPr>
          <w:rFonts w:ascii="Times New Roman" w:hAnsi="Times New Roman"/>
          <w:sz w:val="24"/>
        </w:rPr>
        <w:t>rogram (MRP)</w:t>
      </w:r>
      <w:bookmarkEnd w:id="404"/>
    </w:p>
    <w:p w14:paraId="76CE8C94" w14:textId="2D7D7F91" w:rsidR="00393F3F" w:rsidRDefault="00931716" w:rsidP="00F61DFC">
      <w:pPr>
        <w:autoSpaceDE w:val="0"/>
        <w:autoSpaceDN w:val="0"/>
        <w:adjustRightInd w:val="0"/>
        <w:spacing w:after="240"/>
        <w:ind w:left="360"/>
        <w:rPr>
          <w:sz w:val="24"/>
          <w:szCs w:val="24"/>
        </w:rPr>
      </w:pPr>
      <w:bookmarkStart w:id="409" w:name="_Notification_of_Interested"/>
      <w:bookmarkStart w:id="410" w:name="_Toc85803982"/>
      <w:bookmarkStart w:id="411" w:name="_Toc92870840"/>
      <w:bookmarkEnd w:id="409"/>
      <w:r w:rsidRPr="00570B42">
        <w:rPr>
          <w:sz w:val="24"/>
          <w:szCs w:val="24"/>
        </w:rPr>
        <w:t xml:space="preserve">Attachment E contains the MRP for this Order. </w:t>
      </w:r>
      <w:r w:rsidR="0042584C">
        <w:rPr>
          <w:sz w:val="24"/>
          <w:szCs w:val="24"/>
        </w:rPr>
        <w:t>It specifies sampling stations</w:t>
      </w:r>
      <w:r w:rsidRPr="00570B42">
        <w:rPr>
          <w:sz w:val="24"/>
          <w:szCs w:val="24"/>
        </w:rPr>
        <w:t xml:space="preserve">, </w:t>
      </w:r>
      <w:r w:rsidR="0042584C">
        <w:rPr>
          <w:sz w:val="24"/>
          <w:szCs w:val="24"/>
        </w:rPr>
        <w:t xml:space="preserve">mercury and PCBs </w:t>
      </w:r>
      <w:r w:rsidRPr="00570B42">
        <w:rPr>
          <w:sz w:val="24"/>
          <w:szCs w:val="24"/>
        </w:rPr>
        <w:t>monitoring frequencies, and reporting requirements. The following provides the r</w:t>
      </w:r>
      <w:r w:rsidR="00F61DFC">
        <w:rPr>
          <w:sz w:val="24"/>
          <w:szCs w:val="24"/>
        </w:rPr>
        <w:t>ationale for these requirements.</w:t>
      </w:r>
    </w:p>
    <w:p w14:paraId="4293A36F" w14:textId="7F2C979E" w:rsidR="00F61DFC" w:rsidRDefault="00F61DFC" w:rsidP="00F61DFC">
      <w:pPr>
        <w:autoSpaceDE w:val="0"/>
        <w:autoSpaceDN w:val="0"/>
        <w:adjustRightInd w:val="0"/>
        <w:spacing w:after="240"/>
        <w:ind w:left="360"/>
        <w:rPr>
          <w:sz w:val="24"/>
          <w:szCs w:val="24"/>
        </w:rPr>
      </w:pPr>
      <w:r>
        <w:rPr>
          <w:sz w:val="24"/>
          <w:szCs w:val="24"/>
        </w:rPr>
        <w:t xml:space="preserve">Basin Plan sections 7.2.2.6 and </w:t>
      </w:r>
      <w:r w:rsidR="008B5E49">
        <w:rPr>
          <w:sz w:val="24"/>
          <w:szCs w:val="24"/>
        </w:rPr>
        <w:t xml:space="preserve">7.2.3.6 require Dischargers to monitor and report mercury and PCBs discharge loads. Effluent monitoring is also necessary to capture any increases in loading and develop and implement reduction measures in advance of an effluent limitation exceedance. </w:t>
      </w:r>
    </w:p>
    <w:p w14:paraId="6CC17DCF" w14:textId="49E18410" w:rsidR="008B5E49" w:rsidRDefault="008D5DE9" w:rsidP="008D5DE9">
      <w:pPr>
        <w:autoSpaceDE w:val="0"/>
        <w:autoSpaceDN w:val="0"/>
        <w:adjustRightInd w:val="0"/>
        <w:spacing w:after="240"/>
        <w:ind w:left="360"/>
        <w:rPr>
          <w:sz w:val="24"/>
          <w:szCs w:val="24"/>
        </w:rPr>
      </w:pPr>
      <w:r>
        <w:rPr>
          <w:sz w:val="24"/>
          <w:szCs w:val="24"/>
        </w:rPr>
        <w:t xml:space="preserve">This Order retains the monitoring frequencies from the previous order. </w:t>
      </w:r>
      <w:r w:rsidR="008B5E49">
        <w:rPr>
          <w:sz w:val="24"/>
          <w:szCs w:val="24"/>
        </w:rPr>
        <w:t xml:space="preserve">The monitoring frequencies specified in the MRP </w:t>
      </w:r>
      <w:r w:rsidRPr="008D5DE9">
        <w:rPr>
          <w:sz w:val="24"/>
          <w:szCs w:val="24"/>
        </w:rPr>
        <w:t xml:space="preserve">are dependent on each Discharger’s contribution of mercury and PCBs, and its resources to conduct the monitoring. </w:t>
      </w:r>
      <w:r>
        <w:rPr>
          <w:sz w:val="24"/>
          <w:szCs w:val="24"/>
        </w:rPr>
        <w:t>Those</w:t>
      </w:r>
      <w:r w:rsidRPr="008D5DE9">
        <w:rPr>
          <w:sz w:val="24"/>
          <w:szCs w:val="24"/>
        </w:rPr>
        <w:t xml:space="preserve"> with larger flows are required to monitor more frequently.</w:t>
      </w:r>
    </w:p>
    <w:p w14:paraId="6B942CAE" w14:textId="04716357" w:rsidR="008D5DE9" w:rsidRPr="008D5DE9" w:rsidRDefault="008D5DE9" w:rsidP="008D5DE9">
      <w:pPr>
        <w:autoSpaceDE w:val="0"/>
        <w:autoSpaceDN w:val="0"/>
        <w:adjustRightInd w:val="0"/>
        <w:spacing w:after="240"/>
        <w:ind w:left="360"/>
        <w:rPr>
          <w:sz w:val="24"/>
          <w:szCs w:val="24"/>
        </w:rPr>
      </w:pPr>
      <w:r w:rsidRPr="008D5DE9">
        <w:rPr>
          <w:sz w:val="24"/>
          <w:szCs w:val="24"/>
        </w:rPr>
        <w:t>Compliance with effluent limit</w:t>
      </w:r>
      <w:r>
        <w:rPr>
          <w:sz w:val="24"/>
          <w:szCs w:val="24"/>
        </w:rPr>
        <w:t>ation</w:t>
      </w:r>
      <w:r w:rsidRPr="008D5DE9">
        <w:rPr>
          <w:sz w:val="24"/>
          <w:szCs w:val="24"/>
        </w:rPr>
        <w:t>s must be determined using an approved method under 40 C</w:t>
      </w:r>
      <w:r>
        <w:rPr>
          <w:sz w:val="24"/>
          <w:szCs w:val="24"/>
        </w:rPr>
        <w:t>.</w:t>
      </w:r>
      <w:r w:rsidRPr="008D5DE9">
        <w:rPr>
          <w:sz w:val="24"/>
          <w:szCs w:val="24"/>
        </w:rPr>
        <w:t>F</w:t>
      </w:r>
      <w:r>
        <w:rPr>
          <w:sz w:val="24"/>
          <w:szCs w:val="24"/>
        </w:rPr>
        <w:t>.</w:t>
      </w:r>
      <w:r w:rsidRPr="008D5DE9">
        <w:rPr>
          <w:sz w:val="24"/>
          <w:szCs w:val="24"/>
        </w:rPr>
        <w:t>R</w:t>
      </w:r>
      <w:r>
        <w:rPr>
          <w:sz w:val="24"/>
          <w:szCs w:val="24"/>
        </w:rPr>
        <w:t>.</w:t>
      </w:r>
      <w:r w:rsidRPr="008D5DE9">
        <w:rPr>
          <w:sz w:val="24"/>
          <w:szCs w:val="24"/>
        </w:rPr>
        <w:t xml:space="preserve"> Part 136. </w:t>
      </w:r>
      <w:r>
        <w:rPr>
          <w:sz w:val="24"/>
          <w:szCs w:val="24"/>
        </w:rPr>
        <w:t>For</w:t>
      </w:r>
      <w:r w:rsidRPr="008D5DE9">
        <w:rPr>
          <w:sz w:val="24"/>
          <w:szCs w:val="24"/>
        </w:rPr>
        <w:t xml:space="preserve"> PCBs, this is </w:t>
      </w:r>
      <w:r>
        <w:rPr>
          <w:sz w:val="24"/>
          <w:szCs w:val="24"/>
        </w:rPr>
        <w:t xml:space="preserve">U.S. EPA </w:t>
      </w:r>
      <w:r w:rsidRPr="008D5DE9">
        <w:rPr>
          <w:sz w:val="24"/>
          <w:szCs w:val="24"/>
        </w:rPr>
        <w:t xml:space="preserve">Method 608. Consistent with the </w:t>
      </w:r>
      <w:r>
        <w:rPr>
          <w:sz w:val="24"/>
          <w:szCs w:val="24"/>
        </w:rPr>
        <w:t xml:space="preserve">San Francisco Bay PCBs </w:t>
      </w:r>
      <w:r w:rsidRPr="008D5DE9">
        <w:rPr>
          <w:sz w:val="24"/>
          <w:szCs w:val="24"/>
        </w:rPr>
        <w:t xml:space="preserve">TMDL, this Order also requires each Discharger to monitor and report PCBs </w:t>
      </w:r>
      <w:r>
        <w:rPr>
          <w:sz w:val="24"/>
          <w:szCs w:val="24"/>
        </w:rPr>
        <w:t xml:space="preserve">congeners </w:t>
      </w:r>
      <w:r w:rsidRPr="008D5DE9">
        <w:rPr>
          <w:sz w:val="24"/>
          <w:szCs w:val="24"/>
        </w:rPr>
        <w:t xml:space="preserve">using </w:t>
      </w:r>
      <w:r>
        <w:rPr>
          <w:sz w:val="24"/>
          <w:szCs w:val="24"/>
        </w:rPr>
        <w:t xml:space="preserve">the </w:t>
      </w:r>
      <w:r w:rsidRPr="008D5DE9">
        <w:rPr>
          <w:sz w:val="24"/>
          <w:szCs w:val="24"/>
        </w:rPr>
        <w:lastRenderedPageBreak/>
        <w:t xml:space="preserve">proposed </w:t>
      </w:r>
      <w:r>
        <w:rPr>
          <w:sz w:val="24"/>
          <w:szCs w:val="24"/>
        </w:rPr>
        <w:t>U.S. EPA Method 1668C</w:t>
      </w:r>
      <w:r w:rsidRPr="008D5DE9">
        <w:rPr>
          <w:sz w:val="24"/>
          <w:szCs w:val="24"/>
        </w:rPr>
        <w:t xml:space="preserve">, which is capable of quantifying PCBs that are present at lower levels than </w:t>
      </w:r>
      <w:r>
        <w:rPr>
          <w:sz w:val="24"/>
          <w:szCs w:val="24"/>
        </w:rPr>
        <w:t xml:space="preserve">U.S. EPA </w:t>
      </w:r>
      <w:r w:rsidRPr="008D5DE9">
        <w:rPr>
          <w:sz w:val="24"/>
          <w:szCs w:val="24"/>
        </w:rPr>
        <w:t>Method 608</w:t>
      </w:r>
      <w:r>
        <w:rPr>
          <w:sz w:val="24"/>
          <w:szCs w:val="24"/>
        </w:rPr>
        <w:t xml:space="preserve"> used to monitor PCBs Aroclors</w:t>
      </w:r>
      <w:r w:rsidRPr="008D5DE9">
        <w:rPr>
          <w:sz w:val="24"/>
          <w:szCs w:val="24"/>
        </w:rPr>
        <w:t>. The Regional W</w:t>
      </w:r>
      <w:r>
        <w:rPr>
          <w:sz w:val="24"/>
          <w:szCs w:val="24"/>
        </w:rPr>
        <w:t>ater Board will use U.S. EPA Method 1668C</w:t>
      </w:r>
      <w:r w:rsidRPr="008D5DE9">
        <w:rPr>
          <w:sz w:val="24"/>
          <w:szCs w:val="24"/>
        </w:rPr>
        <w:t xml:space="preserve"> data to verify assumptions and evaluate the need to further refine wasteload allocations in the TMDL</w:t>
      </w:r>
      <w:r>
        <w:rPr>
          <w:sz w:val="24"/>
          <w:szCs w:val="24"/>
        </w:rPr>
        <w:t>.</w:t>
      </w:r>
    </w:p>
    <w:p w14:paraId="1551CCB0" w14:textId="77777777" w:rsidR="00393F3F" w:rsidRPr="00570B42" w:rsidRDefault="00393F3F" w:rsidP="00393F3F">
      <w:pPr>
        <w:pStyle w:val="Heading1-F"/>
        <w:rPr>
          <w:rFonts w:ascii="Times New Roman" w:hAnsi="Times New Roman"/>
          <w:sz w:val="24"/>
        </w:rPr>
      </w:pPr>
      <w:bookmarkStart w:id="412" w:name="_Toc487829717"/>
      <w:bookmarkEnd w:id="410"/>
      <w:bookmarkEnd w:id="411"/>
      <w:r w:rsidRPr="00570B42">
        <w:rPr>
          <w:rFonts w:ascii="Times New Roman" w:hAnsi="Times New Roman"/>
          <w:sz w:val="24"/>
        </w:rPr>
        <w:t>VIII. Public Participation</w:t>
      </w:r>
      <w:bookmarkEnd w:id="412"/>
    </w:p>
    <w:p w14:paraId="7E263B8C" w14:textId="65E6FDB7" w:rsidR="00393F3F" w:rsidRPr="00570B42" w:rsidRDefault="00393F3F" w:rsidP="00393F3F">
      <w:pPr>
        <w:pStyle w:val="paratextindented"/>
        <w:rPr>
          <w:rFonts w:ascii="Times New Roman" w:hAnsi="Times New Roman" w:cs="Times New Roman"/>
          <w:szCs w:val="24"/>
        </w:rPr>
      </w:pPr>
      <w:r w:rsidRPr="00570B42">
        <w:rPr>
          <w:rFonts w:ascii="Times New Roman" w:hAnsi="Times New Roman" w:cs="Times New Roman"/>
          <w:szCs w:val="24"/>
        </w:rPr>
        <w:t>The Regional Water Board considered the issuance of WDRs</w:t>
      </w:r>
      <w:r w:rsidRPr="00570B42" w:rsidDel="00C17407">
        <w:rPr>
          <w:rFonts w:ascii="Times New Roman" w:hAnsi="Times New Roman" w:cs="Times New Roman"/>
          <w:szCs w:val="24"/>
        </w:rPr>
        <w:t xml:space="preserve"> </w:t>
      </w:r>
      <w:r w:rsidRPr="00570B42">
        <w:rPr>
          <w:rFonts w:ascii="Times New Roman" w:hAnsi="Times New Roman" w:cs="Times New Roman"/>
          <w:szCs w:val="24"/>
        </w:rPr>
        <w:t>that will serve as an NPDES permit for</w:t>
      </w:r>
      <w:r w:rsidR="000F70F3">
        <w:rPr>
          <w:rFonts w:ascii="Times New Roman" w:hAnsi="Times New Roman" w:cs="Times New Roman"/>
          <w:szCs w:val="24"/>
        </w:rPr>
        <w:t xml:space="preserve"> point source discharges of mercury and PCBs from </w:t>
      </w:r>
      <w:r w:rsidR="007D72FC">
        <w:rPr>
          <w:rFonts w:ascii="Times New Roman" w:hAnsi="Times New Roman" w:cs="Times New Roman"/>
          <w:szCs w:val="24"/>
        </w:rPr>
        <w:t>M</w:t>
      </w:r>
      <w:r w:rsidR="000F70F3">
        <w:rPr>
          <w:rFonts w:ascii="Times New Roman" w:hAnsi="Times New Roman" w:cs="Times New Roman"/>
          <w:szCs w:val="24"/>
        </w:rPr>
        <w:t xml:space="preserve">unicipal and </w:t>
      </w:r>
      <w:r w:rsidR="007D72FC">
        <w:rPr>
          <w:rFonts w:ascii="Times New Roman" w:hAnsi="Times New Roman" w:cs="Times New Roman"/>
          <w:szCs w:val="24"/>
        </w:rPr>
        <w:t>I</w:t>
      </w:r>
      <w:r w:rsidR="000F70F3">
        <w:rPr>
          <w:rFonts w:ascii="Times New Roman" w:hAnsi="Times New Roman" w:cs="Times New Roman"/>
          <w:szCs w:val="24"/>
        </w:rPr>
        <w:t xml:space="preserve">ndustrial </w:t>
      </w:r>
      <w:r w:rsidR="007D72FC">
        <w:rPr>
          <w:rFonts w:ascii="Times New Roman" w:hAnsi="Times New Roman" w:cs="Times New Roman"/>
          <w:szCs w:val="24"/>
        </w:rPr>
        <w:t>D</w:t>
      </w:r>
      <w:r w:rsidR="000F70F3">
        <w:rPr>
          <w:rFonts w:ascii="Times New Roman" w:hAnsi="Times New Roman" w:cs="Times New Roman"/>
          <w:szCs w:val="24"/>
        </w:rPr>
        <w:t>ischargers</w:t>
      </w:r>
      <w:r w:rsidRPr="00570B42">
        <w:rPr>
          <w:rFonts w:ascii="Times New Roman" w:hAnsi="Times New Roman" w:cs="Times New Roman"/>
          <w:szCs w:val="24"/>
        </w:rPr>
        <w:t>. As a step in the WDR adoption process, Regional Water Board staff developed tentative WDRs and encouraged public participation in the WDR adoption process.</w:t>
      </w:r>
    </w:p>
    <w:p w14:paraId="1BC7723B" w14:textId="3A11BAB1" w:rsidR="00D34786" w:rsidRPr="006740D0" w:rsidRDefault="00D34786" w:rsidP="006740D0">
      <w:pPr>
        <w:autoSpaceDE w:val="0"/>
        <w:autoSpaceDN w:val="0"/>
        <w:adjustRightInd w:val="0"/>
        <w:spacing w:after="240"/>
        <w:ind w:left="720" w:hanging="360"/>
        <w:rPr>
          <w:sz w:val="24"/>
          <w:szCs w:val="24"/>
        </w:rPr>
      </w:pPr>
      <w:r w:rsidRPr="00570B42">
        <w:rPr>
          <w:b/>
          <w:sz w:val="24"/>
          <w:szCs w:val="24"/>
        </w:rPr>
        <w:t>A.</w:t>
      </w:r>
      <w:r w:rsidRPr="00570B42">
        <w:rPr>
          <w:b/>
          <w:sz w:val="24"/>
          <w:szCs w:val="24"/>
        </w:rPr>
        <w:tab/>
        <w:t>Notification of Interested Parties</w:t>
      </w:r>
      <w:bookmarkEnd w:id="405"/>
      <w:bookmarkEnd w:id="406"/>
      <w:bookmarkEnd w:id="407"/>
      <w:bookmarkEnd w:id="408"/>
      <w:r w:rsidR="00D27F82" w:rsidRPr="00570B42">
        <w:rPr>
          <w:b/>
          <w:sz w:val="24"/>
          <w:szCs w:val="24"/>
        </w:rPr>
        <w:t>.</w:t>
      </w:r>
      <w:r w:rsidR="00D27F82" w:rsidRPr="00570B42">
        <w:rPr>
          <w:rFonts w:ascii="TimesNewRomanPSMT" w:hAnsi="TimesNewRomanPSMT" w:cs="TimesNewRomanPSMT"/>
          <w:b/>
          <w:sz w:val="24"/>
          <w:szCs w:val="24"/>
        </w:rPr>
        <w:t xml:space="preserve"> </w:t>
      </w:r>
      <w:r w:rsidR="00D27F82" w:rsidRPr="00570B42">
        <w:rPr>
          <w:sz w:val="24"/>
          <w:szCs w:val="24"/>
        </w:rPr>
        <w:t>The Regional Water Board notified the Discharger</w:t>
      </w:r>
      <w:r w:rsidR="006740D0">
        <w:rPr>
          <w:sz w:val="24"/>
          <w:szCs w:val="24"/>
        </w:rPr>
        <w:t>s</w:t>
      </w:r>
      <w:r w:rsidR="00D27F82" w:rsidRPr="00570B42">
        <w:rPr>
          <w:sz w:val="24"/>
          <w:szCs w:val="24"/>
        </w:rPr>
        <w:t xml:space="preserve"> and interested agencies and persons of its intent to prescribe WDRs</w:t>
      </w:r>
      <w:r w:rsidR="00D27F82" w:rsidRPr="00570B42" w:rsidDel="00C17407">
        <w:rPr>
          <w:sz w:val="24"/>
          <w:szCs w:val="24"/>
        </w:rPr>
        <w:t xml:space="preserve"> </w:t>
      </w:r>
      <w:r w:rsidR="00D27F82" w:rsidRPr="00570B42">
        <w:rPr>
          <w:sz w:val="24"/>
          <w:szCs w:val="24"/>
        </w:rPr>
        <w:t>for the discharge</w:t>
      </w:r>
      <w:r w:rsidR="006740D0">
        <w:rPr>
          <w:sz w:val="24"/>
          <w:szCs w:val="24"/>
        </w:rPr>
        <w:t>s</w:t>
      </w:r>
      <w:r w:rsidR="00D27F82" w:rsidRPr="00570B42">
        <w:rPr>
          <w:sz w:val="24"/>
          <w:szCs w:val="24"/>
        </w:rPr>
        <w:t xml:space="preserve"> and provided an opportunity to submit written comments and recommendations. Notif</w:t>
      </w:r>
      <w:r w:rsidR="001E58A1" w:rsidRPr="00570B42">
        <w:rPr>
          <w:sz w:val="24"/>
          <w:szCs w:val="24"/>
        </w:rPr>
        <w:t>ication was provided through</w:t>
      </w:r>
      <w:r w:rsidR="00A02540" w:rsidRPr="00570B42">
        <w:rPr>
          <w:sz w:val="24"/>
          <w:szCs w:val="24"/>
        </w:rPr>
        <w:t xml:space="preserve"> </w:t>
      </w:r>
      <w:r w:rsidR="006740D0" w:rsidRPr="006740D0">
        <w:rPr>
          <w:sz w:val="24"/>
          <w:szCs w:val="24"/>
        </w:rPr>
        <w:t xml:space="preserve">the </w:t>
      </w:r>
      <w:r w:rsidR="006740D0" w:rsidRPr="006740D0">
        <w:rPr>
          <w:sz w:val="24"/>
          <w:szCs w:val="24"/>
          <w:highlight w:val="yellow"/>
        </w:rPr>
        <w:t>Oakland Tribune.</w:t>
      </w:r>
      <w:r w:rsidR="006740D0">
        <w:rPr>
          <w:sz w:val="24"/>
          <w:szCs w:val="24"/>
        </w:rPr>
        <w:t xml:space="preserve"> </w:t>
      </w:r>
      <w:r w:rsidR="00D27F82" w:rsidRPr="00570B42">
        <w:rPr>
          <w:bCs/>
          <w:sz w:val="24"/>
          <w:szCs w:val="24"/>
        </w:rPr>
        <w:t xml:space="preserve">The public had access to the agenda and any changes in dates and locations through the Regional Water Board’s website at </w:t>
      </w:r>
      <w:hyperlink r:id="rId50" w:history="1">
        <w:r w:rsidR="00D27F82" w:rsidRPr="00570B42">
          <w:rPr>
            <w:rStyle w:val="Hyperlink"/>
            <w:color w:val="auto"/>
            <w:sz w:val="24"/>
            <w:szCs w:val="24"/>
          </w:rPr>
          <w:t>http://www.waterboards.ca.gov/sanfranciscobay</w:t>
        </w:r>
      </w:hyperlink>
      <w:r w:rsidR="00D27F82" w:rsidRPr="00570B42">
        <w:rPr>
          <w:rStyle w:val="Hyperlink"/>
          <w:color w:val="auto"/>
          <w:sz w:val="24"/>
          <w:szCs w:val="24"/>
          <w:u w:val="none"/>
        </w:rPr>
        <w:t>.</w:t>
      </w:r>
    </w:p>
    <w:p w14:paraId="4D760B63" w14:textId="77777777" w:rsidR="00D34786" w:rsidRPr="00570B42" w:rsidRDefault="00D34786" w:rsidP="00D27F82">
      <w:pPr>
        <w:autoSpaceDE w:val="0"/>
        <w:autoSpaceDN w:val="0"/>
        <w:adjustRightInd w:val="0"/>
        <w:spacing w:after="240"/>
        <w:ind w:left="720" w:hanging="360"/>
        <w:rPr>
          <w:b/>
          <w:sz w:val="24"/>
          <w:szCs w:val="24"/>
        </w:rPr>
      </w:pPr>
      <w:bookmarkStart w:id="413" w:name="_Toc85803983"/>
      <w:bookmarkStart w:id="414" w:name="_Toc92870841"/>
      <w:bookmarkStart w:id="415" w:name="_Toc102376504"/>
      <w:bookmarkStart w:id="416" w:name="_Toc125358873"/>
      <w:bookmarkStart w:id="417" w:name="_Toc338152950"/>
      <w:bookmarkStart w:id="418" w:name="_Toc340137676"/>
      <w:r w:rsidRPr="00570B42">
        <w:rPr>
          <w:b/>
          <w:sz w:val="24"/>
          <w:szCs w:val="24"/>
        </w:rPr>
        <w:t>B.</w:t>
      </w:r>
      <w:r w:rsidRPr="00570B42">
        <w:rPr>
          <w:b/>
          <w:sz w:val="24"/>
          <w:szCs w:val="24"/>
        </w:rPr>
        <w:tab/>
        <w:t>Written Comments</w:t>
      </w:r>
      <w:bookmarkEnd w:id="413"/>
      <w:bookmarkEnd w:id="414"/>
      <w:bookmarkEnd w:id="415"/>
      <w:bookmarkEnd w:id="416"/>
      <w:bookmarkEnd w:id="417"/>
      <w:bookmarkEnd w:id="418"/>
      <w:r w:rsidR="00D27F82" w:rsidRPr="00570B42">
        <w:rPr>
          <w:b/>
          <w:sz w:val="24"/>
          <w:szCs w:val="24"/>
        </w:rPr>
        <w:t xml:space="preserve">. </w:t>
      </w:r>
      <w:r w:rsidR="00D27F82" w:rsidRPr="00570B42">
        <w:rPr>
          <w:sz w:val="24"/>
          <w:szCs w:val="24"/>
        </w:rPr>
        <w:t xml:space="preserve">Interested persons were invited to submit written comments concerning the tentative WDRs as explained through the notification process. Comments were </w:t>
      </w:r>
      <w:r w:rsidR="00D05529" w:rsidRPr="00570B42">
        <w:rPr>
          <w:sz w:val="24"/>
          <w:szCs w:val="24"/>
        </w:rPr>
        <w:t>to be submitted</w:t>
      </w:r>
      <w:r w:rsidR="00D27F82" w:rsidRPr="00570B42">
        <w:rPr>
          <w:sz w:val="24"/>
          <w:szCs w:val="24"/>
        </w:rPr>
        <w:t xml:space="preserve"> either in person or by mail </w:t>
      </w:r>
      <w:r w:rsidR="00D05529" w:rsidRPr="00570B42">
        <w:rPr>
          <w:sz w:val="24"/>
          <w:szCs w:val="24"/>
        </w:rPr>
        <w:t>to the Executive Office</w:t>
      </w:r>
      <w:r w:rsidR="00FB70CA" w:rsidRPr="00570B42">
        <w:rPr>
          <w:sz w:val="24"/>
          <w:szCs w:val="24"/>
        </w:rPr>
        <w:t>r</w:t>
      </w:r>
      <w:r w:rsidR="00D05529" w:rsidRPr="00570B42">
        <w:rPr>
          <w:sz w:val="24"/>
          <w:szCs w:val="24"/>
        </w:rPr>
        <w:t xml:space="preserve"> at the Regional Water Board at</w:t>
      </w:r>
      <w:r w:rsidR="00D27F82" w:rsidRPr="00570B42">
        <w:rPr>
          <w:sz w:val="24"/>
          <w:szCs w:val="24"/>
        </w:rPr>
        <w:t xml:space="preserve"> 1515 Clay Street, Suite 1400, Oakland, California 94612, to the attention of </w:t>
      </w:r>
      <w:r w:rsidR="00D81C48" w:rsidRPr="00570B42">
        <w:rPr>
          <w:sz w:val="24"/>
          <w:szCs w:val="24"/>
        </w:rPr>
        <w:t>James Parrish</w:t>
      </w:r>
      <w:r w:rsidR="00D27F82" w:rsidRPr="00570B42">
        <w:rPr>
          <w:sz w:val="24"/>
          <w:szCs w:val="24"/>
        </w:rPr>
        <w:t>.</w:t>
      </w:r>
    </w:p>
    <w:p w14:paraId="449FB985" w14:textId="04C02E1C" w:rsidR="00D34786" w:rsidRPr="00570B42" w:rsidRDefault="00061609" w:rsidP="00D34786">
      <w:pPr>
        <w:pStyle w:val="Indent50"/>
        <w:rPr>
          <w:sz w:val="24"/>
        </w:rPr>
      </w:pPr>
      <w:r w:rsidRPr="00570B42">
        <w:rPr>
          <w:sz w:val="24"/>
        </w:rPr>
        <w:t xml:space="preserve">For full staff response and Regional Water Board consideration, the written comments were due at the Regional Water Board office by </w:t>
      </w:r>
      <w:r w:rsidR="00D522C3" w:rsidRPr="00570B42">
        <w:rPr>
          <w:sz w:val="24"/>
        </w:rPr>
        <w:t>5:00</w:t>
      </w:r>
      <w:r w:rsidR="00FB70CA" w:rsidRPr="00570B42">
        <w:rPr>
          <w:sz w:val="24"/>
        </w:rPr>
        <w:t xml:space="preserve"> </w:t>
      </w:r>
      <w:r w:rsidRPr="00570B42">
        <w:rPr>
          <w:sz w:val="24"/>
        </w:rPr>
        <w:t xml:space="preserve">p.m </w:t>
      </w:r>
      <w:r w:rsidR="001B54BB" w:rsidRPr="00570B42">
        <w:rPr>
          <w:sz w:val="24"/>
        </w:rPr>
        <w:t xml:space="preserve">on </w:t>
      </w:r>
      <w:r w:rsidR="00E050BA">
        <w:rPr>
          <w:b/>
          <w:sz w:val="24"/>
          <w:highlight w:val="yellow"/>
        </w:rPr>
        <w:t>September 8</w:t>
      </w:r>
      <w:r w:rsidR="00D94963" w:rsidRPr="006740D0">
        <w:rPr>
          <w:b/>
          <w:sz w:val="24"/>
          <w:highlight w:val="yellow"/>
        </w:rPr>
        <w:t>, 201</w:t>
      </w:r>
      <w:r w:rsidR="00A910F7" w:rsidRPr="006740D0">
        <w:rPr>
          <w:b/>
          <w:sz w:val="24"/>
          <w:highlight w:val="yellow"/>
        </w:rPr>
        <w:t>7</w:t>
      </w:r>
      <w:r w:rsidR="00D94963" w:rsidRPr="006740D0">
        <w:rPr>
          <w:b/>
          <w:sz w:val="24"/>
          <w:highlight w:val="yellow"/>
        </w:rPr>
        <w:t>.</w:t>
      </w:r>
    </w:p>
    <w:p w14:paraId="3E9CF404" w14:textId="77777777" w:rsidR="00D34786" w:rsidRPr="00570B42" w:rsidRDefault="00D34786" w:rsidP="00D27F82">
      <w:pPr>
        <w:autoSpaceDE w:val="0"/>
        <w:autoSpaceDN w:val="0"/>
        <w:adjustRightInd w:val="0"/>
        <w:spacing w:after="120"/>
        <w:ind w:left="720" w:hanging="360"/>
        <w:rPr>
          <w:b/>
          <w:sz w:val="24"/>
          <w:szCs w:val="24"/>
        </w:rPr>
      </w:pPr>
      <w:bookmarkStart w:id="419" w:name="_Toc133308771"/>
      <w:bookmarkStart w:id="420" w:name="_Toc338152951"/>
      <w:bookmarkStart w:id="421" w:name="_Toc340137677"/>
      <w:r w:rsidRPr="00570B42">
        <w:rPr>
          <w:b/>
          <w:sz w:val="24"/>
          <w:szCs w:val="24"/>
        </w:rPr>
        <w:t>C.</w:t>
      </w:r>
      <w:r w:rsidRPr="00570B42">
        <w:rPr>
          <w:b/>
          <w:sz w:val="24"/>
          <w:szCs w:val="24"/>
        </w:rPr>
        <w:tab/>
        <w:t>Public Hearing</w:t>
      </w:r>
      <w:bookmarkEnd w:id="419"/>
      <w:bookmarkEnd w:id="420"/>
      <w:bookmarkEnd w:id="421"/>
      <w:r w:rsidR="00D27F82" w:rsidRPr="00570B42">
        <w:rPr>
          <w:b/>
          <w:sz w:val="24"/>
          <w:szCs w:val="24"/>
        </w:rPr>
        <w:t xml:space="preserve">. </w:t>
      </w:r>
      <w:r w:rsidR="00D27F82" w:rsidRPr="00570B42">
        <w:rPr>
          <w:sz w:val="24"/>
          <w:szCs w:val="24"/>
        </w:rPr>
        <w:t>The Regional Water Board held a public hearing on the tentative WDRs during its regular meeting at the following date and time, and at the following location:</w:t>
      </w:r>
    </w:p>
    <w:p w14:paraId="264A08FC" w14:textId="3D48E933" w:rsidR="00D34786" w:rsidRPr="00570B42" w:rsidRDefault="00D34786" w:rsidP="00410CF0">
      <w:pPr>
        <w:pStyle w:val="Indent50"/>
        <w:spacing w:after="0"/>
        <w:rPr>
          <w:b/>
          <w:sz w:val="24"/>
        </w:rPr>
      </w:pPr>
      <w:r w:rsidRPr="00570B42">
        <w:rPr>
          <w:sz w:val="24"/>
        </w:rPr>
        <w:t>Date:</w:t>
      </w:r>
      <w:r w:rsidRPr="00570B42">
        <w:rPr>
          <w:sz w:val="24"/>
        </w:rPr>
        <w:tab/>
      </w:r>
      <w:r w:rsidRPr="00570B42">
        <w:rPr>
          <w:sz w:val="24"/>
        </w:rPr>
        <w:tab/>
      </w:r>
      <w:r w:rsidR="006740D0">
        <w:rPr>
          <w:b/>
          <w:sz w:val="24"/>
        </w:rPr>
        <w:t>November 8,</w:t>
      </w:r>
      <w:r w:rsidR="00067181" w:rsidRPr="00570B42">
        <w:rPr>
          <w:b/>
          <w:sz w:val="24"/>
        </w:rPr>
        <w:t xml:space="preserve"> 2017</w:t>
      </w:r>
    </w:p>
    <w:p w14:paraId="014762A0" w14:textId="77777777" w:rsidR="00D34786" w:rsidRPr="00570B42" w:rsidRDefault="00D34786" w:rsidP="00410CF0">
      <w:pPr>
        <w:pStyle w:val="Indent50"/>
        <w:spacing w:after="0"/>
        <w:rPr>
          <w:b/>
          <w:sz w:val="24"/>
        </w:rPr>
      </w:pPr>
      <w:r w:rsidRPr="00570B42">
        <w:rPr>
          <w:sz w:val="24"/>
        </w:rPr>
        <w:t>Time:</w:t>
      </w:r>
      <w:r w:rsidRPr="00570B42">
        <w:rPr>
          <w:sz w:val="24"/>
        </w:rPr>
        <w:tab/>
      </w:r>
      <w:r w:rsidRPr="00570B42">
        <w:rPr>
          <w:sz w:val="24"/>
        </w:rPr>
        <w:tab/>
      </w:r>
      <w:r w:rsidR="00A02540" w:rsidRPr="00570B42">
        <w:rPr>
          <w:sz w:val="24"/>
        </w:rPr>
        <w:t>9:00 am</w:t>
      </w:r>
    </w:p>
    <w:p w14:paraId="2A9F34A5" w14:textId="77777777" w:rsidR="00D34786" w:rsidRPr="00570B42" w:rsidRDefault="00D34786" w:rsidP="00410CF0">
      <w:pPr>
        <w:numPr>
          <w:ilvl w:val="12"/>
          <w:numId w:val="0"/>
        </w:numPr>
        <w:ind w:left="720"/>
        <w:rPr>
          <w:sz w:val="24"/>
          <w:szCs w:val="24"/>
        </w:rPr>
      </w:pPr>
      <w:r w:rsidRPr="00570B42">
        <w:rPr>
          <w:sz w:val="24"/>
          <w:szCs w:val="24"/>
        </w:rPr>
        <w:t>Location:</w:t>
      </w:r>
      <w:r w:rsidRPr="00570B42">
        <w:rPr>
          <w:sz w:val="24"/>
          <w:szCs w:val="24"/>
        </w:rPr>
        <w:tab/>
        <w:t>Elihu Harris State Office Building</w:t>
      </w:r>
    </w:p>
    <w:p w14:paraId="38B37157" w14:textId="77777777" w:rsidR="00D34786" w:rsidRPr="00570B42" w:rsidRDefault="00D34786" w:rsidP="00410CF0">
      <w:pPr>
        <w:pStyle w:val="Indent50"/>
        <w:spacing w:after="0"/>
        <w:ind w:left="1440" w:firstLine="720"/>
        <w:rPr>
          <w:bCs w:val="0"/>
          <w:spacing w:val="0"/>
          <w:sz w:val="24"/>
        </w:rPr>
      </w:pPr>
      <w:r w:rsidRPr="00570B42">
        <w:rPr>
          <w:bCs w:val="0"/>
          <w:spacing w:val="0"/>
          <w:sz w:val="24"/>
        </w:rPr>
        <w:t>1515 Clay Street, 1</w:t>
      </w:r>
      <w:r w:rsidRPr="00570B42">
        <w:rPr>
          <w:bCs w:val="0"/>
          <w:spacing w:val="0"/>
          <w:sz w:val="24"/>
          <w:vertAlign w:val="superscript"/>
        </w:rPr>
        <w:t>st</w:t>
      </w:r>
      <w:r w:rsidRPr="00570B42">
        <w:rPr>
          <w:bCs w:val="0"/>
          <w:spacing w:val="0"/>
          <w:sz w:val="24"/>
        </w:rPr>
        <w:t xml:space="preserve"> Floor Auditorium</w:t>
      </w:r>
    </w:p>
    <w:p w14:paraId="570FDBF3" w14:textId="77777777" w:rsidR="00D34786" w:rsidRPr="00570B42" w:rsidRDefault="00D34786" w:rsidP="00410CF0">
      <w:pPr>
        <w:pStyle w:val="Indent50"/>
        <w:ind w:left="1440" w:firstLine="720"/>
        <w:rPr>
          <w:sz w:val="24"/>
        </w:rPr>
      </w:pPr>
      <w:r w:rsidRPr="00570B42">
        <w:rPr>
          <w:sz w:val="24"/>
        </w:rPr>
        <w:t>Oakland, CA 94612</w:t>
      </w:r>
    </w:p>
    <w:p w14:paraId="1675EA6C" w14:textId="77777777" w:rsidR="00D34786" w:rsidRPr="00570B42" w:rsidRDefault="00D34786" w:rsidP="00D34786">
      <w:pPr>
        <w:pStyle w:val="Indent50"/>
        <w:ind w:left="1440" w:hanging="720"/>
        <w:rPr>
          <w:sz w:val="24"/>
        </w:rPr>
      </w:pPr>
      <w:r w:rsidRPr="00570B42">
        <w:rPr>
          <w:sz w:val="24"/>
        </w:rPr>
        <w:t xml:space="preserve">Contact: </w:t>
      </w:r>
      <w:r w:rsidRPr="00570B42">
        <w:rPr>
          <w:sz w:val="24"/>
        </w:rPr>
        <w:tab/>
      </w:r>
      <w:r w:rsidR="00F712E6" w:rsidRPr="00570B42">
        <w:rPr>
          <w:sz w:val="24"/>
        </w:rPr>
        <w:t>James Parrish</w:t>
      </w:r>
      <w:r w:rsidR="00747F5F" w:rsidRPr="00570B42">
        <w:rPr>
          <w:sz w:val="24"/>
        </w:rPr>
        <w:t>, (510) 622-23</w:t>
      </w:r>
      <w:r w:rsidR="00F712E6" w:rsidRPr="00570B42">
        <w:rPr>
          <w:sz w:val="24"/>
        </w:rPr>
        <w:t>81</w:t>
      </w:r>
      <w:r w:rsidR="00747F5F" w:rsidRPr="00570B42">
        <w:rPr>
          <w:sz w:val="24"/>
        </w:rPr>
        <w:t xml:space="preserve">, </w:t>
      </w:r>
      <w:r w:rsidR="00F712E6" w:rsidRPr="00570B42">
        <w:rPr>
          <w:sz w:val="24"/>
        </w:rPr>
        <w:t>James.Parrish</w:t>
      </w:r>
      <w:r w:rsidR="00747F5F" w:rsidRPr="00570B42">
        <w:rPr>
          <w:sz w:val="24"/>
        </w:rPr>
        <w:t>@waterboards.ca.gov.</w:t>
      </w:r>
    </w:p>
    <w:p w14:paraId="44AEEF5A" w14:textId="77777777" w:rsidR="00D34786" w:rsidRPr="00570B42" w:rsidRDefault="00D34786" w:rsidP="00D34786">
      <w:pPr>
        <w:pStyle w:val="Indent50"/>
        <w:rPr>
          <w:sz w:val="24"/>
        </w:rPr>
      </w:pPr>
      <w:r w:rsidRPr="00570B42">
        <w:rPr>
          <w:sz w:val="24"/>
        </w:rPr>
        <w:t xml:space="preserve">Interested persons </w:t>
      </w:r>
      <w:r w:rsidR="00450249" w:rsidRPr="00570B42">
        <w:rPr>
          <w:sz w:val="24"/>
        </w:rPr>
        <w:t>we</w:t>
      </w:r>
      <w:r w:rsidRPr="00570B42">
        <w:rPr>
          <w:sz w:val="24"/>
        </w:rPr>
        <w:t>re invited to attend. At the public hearing, the Regional Water Board hear</w:t>
      </w:r>
      <w:r w:rsidR="00450249" w:rsidRPr="00570B42">
        <w:rPr>
          <w:sz w:val="24"/>
        </w:rPr>
        <w:t>d</w:t>
      </w:r>
      <w:r w:rsidRPr="00570B42">
        <w:rPr>
          <w:sz w:val="24"/>
        </w:rPr>
        <w:t xml:space="preserve"> testimony pertinent to the discharge, </w:t>
      </w:r>
      <w:r w:rsidR="00061609" w:rsidRPr="00570B42">
        <w:rPr>
          <w:sz w:val="24"/>
        </w:rPr>
        <w:t>WDR</w:t>
      </w:r>
      <w:r w:rsidR="00C17407" w:rsidRPr="00570B42">
        <w:rPr>
          <w:sz w:val="24"/>
        </w:rPr>
        <w:t>s</w:t>
      </w:r>
      <w:r w:rsidRPr="00570B42">
        <w:rPr>
          <w:sz w:val="24"/>
        </w:rPr>
        <w:t xml:space="preserve">, and permit. </w:t>
      </w:r>
      <w:r w:rsidR="00061609" w:rsidRPr="00570B42">
        <w:rPr>
          <w:sz w:val="24"/>
        </w:rPr>
        <w:t>F</w:t>
      </w:r>
      <w:r w:rsidRPr="00570B42">
        <w:rPr>
          <w:sz w:val="24"/>
        </w:rPr>
        <w:t xml:space="preserve">or accuracy of the record, important testimony </w:t>
      </w:r>
      <w:r w:rsidR="00D203A0" w:rsidRPr="00570B42">
        <w:rPr>
          <w:sz w:val="24"/>
        </w:rPr>
        <w:t>was requested</w:t>
      </w:r>
      <w:r w:rsidR="00450249" w:rsidRPr="00570B42">
        <w:rPr>
          <w:sz w:val="24"/>
        </w:rPr>
        <w:t xml:space="preserve"> to</w:t>
      </w:r>
      <w:r w:rsidRPr="00570B42">
        <w:rPr>
          <w:sz w:val="24"/>
        </w:rPr>
        <w:t xml:space="preserve"> be in writing.</w:t>
      </w:r>
    </w:p>
    <w:p w14:paraId="0621196E" w14:textId="77777777" w:rsidR="00D34786" w:rsidRPr="00570B42" w:rsidRDefault="00D34786" w:rsidP="00D34786">
      <w:pPr>
        <w:pStyle w:val="Indent50"/>
        <w:rPr>
          <w:sz w:val="24"/>
        </w:rPr>
      </w:pPr>
      <w:r w:rsidRPr="00570B42">
        <w:rPr>
          <w:sz w:val="24"/>
        </w:rPr>
        <w:t xml:space="preserve">Dates and venues change. The Regional Water Board web address is </w:t>
      </w:r>
      <w:hyperlink r:id="rId51" w:history="1">
        <w:r w:rsidRPr="00570B42">
          <w:rPr>
            <w:rStyle w:val="Hyperlink"/>
            <w:color w:val="auto"/>
            <w:sz w:val="24"/>
          </w:rPr>
          <w:t>http://www.waterboards.ca.gov/sanfranciscobay</w:t>
        </w:r>
      </w:hyperlink>
      <w:r w:rsidRPr="00570B42">
        <w:rPr>
          <w:sz w:val="24"/>
        </w:rPr>
        <w:t xml:space="preserve">, where one </w:t>
      </w:r>
      <w:r w:rsidR="00450249" w:rsidRPr="00570B42">
        <w:rPr>
          <w:sz w:val="24"/>
        </w:rPr>
        <w:t>could</w:t>
      </w:r>
      <w:r w:rsidRPr="00570B42">
        <w:rPr>
          <w:sz w:val="24"/>
        </w:rPr>
        <w:t xml:space="preserve"> access the current agenda for changes in dates and locations.</w:t>
      </w:r>
    </w:p>
    <w:p w14:paraId="3ED93A3F" w14:textId="77777777" w:rsidR="00D34786" w:rsidRPr="00570B42" w:rsidRDefault="00D34786" w:rsidP="00D27F82">
      <w:pPr>
        <w:autoSpaceDE w:val="0"/>
        <w:autoSpaceDN w:val="0"/>
        <w:adjustRightInd w:val="0"/>
        <w:spacing w:after="120"/>
        <w:ind w:left="720" w:hanging="360"/>
        <w:rPr>
          <w:b/>
          <w:sz w:val="24"/>
          <w:szCs w:val="24"/>
        </w:rPr>
      </w:pPr>
      <w:bookmarkStart w:id="422" w:name="_Toc133308772"/>
      <w:bookmarkStart w:id="423" w:name="_Toc338152952"/>
      <w:bookmarkStart w:id="424" w:name="_Toc340137678"/>
      <w:r w:rsidRPr="00570B42">
        <w:rPr>
          <w:b/>
          <w:sz w:val="24"/>
          <w:szCs w:val="24"/>
        </w:rPr>
        <w:t>D.</w:t>
      </w:r>
      <w:r w:rsidRPr="00570B42">
        <w:rPr>
          <w:b/>
          <w:sz w:val="24"/>
          <w:szCs w:val="24"/>
        </w:rPr>
        <w:tab/>
      </w:r>
      <w:r w:rsidR="00061609" w:rsidRPr="00570B42">
        <w:rPr>
          <w:b/>
          <w:sz w:val="24"/>
          <w:szCs w:val="24"/>
        </w:rPr>
        <w:t xml:space="preserve">Reconsideration of </w:t>
      </w:r>
      <w:r w:rsidRPr="00570B42">
        <w:rPr>
          <w:b/>
          <w:sz w:val="24"/>
          <w:szCs w:val="24"/>
        </w:rPr>
        <w:t>Waste Discharge Requirements</w:t>
      </w:r>
      <w:bookmarkEnd w:id="422"/>
      <w:bookmarkEnd w:id="423"/>
      <w:bookmarkEnd w:id="424"/>
      <w:r w:rsidR="00D27F82" w:rsidRPr="00570B42">
        <w:rPr>
          <w:b/>
          <w:sz w:val="24"/>
          <w:szCs w:val="24"/>
        </w:rPr>
        <w:t>.</w:t>
      </w:r>
      <w:r w:rsidRPr="00570B42">
        <w:rPr>
          <w:b/>
          <w:sz w:val="24"/>
          <w:szCs w:val="24"/>
        </w:rPr>
        <w:t xml:space="preserve"> </w:t>
      </w:r>
      <w:r w:rsidR="00D27F82" w:rsidRPr="00570B42">
        <w:rPr>
          <w:sz w:val="24"/>
          <w:szCs w:val="24"/>
        </w:rPr>
        <w:t xml:space="preserve">Any aggrieved person may petition the State Water Board to review the </w:t>
      </w:r>
      <w:r w:rsidR="00053A1F" w:rsidRPr="00570B42">
        <w:rPr>
          <w:sz w:val="24"/>
          <w:szCs w:val="24"/>
        </w:rPr>
        <w:t xml:space="preserve">Regional Water Board </w:t>
      </w:r>
      <w:r w:rsidR="00D27F82" w:rsidRPr="00570B42">
        <w:rPr>
          <w:sz w:val="24"/>
          <w:szCs w:val="24"/>
        </w:rPr>
        <w:t xml:space="preserve">decision regarding the final WDRs. The </w:t>
      </w:r>
      <w:r w:rsidR="00053A1F" w:rsidRPr="00570B42">
        <w:rPr>
          <w:sz w:val="24"/>
          <w:szCs w:val="24"/>
        </w:rPr>
        <w:lastRenderedPageBreak/>
        <w:t xml:space="preserve">State Water Board must </w:t>
      </w:r>
      <w:r w:rsidR="00D27F82" w:rsidRPr="00570B42">
        <w:rPr>
          <w:sz w:val="24"/>
          <w:szCs w:val="24"/>
        </w:rPr>
        <w:t>receive</w:t>
      </w:r>
      <w:r w:rsidR="00053A1F" w:rsidRPr="00570B42">
        <w:rPr>
          <w:sz w:val="24"/>
          <w:szCs w:val="24"/>
        </w:rPr>
        <w:t xml:space="preserve"> the petition</w:t>
      </w:r>
      <w:r w:rsidR="00D27F82" w:rsidRPr="00570B42">
        <w:rPr>
          <w:sz w:val="24"/>
          <w:szCs w:val="24"/>
        </w:rPr>
        <w:t xml:space="preserve"> at the following address within 30 calendar days of the Regional Water Board action:</w:t>
      </w:r>
    </w:p>
    <w:p w14:paraId="2E9C5FF3" w14:textId="77777777" w:rsidR="00D34786" w:rsidRPr="00570B42" w:rsidRDefault="00D34786" w:rsidP="00CD0460">
      <w:pPr>
        <w:pStyle w:val="Indent50"/>
        <w:spacing w:after="0"/>
        <w:ind w:left="1440"/>
        <w:rPr>
          <w:sz w:val="24"/>
        </w:rPr>
      </w:pPr>
      <w:r w:rsidRPr="00570B42">
        <w:rPr>
          <w:sz w:val="24"/>
        </w:rPr>
        <w:t>State Water Resources Control Board</w:t>
      </w:r>
    </w:p>
    <w:p w14:paraId="4019B7AE" w14:textId="77777777" w:rsidR="00D34786" w:rsidRPr="00570B42" w:rsidRDefault="00D34786" w:rsidP="00CD0460">
      <w:pPr>
        <w:pStyle w:val="Indent50"/>
        <w:spacing w:after="0"/>
        <w:ind w:left="1440"/>
        <w:rPr>
          <w:sz w:val="24"/>
        </w:rPr>
      </w:pPr>
      <w:r w:rsidRPr="00570B42">
        <w:rPr>
          <w:sz w:val="24"/>
        </w:rPr>
        <w:t>Office of Chief Counsel</w:t>
      </w:r>
    </w:p>
    <w:p w14:paraId="35A87636" w14:textId="77777777" w:rsidR="00D34786" w:rsidRPr="00570B42" w:rsidRDefault="00D34786" w:rsidP="00CD0460">
      <w:pPr>
        <w:pStyle w:val="Indent50"/>
        <w:spacing w:after="0"/>
        <w:ind w:left="1440"/>
        <w:rPr>
          <w:sz w:val="24"/>
        </w:rPr>
      </w:pPr>
      <w:r w:rsidRPr="00570B42">
        <w:rPr>
          <w:sz w:val="24"/>
        </w:rPr>
        <w:t>P.O. Box 100, 1001 I Street</w:t>
      </w:r>
    </w:p>
    <w:p w14:paraId="1ACBD3F4" w14:textId="77777777" w:rsidR="00CD0460" w:rsidRPr="00570B42" w:rsidRDefault="00D34786" w:rsidP="00FB70CA">
      <w:pPr>
        <w:pStyle w:val="Indent50"/>
        <w:spacing w:after="120"/>
        <w:ind w:left="1440"/>
        <w:rPr>
          <w:sz w:val="24"/>
        </w:rPr>
      </w:pPr>
      <w:r w:rsidRPr="00570B42">
        <w:rPr>
          <w:sz w:val="24"/>
        </w:rPr>
        <w:t>Sacramento, CA 95812-0100</w:t>
      </w:r>
    </w:p>
    <w:p w14:paraId="188F056B" w14:textId="77777777" w:rsidR="0003252D" w:rsidRPr="00570B42" w:rsidRDefault="0003252D" w:rsidP="0003252D">
      <w:pPr>
        <w:pStyle w:val="Indent50"/>
        <w:rPr>
          <w:sz w:val="24"/>
        </w:rPr>
      </w:pPr>
      <w:r w:rsidRPr="00570B42">
        <w:rPr>
          <w:sz w:val="24"/>
        </w:rPr>
        <w:t xml:space="preserve">For instructions on how to file a petition for review, see </w:t>
      </w:r>
      <w:r w:rsidRPr="00570B42">
        <w:rPr>
          <w:sz w:val="24"/>
          <w:u w:val="single"/>
        </w:rPr>
        <w:t>http://www.waterboards.ca.gov/public_notices/petitions/water_quality/wqpetition_instr.shtml</w:t>
      </w:r>
      <w:r w:rsidRPr="00570B42">
        <w:rPr>
          <w:sz w:val="24"/>
        </w:rPr>
        <w:t>.</w:t>
      </w:r>
    </w:p>
    <w:p w14:paraId="41CFA22D" w14:textId="33E631E4" w:rsidR="00D34786" w:rsidRPr="00570B42" w:rsidRDefault="00D34786" w:rsidP="00D27F82">
      <w:pPr>
        <w:autoSpaceDE w:val="0"/>
        <w:autoSpaceDN w:val="0"/>
        <w:adjustRightInd w:val="0"/>
        <w:spacing w:after="240"/>
        <w:ind w:left="720" w:hanging="360"/>
        <w:rPr>
          <w:b/>
          <w:sz w:val="24"/>
          <w:szCs w:val="24"/>
        </w:rPr>
      </w:pPr>
      <w:bookmarkStart w:id="425" w:name="_Toc133308773"/>
      <w:bookmarkStart w:id="426" w:name="_Toc338152953"/>
      <w:bookmarkStart w:id="427" w:name="_Toc340137679"/>
      <w:r w:rsidRPr="00570B42">
        <w:rPr>
          <w:b/>
          <w:sz w:val="24"/>
          <w:szCs w:val="24"/>
        </w:rPr>
        <w:t>E.</w:t>
      </w:r>
      <w:r w:rsidRPr="00570B42">
        <w:rPr>
          <w:b/>
          <w:sz w:val="24"/>
          <w:szCs w:val="24"/>
        </w:rPr>
        <w:tab/>
        <w:t>Information and Copying</w:t>
      </w:r>
      <w:bookmarkEnd w:id="425"/>
      <w:bookmarkEnd w:id="426"/>
      <w:bookmarkEnd w:id="427"/>
      <w:r w:rsidR="00EF405D" w:rsidRPr="00570B42">
        <w:rPr>
          <w:b/>
          <w:sz w:val="24"/>
          <w:szCs w:val="24"/>
        </w:rPr>
        <w:t xml:space="preserve">. </w:t>
      </w:r>
      <w:r w:rsidR="00EF405D" w:rsidRPr="00570B42">
        <w:rPr>
          <w:sz w:val="24"/>
          <w:szCs w:val="24"/>
        </w:rPr>
        <w:t xml:space="preserve">The </w:t>
      </w:r>
      <w:r w:rsidR="00FE4FAC">
        <w:rPr>
          <w:sz w:val="24"/>
          <w:szCs w:val="24"/>
        </w:rPr>
        <w:t xml:space="preserve">San Francisco Bay Mercury and PCBs TMDLs, tentative order, </w:t>
      </w:r>
      <w:r w:rsidR="00EF405D" w:rsidRPr="00570B42">
        <w:rPr>
          <w:sz w:val="24"/>
          <w:szCs w:val="24"/>
        </w:rPr>
        <w:t>related supporting documents, and comments received are on file and may be inspected at the address above at any time between 9:00 a.m. and 5:00 p.m., Monday through Friday. Copying of documents may be arranged by calling (510) 622-2300.</w:t>
      </w:r>
    </w:p>
    <w:p w14:paraId="558D7D0D" w14:textId="77777777" w:rsidR="00D34786" w:rsidRPr="00570B42" w:rsidRDefault="00D34786" w:rsidP="00D27F82">
      <w:pPr>
        <w:autoSpaceDE w:val="0"/>
        <w:autoSpaceDN w:val="0"/>
        <w:adjustRightInd w:val="0"/>
        <w:spacing w:after="240"/>
        <w:ind w:left="720" w:hanging="360"/>
        <w:rPr>
          <w:b/>
          <w:sz w:val="24"/>
          <w:szCs w:val="24"/>
        </w:rPr>
      </w:pPr>
      <w:bookmarkStart w:id="428" w:name="_Toc133308774"/>
      <w:bookmarkStart w:id="429" w:name="_Toc338152954"/>
      <w:bookmarkStart w:id="430" w:name="_Toc340137680"/>
      <w:r w:rsidRPr="00570B42">
        <w:rPr>
          <w:b/>
          <w:sz w:val="24"/>
          <w:szCs w:val="24"/>
        </w:rPr>
        <w:t>F.</w:t>
      </w:r>
      <w:r w:rsidRPr="00570B42">
        <w:rPr>
          <w:b/>
          <w:sz w:val="24"/>
          <w:szCs w:val="24"/>
        </w:rPr>
        <w:tab/>
        <w:t>Register of Interested Persons</w:t>
      </w:r>
      <w:bookmarkEnd w:id="428"/>
      <w:bookmarkEnd w:id="429"/>
      <w:bookmarkEnd w:id="430"/>
      <w:r w:rsidR="00D27F82" w:rsidRPr="00570B42">
        <w:rPr>
          <w:b/>
          <w:sz w:val="24"/>
          <w:szCs w:val="24"/>
        </w:rPr>
        <w:t xml:space="preserve">. </w:t>
      </w:r>
      <w:r w:rsidR="00D27F82" w:rsidRPr="00570B42">
        <w:rPr>
          <w:sz w:val="24"/>
          <w:szCs w:val="24"/>
        </w:rPr>
        <w:t>Any person interested in being placed on the mailing list for information regarding the WDRs and NPDES permit should contact the Regional Water Board, reference the Facility, and provide a name, address, and phone number.</w:t>
      </w:r>
    </w:p>
    <w:p w14:paraId="06E29EB6" w14:textId="2D57B7D9" w:rsidR="00F878D4" w:rsidRPr="00A72EC9" w:rsidRDefault="00D34786" w:rsidP="00A72EC9">
      <w:pPr>
        <w:autoSpaceDE w:val="0"/>
        <w:autoSpaceDN w:val="0"/>
        <w:adjustRightInd w:val="0"/>
        <w:spacing w:after="240"/>
        <w:ind w:left="720" w:hanging="360"/>
        <w:rPr>
          <w:rFonts w:ascii="TimesNewRomanPSMT" w:hAnsi="TimesNewRomanPSMT" w:cs="TimesNewRomanPSMT"/>
          <w:b/>
          <w:sz w:val="24"/>
          <w:szCs w:val="24"/>
        </w:rPr>
        <w:sectPr w:rsidR="00F878D4" w:rsidRPr="00A72EC9" w:rsidSect="00C02C24">
          <w:footerReference w:type="default" r:id="rId52"/>
          <w:footerReference w:type="first" r:id="rId53"/>
          <w:footnotePr>
            <w:numRestart w:val="eachSect"/>
          </w:footnotePr>
          <w:endnotePr>
            <w:numFmt w:val="decimal"/>
          </w:endnotePr>
          <w:pgSz w:w="12240" w:h="15840" w:code="1"/>
          <w:pgMar w:top="1080" w:right="1080" w:bottom="1080" w:left="1080" w:header="547" w:footer="720" w:gutter="0"/>
          <w:pgNumType w:start="1" w:chapStyle="9"/>
          <w:cols w:space="720"/>
          <w:noEndnote/>
          <w:titlePg/>
          <w:docGrid w:linePitch="326"/>
        </w:sectPr>
      </w:pPr>
      <w:bookmarkStart w:id="431" w:name="_Toc338152955"/>
      <w:bookmarkStart w:id="432" w:name="_Toc340137681"/>
      <w:r w:rsidRPr="00570B42">
        <w:rPr>
          <w:b/>
          <w:sz w:val="24"/>
          <w:szCs w:val="24"/>
        </w:rPr>
        <w:t>G.</w:t>
      </w:r>
      <w:r w:rsidRPr="00570B42">
        <w:rPr>
          <w:b/>
          <w:sz w:val="24"/>
          <w:szCs w:val="24"/>
        </w:rPr>
        <w:tab/>
        <w:t>Additional Information</w:t>
      </w:r>
      <w:bookmarkEnd w:id="431"/>
      <w:bookmarkEnd w:id="432"/>
      <w:r w:rsidR="009841AC" w:rsidRPr="00570B42">
        <w:rPr>
          <w:b/>
          <w:sz w:val="24"/>
          <w:szCs w:val="24"/>
        </w:rPr>
        <w:t xml:space="preserve">. </w:t>
      </w:r>
      <w:r w:rsidR="009841AC" w:rsidRPr="00570B42">
        <w:rPr>
          <w:sz w:val="24"/>
          <w:szCs w:val="24"/>
        </w:rPr>
        <w:t xml:space="preserve">Requests for additional information or questions regarding this </w:t>
      </w:r>
      <w:r w:rsidR="0005714F" w:rsidRPr="00570B42">
        <w:rPr>
          <w:sz w:val="24"/>
          <w:szCs w:val="24"/>
        </w:rPr>
        <w:t>Order</w:t>
      </w:r>
      <w:r w:rsidR="001617A1" w:rsidRPr="00570B42">
        <w:rPr>
          <w:sz w:val="24"/>
          <w:szCs w:val="24"/>
        </w:rPr>
        <w:t xml:space="preserve"> </w:t>
      </w:r>
      <w:r w:rsidR="009841AC" w:rsidRPr="00570B42">
        <w:rPr>
          <w:sz w:val="24"/>
          <w:szCs w:val="24"/>
        </w:rPr>
        <w:t xml:space="preserve">should be directed to </w:t>
      </w:r>
      <w:r w:rsidR="0097203A" w:rsidRPr="00570B42">
        <w:rPr>
          <w:sz w:val="24"/>
          <w:szCs w:val="24"/>
        </w:rPr>
        <w:t>James Parrish</w:t>
      </w:r>
      <w:r w:rsidR="00747F5F" w:rsidRPr="00570B42">
        <w:rPr>
          <w:sz w:val="24"/>
          <w:szCs w:val="24"/>
        </w:rPr>
        <w:t>, at (510) 622-23</w:t>
      </w:r>
      <w:r w:rsidR="0097203A" w:rsidRPr="00570B42">
        <w:rPr>
          <w:sz w:val="24"/>
          <w:szCs w:val="24"/>
        </w:rPr>
        <w:t>81</w:t>
      </w:r>
      <w:r w:rsidR="00747F5F" w:rsidRPr="00570B42">
        <w:rPr>
          <w:sz w:val="24"/>
          <w:szCs w:val="24"/>
        </w:rPr>
        <w:t xml:space="preserve">, or </w:t>
      </w:r>
      <w:r w:rsidR="00AC3A7C" w:rsidRPr="00570B42">
        <w:rPr>
          <w:sz w:val="24"/>
          <w:szCs w:val="24"/>
        </w:rPr>
        <w:t>J</w:t>
      </w:r>
      <w:r w:rsidR="0097203A" w:rsidRPr="00570B42">
        <w:rPr>
          <w:sz w:val="24"/>
          <w:szCs w:val="24"/>
        </w:rPr>
        <w:t>ames.</w:t>
      </w:r>
      <w:r w:rsidR="00AC3A7C" w:rsidRPr="00570B42">
        <w:rPr>
          <w:sz w:val="24"/>
          <w:szCs w:val="24"/>
        </w:rPr>
        <w:t>P</w:t>
      </w:r>
      <w:r w:rsidR="0097203A" w:rsidRPr="00570B42">
        <w:rPr>
          <w:sz w:val="24"/>
          <w:szCs w:val="24"/>
        </w:rPr>
        <w:t>arrish</w:t>
      </w:r>
      <w:r w:rsidR="00747F5F" w:rsidRPr="00570B42">
        <w:rPr>
          <w:sz w:val="24"/>
          <w:szCs w:val="24"/>
        </w:rPr>
        <w:t>@waterboards.ca.gov.</w:t>
      </w:r>
      <w:bookmarkEnd w:id="170"/>
      <w:bookmarkEnd w:id="171"/>
      <w:bookmarkEnd w:id="172"/>
    </w:p>
    <w:p w14:paraId="049FB04B" w14:textId="7506B72A" w:rsidR="000731A9" w:rsidRPr="00F009DF" w:rsidRDefault="000731A9" w:rsidP="000731A9">
      <w:pPr>
        <w:jc w:val="center"/>
        <w:rPr>
          <w:spacing w:val="-3"/>
          <w:sz w:val="24"/>
          <w:szCs w:val="24"/>
        </w:rPr>
      </w:pPr>
      <w:r w:rsidRPr="00F009DF">
        <w:rPr>
          <w:b/>
          <w:sz w:val="24"/>
        </w:rPr>
        <w:lastRenderedPageBreak/>
        <w:t>APPENDIX F-1</w:t>
      </w:r>
    </w:p>
    <w:p w14:paraId="7D3ADBEC" w14:textId="25EDCEAD" w:rsidR="000731A9" w:rsidRPr="00F009DF" w:rsidRDefault="000731A9" w:rsidP="000731A9">
      <w:pPr>
        <w:jc w:val="center"/>
        <w:rPr>
          <w:b/>
          <w:sz w:val="24"/>
          <w:szCs w:val="24"/>
        </w:rPr>
      </w:pPr>
      <w:r w:rsidRPr="00F009DF">
        <w:rPr>
          <w:b/>
          <w:sz w:val="24"/>
          <w:szCs w:val="24"/>
        </w:rPr>
        <w:t>WHEN REQUIRED ACTIONS ARE TRIGGERED</w:t>
      </w:r>
    </w:p>
    <w:p w14:paraId="3D1B0555" w14:textId="2649F942" w:rsidR="00700D92" w:rsidRPr="000731A9" w:rsidRDefault="00700D92" w:rsidP="00700D9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4"/>
        </w:rPr>
      </w:pPr>
    </w:p>
    <w:p w14:paraId="6B587124" w14:textId="3542AB6D" w:rsidR="000731A9" w:rsidRPr="000731A9" w:rsidRDefault="005D3437" w:rsidP="000731A9">
      <w:pPr>
        <w:spacing w:after="120" w:line="270" w:lineRule="exact"/>
        <w:rPr>
          <w:sz w:val="24"/>
        </w:rPr>
      </w:pPr>
      <w:r>
        <w:rPr>
          <w:sz w:val="24"/>
        </w:rPr>
        <w:t>Discharger</w:t>
      </w:r>
      <w:r w:rsidR="000731A9" w:rsidRPr="000731A9">
        <w:rPr>
          <w:sz w:val="24"/>
        </w:rPr>
        <w:t xml:space="preserve"> X is subject to the following triggers:</w:t>
      </w:r>
    </w:p>
    <w:p w14:paraId="3AF95AAE" w14:textId="77777777" w:rsidR="000731A9" w:rsidRPr="000731A9" w:rsidRDefault="000731A9" w:rsidP="000731A9">
      <w:pPr>
        <w:spacing w:line="270" w:lineRule="exact"/>
        <w:ind w:left="540"/>
        <w:rPr>
          <w:sz w:val="24"/>
        </w:rPr>
      </w:pPr>
      <w:r w:rsidRPr="000731A9">
        <w:rPr>
          <w:sz w:val="24"/>
        </w:rPr>
        <w:t xml:space="preserve">Average Monthly Trigger = 0.041 </w:t>
      </w:r>
      <w:r w:rsidRPr="000731A9">
        <w:rPr>
          <w:sz w:val="24"/>
        </w:rPr>
        <w:sym w:font="Symbol" w:char="F06D"/>
      </w:r>
      <w:r w:rsidRPr="000731A9">
        <w:rPr>
          <w:sz w:val="24"/>
        </w:rPr>
        <w:t>g/L</w:t>
      </w:r>
    </w:p>
    <w:p w14:paraId="0B188E92" w14:textId="77777777" w:rsidR="000731A9" w:rsidRPr="000731A9" w:rsidRDefault="000731A9" w:rsidP="000731A9">
      <w:pPr>
        <w:spacing w:line="270" w:lineRule="exact"/>
        <w:ind w:left="540"/>
        <w:rPr>
          <w:sz w:val="24"/>
        </w:rPr>
      </w:pPr>
      <w:r w:rsidRPr="000731A9">
        <w:rPr>
          <w:sz w:val="24"/>
        </w:rPr>
        <w:t xml:space="preserve">Maximum Daily Trigger = 0.065 </w:t>
      </w:r>
      <w:r w:rsidRPr="000731A9">
        <w:rPr>
          <w:sz w:val="24"/>
        </w:rPr>
        <w:sym w:font="Symbol" w:char="F06D"/>
      </w:r>
      <w:r w:rsidRPr="000731A9">
        <w:rPr>
          <w:sz w:val="24"/>
        </w:rPr>
        <w:t>g/L</w:t>
      </w:r>
    </w:p>
    <w:p w14:paraId="482223D9" w14:textId="77777777" w:rsidR="000731A9" w:rsidRPr="000731A9" w:rsidRDefault="000731A9" w:rsidP="000731A9">
      <w:pPr>
        <w:spacing w:line="270" w:lineRule="exact"/>
        <w:ind w:left="540"/>
        <w:rPr>
          <w:sz w:val="24"/>
        </w:rPr>
      </w:pPr>
      <w:r w:rsidRPr="000731A9">
        <w:rPr>
          <w:sz w:val="24"/>
        </w:rPr>
        <w:t>12-month Mass Emission Trigger = 0.91 kg/yr</w:t>
      </w:r>
    </w:p>
    <w:p w14:paraId="60C60722" w14:textId="77777777" w:rsidR="000731A9" w:rsidRPr="000731A9" w:rsidRDefault="000731A9" w:rsidP="000731A9">
      <w:pPr>
        <w:spacing w:line="270" w:lineRule="exact"/>
        <w:rPr>
          <w:sz w:val="24"/>
        </w:rPr>
      </w:pPr>
    </w:p>
    <w:p w14:paraId="280C923F" w14:textId="293F461D" w:rsidR="000731A9" w:rsidRPr="000731A9" w:rsidRDefault="000731A9" w:rsidP="000731A9">
      <w:pPr>
        <w:spacing w:line="270" w:lineRule="exact"/>
        <w:rPr>
          <w:sz w:val="24"/>
        </w:rPr>
      </w:pPr>
      <w:r w:rsidRPr="000731A9">
        <w:rPr>
          <w:sz w:val="24"/>
        </w:rPr>
        <w:t xml:space="preserve">A sample </w:t>
      </w:r>
      <w:r w:rsidR="005D3437">
        <w:rPr>
          <w:sz w:val="24"/>
        </w:rPr>
        <w:t xml:space="preserve">was </w:t>
      </w:r>
      <w:r w:rsidRPr="000731A9">
        <w:rPr>
          <w:sz w:val="24"/>
        </w:rPr>
        <w:t>collected on May 4</w:t>
      </w:r>
      <w:r w:rsidRPr="000731A9">
        <w:rPr>
          <w:sz w:val="24"/>
          <w:vertAlign w:val="superscript"/>
        </w:rPr>
        <w:t>th</w:t>
      </w:r>
      <w:r w:rsidRPr="000731A9">
        <w:rPr>
          <w:sz w:val="24"/>
        </w:rPr>
        <w:t xml:space="preserve"> is 0.046 </w:t>
      </w:r>
      <w:r w:rsidRPr="000731A9">
        <w:rPr>
          <w:sz w:val="24"/>
        </w:rPr>
        <w:sym w:font="Symbol" w:char="F06D"/>
      </w:r>
      <w:r w:rsidRPr="000731A9">
        <w:rPr>
          <w:sz w:val="24"/>
        </w:rPr>
        <w:t>g/L, with the results received on May 30</w:t>
      </w:r>
      <w:r w:rsidRPr="000731A9">
        <w:rPr>
          <w:sz w:val="24"/>
          <w:vertAlign w:val="superscript"/>
        </w:rPr>
        <w:t>th</w:t>
      </w:r>
      <w:r w:rsidR="005D3437">
        <w:rPr>
          <w:sz w:val="24"/>
        </w:rPr>
        <w:t xml:space="preserve"> by D</w:t>
      </w:r>
      <w:r w:rsidRPr="000731A9">
        <w:rPr>
          <w:sz w:val="24"/>
        </w:rPr>
        <w:t>ischarger X from its contract laboratory.</w:t>
      </w:r>
    </w:p>
    <w:p w14:paraId="05534E23" w14:textId="77777777" w:rsidR="000731A9" w:rsidRPr="000731A9" w:rsidRDefault="000731A9" w:rsidP="000731A9">
      <w:pPr>
        <w:spacing w:line="270" w:lineRule="exact"/>
        <w:rPr>
          <w:sz w:val="24"/>
        </w:rPr>
      </w:pPr>
    </w:p>
    <w:p w14:paraId="67E9409F" w14:textId="7D55CF28" w:rsidR="000731A9" w:rsidRPr="000731A9" w:rsidRDefault="000731A9" w:rsidP="000731A9">
      <w:pPr>
        <w:spacing w:line="270" w:lineRule="exact"/>
        <w:rPr>
          <w:sz w:val="24"/>
        </w:rPr>
      </w:pPr>
      <w:r w:rsidRPr="000731A9">
        <w:rPr>
          <w:b/>
          <w:sz w:val="24"/>
        </w:rPr>
        <w:t>Discharger Action</w:t>
      </w:r>
      <w:r w:rsidR="00DA25C3">
        <w:rPr>
          <w:b/>
          <w:sz w:val="24"/>
        </w:rPr>
        <w:t xml:space="preserve"> 1</w:t>
      </w:r>
      <w:r w:rsidRPr="000731A9">
        <w:rPr>
          <w:b/>
          <w:sz w:val="24"/>
        </w:rPr>
        <w:t>:</w:t>
      </w:r>
      <w:r w:rsidRPr="000731A9">
        <w:rPr>
          <w:sz w:val="24"/>
        </w:rPr>
        <w:t xml:space="preserve"> Initiate accelerated monitoring (weekly or more frequent) as soon as practical (within 48 hours) after receipt of sample result above trigger level (0.046 </w:t>
      </w:r>
      <w:r w:rsidRPr="000731A9">
        <w:rPr>
          <w:sz w:val="24"/>
        </w:rPr>
        <w:sym w:font="Symbol" w:char="F06D"/>
      </w:r>
      <w:r w:rsidRPr="000731A9">
        <w:rPr>
          <w:sz w:val="24"/>
        </w:rPr>
        <w:t xml:space="preserve">g/L is above the monthly trigger of 0.041 </w:t>
      </w:r>
      <w:r w:rsidRPr="000731A9">
        <w:rPr>
          <w:sz w:val="24"/>
        </w:rPr>
        <w:sym w:font="Symbol" w:char="F06D"/>
      </w:r>
      <w:r w:rsidRPr="000731A9">
        <w:rPr>
          <w:sz w:val="24"/>
        </w:rPr>
        <w:t xml:space="preserve">g/L). </w:t>
      </w:r>
    </w:p>
    <w:p w14:paraId="7A60FE88" w14:textId="77777777" w:rsidR="000731A9" w:rsidRPr="000731A9" w:rsidRDefault="000731A9" w:rsidP="000731A9">
      <w:pPr>
        <w:spacing w:line="270" w:lineRule="exact"/>
        <w:rPr>
          <w:sz w:val="24"/>
        </w:rPr>
      </w:pPr>
    </w:p>
    <w:p w14:paraId="7611A163" w14:textId="3405B2F2" w:rsidR="000731A9" w:rsidRPr="000731A9" w:rsidRDefault="000731A9" w:rsidP="000731A9">
      <w:pPr>
        <w:spacing w:line="270" w:lineRule="exact"/>
        <w:rPr>
          <w:sz w:val="24"/>
        </w:rPr>
      </w:pPr>
      <w:r w:rsidRPr="000731A9">
        <w:rPr>
          <w:b/>
          <w:sz w:val="24"/>
        </w:rPr>
        <w:t>Discharger Action</w:t>
      </w:r>
      <w:r w:rsidR="00DA25C3">
        <w:rPr>
          <w:b/>
          <w:sz w:val="24"/>
        </w:rPr>
        <w:t xml:space="preserve"> 2</w:t>
      </w:r>
      <w:r w:rsidRPr="000731A9">
        <w:rPr>
          <w:b/>
          <w:sz w:val="24"/>
        </w:rPr>
        <w:t>:</w:t>
      </w:r>
      <w:r w:rsidRPr="000731A9">
        <w:rPr>
          <w:sz w:val="24"/>
        </w:rPr>
        <w:t xml:space="preserve"> Report this exceedance in its cover sheet for the May self-monitoring report (due June 30</w:t>
      </w:r>
      <w:r w:rsidRPr="000731A9">
        <w:rPr>
          <w:sz w:val="24"/>
          <w:vertAlign w:val="superscript"/>
        </w:rPr>
        <w:t>th</w:t>
      </w:r>
      <w:r w:rsidRPr="000731A9">
        <w:rPr>
          <w:sz w:val="24"/>
        </w:rPr>
        <w:t>), and continue to report mercury data on the cover sheet until successful completion.</w:t>
      </w:r>
    </w:p>
    <w:p w14:paraId="1D694815" w14:textId="77777777" w:rsidR="000731A9" w:rsidRPr="000731A9" w:rsidRDefault="000731A9" w:rsidP="000731A9">
      <w:pPr>
        <w:spacing w:line="270" w:lineRule="exact"/>
        <w:rPr>
          <w:sz w:val="24"/>
        </w:rPr>
      </w:pPr>
    </w:p>
    <w:p w14:paraId="6AFEFD81" w14:textId="5828EB2F" w:rsidR="000731A9" w:rsidRPr="000731A9" w:rsidRDefault="000731A9" w:rsidP="000731A9">
      <w:pPr>
        <w:spacing w:line="270" w:lineRule="exact"/>
        <w:rPr>
          <w:sz w:val="24"/>
        </w:rPr>
      </w:pPr>
      <w:r w:rsidRPr="000731A9">
        <w:rPr>
          <w:b/>
          <w:sz w:val="24"/>
        </w:rPr>
        <w:t>Discharger Action</w:t>
      </w:r>
      <w:r w:rsidR="00DA25C3">
        <w:rPr>
          <w:b/>
          <w:sz w:val="24"/>
        </w:rPr>
        <w:t xml:space="preserve"> 3</w:t>
      </w:r>
      <w:r w:rsidRPr="000731A9">
        <w:rPr>
          <w:b/>
          <w:sz w:val="24"/>
        </w:rPr>
        <w:t xml:space="preserve">: </w:t>
      </w:r>
      <w:r w:rsidRPr="000731A9">
        <w:rPr>
          <w:sz w:val="24"/>
        </w:rPr>
        <w:t xml:space="preserve">Continue accelerated monitoring until not less than a total of 6 new samples have been collected. </w:t>
      </w:r>
    </w:p>
    <w:p w14:paraId="535040B0" w14:textId="77777777" w:rsidR="000731A9" w:rsidRPr="000731A9" w:rsidRDefault="000731A9" w:rsidP="000731A9">
      <w:pPr>
        <w:spacing w:line="270" w:lineRule="exact"/>
        <w:rPr>
          <w:sz w:val="24"/>
        </w:rPr>
      </w:pPr>
    </w:p>
    <w:p w14:paraId="48CE7F79" w14:textId="77777777" w:rsidR="000731A9" w:rsidRPr="000731A9" w:rsidRDefault="000731A9" w:rsidP="000731A9">
      <w:pPr>
        <w:spacing w:after="120" w:line="270" w:lineRule="exact"/>
        <w:rPr>
          <w:sz w:val="24"/>
        </w:rPr>
      </w:pPr>
      <w:r w:rsidRPr="000731A9">
        <w:rPr>
          <w:sz w:val="24"/>
        </w:rPr>
        <w:t>Discharger X’s accelerated samples reveal the following results:</w:t>
      </w:r>
    </w:p>
    <w:tbl>
      <w:tblPr>
        <w:tblW w:w="0" w:type="auto"/>
        <w:tblInd w:w="1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79"/>
        <w:gridCol w:w="2429"/>
        <w:gridCol w:w="2300"/>
      </w:tblGrid>
      <w:tr w:rsidR="000731A9" w:rsidRPr="000731A9" w14:paraId="6004BB34" w14:textId="77777777" w:rsidTr="00AB124F">
        <w:tc>
          <w:tcPr>
            <w:tcW w:w="2579" w:type="dxa"/>
            <w:shd w:val="clear" w:color="auto" w:fill="auto"/>
          </w:tcPr>
          <w:p w14:paraId="34FD0F23" w14:textId="77777777" w:rsidR="000731A9" w:rsidRPr="000731A9" w:rsidRDefault="000731A9" w:rsidP="000731A9">
            <w:pPr>
              <w:spacing w:line="270" w:lineRule="exact"/>
              <w:jc w:val="center"/>
              <w:rPr>
                <w:b/>
              </w:rPr>
            </w:pPr>
            <w:r w:rsidRPr="000731A9">
              <w:rPr>
                <w:b/>
              </w:rPr>
              <w:t>Sample Date</w:t>
            </w:r>
          </w:p>
        </w:tc>
        <w:tc>
          <w:tcPr>
            <w:tcW w:w="2429" w:type="dxa"/>
            <w:shd w:val="clear" w:color="auto" w:fill="auto"/>
          </w:tcPr>
          <w:p w14:paraId="6B3A84CF" w14:textId="77777777" w:rsidR="000731A9" w:rsidRPr="000731A9" w:rsidRDefault="000731A9" w:rsidP="000731A9">
            <w:pPr>
              <w:spacing w:line="270" w:lineRule="exact"/>
              <w:jc w:val="center"/>
              <w:rPr>
                <w:b/>
              </w:rPr>
            </w:pPr>
            <w:r w:rsidRPr="000731A9">
              <w:rPr>
                <w:b/>
              </w:rPr>
              <w:t xml:space="preserve">Sample Result, </w:t>
            </w:r>
            <w:r w:rsidRPr="000731A9">
              <w:rPr>
                <w:b/>
              </w:rPr>
              <w:sym w:font="Symbol" w:char="F06D"/>
            </w:r>
            <w:r w:rsidRPr="000731A9">
              <w:rPr>
                <w:b/>
              </w:rPr>
              <w:t>g/L</w:t>
            </w:r>
          </w:p>
        </w:tc>
        <w:tc>
          <w:tcPr>
            <w:tcW w:w="2300" w:type="dxa"/>
            <w:shd w:val="clear" w:color="auto" w:fill="auto"/>
          </w:tcPr>
          <w:p w14:paraId="3F05E3E6" w14:textId="77777777" w:rsidR="000731A9" w:rsidRPr="000731A9" w:rsidRDefault="000731A9" w:rsidP="000731A9">
            <w:pPr>
              <w:spacing w:line="270" w:lineRule="exact"/>
              <w:jc w:val="center"/>
              <w:rPr>
                <w:b/>
              </w:rPr>
            </w:pPr>
            <w:r w:rsidRPr="000731A9">
              <w:rPr>
                <w:b/>
              </w:rPr>
              <w:t>12-month mass, kg/yr</w:t>
            </w:r>
          </w:p>
        </w:tc>
      </w:tr>
      <w:tr w:rsidR="000731A9" w:rsidRPr="000731A9" w14:paraId="19687B37" w14:textId="77777777" w:rsidTr="00AB124F">
        <w:tc>
          <w:tcPr>
            <w:tcW w:w="2579" w:type="dxa"/>
            <w:shd w:val="clear" w:color="auto" w:fill="auto"/>
          </w:tcPr>
          <w:p w14:paraId="308EB320" w14:textId="77777777" w:rsidR="000731A9" w:rsidRPr="000731A9" w:rsidRDefault="000731A9" w:rsidP="000731A9">
            <w:pPr>
              <w:spacing w:line="270" w:lineRule="exact"/>
              <w:jc w:val="center"/>
            </w:pPr>
            <w:r w:rsidRPr="000731A9">
              <w:t>(May 4)</w:t>
            </w:r>
          </w:p>
        </w:tc>
        <w:tc>
          <w:tcPr>
            <w:tcW w:w="2429" w:type="dxa"/>
            <w:shd w:val="clear" w:color="auto" w:fill="auto"/>
          </w:tcPr>
          <w:p w14:paraId="6D7AA86A" w14:textId="77777777" w:rsidR="000731A9" w:rsidRPr="000731A9" w:rsidRDefault="000731A9" w:rsidP="000731A9">
            <w:pPr>
              <w:spacing w:line="270" w:lineRule="exact"/>
              <w:jc w:val="center"/>
              <w:rPr>
                <w:b/>
              </w:rPr>
            </w:pPr>
            <w:r w:rsidRPr="000731A9">
              <w:rPr>
                <w:b/>
              </w:rPr>
              <w:t>(0.046)</w:t>
            </w:r>
          </w:p>
        </w:tc>
        <w:tc>
          <w:tcPr>
            <w:tcW w:w="2300" w:type="dxa"/>
            <w:shd w:val="clear" w:color="auto" w:fill="auto"/>
          </w:tcPr>
          <w:p w14:paraId="159BE9E4" w14:textId="77777777" w:rsidR="000731A9" w:rsidRPr="000731A9" w:rsidRDefault="000731A9" w:rsidP="000731A9">
            <w:pPr>
              <w:spacing w:line="270" w:lineRule="exact"/>
              <w:jc w:val="center"/>
            </w:pPr>
            <w:r w:rsidRPr="000731A9">
              <w:t>0.80</w:t>
            </w:r>
          </w:p>
        </w:tc>
      </w:tr>
      <w:tr w:rsidR="000731A9" w:rsidRPr="000731A9" w14:paraId="00610788" w14:textId="77777777" w:rsidTr="00AB124F">
        <w:tc>
          <w:tcPr>
            <w:tcW w:w="2579" w:type="dxa"/>
            <w:shd w:val="clear" w:color="auto" w:fill="auto"/>
          </w:tcPr>
          <w:p w14:paraId="584BA6F9" w14:textId="77777777" w:rsidR="000731A9" w:rsidRPr="000731A9" w:rsidRDefault="000731A9" w:rsidP="000731A9">
            <w:pPr>
              <w:spacing w:line="270" w:lineRule="exact"/>
              <w:jc w:val="center"/>
            </w:pPr>
            <w:r w:rsidRPr="000731A9">
              <w:t>June 1</w:t>
            </w:r>
          </w:p>
        </w:tc>
        <w:tc>
          <w:tcPr>
            <w:tcW w:w="2429" w:type="dxa"/>
            <w:shd w:val="clear" w:color="auto" w:fill="auto"/>
          </w:tcPr>
          <w:p w14:paraId="69518EEC" w14:textId="77777777" w:rsidR="000731A9" w:rsidRPr="000731A9" w:rsidRDefault="000731A9" w:rsidP="000731A9">
            <w:pPr>
              <w:spacing w:line="270" w:lineRule="exact"/>
              <w:jc w:val="center"/>
            </w:pPr>
            <w:r w:rsidRPr="000731A9">
              <w:t>0.031</w:t>
            </w:r>
          </w:p>
        </w:tc>
        <w:tc>
          <w:tcPr>
            <w:tcW w:w="2300" w:type="dxa"/>
            <w:shd w:val="clear" w:color="auto" w:fill="auto"/>
          </w:tcPr>
          <w:p w14:paraId="78E4E639" w14:textId="77777777" w:rsidR="000731A9" w:rsidRPr="000731A9" w:rsidRDefault="000731A9" w:rsidP="000731A9">
            <w:pPr>
              <w:spacing w:line="270" w:lineRule="exact"/>
              <w:jc w:val="center"/>
            </w:pPr>
            <w:r w:rsidRPr="000731A9">
              <w:t>0.79</w:t>
            </w:r>
          </w:p>
        </w:tc>
      </w:tr>
      <w:tr w:rsidR="000731A9" w:rsidRPr="000731A9" w14:paraId="6DF06DAF" w14:textId="77777777" w:rsidTr="00AB124F">
        <w:tc>
          <w:tcPr>
            <w:tcW w:w="2579" w:type="dxa"/>
            <w:shd w:val="clear" w:color="auto" w:fill="auto"/>
          </w:tcPr>
          <w:p w14:paraId="256A9266" w14:textId="77777777" w:rsidR="000731A9" w:rsidRPr="000731A9" w:rsidRDefault="000731A9" w:rsidP="000731A9">
            <w:pPr>
              <w:spacing w:line="270" w:lineRule="exact"/>
              <w:jc w:val="center"/>
            </w:pPr>
            <w:r w:rsidRPr="000731A9">
              <w:t>June 5</w:t>
            </w:r>
          </w:p>
        </w:tc>
        <w:tc>
          <w:tcPr>
            <w:tcW w:w="2429" w:type="dxa"/>
            <w:shd w:val="clear" w:color="auto" w:fill="auto"/>
          </w:tcPr>
          <w:p w14:paraId="047F0A0F" w14:textId="77777777" w:rsidR="000731A9" w:rsidRPr="000731A9" w:rsidRDefault="000731A9" w:rsidP="000731A9">
            <w:pPr>
              <w:spacing w:line="270" w:lineRule="exact"/>
              <w:jc w:val="center"/>
            </w:pPr>
            <w:r w:rsidRPr="000731A9">
              <w:t>0.059</w:t>
            </w:r>
          </w:p>
        </w:tc>
        <w:tc>
          <w:tcPr>
            <w:tcW w:w="2300" w:type="dxa"/>
            <w:shd w:val="clear" w:color="auto" w:fill="auto"/>
          </w:tcPr>
          <w:p w14:paraId="18B18964" w14:textId="77777777" w:rsidR="000731A9" w:rsidRPr="000731A9" w:rsidRDefault="000731A9" w:rsidP="000731A9">
            <w:pPr>
              <w:spacing w:line="270" w:lineRule="exact"/>
              <w:jc w:val="center"/>
            </w:pPr>
            <w:r w:rsidRPr="000731A9">
              <w:t>0.82</w:t>
            </w:r>
          </w:p>
        </w:tc>
      </w:tr>
      <w:tr w:rsidR="000731A9" w:rsidRPr="000731A9" w14:paraId="69F90ADC" w14:textId="77777777" w:rsidTr="00AB124F">
        <w:tc>
          <w:tcPr>
            <w:tcW w:w="2579" w:type="dxa"/>
            <w:shd w:val="clear" w:color="auto" w:fill="auto"/>
          </w:tcPr>
          <w:p w14:paraId="3BACC0CB" w14:textId="77777777" w:rsidR="000731A9" w:rsidRPr="000731A9" w:rsidRDefault="000731A9" w:rsidP="000731A9">
            <w:pPr>
              <w:spacing w:line="270" w:lineRule="exact"/>
              <w:jc w:val="center"/>
            </w:pPr>
            <w:r w:rsidRPr="000731A9">
              <w:t>June 14</w:t>
            </w:r>
          </w:p>
        </w:tc>
        <w:tc>
          <w:tcPr>
            <w:tcW w:w="2429" w:type="dxa"/>
            <w:shd w:val="clear" w:color="auto" w:fill="auto"/>
          </w:tcPr>
          <w:p w14:paraId="6D6D0D13" w14:textId="77777777" w:rsidR="000731A9" w:rsidRPr="000731A9" w:rsidRDefault="000731A9" w:rsidP="000731A9">
            <w:pPr>
              <w:spacing w:line="270" w:lineRule="exact"/>
              <w:jc w:val="center"/>
            </w:pPr>
            <w:r w:rsidRPr="000731A9">
              <w:t>0.023</w:t>
            </w:r>
          </w:p>
        </w:tc>
        <w:tc>
          <w:tcPr>
            <w:tcW w:w="2300" w:type="dxa"/>
            <w:shd w:val="clear" w:color="auto" w:fill="auto"/>
          </w:tcPr>
          <w:p w14:paraId="0B9B903C" w14:textId="77777777" w:rsidR="000731A9" w:rsidRPr="000731A9" w:rsidRDefault="000731A9" w:rsidP="000731A9">
            <w:pPr>
              <w:spacing w:line="270" w:lineRule="exact"/>
              <w:jc w:val="center"/>
            </w:pPr>
            <w:r w:rsidRPr="000731A9">
              <w:t>0.81</w:t>
            </w:r>
          </w:p>
        </w:tc>
      </w:tr>
      <w:tr w:rsidR="000731A9" w:rsidRPr="000731A9" w14:paraId="004D3215" w14:textId="77777777" w:rsidTr="00AB124F">
        <w:tc>
          <w:tcPr>
            <w:tcW w:w="2579" w:type="dxa"/>
            <w:shd w:val="clear" w:color="auto" w:fill="auto"/>
          </w:tcPr>
          <w:p w14:paraId="12229B8D" w14:textId="77777777" w:rsidR="000731A9" w:rsidRPr="000731A9" w:rsidRDefault="000731A9" w:rsidP="000731A9">
            <w:pPr>
              <w:spacing w:line="270" w:lineRule="exact"/>
              <w:jc w:val="center"/>
            </w:pPr>
            <w:r w:rsidRPr="000731A9">
              <w:t>June 18</w:t>
            </w:r>
          </w:p>
        </w:tc>
        <w:tc>
          <w:tcPr>
            <w:tcW w:w="2429" w:type="dxa"/>
            <w:shd w:val="clear" w:color="auto" w:fill="auto"/>
          </w:tcPr>
          <w:p w14:paraId="54B62CD7" w14:textId="77777777" w:rsidR="000731A9" w:rsidRPr="000731A9" w:rsidRDefault="000731A9" w:rsidP="000731A9">
            <w:pPr>
              <w:spacing w:line="270" w:lineRule="exact"/>
              <w:jc w:val="center"/>
            </w:pPr>
            <w:r w:rsidRPr="000731A9">
              <w:t>0.055</w:t>
            </w:r>
          </w:p>
        </w:tc>
        <w:tc>
          <w:tcPr>
            <w:tcW w:w="2300" w:type="dxa"/>
            <w:shd w:val="clear" w:color="auto" w:fill="auto"/>
          </w:tcPr>
          <w:p w14:paraId="6BE30BEB" w14:textId="77777777" w:rsidR="000731A9" w:rsidRPr="000731A9" w:rsidRDefault="000731A9" w:rsidP="000731A9">
            <w:pPr>
              <w:spacing w:line="270" w:lineRule="exact"/>
              <w:jc w:val="center"/>
            </w:pPr>
            <w:r w:rsidRPr="000731A9">
              <w:t>0.82</w:t>
            </w:r>
          </w:p>
        </w:tc>
      </w:tr>
      <w:tr w:rsidR="000731A9" w:rsidRPr="000731A9" w14:paraId="4BF4BEF1" w14:textId="77777777" w:rsidTr="00AB124F">
        <w:tc>
          <w:tcPr>
            <w:tcW w:w="2579" w:type="dxa"/>
            <w:shd w:val="clear" w:color="auto" w:fill="auto"/>
          </w:tcPr>
          <w:p w14:paraId="2C86FEE9" w14:textId="77777777" w:rsidR="000731A9" w:rsidRPr="000731A9" w:rsidRDefault="000731A9" w:rsidP="000731A9">
            <w:pPr>
              <w:spacing w:line="270" w:lineRule="exact"/>
              <w:jc w:val="center"/>
            </w:pPr>
            <w:r w:rsidRPr="000731A9">
              <w:t>June 30</w:t>
            </w:r>
          </w:p>
        </w:tc>
        <w:tc>
          <w:tcPr>
            <w:tcW w:w="2429" w:type="dxa"/>
            <w:shd w:val="clear" w:color="auto" w:fill="auto"/>
          </w:tcPr>
          <w:p w14:paraId="51EDFBB9" w14:textId="77777777" w:rsidR="000731A9" w:rsidRPr="000731A9" w:rsidRDefault="000731A9" w:rsidP="000731A9">
            <w:pPr>
              <w:spacing w:line="270" w:lineRule="exact"/>
              <w:jc w:val="center"/>
            </w:pPr>
            <w:r w:rsidRPr="000731A9">
              <w:t>0.040</w:t>
            </w:r>
          </w:p>
        </w:tc>
        <w:tc>
          <w:tcPr>
            <w:tcW w:w="2300" w:type="dxa"/>
            <w:shd w:val="clear" w:color="auto" w:fill="auto"/>
          </w:tcPr>
          <w:p w14:paraId="31DED095" w14:textId="77777777" w:rsidR="000731A9" w:rsidRPr="000731A9" w:rsidRDefault="000731A9" w:rsidP="000731A9">
            <w:pPr>
              <w:spacing w:line="270" w:lineRule="exact"/>
              <w:jc w:val="center"/>
            </w:pPr>
            <w:r w:rsidRPr="000731A9">
              <w:t>0.82</w:t>
            </w:r>
          </w:p>
        </w:tc>
      </w:tr>
      <w:tr w:rsidR="000731A9" w:rsidRPr="000731A9" w14:paraId="6CBD1DF6" w14:textId="77777777" w:rsidTr="00AB124F">
        <w:tc>
          <w:tcPr>
            <w:tcW w:w="2579" w:type="dxa"/>
            <w:shd w:val="clear" w:color="auto" w:fill="auto"/>
          </w:tcPr>
          <w:p w14:paraId="074E0317" w14:textId="77777777" w:rsidR="000731A9" w:rsidRPr="000731A9" w:rsidRDefault="000731A9" w:rsidP="000731A9">
            <w:pPr>
              <w:spacing w:line="270" w:lineRule="exact"/>
              <w:jc w:val="center"/>
            </w:pPr>
            <w:r w:rsidRPr="000731A9">
              <w:t>July 5</w:t>
            </w:r>
          </w:p>
        </w:tc>
        <w:tc>
          <w:tcPr>
            <w:tcW w:w="2429" w:type="dxa"/>
            <w:shd w:val="clear" w:color="auto" w:fill="auto"/>
          </w:tcPr>
          <w:p w14:paraId="56D92D2C" w14:textId="77777777" w:rsidR="000731A9" w:rsidRPr="000731A9" w:rsidRDefault="000731A9" w:rsidP="000731A9">
            <w:pPr>
              <w:spacing w:line="270" w:lineRule="exact"/>
              <w:jc w:val="center"/>
            </w:pPr>
            <w:r w:rsidRPr="000731A9">
              <w:t>0.029</w:t>
            </w:r>
          </w:p>
        </w:tc>
        <w:tc>
          <w:tcPr>
            <w:tcW w:w="2300" w:type="dxa"/>
            <w:shd w:val="clear" w:color="auto" w:fill="auto"/>
          </w:tcPr>
          <w:p w14:paraId="64A6C414" w14:textId="77777777" w:rsidR="000731A9" w:rsidRPr="000731A9" w:rsidRDefault="000731A9" w:rsidP="000731A9">
            <w:pPr>
              <w:spacing w:line="270" w:lineRule="exact"/>
              <w:jc w:val="center"/>
            </w:pPr>
            <w:r w:rsidRPr="000731A9">
              <w:t>0.81</w:t>
            </w:r>
          </w:p>
        </w:tc>
      </w:tr>
    </w:tbl>
    <w:p w14:paraId="2E335962" w14:textId="77777777" w:rsidR="000731A9" w:rsidRPr="000731A9" w:rsidRDefault="000731A9" w:rsidP="000731A9">
      <w:pPr>
        <w:spacing w:line="270" w:lineRule="exact"/>
      </w:pPr>
    </w:p>
    <w:p w14:paraId="02F8D78D" w14:textId="5B5D1863" w:rsidR="000731A9" w:rsidRPr="000731A9" w:rsidRDefault="000731A9" w:rsidP="000731A9">
      <w:pPr>
        <w:spacing w:line="270" w:lineRule="exact"/>
        <w:rPr>
          <w:sz w:val="24"/>
        </w:rPr>
      </w:pPr>
      <w:r w:rsidRPr="000731A9">
        <w:rPr>
          <w:b/>
          <w:sz w:val="24"/>
        </w:rPr>
        <w:t>Discharger Action</w:t>
      </w:r>
      <w:r w:rsidR="00DA25C3">
        <w:rPr>
          <w:b/>
          <w:sz w:val="24"/>
        </w:rPr>
        <w:t xml:space="preserve"> 4</w:t>
      </w:r>
      <w:r w:rsidRPr="000731A9">
        <w:rPr>
          <w:b/>
          <w:sz w:val="24"/>
        </w:rPr>
        <w:t xml:space="preserve">: </w:t>
      </w:r>
      <w:r w:rsidRPr="000731A9">
        <w:rPr>
          <w:sz w:val="24"/>
        </w:rPr>
        <w:t>Initiate, no later than July 5, development of Ac</w:t>
      </w:r>
      <w:r w:rsidR="00DA25C3">
        <w:rPr>
          <w:sz w:val="24"/>
        </w:rPr>
        <w:t>tion Plan for Mercury Reduction</w:t>
      </w:r>
      <w:r w:rsidRPr="000731A9">
        <w:rPr>
          <w:sz w:val="24"/>
        </w:rPr>
        <w:t>.</w:t>
      </w:r>
    </w:p>
    <w:p w14:paraId="1F71F29F" w14:textId="21A0C6F3" w:rsidR="000731A9" w:rsidRPr="000731A9" w:rsidRDefault="000731A9" w:rsidP="000731A9">
      <w:pPr>
        <w:spacing w:line="270" w:lineRule="exact"/>
        <w:ind w:left="360"/>
        <w:rPr>
          <w:sz w:val="24"/>
        </w:rPr>
      </w:pPr>
      <w:r w:rsidRPr="000731A9">
        <w:rPr>
          <w:b/>
          <w:sz w:val="24"/>
        </w:rPr>
        <w:t>Note</w:t>
      </w:r>
      <w:r w:rsidRPr="000731A9">
        <w:rPr>
          <w:sz w:val="24"/>
        </w:rPr>
        <w:t xml:space="preserve">: Despite the fact that the one sample for July </w:t>
      </w:r>
      <w:r w:rsidR="00DA25C3">
        <w:rPr>
          <w:sz w:val="24"/>
        </w:rPr>
        <w:t>is</w:t>
      </w:r>
      <w:r w:rsidRPr="000731A9">
        <w:rPr>
          <w:sz w:val="24"/>
        </w:rPr>
        <w:t xml:space="preserve"> below all three triggers, the average of the samples in June is above the monthly average trigger.</w:t>
      </w:r>
    </w:p>
    <w:p w14:paraId="717592A8" w14:textId="77777777" w:rsidR="000731A9" w:rsidRPr="000731A9" w:rsidRDefault="000731A9" w:rsidP="000731A9">
      <w:pPr>
        <w:spacing w:line="270" w:lineRule="exact"/>
        <w:rPr>
          <w:sz w:val="24"/>
        </w:rPr>
      </w:pPr>
    </w:p>
    <w:p w14:paraId="46882028" w14:textId="734CE864" w:rsidR="000731A9" w:rsidRPr="000731A9" w:rsidRDefault="000731A9" w:rsidP="000731A9">
      <w:pPr>
        <w:spacing w:line="270" w:lineRule="exact"/>
        <w:rPr>
          <w:sz w:val="24"/>
        </w:rPr>
      </w:pPr>
      <w:r w:rsidRPr="000731A9">
        <w:rPr>
          <w:b/>
          <w:sz w:val="24"/>
        </w:rPr>
        <w:t>Discharger Action</w:t>
      </w:r>
      <w:r w:rsidR="00DA25C3">
        <w:rPr>
          <w:b/>
          <w:sz w:val="24"/>
        </w:rPr>
        <w:t xml:space="preserve"> 5</w:t>
      </w:r>
      <w:r w:rsidRPr="000731A9">
        <w:rPr>
          <w:b/>
          <w:sz w:val="24"/>
        </w:rPr>
        <w:t xml:space="preserve">: </w:t>
      </w:r>
      <w:r w:rsidRPr="000731A9">
        <w:rPr>
          <w:sz w:val="24"/>
        </w:rPr>
        <w:t xml:space="preserve">Discharger </w:t>
      </w:r>
      <w:r w:rsidR="00DA25C3">
        <w:rPr>
          <w:sz w:val="24"/>
        </w:rPr>
        <w:t xml:space="preserve">X </w:t>
      </w:r>
      <w:r w:rsidRPr="000731A9">
        <w:rPr>
          <w:sz w:val="24"/>
        </w:rPr>
        <w:t>may shift to monthly monitoring after collection of the 6</w:t>
      </w:r>
      <w:r w:rsidRPr="000731A9">
        <w:rPr>
          <w:sz w:val="24"/>
          <w:vertAlign w:val="superscript"/>
        </w:rPr>
        <w:t>th</w:t>
      </w:r>
      <w:r w:rsidRPr="000731A9">
        <w:rPr>
          <w:sz w:val="24"/>
        </w:rPr>
        <w:t xml:space="preserve"> accelerated sample.</w:t>
      </w:r>
    </w:p>
    <w:p w14:paraId="6F467260" w14:textId="77777777" w:rsidR="000731A9" w:rsidRPr="000731A9" w:rsidRDefault="000731A9" w:rsidP="000731A9">
      <w:pPr>
        <w:spacing w:line="270" w:lineRule="exact"/>
        <w:rPr>
          <w:sz w:val="24"/>
        </w:rPr>
      </w:pPr>
    </w:p>
    <w:p w14:paraId="7C9EB087" w14:textId="77777777" w:rsidR="000731A9" w:rsidRPr="000731A9" w:rsidRDefault="000731A9" w:rsidP="000731A9">
      <w:pPr>
        <w:spacing w:after="120" w:line="270" w:lineRule="exact"/>
        <w:rPr>
          <w:sz w:val="24"/>
        </w:rPr>
      </w:pPr>
      <w:r w:rsidRPr="000731A9">
        <w:rPr>
          <w:sz w:val="24"/>
        </w:rPr>
        <w:t>Additional monitoring results:</w:t>
      </w:r>
    </w:p>
    <w:tbl>
      <w:tblPr>
        <w:tblW w:w="0" w:type="auto"/>
        <w:tblInd w:w="1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2"/>
        <w:gridCol w:w="2338"/>
        <w:gridCol w:w="2358"/>
      </w:tblGrid>
      <w:tr w:rsidR="000731A9" w:rsidRPr="000731A9" w14:paraId="667E2A9A" w14:textId="77777777" w:rsidTr="00AB124F">
        <w:tc>
          <w:tcPr>
            <w:tcW w:w="2612" w:type="dxa"/>
            <w:shd w:val="clear" w:color="auto" w:fill="auto"/>
          </w:tcPr>
          <w:p w14:paraId="6EE71B5C" w14:textId="77777777" w:rsidR="000731A9" w:rsidRPr="000731A9" w:rsidRDefault="000731A9" w:rsidP="000731A9">
            <w:pPr>
              <w:spacing w:line="270" w:lineRule="exact"/>
              <w:jc w:val="center"/>
              <w:rPr>
                <w:b/>
              </w:rPr>
            </w:pPr>
            <w:r w:rsidRPr="000731A9">
              <w:rPr>
                <w:b/>
              </w:rPr>
              <w:t>Sample Date</w:t>
            </w:r>
          </w:p>
        </w:tc>
        <w:tc>
          <w:tcPr>
            <w:tcW w:w="2338" w:type="dxa"/>
            <w:shd w:val="clear" w:color="auto" w:fill="auto"/>
          </w:tcPr>
          <w:p w14:paraId="33117D0D" w14:textId="77777777" w:rsidR="000731A9" w:rsidRPr="000731A9" w:rsidRDefault="000731A9" w:rsidP="000731A9">
            <w:pPr>
              <w:spacing w:line="270" w:lineRule="exact"/>
              <w:jc w:val="center"/>
              <w:rPr>
                <w:b/>
              </w:rPr>
            </w:pPr>
            <w:r w:rsidRPr="000731A9">
              <w:rPr>
                <w:b/>
              </w:rPr>
              <w:t xml:space="preserve">Sample Result, </w:t>
            </w:r>
            <w:r w:rsidRPr="000731A9">
              <w:rPr>
                <w:b/>
              </w:rPr>
              <w:sym w:font="Symbol" w:char="F06D"/>
            </w:r>
            <w:r w:rsidRPr="000731A9">
              <w:rPr>
                <w:b/>
              </w:rPr>
              <w:t>g/L</w:t>
            </w:r>
          </w:p>
        </w:tc>
        <w:tc>
          <w:tcPr>
            <w:tcW w:w="2358" w:type="dxa"/>
            <w:shd w:val="clear" w:color="auto" w:fill="auto"/>
          </w:tcPr>
          <w:p w14:paraId="40F73377" w14:textId="77777777" w:rsidR="000731A9" w:rsidRPr="000731A9" w:rsidRDefault="000731A9" w:rsidP="000731A9">
            <w:pPr>
              <w:spacing w:line="270" w:lineRule="exact"/>
              <w:jc w:val="center"/>
              <w:rPr>
                <w:b/>
              </w:rPr>
            </w:pPr>
            <w:r w:rsidRPr="000731A9">
              <w:rPr>
                <w:b/>
              </w:rPr>
              <w:t>12-month mass, kg/yr</w:t>
            </w:r>
          </w:p>
        </w:tc>
      </w:tr>
      <w:tr w:rsidR="000731A9" w:rsidRPr="000731A9" w14:paraId="4BC69EAD" w14:textId="77777777" w:rsidTr="00AB124F">
        <w:tc>
          <w:tcPr>
            <w:tcW w:w="2612" w:type="dxa"/>
            <w:shd w:val="clear" w:color="auto" w:fill="auto"/>
          </w:tcPr>
          <w:p w14:paraId="7D073EFB" w14:textId="77777777" w:rsidR="000731A9" w:rsidRPr="000731A9" w:rsidRDefault="000731A9" w:rsidP="000731A9">
            <w:pPr>
              <w:spacing w:line="270" w:lineRule="exact"/>
              <w:jc w:val="center"/>
            </w:pPr>
            <w:r w:rsidRPr="000731A9">
              <w:t>August 11</w:t>
            </w:r>
          </w:p>
        </w:tc>
        <w:tc>
          <w:tcPr>
            <w:tcW w:w="2338" w:type="dxa"/>
            <w:shd w:val="clear" w:color="auto" w:fill="auto"/>
          </w:tcPr>
          <w:p w14:paraId="1A081860" w14:textId="77777777" w:rsidR="000731A9" w:rsidRPr="00DA25C3" w:rsidRDefault="000731A9" w:rsidP="000731A9">
            <w:pPr>
              <w:spacing w:line="270" w:lineRule="exact"/>
              <w:jc w:val="center"/>
            </w:pPr>
            <w:r w:rsidRPr="00DA25C3">
              <w:t>0.027</w:t>
            </w:r>
          </w:p>
        </w:tc>
        <w:tc>
          <w:tcPr>
            <w:tcW w:w="2358" w:type="dxa"/>
            <w:shd w:val="clear" w:color="auto" w:fill="auto"/>
          </w:tcPr>
          <w:p w14:paraId="439BD1A6" w14:textId="77777777" w:rsidR="000731A9" w:rsidRPr="000731A9" w:rsidRDefault="000731A9" w:rsidP="000731A9">
            <w:pPr>
              <w:spacing w:line="270" w:lineRule="exact"/>
              <w:jc w:val="center"/>
            </w:pPr>
            <w:r w:rsidRPr="000731A9">
              <w:t>0.80</w:t>
            </w:r>
          </w:p>
        </w:tc>
      </w:tr>
      <w:tr w:rsidR="000731A9" w:rsidRPr="000731A9" w14:paraId="6CE39635" w14:textId="77777777" w:rsidTr="00AB124F">
        <w:tc>
          <w:tcPr>
            <w:tcW w:w="2612" w:type="dxa"/>
            <w:shd w:val="clear" w:color="auto" w:fill="auto"/>
          </w:tcPr>
          <w:p w14:paraId="1DC236BB" w14:textId="77777777" w:rsidR="000731A9" w:rsidRPr="000731A9" w:rsidRDefault="000731A9" w:rsidP="000731A9">
            <w:pPr>
              <w:spacing w:line="270" w:lineRule="exact"/>
              <w:jc w:val="center"/>
            </w:pPr>
            <w:r w:rsidRPr="000731A9">
              <w:t>September 14</w:t>
            </w:r>
          </w:p>
        </w:tc>
        <w:tc>
          <w:tcPr>
            <w:tcW w:w="2338" w:type="dxa"/>
            <w:shd w:val="clear" w:color="auto" w:fill="auto"/>
          </w:tcPr>
          <w:p w14:paraId="3EBA5C48" w14:textId="77777777" w:rsidR="000731A9" w:rsidRPr="000731A9" w:rsidRDefault="000731A9" w:rsidP="000731A9">
            <w:pPr>
              <w:spacing w:line="270" w:lineRule="exact"/>
              <w:jc w:val="center"/>
            </w:pPr>
            <w:r w:rsidRPr="000731A9">
              <w:t>0.042</w:t>
            </w:r>
          </w:p>
        </w:tc>
        <w:tc>
          <w:tcPr>
            <w:tcW w:w="2358" w:type="dxa"/>
            <w:shd w:val="clear" w:color="auto" w:fill="auto"/>
          </w:tcPr>
          <w:p w14:paraId="0E73006A" w14:textId="77777777" w:rsidR="000731A9" w:rsidRPr="000731A9" w:rsidRDefault="000731A9" w:rsidP="000731A9">
            <w:pPr>
              <w:spacing w:line="270" w:lineRule="exact"/>
              <w:jc w:val="center"/>
            </w:pPr>
            <w:r w:rsidRPr="000731A9">
              <w:t>0.78</w:t>
            </w:r>
          </w:p>
        </w:tc>
      </w:tr>
      <w:tr w:rsidR="000731A9" w:rsidRPr="000731A9" w14:paraId="7725F55F" w14:textId="77777777" w:rsidTr="00AB124F">
        <w:tc>
          <w:tcPr>
            <w:tcW w:w="2612" w:type="dxa"/>
            <w:shd w:val="clear" w:color="auto" w:fill="auto"/>
          </w:tcPr>
          <w:p w14:paraId="720655D4" w14:textId="77777777" w:rsidR="000731A9" w:rsidRPr="000731A9" w:rsidRDefault="000731A9" w:rsidP="000731A9">
            <w:pPr>
              <w:spacing w:line="270" w:lineRule="exact"/>
              <w:jc w:val="center"/>
            </w:pPr>
            <w:r w:rsidRPr="000731A9">
              <w:t>October 5</w:t>
            </w:r>
          </w:p>
        </w:tc>
        <w:tc>
          <w:tcPr>
            <w:tcW w:w="2338" w:type="dxa"/>
            <w:shd w:val="clear" w:color="auto" w:fill="auto"/>
          </w:tcPr>
          <w:p w14:paraId="7817997A" w14:textId="77777777" w:rsidR="000731A9" w:rsidRPr="000731A9" w:rsidRDefault="000731A9" w:rsidP="000731A9">
            <w:pPr>
              <w:spacing w:line="270" w:lineRule="exact"/>
              <w:jc w:val="center"/>
            </w:pPr>
            <w:r w:rsidRPr="000731A9">
              <w:t>0.042</w:t>
            </w:r>
          </w:p>
        </w:tc>
        <w:tc>
          <w:tcPr>
            <w:tcW w:w="2358" w:type="dxa"/>
            <w:vMerge w:val="restart"/>
            <w:shd w:val="clear" w:color="auto" w:fill="auto"/>
            <w:vAlign w:val="center"/>
          </w:tcPr>
          <w:p w14:paraId="3C67DA14" w14:textId="77777777" w:rsidR="000731A9" w:rsidRPr="000731A9" w:rsidRDefault="000731A9" w:rsidP="000731A9">
            <w:pPr>
              <w:spacing w:line="270" w:lineRule="exact"/>
              <w:jc w:val="center"/>
            </w:pPr>
            <w:r w:rsidRPr="000731A9">
              <w:t>0.075</w:t>
            </w:r>
          </w:p>
        </w:tc>
      </w:tr>
      <w:tr w:rsidR="000731A9" w:rsidRPr="000731A9" w14:paraId="2B8743BC" w14:textId="77777777" w:rsidTr="00AB124F">
        <w:tc>
          <w:tcPr>
            <w:tcW w:w="2612" w:type="dxa"/>
            <w:shd w:val="clear" w:color="auto" w:fill="auto"/>
          </w:tcPr>
          <w:p w14:paraId="064341FD" w14:textId="77777777" w:rsidR="000731A9" w:rsidRPr="000731A9" w:rsidRDefault="000731A9" w:rsidP="000731A9">
            <w:pPr>
              <w:spacing w:line="270" w:lineRule="exact"/>
              <w:jc w:val="center"/>
            </w:pPr>
            <w:r w:rsidRPr="000731A9">
              <w:t>October 7</w:t>
            </w:r>
          </w:p>
        </w:tc>
        <w:tc>
          <w:tcPr>
            <w:tcW w:w="2338" w:type="dxa"/>
            <w:shd w:val="clear" w:color="auto" w:fill="auto"/>
          </w:tcPr>
          <w:p w14:paraId="5D473FC7" w14:textId="77777777" w:rsidR="000731A9" w:rsidRPr="000731A9" w:rsidRDefault="000731A9" w:rsidP="000731A9">
            <w:pPr>
              <w:spacing w:line="270" w:lineRule="exact"/>
              <w:jc w:val="center"/>
            </w:pPr>
            <w:r w:rsidRPr="000731A9">
              <w:t>ND (&lt;0.0005)</w:t>
            </w:r>
          </w:p>
        </w:tc>
        <w:tc>
          <w:tcPr>
            <w:tcW w:w="2358" w:type="dxa"/>
            <w:vMerge/>
            <w:shd w:val="clear" w:color="auto" w:fill="auto"/>
          </w:tcPr>
          <w:p w14:paraId="1166B054" w14:textId="77777777" w:rsidR="000731A9" w:rsidRPr="000731A9" w:rsidRDefault="000731A9" w:rsidP="000731A9">
            <w:pPr>
              <w:spacing w:line="270" w:lineRule="exact"/>
              <w:jc w:val="center"/>
            </w:pPr>
          </w:p>
        </w:tc>
      </w:tr>
      <w:tr w:rsidR="000731A9" w:rsidRPr="000731A9" w14:paraId="7E8016E7" w14:textId="77777777" w:rsidTr="00AB124F">
        <w:tc>
          <w:tcPr>
            <w:tcW w:w="2612" w:type="dxa"/>
            <w:shd w:val="clear" w:color="auto" w:fill="auto"/>
          </w:tcPr>
          <w:p w14:paraId="7F3E4621" w14:textId="77777777" w:rsidR="000731A9" w:rsidRPr="000731A9" w:rsidRDefault="000731A9" w:rsidP="000731A9">
            <w:pPr>
              <w:spacing w:line="270" w:lineRule="exact"/>
              <w:jc w:val="center"/>
            </w:pPr>
            <w:r w:rsidRPr="000731A9">
              <w:t>November 5</w:t>
            </w:r>
          </w:p>
        </w:tc>
        <w:tc>
          <w:tcPr>
            <w:tcW w:w="2338" w:type="dxa"/>
            <w:shd w:val="clear" w:color="auto" w:fill="auto"/>
          </w:tcPr>
          <w:p w14:paraId="13156118" w14:textId="77777777" w:rsidR="000731A9" w:rsidRPr="000731A9" w:rsidRDefault="000731A9" w:rsidP="000731A9">
            <w:pPr>
              <w:spacing w:line="270" w:lineRule="exact"/>
              <w:jc w:val="center"/>
            </w:pPr>
            <w:r w:rsidRPr="000731A9">
              <w:t>0.035</w:t>
            </w:r>
          </w:p>
        </w:tc>
        <w:tc>
          <w:tcPr>
            <w:tcW w:w="2358" w:type="dxa"/>
            <w:shd w:val="clear" w:color="auto" w:fill="auto"/>
          </w:tcPr>
          <w:p w14:paraId="363A87FF" w14:textId="77777777" w:rsidR="000731A9" w:rsidRPr="00DA25C3" w:rsidRDefault="000731A9" w:rsidP="000731A9">
            <w:pPr>
              <w:spacing w:line="270" w:lineRule="exact"/>
              <w:jc w:val="center"/>
            </w:pPr>
            <w:r w:rsidRPr="00DA25C3">
              <w:t>0.81</w:t>
            </w:r>
          </w:p>
        </w:tc>
      </w:tr>
      <w:tr w:rsidR="000731A9" w:rsidRPr="000731A9" w14:paraId="682BEBAE" w14:textId="77777777" w:rsidTr="00AB124F">
        <w:tc>
          <w:tcPr>
            <w:tcW w:w="2612" w:type="dxa"/>
            <w:shd w:val="clear" w:color="auto" w:fill="auto"/>
          </w:tcPr>
          <w:p w14:paraId="12FB90E2" w14:textId="77777777" w:rsidR="000731A9" w:rsidRPr="000731A9" w:rsidRDefault="000731A9" w:rsidP="000731A9">
            <w:pPr>
              <w:spacing w:line="270" w:lineRule="exact"/>
              <w:jc w:val="center"/>
            </w:pPr>
            <w:r w:rsidRPr="000731A9">
              <w:t>December 10</w:t>
            </w:r>
          </w:p>
        </w:tc>
        <w:tc>
          <w:tcPr>
            <w:tcW w:w="2338" w:type="dxa"/>
            <w:shd w:val="clear" w:color="auto" w:fill="auto"/>
          </w:tcPr>
          <w:p w14:paraId="57F1F668" w14:textId="77777777" w:rsidR="000731A9" w:rsidRPr="000731A9" w:rsidRDefault="000731A9" w:rsidP="000731A9">
            <w:pPr>
              <w:spacing w:line="270" w:lineRule="exact"/>
              <w:jc w:val="center"/>
            </w:pPr>
            <w:r w:rsidRPr="000731A9">
              <w:t>0.022</w:t>
            </w:r>
          </w:p>
        </w:tc>
        <w:tc>
          <w:tcPr>
            <w:tcW w:w="2358" w:type="dxa"/>
            <w:shd w:val="clear" w:color="auto" w:fill="auto"/>
          </w:tcPr>
          <w:p w14:paraId="7886D87B" w14:textId="77777777" w:rsidR="000731A9" w:rsidRPr="000731A9" w:rsidRDefault="000731A9" w:rsidP="000731A9">
            <w:pPr>
              <w:spacing w:line="270" w:lineRule="exact"/>
              <w:jc w:val="center"/>
              <w:rPr>
                <w:b/>
              </w:rPr>
            </w:pPr>
            <w:r w:rsidRPr="000731A9">
              <w:rPr>
                <w:b/>
              </w:rPr>
              <w:t>0.93</w:t>
            </w:r>
          </w:p>
        </w:tc>
      </w:tr>
      <w:tr w:rsidR="000731A9" w:rsidRPr="000731A9" w14:paraId="17790A96" w14:textId="77777777" w:rsidTr="00AB124F">
        <w:tc>
          <w:tcPr>
            <w:tcW w:w="2612" w:type="dxa"/>
            <w:shd w:val="clear" w:color="auto" w:fill="auto"/>
          </w:tcPr>
          <w:p w14:paraId="77FD5BEF" w14:textId="77777777" w:rsidR="000731A9" w:rsidRPr="000731A9" w:rsidRDefault="000731A9" w:rsidP="000731A9">
            <w:pPr>
              <w:spacing w:line="270" w:lineRule="exact"/>
              <w:jc w:val="center"/>
            </w:pPr>
            <w:r w:rsidRPr="000731A9">
              <w:t>January 5</w:t>
            </w:r>
          </w:p>
        </w:tc>
        <w:tc>
          <w:tcPr>
            <w:tcW w:w="2338" w:type="dxa"/>
            <w:shd w:val="clear" w:color="auto" w:fill="auto"/>
          </w:tcPr>
          <w:p w14:paraId="4DBCC4FA" w14:textId="77777777" w:rsidR="000731A9" w:rsidRPr="000731A9" w:rsidRDefault="000731A9" w:rsidP="000731A9">
            <w:pPr>
              <w:spacing w:line="270" w:lineRule="exact"/>
              <w:jc w:val="center"/>
            </w:pPr>
            <w:r w:rsidRPr="000731A9">
              <w:t>0.018</w:t>
            </w:r>
          </w:p>
        </w:tc>
        <w:tc>
          <w:tcPr>
            <w:tcW w:w="2358" w:type="dxa"/>
            <w:shd w:val="clear" w:color="auto" w:fill="auto"/>
          </w:tcPr>
          <w:p w14:paraId="5DDD8D0D" w14:textId="77777777" w:rsidR="000731A9" w:rsidRPr="000731A9" w:rsidRDefault="000731A9" w:rsidP="000731A9">
            <w:pPr>
              <w:spacing w:line="270" w:lineRule="exact"/>
              <w:jc w:val="center"/>
              <w:rPr>
                <w:b/>
              </w:rPr>
            </w:pPr>
            <w:r w:rsidRPr="000731A9">
              <w:rPr>
                <w:b/>
              </w:rPr>
              <w:t>0.94</w:t>
            </w:r>
          </w:p>
        </w:tc>
      </w:tr>
      <w:tr w:rsidR="000731A9" w:rsidRPr="000731A9" w14:paraId="3177270F" w14:textId="77777777" w:rsidTr="00AB124F">
        <w:tc>
          <w:tcPr>
            <w:tcW w:w="2612" w:type="dxa"/>
            <w:shd w:val="clear" w:color="auto" w:fill="auto"/>
          </w:tcPr>
          <w:p w14:paraId="1997CE52" w14:textId="77777777" w:rsidR="000731A9" w:rsidRPr="000731A9" w:rsidRDefault="000731A9" w:rsidP="000731A9">
            <w:pPr>
              <w:spacing w:line="270" w:lineRule="exact"/>
              <w:jc w:val="center"/>
            </w:pPr>
            <w:r w:rsidRPr="000731A9">
              <w:t>February 14</w:t>
            </w:r>
          </w:p>
        </w:tc>
        <w:tc>
          <w:tcPr>
            <w:tcW w:w="2338" w:type="dxa"/>
            <w:shd w:val="clear" w:color="auto" w:fill="auto"/>
          </w:tcPr>
          <w:p w14:paraId="6FD2F19C" w14:textId="77777777" w:rsidR="000731A9" w:rsidRPr="000731A9" w:rsidRDefault="000731A9" w:rsidP="000731A9">
            <w:pPr>
              <w:spacing w:line="270" w:lineRule="exact"/>
              <w:jc w:val="center"/>
            </w:pPr>
            <w:r w:rsidRPr="000731A9">
              <w:t>0.028</w:t>
            </w:r>
          </w:p>
        </w:tc>
        <w:tc>
          <w:tcPr>
            <w:tcW w:w="2358" w:type="dxa"/>
            <w:shd w:val="clear" w:color="auto" w:fill="auto"/>
          </w:tcPr>
          <w:p w14:paraId="0A8BD500" w14:textId="77777777" w:rsidR="000731A9" w:rsidRPr="000731A9" w:rsidRDefault="000731A9" w:rsidP="000731A9">
            <w:pPr>
              <w:spacing w:line="270" w:lineRule="exact"/>
              <w:jc w:val="center"/>
            </w:pPr>
            <w:r w:rsidRPr="000731A9">
              <w:t>0.85</w:t>
            </w:r>
          </w:p>
        </w:tc>
      </w:tr>
      <w:tr w:rsidR="000731A9" w:rsidRPr="000731A9" w14:paraId="13D9BFD0" w14:textId="77777777" w:rsidTr="00AB124F">
        <w:tc>
          <w:tcPr>
            <w:tcW w:w="2612" w:type="dxa"/>
            <w:shd w:val="clear" w:color="auto" w:fill="auto"/>
          </w:tcPr>
          <w:p w14:paraId="43223DEB" w14:textId="77777777" w:rsidR="000731A9" w:rsidRPr="000731A9" w:rsidRDefault="000731A9" w:rsidP="000731A9">
            <w:pPr>
              <w:spacing w:line="270" w:lineRule="exact"/>
              <w:jc w:val="center"/>
            </w:pPr>
            <w:r w:rsidRPr="000731A9">
              <w:lastRenderedPageBreak/>
              <w:t>March 25</w:t>
            </w:r>
          </w:p>
        </w:tc>
        <w:tc>
          <w:tcPr>
            <w:tcW w:w="2338" w:type="dxa"/>
            <w:shd w:val="clear" w:color="auto" w:fill="auto"/>
          </w:tcPr>
          <w:p w14:paraId="13AE478D" w14:textId="77777777" w:rsidR="000731A9" w:rsidRPr="000731A9" w:rsidRDefault="000731A9" w:rsidP="000731A9">
            <w:pPr>
              <w:spacing w:line="270" w:lineRule="exact"/>
              <w:jc w:val="center"/>
            </w:pPr>
            <w:r w:rsidRPr="000731A9">
              <w:t>0.010</w:t>
            </w:r>
          </w:p>
        </w:tc>
        <w:tc>
          <w:tcPr>
            <w:tcW w:w="2358" w:type="dxa"/>
            <w:shd w:val="clear" w:color="auto" w:fill="auto"/>
          </w:tcPr>
          <w:p w14:paraId="1FFBA445" w14:textId="77777777" w:rsidR="000731A9" w:rsidRPr="000731A9" w:rsidRDefault="000731A9" w:rsidP="000731A9">
            <w:pPr>
              <w:spacing w:line="270" w:lineRule="exact"/>
              <w:jc w:val="center"/>
            </w:pPr>
            <w:r w:rsidRPr="000731A9">
              <w:t>0.81</w:t>
            </w:r>
          </w:p>
        </w:tc>
      </w:tr>
      <w:tr w:rsidR="000731A9" w:rsidRPr="000731A9" w14:paraId="019E3304" w14:textId="77777777" w:rsidTr="00AB124F">
        <w:tc>
          <w:tcPr>
            <w:tcW w:w="2612" w:type="dxa"/>
            <w:shd w:val="clear" w:color="auto" w:fill="auto"/>
          </w:tcPr>
          <w:p w14:paraId="23A052C0" w14:textId="77777777" w:rsidR="000731A9" w:rsidRPr="000731A9" w:rsidRDefault="000731A9" w:rsidP="000731A9">
            <w:pPr>
              <w:spacing w:line="270" w:lineRule="exact"/>
              <w:jc w:val="center"/>
            </w:pPr>
            <w:r w:rsidRPr="000731A9">
              <w:t>April 7</w:t>
            </w:r>
          </w:p>
        </w:tc>
        <w:tc>
          <w:tcPr>
            <w:tcW w:w="2338" w:type="dxa"/>
            <w:shd w:val="clear" w:color="auto" w:fill="auto"/>
          </w:tcPr>
          <w:p w14:paraId="58934E77" w14:textId="77777777" w:rsidR="000731A9" w:rsidRPr="000731A9" w:rsidRDefault="000731A9" w:rsidP="000731A9">
            <w:pPr>
              <w:spacing w:line="270" w:lineRule="exact"/>
              <w:jc w:val="center"/>
            </w:pPr>
            <w:r w:rsidRPr="000731A9">
              <w:t>0.023</w:t>
            </w:r>
          </w:p>
        </w:tc>
        <w:tc>
          <w:tcPr>
            <w:tcW w:w="2358" w:type="dxa"/>
            <w:shd w:val="clear" w:color="auto" w:fill="auto"/>
          </w:tcPr>
          <w:p w14:paraId="26360658" w14:textId="77777777" w:rsidR="000731A9" w:rsidRPr="000731A9" w:rsidRDefault="000731A9" w:rsidP="000731A9">
            <w:pPr>
              <w:spacing w:line="270" w:lineRule="exact"/>
              <w:jc w:val="center"/>
            </w:pPr>
            <w:r w:rsidRPr="000731A9">
              <w:t>0.75</w:t>
            </w:r>
          </w:p>
        </w:tc>
      </w:tr>
    </w:tbl>
    <w:p w14:paraId="2D17DA26" w14:textId="77777777" w:rsidR="000731A9" w:rsidRPr="000731A9" w:rsidRDefault="000731A9" w:rsidP="000731A9">
      <w:pPr>
        <w:spacing w:line="270" w:lineRule="exact"/>
      </w:pPr>
    </w:p>
    <w:p w14:paraId="0718B867" w14:textId="6BECA25A" w:rsidR="000731A9" w:rsidRPr="000731A9" w:rsidRDefault="000731A9" w:rsidP="000731A9">
      <w:pPr>
        <w:spacing w:line="270" w:lineRule="exact"/>
        <w:rPr>
          <w:sz w:val="24"/>
        </w:rPr>
      </w:pPr>
      <w:r w:rsidRPr="000731A9">
        <w:rPr>
          <w:b/>
          <w:sz w:val="24"/>
        </w:rPr>
        <w:t>Discharger Action</w:t>
      </w:r>
      <w:r w:rsidR="00DA25C3">
        <w:rPr>
          <w:b/>
          <w:sz w:val="24"/>
        </w:rPr>
        <w:t xml:space="preserve"> 6</w:t>
      </w:r>
      <w:r w:rsidRPr="000731A9">
        <w:rPr>
          <w:b/>
          <w:sz w:val="24"/>
        </w:rPr>
        <w:t xml:space="preserve">: </w:t>
      </w:r>
      <w:r w:rsidRPr="000731A9">
        <w:rPr>
          <w:sz w:val="24"/>
        </w:rPr>
        <w:t>Submit and implement Action Plan for Mercury Reduction (due 130 days after May 30).</w:t>
      </w:r>
    </w:p>
    <w:p w14:paraId="5A67092B" w14:textId="77777777" w:rsidR="000731A9" w:rsidRPr="000731A9" w:rsidRDefault="000731A9" w:rsidP="000731A9">
      <w:pPr>
        <w:spacing w:line="270" w:lineRule="exact"/>
        <w:ind w:left="360"/>
        <w:rPr>
          <w:sz w:val="24"/>
        </w:rPr>
      </w:pPr>
      <w:r w:rsidRPr="000731A9">
        <w:rPr>
          <w:b/>
          <w:sz w:val="24"/>
        </w:rPr>
        <w:t xml:space="preserve">Note: </w:t>
      </w:r>
      <w:r w:rsidRPr="000731A9">
        <w:rPr>
          <w:sz w:val="24"/>
        </w:rPr>
        <w:t xml:space="preserve">Despite the July and August samples being below both concentration triggers, three consecutive months below </w:t>
      </w:r>
      <w:r w:rsidRPr="000731A9">
        <w:rPr>
          <w:b/>
          <w:sz w:val="24"/>
        </w:rPr>
        <w:t>all</w:t>
      </w:r>
      <w:r w:rsidRPr="000731A9">
        <w:rPr>
          <w:sz w:val="24"/>
        </w:rPr>
        <w:t xml:space="preserve"> triggers are necessary before the Action Plan activities are no longer required. The May sample is still above the monthly trigger.</w:t>
      </w:r>
    </w:p>
    <w:p w14:paraId="3DD78C3A" w14:textId="77777777" w:rsidR="000731A9" w:rsidRPr="000731A9" w:rsidRDefault="000731A9" w:rsidP="000731A9">
      <w:pPr>
        <w:spacing w:line="270" w:lineRule="exact"/>
        <w:rPr>
          <w:b/>
          <w:sz w:val="24"/>
        </w:rPr>
      </w:pPr>
    </w:p>
    <w:p w14:paraId="112B67E3" w14:textId="4EDDF755" w:rsidR="000731A9" w:rsidRPr="000731A9" w:rsidRDefault="000731A9" w:rsidP="000731A9">
      <w:pPr>
        <w:spacing w:line="270" w:lineRule="exact"/>
        <w:ind w:left="360"/>
        <w:rPr>
          <w:sz w:val="24"/>
        </w:rPr>
      </w:pPr>
      <w:r w:rsidRPr="000731A9">
        <w:rPr>
          <w:b/>
          <w:sz w:val="24"/>
        </w:rPr>
        <w:t xml:space="preserve">Note: </w:t>
      </w:r>
      <w:r w:rsidRPr="000731A9">
        <w:rPr>
          <w:sz w:val="24"/>
        </w:rPr>
        <w:t>In September, though that sample is above the monthly concentration trigger, accelerated monitoring</w:t>
      </w:r>
      <w:r w:rsidR="004E0288">
        <w:rPr>
          <w:sz w:val="24"/>
        </w:rPr>
        <w:t xml:space="preserve"> is not required again because D</w:t>
      </w:r>
      <w:r w:rsidRPr="000731A9">
        <w:rPr>
          <w:sz w:val="24"/>
        </w:rPr>
        <w:t>ischarger X has already been triggered into Action Plan mode.</w:t>
      </w:r>
    </w:p>
    <w:p w14:paraId="493D28A3" w14:textId="77777777" w:rsidR="000731A9" w:rsidRPr="000731A9" w:rsidRDefault="000731A9" w:rsidP="000731A9">
      <w:pPr>
        <w:spacing w:line="270" w:lineRule="exact"/>
        <w:ind w:left="360"/>
        <w:rPr>
          <w:b/>
          <w:sz w:val="24"/>
        </w:rPr>
      </w:pPr>
    </w:p>
    <w:p w14:paraId="4A4CBF65" w14:textId="7426254D" w:rsidR="000731A9" w:rsidRPr="000731A9" w:rsidRDefault="000731A9" w:rsidP="000731A9">
      <w:pPr>
        <w:spacing w:line="270" w:lineRule="exact"/>
        <w:ind w:left="360"/>
        <w:rPr>
          <w:sz w:val="24"/>
        </w:rPr>
      </w:pPr>
      <w:r w:rsidRPr="000731A9">
        <w:rPr>
          <w:b/>
          <w:sz w:val="24"/>
        </w:rPr>
        <w:t>Note:</w:t>
      </w:r>
      <w:r w:rsidRPr="000731A9">
        <w:rPr>
          <w:sz w:val="24"/>
        </w:rPr>
        <w:t xml:space="preserve"> In December, though the concentrations have been below concentration triggers for </w:t>
      </w:r>
      <w:r w:rsidR="004E0288">
        <w:rPr>
          <w:sz w:val="24"/>
        </w:rPr>
        <w:t>three consecutive months, D</w:t>
      </w:r>
      <w:r w:rsidRPr="000731A9">
        <w:rPr>
          <w:sz w:val="24"/>
        </w:rPr>
        <w:t xml:space="preserve">ischarger X must continue with the Action Plan because its 12-month running average mass discharge </w:t>
      </w:r>
      <w:r w:rsidR="004E0288">
        <w:rPr>
          <w:sz w:val="24"/>
        </w:rPr>
        <w:t xml:space="preserve">still </w:t>
      </w:r>
      <w:r w:rsidRPr="000731A9">
        <w:rPr>
          <w:sz w:val="24"/>
        </w:rPr>
        <w:t xml:space="preserve">exceeds the mass trigger. </w:t>
      </w:r>
    </w:p>
    <w:p w14:paraId="7D5758C9" w14:textId="77777777" w:rsidR="000731A9" w:rsidRPr="000731A9" w:rsidRDefault="000731A9" w:rsidP="000731A9">
      <w:pPr>
        <w:spacing w:line="270" w:lineRule="exact"/>
        <w:ind w:left="360"/>
        <w:rPr>
          <w:sz w:val="24"/>
        </w:rPr>
      </w:pPr>
    </w:p>
    <w:p w14:paraId="1AF601B8" w14:textId="22A77D1E" w:rsidR="000731A9" w:rsidRPr="000731A9" w:rsidRDefault="000731A9" w:rsidP="000731A9">
      <w:pPr>
        <w:spacing w:line="270" w:lineRule="exact"/>
        <w:rPr>
          <w:sz w:val="24"/>
        </w:rPr>
      </w:pPr>
      <w:r w:rsidRPr="000731A9">
        <w:rPr>
          <w:b/>
          <w:sz w:val="24"/>
        </w:rPr>
        <w:t>Discharger Action</w:t>
      </w:r>
      <w:r w:rsidR="004E0288">
        <w:rPr>
          <w:b/>
          <w:sz w:val="24"/>
        </w:rPr>
        <w:t xml:space="preserve"> 7</w:t>
      </w:r>
      <w:r w:rsidRPr="000731A9">
        <w:rPr>
          <w:b/>
          <w:sz w:val="24"/>
        </w:rPr>
        <w:t>: R</w:t>
      </w:r>
      <w:r w:rsidRPr="000731A9">
        <w:rPr>
          <w:sz w:val="24"/>
        </w:rPr>
        <w:t>eport on current mercury reduction efforts in its Annual Self-Monitoring Report due February 1</w:t>
      </w:r>
      <w:r w:rsidRPr="000731A9">
        <w:rPr>
          <w:sz w:val="24"/>
          <w:vertAlign w:val="superscript"/>
        </w:rPr>
        <w:t>st</w:t>
      </w:r>
      <w:r w:rsidRPr="000731A9">
        <w:rPr>
          <w:sz w:val="24"/>
        </w:rPr>
        <w:t>.</w:t>
      </w:r>
    </w:p>
    <w:p w14:paraId="6AACBC7E" w14:textId="77777777" w:rsidR="000731A9" w:rsidRPr="000731A9" w:rsidRDefault="000731A9" w:rsidP="000731A9">
      <w:pPr>
        <w:spacing w:line="270" w:lineRule="exact"/>
        <w:rPr>
          <w:sz w:val="24"/>
        </w:rPr>
      </w:pPr>
    </w:p>
    <w:p w14:paraId="7DE0FAE0" w14:textId="7C8F4CFA" w:rsidR="00A72EC9" w:rsidRDefault="000731A9" w:rsidP="000731A9">
      <w:pPr>
        <w:spacing w:line="270" w:lineRule="exact"/>
        <w:rPr>
          <w:sz w:val="24"/>
        </w:rPr>
        <w:sectPr w:rsidR="00A72EC9" w:rsidSect="00C50F1A">
          <w:headerReference w:type="default" r:id="rId54"/>
          <w:footerReference w:type="default" r:id="rId55"/>
          <w:footerReference w:type="first" r:id="rId56"/>
          <w:pgSz w:w="12240" w:h="15840"/>
          <w:pgMar w:top="1080" w:right="1080" w:bottom="1080" w:left="1080" w:header="432" w:footer="720" w:gutter="0"/>
          <w:pgNumType w:fmt="lowerRoman" w:start="1"/>
          <w:cols w:space="720"/>
          <w:titlePg/>
          <w:docGrid w:linePitch="360"/>
        </w:sectPr>
      </w:pPr>
      <w:r w:rsidRPr="000731A9">
        <w:rPr>
          <w:sz w:val="24"/>
        </w:rPr>
        <w:t>In April, three consecutive months show successful completion of this effort. Discharger X is no longer required to further implement its Action Plan, and may thus return to routine monitoring. Discharger X reports its mercury reduction efforts in its Annual Self-Moni</w:t>
      </w:r>
      <w:r w:rsidR="004E0288">
        <w:rPr>
          <w:sz w:val="24"/>
        </w:rPr>
        <w:t>toring Report due the following February.</w:t>
      </w:r>
    </w:p>
    <w:p w14:paraId="3629BD4E" w14:textId="25C1939F" w:rsidR="00F009DF" w:rsidRDefault="00F009DF" w:rsidP="00F009DF">
      <w:pPr>
        <w:rPr>
          <w:b/>
          <w:sz w:val="24"/>
        </w:rPr>
      </w:pPr>
    </w:p>
    <w:p w14:paraId="336EECC5" w14:textId="03C84C74" w:rsidR="000731A9" w:rsidRPr="00F009DF" w:rsidRDefault="000731A9" w:rsidP="000731A9">
      <w:pPr>
        <w:jc w:val="center"/>
        <w:rPr>
          <w:spacing w:val="-3"/>
          <w:sz w:val="24"/>
          <w:szCs w:val="24"/>
        </w:rPr>
      </w:pPr>
      <w:r w:rsidRPr="00F009DF">
        <w:rPr>
          <w:b/>
          <w:sz w:val="24"/>
        </w:rPr>
        <w:t>APPENDIX F-2</w:t>
      </w:r>
    </w:p>
    <w:p w14:paraId="5C9C875B" w14:textId="4B48DCC3" w:rsidR="000731A9" w:rsidRPr="00F009DF" w:rsidRDefault="000731A9" w:rsidP="000731A9">
      <w:pPr>
        <w:jc w:val="center"/>
        <w:rPr>
          <w:b/>
          <w:sz w:val="24"/>
          <w:szCs w:val="24"/>
        </w:rPr>
      </w:pPr>
      <w:r w:rsidRPr="00F009DF">
        <w:rPr>
          <w:b/>
          <w:sz w:val="24"/>
          <w:szCs w:val="24"/>
        </w:rPr>
        <w:t>CALCULATION OF CONCENTRATION-BASED MERCURY LIMITS</w:t>
      </w:r>
    </w:p>
    <w:p w14:paraId="454A1143" w14:textId="77777777" w:rsidR="000731A9" w:rsidRPr="000731A9" w:rsidRDefault="000731A9" w:rsidP="000731A9">
      <w:pPr>
        <w:rPr>
          <w:sz w:val="22"/>
          <w:szCs w:val="24"/>
        </w:rPr>
      </w:pPr>
    </w:p>
    <w:p w14:paraId="0C836BE8" w14:textId="77777777" w:rsidR="000731A9" w:rsidRPr="000731A9" w:rsidRDefault="000731A9" w:rsidP="000731A9">
      <w:pPr>
        <w:autoSpaceDE w:val="0"/>
        <w:autoSpaceDN w:val="0"/>
        <w:adjustRightInd w:val="0"/>
        <w:rPr>
          <w:b/>
          <w:sz w:val="24"/>
          <w:szCs w:val="24"/>
          <w:u w:val="single"/>
        </w:rPr>
      </w:pPr>
      <w:r w:rsidRPr="000731A9">
        <w:rPr>
          <w:b/>
          <w:sz w:val="24"/>
          <w:szCs w:val="24"/>
          <w:u w:val="single"/>
        </w:rPr>
        <w:t>Introduction</w:t>
      </w:r>
    </w:p>
    <w:p w14:paraId="28CF56C2" w14:textId="51F99A21" w:rsidR="000731A9" w:rsidRPr="000731A9" w:rsidRDefault="000731A9" w:rsidP="000731A9">
      <w:pPr>
        <w:autoSpaceDE w:val="0"/>
        <w:autoSpaceDN w:val="0"/>
        <w:adjustRightInd w:val="0"/>
        <w:rPr>
          <w:sz w:val="24"/>
          <w:szCs w:val="24"/>
        </w:rPr>
      </w:pPr>
      <w:r w:rsidRPr="000731A9">
        <w:rPr>
          <w:sz w:val="24"/>
          <w:szCs w:val="24"/>
        </w:rPr>
        <w:t>To calculate co</w:t>
      </w:r>
      <w:r w:rsidR="00415499">
        <w:rPr>
          <w:sz w:val="24"/>
          <w:szCs w:val="24"/>
        </w:rPr>
        <w:t>ncentration-based mercury limitations</w:t>
      </w:r>
      <w:r w:rsidRPr="000731A9">
        <w:rPr>
          <w:sz w:val="24"/>
          <w:szCs w:val="24"/>
        </w:rPr>
        <w:t xml:space="preserve"> that are consistent with the assumptions and requirements of the </w:t>
      </w:r>
      <w:r w:rsidR="00415499">
        <w:rPr>
          <w:sz w:val="24"/>
          <w:szCs w:val="24"/>
        </w:rPr>
        <w:t xml:space="preserve">San Francisco Bay </w:t>
      </w:r>
      <w:r w:rsidR="003B3F50">
        <w:rPr>
          <w:sz w:val="24"/>
          <w:szCs w:val="24"/>
        </w:rPr>
        <w:t>Mercury TMDL</w:t>
      </w:r>
      <w:r w:rsidRPr="000731A9">
        <w:rPr>
          <w:sz w:val="24"/>
          <w:szCs w:val="24"/>
        </w:rPr>
        <w:t xml:space="preserve">, the Regional Water Board analyzed </w:t>
      </w:r>
      <w:r w:rsidR="00415499">
        <w:rPr>
          <w:sz w:val="24"/>
          <w:szCs w:val="24"/>
        </w:rPr>
        <w:t xml:space="preserve">mercury data from 2000 to 2003 and grouped that data </w:t>
      </w:r>
      <w:r w:rsidRPr="000731A9">
        <w:rPr>
          <w:sz w:val="24"/>
          <w:szCs w:val="24"/>
        </w:rPr>
        <w:t xml:space="preserve">into three categories (municipal secondary treatment, municipal advanced secondary treatment involving filtration, and industrial treatment). The statistical analysis used data from 17 secondary treatment plants, 7 advanced secondary treatment plants, and 5 petroleum refineries.  </w:t>
      </w:r>
    </w:p>
    <w:p w14:paraId="35402226" w14:textId="77777777" w:rsidR="000731A9" w:rsidRPr="000731A9" w:rsidRDefault="000731A9" w:rsidP="000731A9">
      <w:pPr>
        <w:autoSpaceDE w:val="0"/>
        <w:autoSpaceDN w:val="0"/>
        <w:adjustRightInd w:val="0"/>
        <w:rPr>
          <w:sz w:val="24"/>
          <w:szCs w:val="24"/>
        </w:rPr>
      </w:pPr>
    </w:p>
    <w:p w14:paraId="786AE531" w14:textId="148CE149" w:rsidR="000731A9" w:rsidRPr="000731A9" w:rsidRDefault="000731A9" w:rsidP="000731A9">
      <w:pPr>
        <w:autoSpaceDE w:val="0"/>
        <w:autoSpaceDN w:val="0"/>
        <w:adjustRightInd w:val="0"/>
        <w:rPr>
          <w:sz w:val="24"/>
          <w:szCs w:val="24"/>
        </w:rPr>
      </w:pPr>
      <w:r w:rsidRPr="000731A9">
        <w:rPr>
          <w:sz w:val="24"/>
          <w:szCs w:val="24"/>
        </w:rPr>
        <w:t>The purpose of pooling mercury data to calculate limit</w:t>
      </w:r>
      <w:r w:rsidR="00415499">
        <w:rPr>
          <w:sz w:val="24"/>
          <w:szCs w:val="24"/>
        </w:rPr>
        <w:t>ation</w:t>
      </w:r>
      <w:r w:rsidRPr="000731A9">
        <w:rPr>
          <w:sz w:val="24"/>
          <w:szCs w:val="24"/>
        </w:rPr>
        <w:t>s based on category of treatment and/or process</w:t>
      </w:r>
      <w:r w:rsidR="00415499">
        <w:rPr>
          <w:sz w:val="24"/>
          <w:szCs w:val="24"/>
        </w:rPr>
        <w:t>es</w:t>
      </w:r>
      <w:r w:rsidRPr="000731A9">
        <w:rPr>
          <w:sz w:val="24"/>
          <w:szCs w:val="24"/>
        </w:rPr>
        <w:t xml:space="preserve"> that are similar </w:t>
      </w:r>
      <w:r w:rsidR="005F41BC">
        <w:rPr>
          <w:sz w:val="24"/>
          <w:szCs w:val="24"/>
        </w:rPr>
        <w:t xml:space="preserve">was </w:t>
      </w:r>
      <w:r w:rsidRPr="000731A9">
        <w:rPr>
          <w:sz w:val="24"/>
          <w:szCs w:val="24"/>
        </w:rPr>
        <w:t xml:space="preserve">to reduce the likelihood of penalizing </w:t>
      </w:r>
      <w:r w:rsidR="00415499">
        <w:rPr>
          <w:sz w:val="24"/>
          <w:szCs w:val="24"/>
        </w:rPr>
        <w:t>Dischargers</w:t>
      </w:r>
      <w:r w:rsidRPr="000731A9">
        <w:rPr>
          <w:sz w:val="24"/>
          <w:szCs w:val="24"/>
        </w:rPr>
        <w:t xml:space="preserve"> </w:t>
      </w:r>
      <w:r w:rsidR="00415499">
        <w:rPr>
          <w:sz w:val="24"/>
          <w:szCs w:val="24"/>
        </w:rPr>
        <w:t>who</w:t>
      </w:r>
      <w:r w:rsidRPr="000731A9">
        <w:rPr>
          <w:sz w:val="24"/>
          <w:szCs w:val="24"/>
        </w:rPr>
        <w:t xml:space="preserve"> have implemented effective control measures and are already performing well, and rewarding other </w:t>
      </w:r>
      <w:r w:rsidR="00415499">
        <w:rPr>
          <w:sz w:val="24"/>
          <w:szCs w:val="24"/>
        </w:rPr>
        <w:t>Dischargers</w:t>
      </w:r>
      <w:r w:rsidRPr="000731A9">
        <w:rPr>
          <w:sz w:val="24"/>
          <w:szCs w:val="24"/>
        </w:rPr>
        <w:t xml:space="preserve"> </w:t>
      </w:r>
      <w:r w:rsidR="00415499">
        <w:rPr>
          <w:sz w:val="24"/>
          <w:szCs w:val="24"/>
        </w:rPr>
        <w:t>who</w:t>
      </w:r>
      <w:r w:rsidRPr="000731A9">
        <w:rPr>
          <w:sz w:val="24"/>
          <w:szCs w:val="24"/>
        </w:rPr>
        <w:t xml:space="preserve"> may not have implemented similar measures.  </w:t>
      </w:r>
    </w:p>
    <w:p w14:paraId="37E77D64" w14:textId="77777777" w:rsidR="000731A9" w:rsidRPr="000731A9" w:rsidRDefault="000731A9" w:rsidP="000731A9">
      <w:pPr>
        <w:autoSpaceDE w:val="0"/>
        <w:autoSpaceDN w:val="0"/>
        <w:adjustRightInd w:val="0"/>
        <w:rPr>
          <w:sz w:val="24"/>
          <w:szCs w:val="24"/>
        </w:rPr>
      </w:pPr>
    </w:p>
    <w:p w14:paraId="46C23115" w14:textId="77777777" w:rsidR="000731A9" w:rsidRPr="000731A9" w:rsidRDefault="000731A9" w:rsidP="000731A9">
      <w:pPr>
        <w:autoSpaceDE w:val="0"/>
        <w:autoSpaceDN w:val="0"/>
        <w:adjustRightInd w:val="0"/>
        <w:rPr>
          <w:b/>
          <w:sz w:val="24"/>
          <w:szCs w:val="24"/>
        </w:rPr>
      </w:pPr>
      <w:r w:rsidRPr="000731A9">
        <w:rPr>
          <w:b/>
          <w:sz w:val="24"/>
          <w:szCs w:val="24"/>
        </w:rPr>
        <w:t>Data Analysis of Municipal Treatment Facilities</w:t>
      </w:r>
    </w:p>
    <w:p w14:paraId="22E1BE9C" w14:textId="03E0ABCD" w:rsidR="000731A9" w:rsidRPr="000731A9" w:rsidRDefault="00415499" w:rsidP="000731A9">
      <w:pPr>
        <w:autoSpaceDE w:val="0"/>
        <w:autoSpaceDN w:val="0"/>
        <w:adjustRightInd w:val="0"/>
        <w:rPr>
          <w:sz w:val="24"/>
          <w:szCs w:val="24"/>
        </w:rPr>
      </w:pPr>
      <w:r>
        <w:rPr>
          <w:sz w:val="24"/>
          <w:szCs w:val="24"/>
        </w:rPr>
        <w:t>Regional Water Board</w:t>
      </w:r>
      <w:r w:rsidR="009169EB">
        <w:rPr>
          <w:sz w:val="24"/>
          <w:szCs w:val="24"/>
        </w:rPr>
        <w:t xml:space="preserve"> staff</w:t>
      </w:r>
      <w:r w:rsidR="000731A9" w:rsidRPr="000731A9">
        <w:rPr>
          <w:sz w:val="24"/>
          <w:szCs w:val="24"/>
        </w:rPr>
        <w:t xml:space="preserve"> analyzed mercury data from all </w:t>
      </w:r>
      <w:r>
        <w:rPr>
          <w:sz w:val="24"/>
          <w:szCs w:val="24"/>
        </w:rPr>
        <w:t>treatment plants</w:t>
      </w:r>
      <w:r w:rsidR="000731A9" w:rsidRPr="000731A9">
        <w:rPr>
          <w:sz w:val="24"/>
          <w:szCs w:val="24"/>
        </w:rPr>
        <w:t xml:space="preserve"> that </w:t>
      </w:r>
      <w:r>
        <w:rPr>
          <w:sz w:val="24"/>
          <w:szCs w:val="24"/>
        </w:rPr>
        <w:t>wer</w:t>
      </w:r>
      <w:r w:rsidR="000731A9" w:rsidRPr="000731A9">
        <w:rPr>
          <w:sz w:val="24"/>
          <w:szCs w:val="24"/>
        </w:rPr>
        <w:t xml:space="preserve">e using the Regional Water Board’s </w:t>
      </w:r>
      <w:r w:rsidR="00704964">
        <w:rPr>
          <w:sz w:val="24"/>
          <w:szCs w:val="24"/>
        </w:rPr>
        <w:t>electronic reporting system</w:t>
      </w:r>
      <w:r w:rsidR="000731A9" w:rsidRPr="000731A9">
        <w:rPr>
          <w:sz w:val="24"/>
          <w:szCs w:val="24"/>
        </w:rPr>
        <w:t>.  Mercury data that did not appear to result from ultra</w:t>
      </w:r>
      <w:r>
        <w:rPr>
          <w:sz w:val="24"/>
          <w:szCs w:val="24"/>
        </w:rPr>
        <w:noBreakHyphen/>
      </w:r>
      <w:r w:rsidR="000731A9" w:rsidRPr="000731A9">
        <w:rPr>
          <w:sz w:val="24"/>
          <w:szCs w:val="24"/>
        </w:rPr>
        <w:t xml:space="preserve">clean sampling because of high detection limits were removed (i.e., EBMUD data from January 2000 through May 2001, and </w:t>
      </w:r>
      <w:r>
        <w:rPr>
          <w:sz w:val="24"/>
          <w:szCs w:val="24"/>
        </w:rPr>
        <w:t xml:space="preserve">the </w:t>
      </w:r>
      <w:r w:rsidR="000731A9" w:rsidRPr="000731A9">
        <w:rPr>
          <w:sz w:val="24"/>
          <w:szCs w:val="24"/>
        </w:rPr>
        <w:t xml:space="preserve">San Francisco City and County Southeast </w:t>
      </w:r>
      <w:r>
        <w:rPr>
          <w:sz w:val="24"/>
          <w:szCs w:val="24"/>
        </w:rPr>
        <w:t xml:space="preserve">Plant </w:t>
      </w:r>
      <w:r w:rsidR="000731A9" w:rsidRPr="000731A9">
        <w:rPr>
          <w:sz w:val="24"/>
          <w:szCs w:val="24"/>
        </w:rPr>
        <w:t>from October 21, 2003).  Additionally, when detection limits were very low (</w:t>
      </w:r>
      <w:r>
        <w:rPr>
          <w:sz w:val="24"/>
          <w:szCs w:val="24"/>
        </w:rPr>
        <w:t xml:space="preserve">e.g., the </w:t>
      </w:r>
      <w:r w:rsidR="000731A9" w:rsidRPr="000731A9">
        <w:rPr>
          <w:sz w:val="24"/>
          <w:szCs w:val="24"/>
        </w:rPr>
        <w:t xml:space="preserve">practical quantification limit </w:t>
      </w:r>
      <w:r>
        <w:rPr>
          <w:sz w:val="24"/>
          <w:szCs w:val="24"/>
        </w:rPr>
        <w:t xml:space="preserve">[PQL] </w:t>
      </w:r>
      <w:r w:rsidR="000731A9" w:rsidRPr="000731A9">
        <w:rPr>
          <w:sz w:val="24"/>
          <w:szCs w:val="24"/>
        </w:rPr>
        <w:t xml:space="preserve">equaled 0.5 ng/L and </w:t>
      </w:r>
      <w:r>
        <w:rPr>
          <w:sz w:val="24"/>
          <w:szCs w:val="24"/>
        </w:rPr>
        <w:t xml:space="preserve">the </w:t>
      </w:r>
      <w:r w:rsidR="000731A9" w:rsidRPr="000731A9">
        <w:rPr>
          <w:sz w:val="24"/>
          <w:szCs w:val="24"/>
        </w:rPr>
        <w:t>method det</w:t>
      </w:r>
      <w:r>
        <w:rPr>
          <w:sz w:val="24"/>
          <w:szCs w:val="24"/>
        </w:rPr>
        <w:t>ection limit equaled 0.24 ng/L), Regional Water Board</w:t>
      </w:r>
      <w:r w:rsidR="000731A9" w:rsidRPr="000731A9">
        <w:rPr>
          <w:sz w:val="24"/>
          <w:szCs w:val="24"/>
        </w:rPr>
        <w:t xml:space="preserve"> </w:t>
      </w:r>
      <w:r w:rsidR="009169EB">
        <w:rPr>
          <w:sz w:val="24"/>
          <w:szCs w:val="24"/>
        </w:rPr>
        <w:t xml:space="preserve">staff </w:t>
      </w:r>
      <w:r w:rsidR="000731A9" w:rsidRPr="000731A9">
        <w:rPr>
          <w:sz w:val="24"/>
          <w:szCs w:val="24"/>
        </w:rPr>
        <w:t>censored data at</w:t>
      </w:r>
      <w:r>
        <w:rPr>
          <w:sz w:val="24"/>
          <w:szCs w:val="24"/>
        </w:rPr>
        <w:t xml:space="preserve"> the PQL</w:t>
      </w:r>
      <w:r w:rsidR="000731A9" w:rsidRPr="000731A9">
        <w:rPr>
          <w:sz w:val="24"/>
          <w:szCs w:val="24"/>
        </w:rPr>
        <w:t xml:space="preserve">.  Finally, </w:t>
      </w:r>
      <w:r>
        <w:rPr>
          <w:sz w:val="24"/>
          <w:szCs w:val="24"/>
        </w:rPr>
        <w:t>the Regional Water Board</w:t>
      </w:r>
      <w:r w:rsidR="000731A9" w:rsidRPr="000731A9">
        <w:rPr>
          <w:sz w:val="24"/>
          <w:szCs w:val="24"/>
        </w:rPr>
        <w:t xml:space="preserve"> did not use data from </w:t>
      </w:r>
      <w:r>
        <w:rPr>
          <w:sz w:val="24"/>
          <w:szCs w:val="24"/>
        </w:rPr>
        <w:t xml:space="preserve">Silicon Valley Clean </w:t>
      </w:r>
      <w:r w:rsidR="00546072">
        <w:rPr>
          <w:sz w:val="24"/>
          <w:szCs w:val="24"/>
        </w:rPr>
        <w:t>Water because its treatment plant did</w:t>
      </w:r>
      <w:r w:rsidR="000731A9" w:rsidRPr="000731A9">
        <w:rPr>
          <w:sz w:val="24"/>
          <w:szCs w:val="24"/>
        </w:rPr>
        <w:t xml:space="preserve"> not always filter treated wastewater, which ma</w:t>
      </w:r>
      <w:r w:rsidR="00546072">
        <w:rPr>
          <w:sz w:val="24"/>
          <w:szCs w:val="24"/>
        </w:rPr>
        <w:t>de</w:t>
      </w:r>
      <w:r w:rsidR="000731A9" w:rsidRPr="000731A9">
        <w:rPr>
          <w:sz w:val="24"/>
          <w:szCs w:val="24"/>
        </w:rPr>
        <w:t xml:space="preserve"> it difficult to categorize </w:t>
      </w:r>
      <w:r w:rsidR="00546072">
        <w:rPr>
          <w:sz w:val="24"/>
          <w:szCs w:val="24"/>
        </w:rPr>
        <w:t xml:space="preserve">the plant as performing </w:t>
      </w:r>
      <w:r w:rsidR="000731A9" w:rsidRPr="000731A9">
        <w:rPr>
          <w:sz w:val="24"/>
          <w:szCs w:val="24"/>
        </w:rPr>
        <w:t xml:space="preserve">secondary or advanced secondary treatment.  </w:t>
      </w:r>
    </w:p>
    <w:p w14:paraId="495A2131" w14:textId="77777777" w:rsidR="000731A9" w:rsidRPr="000731A9" w:rsidRDefault="000731A9" w:rsidP="000731A9">
      <w:pPr>
        <w:autoSpaceDE w:val="0"/>
        <w:autoSpaceDN w:val="0"/>
        <w:adjustRightInd w:val="0"/>
        <w:rPr>
          <w:sz w:val="24"/>
          <w:szCs w:val="24"/>
        </w:rPr>
      </w:pPr>
    </w:p>
    <w:p w14:paraId="21B82952" w14:textId="77777777" w:rsidR="000731A9" w:rsidRPr="000731A9" w:rsidRDefault="000731A9" w:rsidP="000731A9">
      <w:pPr>
        <w:autoSpaceDE w:val="0"/>
        <w:autoSpaceDN w:val="0"/>
        <w:adjustRightInd w:val="0"/>
        <w:rPr>
          <w:b/>
          <w:bCs/>
          <w:sz w:val="24"/>
          <w:szCs w:val="24"/>
        </w:rPr>
      </w:pPr>
      <w:r w:rsidRPr="000731A9">
        <w:rPr>
          <w:b/>
          <w:bCs/>
          <w:sz w:val="24"/>
          <w:szCs w:val="24"/>
        </w:rPr>
        <w:t>Secondary Treatment Plants</w:t>
      </w:r>
    </w:p>
    <w:p w14:paraId="3116046F" w14:textId="15C47071" w:rsidR="000731A9" w:rsidRPr="000731A9" w:rsidRDefault="00546072" w:rsidP="000731A9">
      <w:pPr>
        <w:autoSpaceDE w:val="0"/>
        <w:autoSpaceDN w:val="0"/>
        <w:adjustRightInd w:val="0"/>
        <w:spacing w:after="120"/>
        <w:rPr>
          <w:bCs/>
          <w:sz w:val="24"/>
          <w:szCs w:val="24"/>
        </w:rPr>
      </w:pPr>
      <w:r>
        <w:rPr>
          <w:bCs/>
          <w:sz w:val="24"/>
          <w:szCs w:val="24"/>
        </w:rPr>
        <w:t xml:space="preserve">The Regional Water Board’s </w:t>
      </w:r>
      <w:r w:rsidR="000731A9" w:rsidRPr="000731A9">
        <w:rPr>
          <w:bCs/>
          <w:sz w:val="24"/>
          <w:szCs w:val="24"/>
        </w:rPr>
        <w:t>analysis of secondary treatment plants indicates that mercury data fit a log</w:t>
      </w:r>
      <w:r>
        <w:rPr>
          <w:bCs/>
          <w:sz w:val="24"/>
          <w:szCs w:val="24"/>
        </w:rPr>
        <w:noBreakHyphen/>
      </w:r>
      <w:r w:rsidR="000731A9" w:rsidRPr="000731A9">
        <w:rPr>
          <w:bCs/>
          <w:sz w:val="24"/>
          <w:szCs w:val="24"/>
        </w:rPr>
        <w:t>normal distribution since the data closely follow the line of normality, as shown in Figure 1 below:</w:t>
      </w:r>
    </w:p>
    <w:p w14:paraId="1A380669" w14:textId="1646535D" w:rsidR="000731A9" w:rsidRPr="000731A9" w:rsidRDefault="000731A9" w:rsidP="000731A9">
      <w:pPr>
        <w:autoSpaceDE w:val="0"/>
        <w:autoSpaceDN w:val="0"/>
        <w:adjustRightInd w:val="0"/>
        <w:ind w:left="1080" w:hanging="1080"/>
        <w:contextualSpacing/>
        <w:jc w:val="center"/>
        <w:rPr>
          <w:b/>
          <w:bCs/>
          <w:sz w:val="24"/>
          <w:szCs w:val="24"/>
        </w:rPr>
      </w:pPr>
      <w:r w:rsidRPr="000731A9">
        <w:rPr>
          <w:b/>
          <w:bCs/>
          <w:sz w:val="24"/>
          <w:szCs w:val="24"/>
        </w:rPr>
        <w:t>Figure 1</w:t>
      </w:r>
      <w:r>
        <w:rPr>
          <w:b/>
          <w:bCs/>
          <w:sz w:val="24"/>
          <w:szCs w:val="24"/>
        </w:rPr>
        <w:t>.</w:t>
      </w:r>
      <w:r w:rsidRPr="000731A9">
        <w:rPr>
          <w:b/>
          <w:bCs/>
          <w:sz w:val="24"/>
          <w:szCs w:val="24"/>
        </w:rPr>
        <w:t xml:space="preserve"> Probability Plot of Mercury Data for Secondary Treatment Plants</w:t>
      </w:r>
    </w:p>
    <w:p w14:paraId="725AA363" w14:textId="77777777" w:rsidR="000731A9" w:rsidRDefault="000731A9" w:rsidP="000731A9">
      <w:pPr>
        <w:autoSpaceDE w:val="0"/>
        <w:autoSpaceDN w:val="0"/>
        <w:adjustRightInd w:val="0"/>
        <w:jc w:val="center"/>
        <w:rPr>
          <w:rFonts w:ascii="Arial" w:hAnsi="Arial" w:cs="Arial"/>
          <w:b/>
          <w:bCs/>
          <w:sz w:val="22"/>
          <w:szCs w:val="22"/>
        </w:rPr>
      </w:pPr>
      <w:r>
        <w:object w:dxaOrig="8640" w:dyaOrig="5760" w14:anchorId="6A6CC7EB">
          <v:shape id="_x0000_i1033" type="#_x0000_t75" style="width:327.75pt;height:218.25pt" o:ole="">
            <v:imagedata r:id="rId57" o:title=""/>
          </v:shape>
          <o:OLEObject Type="Embed" ProgID="MtbGraph.Document" ShapeID="_x0000_i1033" DrawAspect="Content" ObjectID="_1564294208" r:id="rId58"/>
        </w:object>
      </w:r>
    </w:p>
    <w:p w14:paraId="1A3B047A" w14:textId="77777777" w:rsidR="000731A9" w:rsidRDefault="000731A9" w:rsidP="000731A9">
      <w:pPr>
        <w:autoSpaceDE w:val="0"/>
        <w:autoSpaceDN w:val="0"/>
        <w:adjustRightInd w:val="0"/>
        <w:rPr>
          <w:bCs/>
        </w:rPr>
      </w:pPr>
    </w:p>
    <w:p w14:paraId="65278B5E" w14:textId="073532F0" w:rsidR="000731A9" w:rsidRPr="000731A9" w:rsidRDefault="00546072" w:rsidP="000731A9">
      <w:pPr>
        <w:autoSpaceDE w:val="0"/>
        <w:autoSpaceDN w:val="0"/>
        <w:adjustRightInd w:val="0"/>
        <w:rPr>
          <w:bCs/>
          <w:sz w:val="24"/>
          <w:szCs w:val="24"/>
        </w:rPr>
      </w:pPr>
      <w:r>
        <w:rPr>
          <w:bCs/>
          <w:sz w:val="24"/>
          <w:szCs w:val="24"/>
        </w:rPr>
        <w:lastRenderedPageBreak/>
        <w:t>Because natural log-</w:t>
      </w:r>
      <w:r w:rsidR="000731A9" w:rsidRPr="000731A9">
        <w:rPr>
          <w:bCs/>
          <w:sz w:val="24"/>
          <w:szCs w:val="24"/>
        </w:rPr>
        <w:t>transformed mercury data for</w:t>
      </w:r>
      <w:r w:rsidR="00704964">
        <w:rPr>
          <w:bCs/>
          <w:sz w:val="24"/>
          <w:szCs w:val="24"/>
        </w:rPr>
        <w:t xml:space="preserve"> secondary treatment plants fit</w:t>
      </w:r>
      <w:r w:rsidR="000731A9" w:rsidRPr="000731A9">
        <w:rPr>
          <w:bCs/>
          <w:sz w:val="24"/>
          <w:szCs w:val="24"/>
        </w:rPr>
        <w:t xml:space="preserve"> a normal distribution, it </w:t>
      </w:r>
      <w:r>
        <w:rPr>
          <w:bCs/>
          <w:sz w:val="24"/>
          <w:szCs w:val="24"/>
        </w:rPr>
        <w:t>was</w:t>
      </w:r>
      <w:r w:rsidR="000731A9" w:rsidRPr="000731A9">
        <w:rPr>
          <w:bCs/>
          <w:sz w:val="24"/>
          <w:szCs w:val="24"/>
        </w:rPr>
        <w:t xml:space="preserve"> possible to calculate performance-based limits based on select percentiles.  For secondary treatment plants (</w:t>
      </w:r>
      <w:r>
        <w:rPr>
          <w:bCs/>
          <w:sz w:val="24"/>
          <w:szCs w:val="24"/>
        </w:rPr>
        <w:t xml:space="preserve">data </w:t>
      </w:r>
      <w:r w:rsidR="000731A9" w:rsidRPr="000731A9">
        <w:rPr>
          <w:bCs/>
          <w:sz w:val="24"/>
          <w:szCs w:val="24"/>
        </w:rPr>
        <w:t xml:space="preserve">sample size of 984), the mean and standard deviation in the natural log phase </w:t>
      </w:r>
      <w:r>
        <w:rPr>
          <w:bCs/>
          <w:sz w:val="24"/>
          <w:szCs w:val="24"/>
        </w:rPr>
        <w:t>were</w:t>
      </w:r>
      <w:r w:rsidR="000731A9" w:rsidRPr="000731A9">
        <w:rPr>
          <w:bCs/>
          <w:sz w:val="24"/>
          <w:szCs w:val="24"/>
        </w:rPr>
        <w:t xml:space="preserve"> -4.5212 and 0.7188, respectively.  </w:t>
      </w:r>
      <w:r>
        <w:rPr>
          <w:bCs/>
          <w:sz w:val="24"/>
          <w:szCs w:val="24"/>
        </w:rPr>
        <w:t>Regional Water Board</w:t>
      </w:r>
      <w:r w:rsidR="000731A9" w:rsidRPr="000731A9">
        <w:rPr>
          <w:bCs/>
          <w:sz w:val="24"/>
          <w:szCs w:val="24"/>
        </w:rPr>
        <w:t xml:space="preserve"> </w:t>
      </w:r>
      <w:r w:rsidR="009169EB">
        <w:rPr>
          <w:bCs/>
          <w:sz w:val="24"/>
          <w:szCs w:val="24"/>
        </w:rPr>
        <w:t xml:space="preserve">staff </w:t>
      </w:r>
      <w:r w:rsidR="000731A9" w:rsidRPr="000731A9">
        <w:rPr>
          <w:bCs/>
          <w:sz w:val="24"/>
          <w:szCs w:val="24"/>
        </w:rPr>
        <w:t>calculated daily, weekly, and monthly mercury limits based on the 99.87</w:t>
      </w:r>
      <w:r w:rsidR="000731A9" w:rsidRPr="000731A9">
        <w:rPr>
          <w:bCs/>
          <w:sz w:val="24"/>
          <w:szCs w:val="24"/>
          <w:vertAlign w:val="superscript"/>
        </w:rPr>
        <w:t>th</w:t>
      </w:r>
      <w:r w:rsidR="000731A9" w:rsidRPr="000731A9">
        <w:rPr>
          <w:bCs/>
          <w:sz w:val="24"/>
          <w:szCs w:val="24"/>
        </w:rPr>
        <w:t xml:space="preserve"> percentile (3 standard deviations above the mean), the 99.57</w:t>
      </w:r>
      <w:r w:rsidR="000731A9" w:rsidRPr="000731A9">
        <w:rPr>
          <w:bCs/>
          <w:sz w:val="24"/>
          <w:szCs w:val="24"/>
          <w:vertAlign w:val="superscript"/>
        </w:rPr>
        <w:t>th</w:t>
      </w:r>
      <w:r w:rsidR="000731A9" w:rsidRPr="000731A9">
        <w:rPr>
          <w:bCs/>
          <w:sz w:val="24"/>
          <w:szCs w:val="24"/>
        </w:rPr>
        <w:t xml:space="preserve"> percentile (2.625 standard deviations above the mean), and the 99.38</w:t>
      </w:r>
      <w:r w:rsidR="000731A9" w:rsidRPr="000731A9">
        <w:rPr>
          <w:bCs/>
          <w:sz w:val="24"/>
          <w:szCs w:val="24"/>
          <w:vertAlign w:val="superscript"/>
        </w:rPr>
        <w:t>th</w:t>
      </w:r>
      <w:r w:rsidR="000731A9" w:rsidRPr="000731A9">
        <w:rPr>
          <w:bCs/>
          <w:sz w:val="24"/>
          <w:szCs w:val="24"/>
        </w:rPr>
        <w:t xml:space="preserve"> percentile (2.5 standard deviations above the mean).</w:t>
      </w:r>
    </w:p>
    <w:p w14:paraId="391A8731" w14:textId="77777777" w:rsidR="000731A9" w:rsidRPr="001B3E4A" w:rsidRDefault="000731A9" w:rsidP="000731A9">
      <w:pPr>
        <w:autoSpaceDE w:val="0"/>
        <w:autoSpaceDN w:val="0"/>
        <w:adjustRightInd w:val="0"/>
        <w:rPr>
          <w:rFonts w:ascii="Arial" w:hAnsi="Arial" w:cs="Arial"/>
          <w:b/>
          <w:bCs/>
        </w:rPr>
      </w:pPr>
    </w:p>
    <w:p w14:paraId="12211535" w14:textId="79A2CEF7" w:rsidR="000731A9" w:rsidRPr="000731A9" w:rsidRDefault="000731A9" w:rsidP="000731A9">
      <w:pPr>
        <w:autoSpaceDE w:val="0"/>
        <w:autoSpaceDN w:val="0"/>
        <w:adjustRightInd w:val="0"/>
        <w:jc w:val="center"/>
        <w:rPr>
          <w:b/>
          <w:bCs/>
          <w:sz w:val="24"/>
          <w:szCs w:val="24"/>
        </w:rPr>
      </w:pPr>
      <w:r w:rsidRPr="000731A9">
        <w:rPr>
          <w:b/>
          <w:bCs/>
          <w:sz w:val="24"/>
          <w:szCs w:val="24"/>
        </w:rPr>
        <w:t>Table 1</w:t>
      </w:r>
      <w:r w:rsidR="00A23670">
        <w:rPr>
          <w:b/>
          <w:bCs/>
          <w:sz w:val="24"/>
          <w:szCs w:val="24"/>
        </w:rPr>
        <w:t xml:space="preserve">. </w:t>
      </w:r>
      <w:r w:rsidRPr="000731A9">
        <w:rPr>
          <w:b/>
          <w:bCs/>
          <w:sz w:val="24"/>
          <w:szCs w:val="24"/>
        </w:rPr>
        <w:t>Mercury Limits for Secondary Treatment Plants</w:t>
      </w: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52"/>
        <w:gridCol w:w="2952"/>
        <w:gridCol w:w="2952"/>
      </w:tblGrid>
      <w:tr w:rsidR="000731A9" w:rsidRPr="000731A9" w14:paraId="4A34E0D8" w14:textId="77777777" w:rsidTr="00AB124F">
        <w:tc>
          <w:tcPr>
            <w:tcW w:w="2952" w:type="dxa"/>
            <w:shd w:val="clear" w:color="auto" w:fill="auto"/>
          </w:tcPr>
          <w:p w14:paraId="1A37400A" w14:textId="77777777" w:rsidR="000731A9" w:rsidRPr="000731A9" w:rsidRDefault="000731A9" w:rsidP="005C0CAF">
            <w:pPr>
              <w:autoSpaceDE w:val="0"/>
              <w:autoSpaceDN w:val="0"/>
              <w:adjustRightInd w:val="0"/>
              <w:jc w:val="center"/>
              <w:rPr>
                <w:b/>
                <w:bCs/>
              </w:rPr>
            </w:pPr>
            <w:r w:rsidRPr="000731A9">
              <w:rPr>
                <w:b/>
                <w:bCs/>
              </w:rPr>
              <w:t>Percentile</w:t>
            </w:r>
          </w:p>
        </w:tc>
        <w:tc>
          <w:tcPr>
            <w:tcW w:w="2952" w:type="dxa"/>
            <w:shd w:val="clear" w:color="auto" w:fill="auto"/>
          </w:tcPr>
          <w:p w14:paraId="54A0726F" w14:textId="77777777" w:rsidR="000731A9" w:rsidRPr="000731A9" w:rsidRDefault="000731A9" w:rsidP="005C0CAF">
            <w:pPr>
              <w:autoSpaceDE w:val="0"/>
              <w:autoSpaceDN w:val="0"/>
              <w:adjustRightInd w:val="0"/>
              <w:jc w:val="center"/>
              <w:rPr>
                <w:b/>
                <w:bCs/>
              </w:rPr>
            </w:pPr>
            <w:r w:rsidRPr="000731A9">
              <w:rPr>
                <w:b/>
                <w:bCs/>
              </w:rPr>
              <w:t>Averaging Period</w:t>
            </w:r>
          </w:p>
        </w:tc>
        <w:tc>
          <w:tcPr>
            <w:tcW w:w="2952" w:type="dxa"/>
            <w:shd w:val="clear" w:color="auto" w:fill="auto"/>
          </w:tcPr>
          <w:p w14:paraId="2A52EC02" w14:textId="77777777" w:rsidR="000731A9" w:rsidRPr="000731A9" w:rsidRDefault="000731A9" w:rsidP="005C0CAF">
            <w:pPr>
              <w:autoSpaceDE w:val="0"/>
              <w:autoSpaceDN w:val="0"/>
              <w:adjustRightInd w:val="0"/>
              <w:jc w:val="center"/>
              <w:rPr>
                <w:b/>
                <w:bCs/>
              </w:rPr>
            </w:pPr>
            <w:r w:rsidRPr="000731A9">
              <w:rPr>
                <w:b/>
                <w:bCs/>
              </w:rPr>
              <w:t>Mercury Limit (ng/L)</w:t>
            </w:r>
          </w:p>
        </w:tc>
      </w:tr>
      <w:tr w:rsidR="000731A9" w:rsidRPr="000731A9" w14:paraId="16D64498" w14:textId="77777777" w:rsidTr="00AB124F">
        <w:tc>
          <w:tcPr>
            <w:tcW w:w="2952" w:type="dxa"/>
            <w:shd w:val="clear" w:color="auto" w:fill="auto"/>
          </w:tcPr>
          <w:p w14:paraId="69A28952" w14:textId="77777777" w:rsidR="000731A9" w:rsidRPr="000731A9" w:rsidRDefault="000731A9" w:rsidP="005C0CAF">
            <w:pPr>
              <w:autoSpaceDE w:val="0"/>
              <w:autoSpaceDN w:val="0"/>
              <w:adjustRightInd w:val="0"/>
              <w:jc w:val="center"/>
              <w:rPr>
                <w:bCs/>
              </w:rPr>
            </w:pPr>
            <w:r w:rsidRPr="000731A9">
              <w:rPr>
                <w:bCs/>
              </w:rPr>
              <w:t>99.87</w:t>
            </w:r>
            <w:r w:rsidRPr="000731A9">
              <w:rPr>
                <w:bCs/>
                <w:vertAlign w:val="superscript"/>
              </w:rPr>
              <w:t>th</w:t>
            </w:r>
          </w:p>
        </w:tc>
        <w:tc>
          <w:tcPr>
            <w:tcW w:w="2952" w:type="dxa"/>
            <w:shd w:val="clear" w:color="auto" w:fill="auto"/>
          </w:tcPr>
          <w:p w14:paraId="1B7AFA3D" w14:textId="77777777" w:rsidR="000731A9" w:rsidRPr="000731A9" w:rsidRDefault="000731A9" w:rsidP="005C0CAF">
            <w:pPr>
              <w:autoSpaceDE w:val="0"/>
              <w:autoSpaceDN w:val="0"/>
              <w:adjustRightInd w:val="0"/>
              <w:jc w:val="center"/>
              <w:rPr>
                <w:bCs/>
              </w:rPr>
            </w:pPr>
            <w:r w:rsidRPr="000731A9">
              <w:rPr>
                <w:bCs/>
              </w:rPr>
              <w:t>Daily</w:t>
            </w:r>
          </w:p>
        </w:tc>
        <w:tc>
          <w:tcPr>
            <w:tcW w:w="2952" w:type="dxa"/>
            <w:shd w:val="clear" w:color="auto" w:fill="auto"/>
          </w:tcPr>
          <w:p w14:paraId="57DEBBC4" w14:textId="77777777" w:rsidR="000731A9" w:rsidRPr="000731A9" w:rsidRDefault="000731A9" w:rsidP="005C0CAF">
            <w:pPr>
              <w:autoSpaceDE w:val="0"/>
              <w:autoSpaceDN w:val="0"/>
              <w:adjustRightInd w:val="0"/>
              <w:jc w:val="center"/>
              <w:rPr>
                <w:bCs/>
              </w:rPr>
            </w:pPr>
            <w:r w:rsidRPr="000731A9">
              <w:rPr>
                <w:bCs/>
              </w:rPr>
              <w:t>94</w:t>
            </w:r>
          </w:p>
        </w:tc>
      </w:tr>
      <w:tr w:rsidR="000731A9" w:rsidRPr="000731A9" w14:paraId="5B87F444" w14:textId="77777777" w:rsidTr="00AB124F">
        <w:tc>
          <w:tcPr>
            <w:tcW w:w="2952" w:type="dxa"/>
            <w:shd w:val="clear" w:color="auto" w:fill="auto"/>
          </w:tcPr>
          <w:p w14:paraId="35122E65" w14:textId="77777777" w:rsidR="000731A9" w:rsidRPr="000731A9" w:rsidRDefault="000731A9" w:rsidP="005C0CAF">
            <w:pPr>
              <w:autoSpaceDE w:val="0"/>
              <w:autoSpaceDN w:val="0"/>
              <w:adjustRightInd w:val="0"/>
              <w:jc w:val="center"/>
              <w:rPr>
                <w:bCs/>
              </w:rPr>
            </w:pPr>
            <w:r w:rsidRPr="000731A9">
              <w:rPr>
                <w:bCs/>
              </w:rPr>
              <w:t>99.57</w:t>
            </w:r>
            <w:r w:rsidRPr="000731A9">
              <w:rPr>
                <w:bCs/>
                <w:vertAlign w:val="superscript"/>
              </w:rPr>
              <w:t>th</w:t>
            </w:r>
          </w:p>
        </w:tc>
        <w:tc>
          <w:tcPr>
            <w:tcW w:w="2952" w:type="dxa"/>
            <w:shd w:val="clear" w:color="auto" w:fill="auto"/>
          </w:tcPr>
          <w:p w14:paraId="158AB4DB" w14:textId="77777777" w:rsidR="000731A9" w:rsidRPr="000731A9" w:rsidRDefault="000731A9" w:rsidP="005C0CAF">
            <w:pPr>
              <w:autoSpaceDE w:val="0"/>
              <w:autoSpaceDN w:val="0"/>
              <w:adjustRightInd w:val="0"/>
              <w:jc w:val="center"/>
              <w:rPr>
                <w:bCs/>
              </w:rPr>
            </w:pPr>
            <w:r w:rsidRPr="000731A9">
              <w:rPr>
                <w:bCs/>
              </w:rPr>
              <w:t>Weekly</w:t>
            </w:r>
          </w:p>
        </w:tc>
        <w:tc>
          <w:tcPr>
            <w:tcW w:w="2952" w:type="dxa"/>
            <w:shd w:val="clear" w:color="auto" w:fill="auto"/>
          </w:tcPr>
          <w:p w14:paraId="0548F913" w14:textId="77777777" w:rsidR="000731A9" w:rsidRPr="000731A9" w:rsidRDefault="000731A9" w:rsidP="005C0CAF">
            <w:pPr>
              <w:autoSpaceDE w:val="0"/>
              <w:autoSpaceDN w:val="0"/>
              <w:adjustRightInd w:val="0"/>
              <w:jc w:val="center"/>
              <w:rPr>
                <w:bCs/>
              </w:rPr>
            </w:pPr>
            <w:r w:rsidRPr="000731A9">
              <w:rPr>
                <w:bCs/>
              </w:rPr>
              <w:t>72</w:t>
            </w:r>
          </w:p>
        </w:tc>
      </w:tr>
      <w:tr w:rsidR="000731A9" w:rsidRPr="000731A9" w14:paraId="7F983C50" w14:textId="77777777" w:rsidTr="00AB124F">
        <w:tc>
          <w:tcPr>
            <w:tcW w:w="2952" w:type="dxa"/>
            <w:shd w:val="clear" w:color="auto" w:fill="auto"/>
          </w:tcPr>
          <w:p w14:paraId="09B2AE8C" w14:textId="6E8D443D" w:rsidR="000731A9" w:rsidRPr="000731A9" w:rsidRDefault="000731A9" w:rsidP="005C0CAF">
            <w:pPr>
              <w:autoSpaceDE w:val="0"/>
              <w:autoSpaceDN w:val="0"/>
              <w:adjustRightInd w:val="0"/>
              <w:jc w:val="center"/>
              <w:rPr>
                <w:bCs/>
              </w:rPr>
            </w:pPr>
            <w:r w:rsidRPr="000731A9">
              <w:rPr>
                <w:bCs/>
              </w:rPr>
              <w:t>99.38</w:t>
            </w:r>
            <w:r w:rsidRPr="000731A9">
              <w:rPr>
                <w:bCs/>
                <w:vertAlign w:val="superscript"/>
              </w:rPr>
              <w:t>th</w:t>
            </w:r>
          </w:p>
        </w:tc>
        <w:tc>
          <w:tcPr>
            <w:tcW w:w="2952" w:type="dxa"/>
            <w:shd w:val="clear" w:color="auto" w:fill="auto"/>
          </w:tcPr>
          <w:p w14:paraId="26DEDC2B" w14:textId="77777777" w:rsidR="000731A9" w:rsidRPr="000731A9" w:rsidRDefault="000731A9" w:rsidP="005C0CAF">
            <w:pPr>
              <w:autoSpaceDE w:val="0"/>
              <w:autoSpaceDN w:val="0"/>
              <w:adjustRightInd w:val="0"/>
              <w:jc w:val="center"/>
              <w:rPr>
                <w:bCs/>
              </w:rPr>
            </w:pPr>
            <w:r w:rsidRPr="000731A9">
              <w:rPr>
                <w:bCs/>
              </w:rPr>
              <w:t>Monthly</w:t>
            </w:r>
          </w:p>
        </w:tc>
        <w:tc>
          <w:tcPr>
            <w:tcW w:w="2952" w:type="dxa"/>
            <w:shd w:val="clear" w:color="auto" w:fill="auto"/>
          </w:tcPr>
          <w:p w14:paraId="4EB13703" w14:textId="77777777" w:rsidR="000731A9" w:rsidRPr="000731A9" w:rsidRDefault="000731A9" w:rsidP="005C0CAF">
            <w:pPr>
              <w:autoSpaceDE w:val="0"/>
              <w:autoSpaceDN w:val="0"/>
              <w:adjustRightInd w:val="0"/>
              <w:jc w:val="center"/>
              <w:rPr>
                <w:bCs/>
              </w:rPr>
            </w:pPr>
            <w:r w:rsidRPr="000731A9">
              <w:rPr>
                <w:bCs/>
              </w:rPr>
              <w:t>66</w:t>
            </w:r>
          </w:p>
        </w:tc>
      </w:tr>
    </w:tbl>
    <w:p w14:paraId="0E4EBB2F" w14:textId="77777777" w:rsidR="000731A9" w:rsidRPr="000731A9" w:rsidRDefault="000731A9" w:rsidP="000731A9">
      <w:pPr>
        <w:autoSpaceDE w:val="0"/>
        <w:autoSpaceDN w:val="0"/>
        <w:adjustRightInd w:val="0"/>
        <w:rPr>
          <w:bCs/>
        </w:rPr>
      </w:pPr>
    </w:p>
    <w:p w14:paraId="7D6F9FC2" w14:textId="77777777" w:rsidR="000731A9" w:rsidRPr="000731A9" w:rsidRDefault="000731A9" w:rsidP="000731A9">
      <w:pPr>
        <w:rPr>
          <w:b/>
          <w:sz w:val="24"/>
          <w:szCs w:val="24"/>
          <w:u w:val="single"/>
        </w:rPr>
      </w:pPr>
      <w:r w:rsidRPr="000731A9">
        <w:rPr>
          <w:b/>
          <w:sz w:val="24"/>
          <w:szCs w:val="24"/>
          <w:u w:val="single"/>
        </w:rPr>
        <w:t>Advanced Secondary Treatment Plants</w:t>
      </w:r>
    </w:p>
    <w:p w14:paraId="3E50E3B1" w14:textId="4FBD5613" w:rsidR="000731A9" w:rsidRPr="000731A9" w:rsidRDefault="005F41BC" w:rsidP="000731A9">
      <w:pPr>
        <w:spacing w:after="120"/>
        <w:rPr>
          <w:bCs/>
          <w:sz w:val="24"/>
        </w:rPr>
      </w:pPr>
      <w:r>
        <w:rPr>
          <w:bCs/>
          <w:sz w:val="24"/>
        </w:rPr>
        <w:t>The Regional Water Board’s</w:t>
      </w:r>
      <w:r w:rsidR="000731A9" w:rsidRPr="000731A9">
        <w:rPr>
          <w:bCs/>
          <w:sz w:val="24"/>
        </w:rPr>
        <w:t xml:space="preserve"> analysis of advanced secondary treatment plants indicates those data also fit a log-normal distribution since the data follow the line of normality, as shown in Figure 2 below:</w:t>
      </w:r>
    </w:p>
    <w:p w14:paraId="5154E1C9" w14:textId="02BEA451" w:rsidR="000731A9" w:rsidRPr="00A23670" w:rsidRDefault="000731A9" w:rsidP="000731A9">
      <w:pPr>
        <w:autoSpaceDE w:val="0"/>
        <w:autoSpaceDN w:val="0"/>
        <w:adjustRightInd w:val="0"/>
        <w:ind w:left="1080" w:hanging="1080"/>
        <w:jc w:val="center"/>
        <w:rPr>
          <w:b/>
          <w:bCs/>
          <w:sz w:val="24"/>
        </w:rPr>
      </w:pPr>
      <w:r w:rsidRPr="00A23670">
        <w:rPr>
          <w:b/>
          <w:bCs/>
          <w:sz w:val="24"/>
        </w:rPr>
        <w:t>Figure 2</w:t>
      </w:r>
      <w:r w:rsidR="00A23670" w:rsidRPr="00A23670">
        <w:rPr>
          <w:b/>
          <w:bCs/>
          <w:sz w:val="24"/>
        </w:rPr>
        <w:t xml:space="preserve">. </w:t>
      </w:r>
      <w:r w:rsidRPr="00A23670">
        <w:rPr>
          <w:b/>
          <w:bCs/>
          <w:sz w:val="24"/>
        </w:rPr>
        <w:t>Probability Plot of Mercury Data for Advanced Secondary Treatment Plants</w:t>
      </w:r>
    </w:p>
    <w:p w14:paraId="4066C1B3" w14:textId="77777777" w:rsidR="000731A9" w:rsidRDefault="000731A9" w:rsidP="000731A9">
      <w:pPr>
        <w:jc w:val="center"/>
        <w:rPr>
          <w:bCs/>
        </w:rPr>
      </w:pPr>
      <w:r>
        <w:object w:dxaOrig="8640" w:dyaOrig="5760" w14:anchorId="6A3E84E5">
          <v:shape id="_x0000_i1034" type="#_x0000_t75" style="width:6in;height:4in" o:ole="">
            <v:imagedata r:id="rId59" o:title=""/>
          </v:shape>
          <o:OLEObject Type="Embed" ProgID="MtbGraph.Document" ShapeID="_x0000_i1034" DrawAspect="Content" ObjectID="_1564294209" r:id="rId60"/>
        </w:object>
      </w:r>
    </w:p>
    <w:p w14:paraId="4121B629" w14:textId="77777777" w:rsidR="000731A9" w:rsidRDefault="000731A9" w:rsidP="000731A9">
      <w:pPr>
        <w:rPr>
          <w:bCs/>
        </w:rPr>
      </w:pPr>
    </w:p>
    <w:p w14:paraId="45561D55" w14:textId="77777777" w:rsidR="000731A9" w:rsidRDefault="000731A9" w:rsidP="000731A9">
      <w:pPr>
        <w:rPr>
          <w:bCs/>
        </w:rPr>
      </w:pPr>
    </w:p>
    <w:p w14:paraId="13B028F0" w14:textId="1F0268FA" w:rsidR="000731A9" w:rsidRDefault="00704964" w:rsidP="000731A9">
      <w:pPr>
        <w:autoSpaceDE w:val="0"/>
        <w:autoSpaceDN w:val="0"/>
        <w:adjustRightInd w:val="0"/>
        <w:rPr>
          <w:bCs/>
          <w:sz w:val="24"/>
        </w:rPr>
      </w:pPr>
      <w:r>
        <w:rPr>
          <w:bCs/>
          <w:sz w:val="24"/>
        </w:rPr>
        <w:t>Because natural log-</w:t>
      </w:r>
      <w:r w:rsidR="000731A9" w:rsidRPr="000731A9">
        <w:rPr>
          <w:bCs/>
          <w:sz w:val="24"/>
        </w:rPr>
        <w:t>transformed mercury data for advanced</w:t>
      </w:r>
      <w:r>
        <w:rPr>
          <w:bCs/>
          <w:sz w:val="24"/>
        </w:rPr>
        <w:t xml:space="preserve"> secondary treatment plants fit</w:t>
      </w:r>
      <w:r w:rsidR="000731A9" w:rsidRPr="000731A9">
        <w:rPr>
          <w:bCs/>
          <w:sz w:val="24"/>
        </w:rPr>
        <w:t xml:space="preserve"> a normal distribution, it </w:t>
      </w:r>
      <w:r>
        <w:rPr>
          <w:bCs/>
          <w:sz w:val="24"/>
        </w:rPr>
        <w:t>was</w:t>
      </w:r>
      <w:r w:rsidR="000731A9" w:rsidRPr="000731A9">
        <w:rPr>
          <w:bCs/>
          <w:sz w:val="24"/>
        </w:rPr>
        <w:t xml:space="preserve"> possible to calculate performance-based limits based on select percentiles.  For advanced secondary treatment plants (</w:t>
      </w:r>
      <w:r>
        <w:rPr>
          <w:bCs/>
          <w:sz w:val="24"/>
        </w:rPr>
        <w:t xml:space="preserve">data </w:t>
      </w:r>
      <w:r w:rsidR="000731A9" w:rsidRPr="000731A9">
        <w:rPr>
          <w:bCs/>
          <w:sz w:val="24"/>
        </w:rPr>
        <w:t xml:space="preserve">sample size of 434), the mean and standard deviation in the natural log phase </w:t>
      </w:r>
      <w:r>
        <w:rPr>
          <w:bCs/>
          <w:sz w:val="24"/>
        </w:rPr>
        <w:t>were</w:t>
      </w:r>
      <w:r w:rsidR="000731A9" w:rsidRPr="000731A9">
        <w:rPr>
          <w:bCs/>
          <w:sz w:val="24"/>
        </w:rPr>
        <w:t xml:space="preserve"> -5.3457 and 0.6664, respectively.  </w:t>
      </w:r>
      <w:r>
        <w:rPr>
          <w:bCs/>
          <w:sz w:val="24"/>
        </w:rPr>
        <w:t>Regional Water Board</w:t>
      </w:r>
      <w:r w:rsidR="009169EB">
        <w:rPr>
          <w:bCs/>
          <w:sz w:val="24"/>
        </w:rPr>
        <w:t xml:space="preserve"> staff</w:t>
      </w:r>
      <w:r w:rsidR="000731A9" w:rsidRPr="000731A9">
        <w:rPr>
          <w:bCs/>
          <w:sz w:val="24"/>
        </w:rPr>
        <w:t xml:space="preserve"> calculated daily, weekly, and monthly mercury limits based on the 99.87</w:t>
      </w:r>
      <w:r w:rsidR="000731A9" w:rsidRPr="000731A9">
        <w:rPr>
          <w:bCs/>
          <w:sz w:val="24"/>
          <w:vertAlign w:val="superscript"/>
        </w:rPr>
        <w:t>th</w:t>
      </w:r>
      <w:r w:rsidR="000731A9" w:rsidRPr="000731A9">
        <w:rPr>
          <w:bCs/>
          <w:sz w:val="24"/>
        </w:rPr>
        <w:t xml:space="preserve"> percentile, the 99.57</w:t>
      </w:r>
      <w:r w:rsidR="000731A9" w:rsidRPr="000731A9">
        <w:rPr>
          <w:bCs/>
          <w:sz w:val="24"/>
          <w:vertAlign w:val="superscript"/>
        </w:rPr>
        <w:t>th</w:t>
      </w:r>
      <w:r w:rsidR="000731A9" w:rsidRPr="000731A9">
        <w:rPr>
          <w:bCs/>
          <w:sz w:val="24"/>
        </w:rPr>
        <w:t xml:space="preserve"> percentile, and the 99.38</w:t>
      </w:r>
      <w:r w:rsidR="000731A9" w:rsidRPr="000731A9">
        <w:rPr>
          <w:bCs/>
          <w:sz w:val="24"/>
          <w:vertAlign w:val="superscript"/>
        </w:rPr>
        <w:t>th</w:t>
      </w:r>
      <w:r w:rsidR="000731A9" w:rsidRPr="000731A9">
        <w:rPr>
          <w:bCs/>
          <w:sz w:val="24"/>
        </w:rPr>
        <w:t xml:space="preserve"> percentile.</w:t>
      </w:r>
    </w:p>
    <w:p w14:paraId="3DD0B6A0" w14:textId="77777777" w:rsidR="00704964" w:rsidRPr="000731A9" w:rsidRDefault="00704964" w:rsidP="000731A9">
      <w:pPr>
        <w:autoSpaceDE w:val="0"/>
        <w:autoSpaceDN w:val="0"/>
        <w:adjustRightInd w:val="0"/>
        <w:rPr>
          <w:bCs/>
          <w:sz w:val="24"/>
        </w:rPr>
      </w:pPr>
    </w:p>
    <w:p w14:paraId="681F379B" w14:textId="77777777" w:rsidR="000731A9" w:rsidRPr="000731A9" w:rsidRDefault="000731A9" w:rsidP="000731A9">
      <w:pPr>
        <w:autoSpaceDE w:val="0"/>
        <w:autoSpaceDN w:val="0"/>
        <w:adjustRightInd w:val="0"/>
        <w:rPr>
          <w:rFonts w:ascii="Arial" w:hAnsi="Arial" w:cs="Arial"/>
          <w:b/>
          <w:bCs/>
          <w:sz w:val="22"/>
        </w:rPr>
      </w:pPr>
    </w:p>
    <w:p w14:paraId="2BB82323" w14:textId="5CB387E0" w:rsidR="000731A9" w:rsidRPr="000731A9" w:rsidRDefault="000731A9" w:rsidP="00704964">
      <w:pPr>
        <w:keepNext/>
        <w:autoSpaceDE w:val="0"/>
        <w:autoSpaceDN w:val="0"/>
        <w:adjustRightInd w:val="0"/>
        <w:jc w:val="center"/>
        <w:rPr>
          <w:b/>
          <w:bCs/>
          <w:sz w:val="24"/>
        </w:rPr>
      </w:pPr>
      <w:r w:rsidRPr="000731A9">
        <w:rPr>
          <w:b/>
          <w:bCs/>
          <w:sz w:val="24"/>
        </w:rPr>
        <w:lastRenderedPageBreak/>
        <w:t>Table 2</w:t>
      </w:r>
      <w:r w:rsidR="00A23670">
        <w:rPr>
          <w:b/>
          <w:bCs/>
          <w:sz w:val="24"/>
        </w:rPr>
        <w:t>.</w:t>
      </w:r>
      <w:r w:rsidRPr="000731A9">
        <w:rPr>
          <w:b/>
          <w:bCs/>
          <w:sz w:val="24"/>
        </w:rPr>
        <w:t xml:space="preserve"> Mercury Limits for Advanced Secondary Treatment Plants</w:t>
      </w: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52"/>
        <w:gridCol w:w="2952"/>
        <w:gridCol w:w="2952"/>
      </w:tblGrid>
      <w:tr w:rsidR="000731A9" w:rsidRPr="000731A9" w14:paraId="35B4A50B" w14:textId="77777777" w:rsidTr="00AB124F">
        <w:tc>
          <w:tcPr>
            <w:tcW w:w="2952" w:type="dxa"/>
            <w:shd w:val="clear" w:color="auto" w:fill="auto"/>
          </w:tcPr>
          <w:p w14:paraId="5228B64D" w14:textId="77777777" w:rsidR="000731A9" w:rsidRPr="000731A9" w:rsidRDefault="000731A9" w:rsidP="00704964">
            <w:pPr>
              <w:keepNext/>
              <w:autoSpaceDE w:val="0"/>
              <w:autoSpaceDN w:val="0"/>
              <w:adjustRightInd w:val="0"/>
              <w:jc w:val="center"/>
              <w:rPr>
                <w:b/>
                <w:bCs/>
              </w:rPr>
            </w:pPr>
            <w:r w:rsidRPr="000731A9">
              <w:rPr>
                <w:b/>
                <w:bCs/>
              </w:rPr>
              <w:t>Percentile</w:t>
            </w:r>
          </w:p>
        </w:tc>
        <w:tc>
          <w:tcPr>
            <w:tcW w:w="2952" w:type="dxa"/>
            <w:shd w:val="clear" w:color="auto" w:fill="auto"/>
          </w:tcPr>
          <w:p w14:paraId="7EE697D6" w14:textId="77777777" w:rsidR="000731A9" w:rsidRPr="000731A9" w:rsidRDefault="000731A9" w:rsidP="00704964">
            <w:pPr>
              <w:keepNext/>
              <w:autoSpaceDE w:val="0"/>
              <w:autoSpaceDN w:val="0"/>
              <w:adjustRightInd w:val="0"/>
              <w:jc w:val="center"/>
              <w:rPr>
                <w:b/>
                <w:bCs/>
              </w:rPr>
            </w:pPr>
            <w:r w:rsidRPr="000731A9">
              <w:rPr>
                <w:b/>
                <w:bCs/>
              </w:rPr>
              <w:t>Averaging Period</w:t>
            </w:r>
          </w:p>
        </w:tc>
        <w:tc>
          <w:tcPr>
            <w:tcW w:w="2952" w:type="dxa"/>
            <w:shd w:val="clear" w:color="auto" w:fill="auto"/>
          </w:tcPr>
          <w:p w14:paraId="6F5BF436" w14:textId="77777777" w:rsidR="000731A9" w:rsidRPr="000731A9" w:rsidRDefault="000731A9" w:rsidP="00704964">
            <w:pPr>
              <w:keepNext/>
              <w:autoSpaceDE w:val="0"/>
              <w:autoSpaceDN w:val="0"/>
              <w:adjustRightInd w:val="0"/>
              <w:jc w:val="center"/>
              <w:rPr>
                <w:b/>
                <w:bCs/>
              </w:rPr>
            </w:pPr>
            <w:r w:rsidRPr="000731A9">
              <w:rPr>
                <w:b/>
                <w:bCs/>
              </w:rPr>
              <w:t>Mercury Limit (ng/L)</w:t>
            </w:r>
          </w:p>
        </w:tc>
      </w:tr>
      <w:tr w:rsidR="000731A9" w:rsidRPr="000731A9" w14:paraId="680572E9" w14:textId="77777777" w:rsidTr="00AB124F">
        <w:tc>
          <w:tcPr>
            <w:tcW w:w="2952" w:type="dxa"/>
            <w:shd w:val="clear" w:color="auto" w:fill="auto"/>
          </w:tcPr>
          <w:p w14:paraId="6E2C6059" w14:textId="77777777" w:rsidR="000731A9" w:rsidRPr="000731A9" w:rsidRDefault="000731A9" w:rsidP="005C0CAF">
            <w:pPr>
              <w:autoSpaceDE w:val="0"/>
              <w:autoSpaceDN w:val="0"/>
              <w:adjustRightInd w:val="0"/>
              <w:jc w:val="center"/>
              <w:rPr>
                <w:bCs/>
              </w:rPr>
            </w:pPr>
            <w:r w:rsidRPr="000731A9">
              <w:rPr>
                <w:bCs/>
              </w:rPr>
              <w:t>99.87</w:t>
            </w:r>
            <w:r w:rsidRPr="000731A9">
              <w:rPr>
                <w:bCs/>
                <w:vertAlign w:val="superscript"/>
              </w:rPr>
              <w:t>th</w:t>
            </w:r>
          </w:p>
        </w:tc>
        <w:tc>
          <w:tcPr>
            <w:tcW w:w="2952" w:type="dxa"/>
            <w:shd w:val="clear" w:color="auto" w:fill="auto"/>
          </w:tcPr>
          <w:p w14:paraId="37792FDE" w14:textId="77777777" w:rsidR="000731A9" w:rsidRPr="000731A9" w:rsidRDefault="000731A9" w:rsidP="005C0CAF">
            <w:pPr>
              <w:autoSpaceDE w:val="0"/>
              <w:autoSpaceDN w:val="0"/>
              <w:adjustRightInd w:val="0"/>
              <w:jc w:val="center"/>
              <w:rPr>
                <w:bCs/>
              </w:rPr>
            </w:pPr>
            <w:r w:rsidRPr="000731A9">
              <w:rPr>
                <w:bCs/>
              </w:rPr>
              <w:t>Daily</w:t>
            </w:r>
          </w:p>
        </w:tc>
        <w:tc>
          <w:tcPr>
            <w:tcW w:w="2952" w:type="dxa"/>
            <w:shd w:val="clear" w:color="auto" w:fill="auto"/>
          </w:tcPr>
          <w:p w14:paraId="3F2E231A" w14:textId="77777777" w:rsidR="000731A9" w:rsidRPr="000731A9" w:rsidRDefault="000731A9" w:rsidP="005C0CAF">
            <w:pPr>
              <w:autoSpaceDE w:val="0"/>
              <w:autoSpaceDN w:val="0"/>
              <w:adjustRightInd w:val="0"/>
              <w:jc w:val="center"/>
              <w:rPr>
                <w:bCs/>
              </w:rPr>
            </w:pPr>
            <w:r w:rsidRPr="000731A9">
              <w:rPr>
                <w:bCs/>
              </w:rPr>
              <w:t>35</w:t>
            </w:r>
          </w:p>
        </w:tc>
      </w:tr>
      <w:tr w:rsidR="000731A9" w:rsidRPr="000731A9" w14:paraId="5ABB63B0" w14:textId="77777777" w:rsidTr="00AB124F">
        <w:tc>
          <w:tcPr>
            <w:tcW w:w="2952" w:type="dxa"/>
            <w:shd w:val="clear" w:color="auto" w:fill="auto"/>
          </w:tcPr>
          <w:p w14:paraId="34164603" w14:textId="77777777" w:rsidR="000731A9" w:rsidRPr="000731A9" w:rsidRDefault="000731A9" w:rsidP="005C0CAF">
            <w:pPr>
              <w:autoSpaceDE w:val="0"/>
              <w:autoSpaceDN w:val="0"/>
              <w:adjustRightInd w:val="0"/>
              <w:jc w:val="center"/>
              <w:rPr>
                <w:bCs/>
              </w:rPr>
            </w:pPr>
            <w:r w:rsidRPr="000731A9">
              <w:rPr>
                <w:bCs/>
              </w:rPr>
              <w:t>99.57</w:t>
            </w:r>
            <w:r w:rsidRPr="000731A9">
              <w:rPr>
                <w:bCs/>
                <w:vertAlign w:val="superscript"/>
              </w:rPr>
              <w:t>th</w:t>
            </w:r>
          </w:p>
        </w:tc>
        <w:tc>
          <w:tcPr>
            <w:tcW w:w="2952" w:type="dxa"/>
            <w:shd w:val="clear" w:color="auto" w:fill="auto"/>
          </w:tcPr>
          <w:p w14:paraId="5588B41C" w14:textId="77777777" w:rsidR="000731A9" w:rsidRPr="000731A9" w:rsidRDefault="000731A9" w:rsidP="005C0CAF">
            <w:pPr>
              <w:autoSpaceDE w:val="0"/>
              <w:autoSpaceDN w:val="0"/>
              <w:adjustRightInd w:val="0"/>
              <w:jc w:val="center"/>
              <w:rPr>
                <w:bCs/>
              </w:rPr>
            </w:pPr>
            <w:r w:rsidRPr="000731A9">
              <w:rPr>
                <w:bCs/>
              </w:rPr>
              <w:t>Weekly</w:t>
            </w:r>
          </w:p>
        </w:tc>
        <w:tc>
          <w:tcPr>
            <w:tcW w:w="2952" w:type="dxa"/>
            <w:shd w:val="clear" w:color="auto" w:fill="auto"/>
          </w:tcPr>
          <w:p w14:paraId="787279E6" w14:textId="77777777" w:rsidR="000731A9" w:rsidRPr="000731A9" w:rsidRDefault="000731A9" w:rsidP="005C0CAF">
            <w:pPr>
              <w:autoSpaceDE w:val="0"/>
              <w:autoSpaceDN w:val="0"/>
              <w:adjustRightInd w:val="0"/>
              <w:jc w:val="center"/>
              <w:rPr>
                <w:bCs/>
              </w:rPr>
            </w:pPr>
            <w:r w:rsidRPr="000731A9">
              <w:rPr>
                <w:bCs/>
              </w:rPr>
              <w:t>27</w:t>
            </w:r>
          </w:p>
        </w:tc>
      </w:tr>
      <w:tr w:rsidR="000731A9" w:rsidRPr="000731A9" w14:paraId="29ECFBD7" w14:textId="77777777" w:rsidTr="00AB124F">
        <w:tc>
          <w:tcPr>
            <w:tcW w:w="2952" w:type="dxa"/>
            <w:shd w:val="clear" w:color="auto" w:fill="auto"/>
          </w:tcPr>
          <w:p w14:paraId="61EC4FF2" w14:textId="787C95AD" w:rsidR="000731A9" w:rsidRPr="000731A9" w:rsidRDefault="000731A9" w:rsidP="005C0CAF">
            <w:pPr>
              <w:autoSpaceDE w:val="0"/>
              <w:autoSpaceDN w:val="0"/>
              <w:adjustRightInd w:val="0"/>
              <w:jc w:val="center"/>
              <w:rPr>
                <w:bCs/>
              </w:rPr>
            </w:pPr>
            <w:r w:rsidRPr="000731A9">
              <w:rPr>
                <w:bCs/>
              </w:rPr>
              <w:t>99.38</w:t>
            </w:r>
            <w:r w:rsidRPr="000731A9">
              <w:rPr>
                <w:bCs/>
                <w:vertAlign w:val="superscript"/>
              </w:rPr>
              <w:t>th</w:t>
            </w:r>
          </w:p>
        </w:tc>
        <w:tc>
          <w:tcPr>
            <w:tcW w:w="2952" w:type="dxa"/>
            <w:shd w:val="clear" w:color="auto" w:fill="auto"/>
          </w:tcPr>
          <w:p w14:paraId="41C3DE2A" w14:textId="77777777" w:rsidR="000731A9" w:rsidRPr="000731A9" w:rsidRDefault="000731A9" w:rsidP="005C0CAF">
            <w:pPr>
              <w:autoSpaceDE w:val="0"/>
              <w:autoSpaceDN w:val="0"/>
              <w:adjustRightInd w:val="0"/>
              <w:jc w:val="center"/>
              <w:rPr>
                <w:bCs/>
              </w:rPr>
            </w:pPr>
            <w:r w:rsidRPr="000731A9">
              <w:rPr>
                <w:bCs/>
              </w:rPr>
              <w:t>Monthly</w:t>
            </w:r>
          </w:p>
        </w:tc>
        <w:tc>
          <w:tcPr>
            <w:tcW w:w="2952" w:type="dxa"/>
            <w:shd w:val="clear" w:color="auto" w:fill="auto"/>
          </w:tcPr>
          <w:p w14:paraId="122ED6A4" w14:textId="77777777" w:rsidR="000731A9" w:rsidRPr="000731A9" w:rsidRDefault="000731A9" w:rsidP="005C0CAF">
            <w:pPr>
              <w:autoSpaceDE w:val="0"/>
              <w:autoSpaceDN w:val="0"/>
              <w:adjustRightInd w:val="0"/>
              <w:jc w:val="center"/>
              <w:rPr>
                <w:bCs/>
              </w:rPr>
            </w:pPr>
            <w:r w:rsidRPr="000731A9">
              <w:rPr>
                <w:bCs/>
              </w:rPr>
              <w:t>25</w:t>
            </w:r>
          </w:p>
        </w:tc>
      </w:tr>
    </w:tbl>
    <w:p w14:paraId="4D45FA50" w14:textId="5B14DE20" w:rsidR="000731A9" w:rsidRPr="009169EB" w:rsidRDefault="000731A9" w:rsidP="000731A9">
      <w:pPr>
        <w:autoSpaceDE w:val="0"/>
        <w:autoSpaceDN w:val="0"/>
        <w:adjustRightInd w:val="0"/>
        <w:rPr>
          <w:sz w:val="24"/>
          <w:szCs w:val="24"/>
        </w:rPr>
      </w:pPr>
    </w:p>
    <w:p w14:paraId="10A0BBF0" w14:textId="73A2732E" w:rsidR="000731A9" w:rsidRPr="000731A9" w:rsidRDefault="000731A9" w:rsidP="000731A9">
      <w:pPr>
        <w:autoSpaceDE w:val="0"/>
        <w:autoSpaceDN w:val="0"/>
        <w:adjustRightInd w:val="0"/>
        <w:rPr>
          <w:b/>
          <w:sz w:val="24"/>
          <w:szCs w:val="24"/>
        </w:rPr>
      </w:pPr>
      <w:r w:rsidRPr="000731A9">
        <w:rPr>
          <w:b/>
          <w:sz w:val="24"/>
          <w:szCs w:val="24"/>
        </w:rPr>
        <w:t>Data Analysis of Industrial Treatment</w:t>
      </w:r>
      <w:r w:rsidR="00704964">
        <w:rPr>
          <w:b/>
          <w:sz w:val="24"/>
          <w:szCs w:val="24"/>
        </w:rPr>
        <w:t xml:space="preserve"> Facilities</w:t>
      </w:r>
    </w:p>
    <w:p w14:paraId="015696BF" w14:textId="6013912F" w:rsidR="000731A9" w:rsidRPr="000731A9" w:rsidRDefault="00704964" w:rsidP="000731A9">
      <w:pPr>
        <w:autoSpaceDE w:val="0"/>
        <w:autoSpaceDN w:val="0"/>
        <w:adjustRightInd w:val="0"/>
        <w:rPr>
          <w:sz w:val="24"/>
        </w:rPr>
      </w:pPr>
      <w:r>
        <w:rPr>
          <w:sz w:val="24"/>
        </w:rPr>
        <w:t>The Regional Water Board</w:t>
      </w:r>
      <w:r w:rsidR="000731A9" w:rsidRPr="000731A9">
        <w:rPr>
          <w:sz w:val="24"/>
        </w:rPr>
        <w:t xml:space="preserve"> analyzed mercury data from five</w:t>
      </w:r>
      <w:r>
        <w:rPr>
          <w:sz w:val="24"/>
        </w:rPr>
        <w:t xml:space="preserve"> petroleum</w:t>
      </w:r>
      <w:r w:rsidR="000731A9" w:rsidRPr="000731A9">
        <w:rPr>
          <w:sz w:val="24"/>
        </w:rPr>
        <w:t xml:space="preserve"> refineries that report data to the Water Board’s e</w:t>
      </w:r>
      <w:r>
        <w:rPr>
          <w:sz w:val="24"/>
        </w:rPr>
        <w:t>lectronic reporting system</w:t>
      </w:r>
      <w:r w:rsidR="000731A9" w:rsidRPr="000731A9">
        <w:rPr>
          <w:sz w:val="24"/>
        </w:rPr>
        <w:t xml:space="preserve">. Regional Water Board staff determined that a number of data points from three of the refineries (i.e., Chevron, ConocoPhillips, and Shell) were not indicative of treatment plant performance, and therefore, </w:t>
      </w:r>
      <w:r>
        <w:rPr>
          <w:sz w:val="24"/>
        </w:rPr>
        <w:t>wer</w:t>
      </w:r>
      <w:r w:rsidR="000731A9" w:rsidRPr="000731A9">
        <w:rPr>
          <w:sz w:val="24"/>
        </w:rPr>
        <w:t>e removed.  Additionally, when</w:t>
      </w:r>
      <w:r>
        <w:rPr>
          <w:sz w:val="24"/>
        </w:rPr>
        <w:t xml:space="preserve"> detection limits were very low, the Regional Water Board censored data at the PQL</w:t>
      </w:r>
      <w:r w:rsidR="000731A9" w:rsidRPr="000731A9">
        <w:rPr>
          <w:sz w:val="24"/>
        </w:rPr>
        <w:t xml:space="preserve">.  </w:t>
      </w:r>
    </w:p>
    <w:p w14:paraId="71E1C578" w14:textId="77777777" w:rsidR="000731A9" w:rsidRPr="000731A9" w:rsidRDefault="000731A9" w:rsidP="000731A9">
      <w:pPr>
        <w:autoSpaceDE w:val="0"/>
        <w:autoSpaceDN w:val="0"/>
        <w:adjustRightInd w:val="0"/>
        <w:rPr>
          <w:sz w:val="24"/>
        </w:rPr>
      </w:pPr>
    </w:p>
    <w:p w14:paraId="7D61939D" w14:textId="729BC17B" w:rsidR="000731A9" w:rsidRPr="000731A9" w:rsidRDefault="00704964" w:rsidP="000731A9">
      <w:pPr>
        <w:autoSpaceDE w:val="0"/>
        <w:autoSpaceDN w:val="0"/>
        <w:adjustRightInd w:val="0"/>
        <w:spacing w:after="120"/>
        <w:rPr>
          <w:bCs/>
          <w:sz w:val="24"/>
        </w:rPr>
      </w:pPr>
      <w:r>
        <w:rPr>
          <w:bCs/>
          <w:sz w:val="24"/>
        </w:rPr>
        <w:t>The Regional Water Board’s</w:t>
      </w:r>
      <w:r w:rsidR="000731A9" w:rsidRPr="000731A9">
        <w:rPr>
          <w:bCs/>
          <w:sz w:val="24"/>
        </w:rPr>
        <w:t xml:space="preserve"> analysis of fi</w:t>
      </w:r>
      <w:r>
        <w:rPr>
          <w:bCs/>
          <w:sz w:val="24"/>
        </w:rPr>
        <w:t>ve Bay Area refineries indicated</w:t>
      </w:r>
      <w:r w:rsidR="000731A9" w:rsidRPr="000731A9">
        <w:rPr>
          <w:bCs/>
          <w:sz w:val="24"/>
        </w:rPr>
        <w:t xml:space="preserve"> that mercury data fit a log</w:t>
      </w:r>
      <w:r>
        <w:rPr>
          <w:bCs/>
          <w:sz w:val="24"/>
        </w:rPr>
        <w:noBreakHyphen/>
      </w:r>
      <w:r w:rsidR="000731A9" w:rsidRPr="000731A9">
        <w:rPr>
          <w:bCs/>
          <w:sz w:val="24"/>
        </w:rPr>
        <w:t>normal distribution since the data closely follow the line of</w:t>
      </w:r>
      <w:r w:rsidR="00A23670">
        <w:rPr>
          <w:bCs/>
          <w:sz w:val="24"/>
        </w:rPr>
        <w:t xml:space="preserve"> normality, as shown in Figure 3</w:t>
      </w:r>
      <w:r w:rsidR="000731A9" w:rsidRPr="000731A9">
        <w:rPr>
          <w:bCs/>
          <w:sz w:val="24"/>
        </w:rPr>
        <w:t xml:space="preserve"> below:</w:t>
      </w:r>
    </w:p>
    <w:p w14:paraId="09550542" w14:textId="65BBC466" w:rsidR="000731A9" w:rsidRPr="000731A9" w:rsidRDefault="000731A9" w:rsidP="000731A9">
      <w:pPr>
        <w:autoSpaceDE w:val="0"/>
        <w:autoSpaceDN w:val="0"/>
        <w:adjustRightInd w:val="0"/>
        <w:ind w:left="1080" w:hanging="1080"/>
        <w:jc w:val="center"/>
        <w:rPr>
          <w:b/>
          <w:bCs/>
          <w:sz w:val="24"/>
        </w:rPr>
      </w:pPr>
      <w:r w:rsidRPr="000731A9">
        <w:rPr>
          <w:b/>
          <w:bCs/>
          <w:sz w:val="24"/>
        </w:rPr>
        <w:t xml:space="preserve">Figure </w:t>
      </w:r>
      <w:r w:rsidR="00A23670">
        <w:rPr>
          <w:b/>
          <w:bCs/>
          <w:sz w:val="24"/>
        </w:rPr>
        <w:t xml:space="preserve">3. </w:t>
      </w:r>
      <w:r w:rsidRPr="000731A9">
        <w:rPr>
          <w:b/>
          <w:bCs/>
          <w:sz w:val="24"/>
        </w:rPr>
        <w:t>Probability Plot of Mercury Data for Bay Area Refineries</w:t>
      </w:r>
    </w:p>
    <w:p w14:paraId="1DB77112" w14:textId="77777777" w:rsidR="000731A9" w:rsidRDefault="000731A9" w:rsidP="000731A9">
      <w:pPr>
        <w:autoSpaceDE w:val="0"/>
        <w:autoSpaceDN w:val="0"/>
        <w:adjustRightInd w:val="0"/>
        <w:jc w:val="center"/>
        <w:rPr>
          <w:rFonts w:ascii="Arial" w:hAnsi="Arial" w:cs="Arial"/>
          <w:b/>
          <w:bCs/>
          <w:sz w:val="22"/>
          <w:szCs w:val="22"/>
        </w:rPr>
      </w:pPr>
      <w:r>
        <w:object w:dxaOrig="8640" w:dyaOrig="5760" w14:anchorId="7B7D2F10">
          <v:shape id="_x0000_i1035" type="#_x0000_t75" style="width:6in;height:4in" o:ole="">
            <v:imagedata r:id="rId61" o:title=""/>
          </v:shape>
          <o:OLEObject Type="Embed" ProgID="MtbGraph.Document" ShapeID="_x0000_i1035" DrawAspect="Content" ObjectID="_1564294210" r:id="rId62"/>
        </w:object>
      </w:r>
    </w:p>
    <w:p w14:paraId="21798CF1" w14:textId="77777777" w:rsidR="000731A9" w:rsidRDefault="000731A9" w:rsidP="000731A9">
      <w:pPr>
        <w:autoSpaceDE w:val="0"/>
        <w:autoSpaceDN w:val="0"/>
        <w:adjustRightInd w:val="0"/>
        <w:rPr>
          <w:bCs/>
        </w:rPr>
      </w:pPr>
    </w:p>
    <w:p w14:paraId="4F20C561" w14:textId="0484F1A1" w:rsidR="000731A9" w:rsidRPr="00A23670" w:rsidRDefault="009169EB" w:rsidP="000731A9">
      <w:pPr>
        <w:autoSpaceDE w:val="0"/>
        <w:autoSpaceDN w:val="0"/>
        <w:adjustRightInd w:val="0"/>
        <w:rPr>
          <w:bCs/>
          <w:sz w:val="24"/>
        </w:rPr>
      </w:pPr>
      <w:r>
        <w:rPr>
          <w:bCs/>
          <w:sz w:val="24"/>
        </w:rPr>
        <w:t>Because natural log-transformed mercury data fit</w:t>
      </w:r>
      <w:r w:rsidR="000731A9" w:rsidRPr="00A23670">
        <w:rPr>
          <w:bCs/>
          <w:sz w:val="24"/>
        </w:rPr>
        <w:t xml:space="preserve"> a normal distribution, it </w:t>
      </w:r>
      <w:r>
        <w:rPr>
          <w:bCs/>
          <w:sz w:val="24"/>
        </w:rPr>
        <w:t>was</w:t>
      </w:r>
      <w:r w:rsidR="000731A9" w:rsidRPr="00A23670">
        <w:rPr>
          <w:bCs/>
          <w:sz w:val="24"/>
        </w:rPr>
        <w:t xml:space="preserve"> possible to calculate performance-based limits based on select percentiles.  For refineries (</w:t>
      </w:r>
      <w:r>
        <w:rPr>
          <w:bCs/>
          <w:sz w:val="24"/>
        </w:rPr>
        <w:t xml:space="preserve">data </w:t>
      </w:r>
      <w:r w:rsidR="000731A9" w:rsidRPr="00A23670">
        <w:rPr>
          <w:bCs/>
          <w:sz w:val="24"/>
        </w:rPr>
        <w:t xml:space="preserve">sample size of 296), the mean and standard deviation in the natural log phase </w:t>
      </w:r>
      <w:r>
        <w:rPr>
          <w:bCs/>
          <w:sz w:val="24"/>
        </w:rPr>
        <w:t>were</w:t>
      </w:r>
      <w:r w:rsidR="000731A9" w:rsidRPr="00A23670">
        <w:rPr>
          <w:bCs/>
          <w:sz w:val="24"/>
        </w:rPr>
        <w:t xml:space="preserve"> -4.7000 and 0.8654, respectively.  </w:t>
      </w:r>
      <w:r>
        <w:rPr>
          <w:bCs/>
          <w:sz w:val="24"/>
        </w:rPr>
        <w:t>Regional Water Board staff</w:t>
      </w:r>
      <w:r w:rsidR="000731A9" w:rsidRPr="00A23670">
        <w:rPr>
          <w:bCs/>
          <w:sz w:val="24"/>
        </w:rPr>
        <w:t xml:space="preserve"> calculated daily, weekly, and monthly mercury limits based on the 99.87</w:t>
      </w:r>
      <w:r w:rsidR="000731A9" w:rsidRPr="00A23670">
        <w:rPr>
          <w:bCs/>
          <w:sz w:val="24"/>
          <w:vertAlign w:val="superscript"/>
        </w:rPr>
        <w:t>th</w:t>
      </w:r>
      <w:r w:rsidR="000731A9" w:rsidRPr="00A23670">
        <w:rPr>
          <w:bCs/>
          <w:sz w:val="24"/>
        </w:rPr>
        <w:t xml:space="preserve"> percentile (3 standard deviations above the mean), the 99.57</w:t>
      </w:r>
      <w:r w:rsidR="000731A9" w:rsidRPr="00A23670">
        <w:rPr>
          <w:bCs/>
          <w:sz w:val="24"/>
          <w:vertAlign w:val="superscript"/>
        </w:rPr>
        <w:t>th</w:t>
      </w:r>
      <w:r w:rsidR="000731A9" w:rsidRPr="00A23670">
        <w:rPr>
          <w:bCs/>
          <w:sz w:val="24"/>
        </w:rPr>
        <w:t xml:space="preserve"> percentile (2.625 standard deviations above the mean), and the 99.38</w:t>
      </w:r>
      <w:r w:rsidR="000731A9" w:rsidRPr="00A23670">
        <w:rPr>
          <w:bCs/>
          <w:sz w:val="24"/>
          <w:vertAlign w:val="superscript"/>
        </w:rPr>
        <w:t>th</w:t>
      </w:r>
      <w:r w:rsidR="000731A9" w:rsidRPr="00A23670">
        <w:rPr>
          <w:bCs/>
          <w:sz w:val="24"/>
        </w:rPr>
        <w:t xml:space="preserve"> percentile (2.5 standard deviations above the mean).</w:t>
      </w:r>
    </w:p>
    <w:p w14:paraId="3740ED2F" w14:textId="77777777" w:rsidR="000731A9" w:rsidRPr="000731A9" w:rsidRDefault="000731A9" w:rsidP="000731A9">
      <w:pPr>
        <w:autoSpaceDE w:val="0"/>
        <w:autoSpaceDN w:val="0"/>
        <w:adjustRightInd w:val="0"/>
        <w:rPr>
          <w:b/>
          <w:bCs/>
          <w:sz w:val="22"/>
        </w:rPr>
      </w:pPr>
    </w:p>
    <w:p w14:paraId="09A4E6A4" w14:textId="729BAAAF" w:rsidR="000731A9" w:rsidRPr="000731A9" w:rsidRDefault="000731A9" w:rsidP="000731A9">
      <w:pPr>
        <w:autoSpaceDE w:val="0"/>
        <w:autoSpaceDN w:val="0"/>
        <w:adjustRightInd w:val="0"/>
        <w:jc w:val="center"/>
        <w:rPr>
          <w:b/>
          <w:bCs/>
          <w:sz w:val="24"/>
        </w:rPr>
      </w:pPr>
      <w:r w:rsidRPr="000731A9">
        <w:rPr>
          <w:b/>
          <w:bCs/>
          <w:sz w:val="24"/>
        </w:rPr>
        <w:t>Table 3</w:t>
      </w:r>
      <w:r w:rsidR="00A23670">
        <w:rPr>
          <w:b/>
          <w:bCs/>
          <w:sz w:val="24"/>
        </w:rPr>
        <w:t xml:space="preserve">. </w:t>
      </w:r>
      <w:r w:rsidRPr="000731A9">
        <w:rPr>
          <w:b/>
          <w:bCs/>
          <w:sz w:val="24"/>
        </w:rPr>
        <w:t>Mercury Limits for Industries Using Petroleum Refinery Performance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52"/>
        <w:gridCol w:w="2952"/>
        <w:gridCol w:w="2952"/>
      </w:tblGrid>
      <w:tr w:rsidR="000731A9" w:rsidRPr="005C0CAF" w14:paraId="5A6A0FFD" w14:textId="77777777" w:rsidTr="00AB124F">
        <w:tc>
          <w:tcPr>
            <w:tcW w:w="2952" w:type="dxa"/>
            <w:shd w:val="clear" w:color="auto" w:fill="auto"/>
          </w:tcPr>
          <w:p w14:paraId="1630CD57" w14:textId="77777777" w:rsidR="000731A9" w:rsidRPr="005C0CAF" w:rsidRDefault="000731A9" w:rsidP="005C0CAF">
            <w:pPr>
              <w:autoSpaceDE w:val="0"/>
              <w:autoSpaceDN w:val="0"/>
              <w:adjustRightInd w:val="0"/>
              <w:jc w:val="center"/>
              <w:rPr>
                <w:b/>
                <w:bCs/>
              </w:rPr>
            </w:pPr>
            <w:r w:rsidRPr="005C0CAF">
              <w:rPr>
                <w:b/>
                <w:bCs/>
              </w:rPr>
              <w:t>Percentile</w:t>
            </w:r>
          </w:p>
        </w:tc>
        <w:tc>
          <w:tcPr>
            <w:tcW w:w="2952" w:type="dxa"/>
            <w:shd w:val="clear" w:color="auto" w:fill="auto"/>
          </w:tcPr>
          <w:p w14:paraId="69423913" w14:textId="77777777" w:rsidR="000731A9" w:rsidRPr="005C0CAF" w:rsidRDefault="000731A9" w:rsidP="005C0CAF">
            <w:pPr>
              <w:autoSpaceDE w:val="0"/>
              <w:autoSpaceDN w:val="0"/>
              <w:adjustRightInd w:val="0"/>
              <w:jc w:val="center"/>
              <w:rPr>
                <w:b/>
                <w:bCs/>
              </w:rPr>
            </w:pPr>
            <w:r w:rsidRPr="005C0CAF">
              <w:rPr>
                <w:b/>
                <w:bCs/>
              </w:rPr>
              <w:t>Averaging Period</w:t>
            </w:r>
          </w:p>
        </w:tc>
        <w:tc>
          <w:tcPr>
            <w:tcW w:w="2952" w:type="dxa"/>
            <w:shd w:val="clear" w:color="auto" w:fill="auto"/>
          </w:tcPr>
          <w:p w14:paraId="2C949021" w14:textId="77777777" w:rsidR="000731A9" w:rsidRPr="005C0CAF" w:rsidRDefault="000731A9" w:rsidP="005C0CAF">
            <w:pPr>
              <w:autoSpaceDE w:val="0"/>
              <w:autoSpaceDN w:val="0"/>
              <w:adjustRightInd w:val="0"/>
              <w:jc w:val="center"/>
              <w:rPr>
                <w:b/>
                <w:bCs/>
              </w:rPr>
            </w:pPr>
            <w:r w:rsidRPr="005C0CAF">
              <w:rPr>
                <w:b/>
                <w:bCs/>
              </w:rPr>
              <w:t>Mercury Limit (ng/L)</w:t>
            </w:r>
          </w:p>
        </w:tc>
      </w:tr>
      <w:tr w:rsidR="000731A9" w:rsidRPr="005C0CAF" w14:paraId="4F62667A" w14:textId="77777777" w:rsidTr="00AB124F">
        <w:tc>
          <w:tcPr>
            <w:tcW w:w="2952" w:type="dxa"/>
            <w:shd w:val="clear" w:color="auto" w:fill="auto"/>
          </w:tcPr>
          <w:p w14:paraId="31F43A1F" w14:textId="77777777" w:rsidR="000731A9" w:rsidRPr="005C0CAF" w:rsidRDefault="000731A9" w:rsidP="005C0CAF">
            <w:pPr>
              <w:autoSpaceDE w:val="0"/>
              <w:autoSpaceDN w:val="0"/>
              <w:adjustRightInd w:val="0"/>
              <w:jc w:val="center"/>
              <w:rPr>
                <w:bCs/>
              </w:rPr>
            </w:pPr>
            <w:r w:rsidRPr="005C0CAF">
              <w:rPr>
                <w:bCs/>
              </w:rPr>
              <w:t>99.87</w:t>
            </w:r>
            <w:r w:rsidRPr="005C0CAF">
              <w:rPr>
                <w:bCs/>
                <w:vertAlign w:val="superscript"/>
              </w:rPr>
              <w:t>th</w:t>
            </w:r>
          </w:p>
        </w:tc>
        <w:tc>
          <w:tcPr>
            <w:tcW w:w="2952" w:type="dxa"/>
            <w:shd w:val="clear" w:color="auto" w:fill="auto"/>
          </w:tcPr>
          <w:p w14:paraId="01668F9B" w14:textId="77777777" w:rsidR="000731A9" w:rsidRPr="005C0CAF" w:rsidRDefault="000731A9" w:rsidP="005C0CAF">
            <w:pPr>
              <w:autoSpaceDE w:val="0"/>
              <w:autoSpaceDN w:val="0"/>
              <w:adjustRightInd w:val="0"/>
              <w:jc w:val="center"/>
              <w:rPr>
                <w:bCs/>
              </w:rPr>
            </w:pPr>
            <w:r w:rsidRPr="005C0CAF">
              <w:rPr>
                <w:bCs/>
              </w:rPr>
              <w:t>Daily</w:t>
            </w:r>
          </w:p>
        </w:tc>
        <w:tc>
          <w:tcPr>
            <w:tcW w:w="2952" w:type="dxa"/>
            <w:shd w:val="clear" w:color="auto" w:fill="auto"/>
          </w:tcPr>
          <w:p w14:paraId="569FE6B4" w14:textId="77777777" w:rsidR="000731A9" w:rsidRPr="005C0CAF" w:rsidRDefault="000731A9" w:rsidP="005C0CAF">
            <w:pPr>
              <w:autoSpaceDE w:val="0"/>
              <w:autoSpaceDN w:val="0"/>
              <w:adjustRightInd w:val="0"/>
              <w:jc w:val="center"/>
              <w:rPr>
                <w:bCs/>
              </w:rPr>
            </w:pPr>
            <w:r w:rsidRPr="005C0CAF">
              <w:rPr>
                <w:bCs/>
              </w:rPr>
              <w:t>122</w:t>
            </w:r>
          </w:p>
        </w:tc>
      </w:tr>
      <w:tr w:rsidR="000731A9" w:rsidRPr="005C0CAF" w14:paraId="1A3B3FB9" w14:textId="77777777" w:rsidTr="00AB124F">
        <w:tc>
          <w:tcPr>
            <w:tcW w:w="2952" w:type="dxa"/>
            <w:shd w:val="clear" w:color="auto" w:fill="auto"/>
          </w:tcPr>
          <w:p w14:paraId="0D022885" w14:textId="77777777" w:rsidR="000731A9" w:rsidRPr="005C0CAF" w:rsidRDefault="000731A9" w:rsidP="005C0CAF">
            <w:pPr>
              <w:autoSpaceDE w:val="0"/>
              <w:autoSpaceDN w:val="0"/>
              <w:adjustRightInd w:val="0"/>
              <w:jc w:val="center"/>
              <w:rPr>
                <w:bCs/>
              </w:rPr>
            </w:pPr>
            <w:r w:rsidRPr="005C0CAF">
              <w:rPr>
                <w:bCs/>
              </w:rPr>
              <w:t>99.57</w:t>
            </w:r>
            <w:r w:rsidRPr="005C0CAF">
              <w:rPr>
                <w:bCs/>
                <w:vertAlign w:val="superscript"/>
              </w:rPr>
              <w:t>th</w:t>
            </w:r>
          </w:p>
        </w:tc>
        <w:tc>
          <w:tcPr>
            <w:tcW w:w="2952" w:type="dxa"/>
            <w:shd w:val="clear" w:color="auto" w:fill="auto"/>
          </w:tcPr>
          <w:p w14:paraId="26D933C2" w14:textId="77777777" w:rsidR="000731A9" w:rsidRPr="005C0CAF" w:rsidRDefault="000731A9" w:rsidP="005C0CAF">
            <w:pPr>
              <w:autoSpaceDE w:val="0"/>
              <w:autoSpaceDN w:val="0"/>
              <w:adjustRightInd w:val="0"/>
              <w:jc w:val="center"/>
              <w:rPr>
                <w:bCs/>
              </w:rPr>
            </w:pPr>
            <w:r w:rsidRPr="005C0CAF">
              <w:rPr>
                <w:bCs/>
              </w:rPr>
              <w:t>Weekly</w:t>
            </w:r>
          </w:p>
        </w:tc>
        <w:tc>
          <w:tcPr>
            <w:tcW w:w="2952" w:type="dxa"/>
            <w:shd w:val="clear" w:color="auto" w:fill="auto"/>
          </w:tcPr>
          <w:p w14:paraId="75A37137" w14:textId="77777777" w:rsidR="000731A9" w:rsidRPr="005C0CAF" w:rsidRDefault="000731A9" w:rsidP="005C0CAF">
            <w:pPr>
              <w:autoSpaceDE w:val="0"/>
              <w:autoSpaceDN w:val="0"/>
              <w:adjustRightInd w:val="0"/>
              <w:jc w:val="center"/>
              <w:rPr>
                <w:bCs/>
              </w:rPr>
            </w:pPr>
            <w:r w:rsidRPr="005C0CAF">
              <w:rPr>
                <w:bCs/>
              </w:rPr>
              <w:t>88</w:t>
            </w:r>
          </w:p>
        </w:tc>
      </w:tr>
      <w:tr w:rsidR="000731A9" w:rsidRPr="005C0CAF" w14:paraId="5BDA41C2" w14:textId="77777777" w:rsidTr="00AB124F">
        <w:tc>
          <w:tcPr>
            <w:tcW w:w="2952" w:type="dxa"/>
            <w:shd w:val="clear" w:color="auto" w:fill="auto"/>
          </w:tcPr>
          <w:p w14:paraId="6E084FAE" w14:textId="39D20B28" w:rsidR="000731A9" w:rsidRPr="005C0CAF" w:rsidRDefault="000731A9" w:rsidP="005C0CAF">
            <w:pPr>
              <w:autoSpaceDE w:val="0"/>
              <w:autoSpaceDN w:val="0"/>
              <w:adjustRightInd w:val="0"/>
              <w:jc w:val="center"/>
              <w:rPr>
                <w:bCs/>
              </w:rPr>
            </w:pPr>
            <w:r w:rsidRPr="005C0CAF">
              <w:rPr>
                <w:bCs/>
              </w:rPr>
              <w:t>99.38</w:t>
            </w:r>
            <w:r w:rsidRPr="005C0CAF">
              <w:rPr>
                <w:bCs/>
                <w:vertAlign w:val="superscript"/>
              </w:rPr>
              <w:t>th</w:t>
            </w:r>
          </w:p>
        </w:tc>
        <w:tc>
          <w:tcPr>
            <w:tcW w:w="2952" w:type="dxa"/>
            <w:shd w:val="clear" w:color="auto" w:fill="auto"/>
          </w:tcPr>
          <w:p w14:paraId="4FE5BE3F" w14:textId="77777777" w:rsidR="000731A9" w:rsidRPr="005C0CAF" w:rsidRDefault="000731A9" w:rsidP="005C0CAF">
            <w:pPr>
              <w:autoSpaceDE w:val="0"/>
              <w:autoSpaceDN w:val="0"/>
              <w:adjustRightInd w:val="0"/>
              <w:jc w:val="center"/>
              <w:rPr>
                <w:bCs/>
              </w:rPr>
            </w:pPr>
            <w:r w:rsidRPr="005C0CAF">
              <w:rPr>
                <w:bCs/>
              </w:rPr>
              <w:t>Monthly</w:t>
            </w:r>
          </w:p>
        </w:tc>
        <w:tc>
          <w:tcPr>
            <w:tcW w:w="2952" w:type="dxa"/>
            <w:shd w:val="clear" w:color="auto" w:fill="auto"/>
          </w:tcPr>
          <w:p w14:paraId="3BC0506D" w14:textId="77777777" w:rsidR="000731A9" w:rsidRPr="005C0CAF" w:rsidRDefault="000731A9" w:rsidP="005C0CAF">
            <w:pPr>
              <w:autoSpaceDE w:val="0"/>
              <w:autoSpaceDN w:val="0"/>
              <w:adjustRightInd w:val="0"/>
              <w:jc w:val="center"/>
              <w:rPr>
                <w:bCs/>
              </w:rPr>
            </w:pPr>
            <w:r w:rsidRPr="005C0CAF">
              <w:rPr>
                <w:bCs/>
              </w:rPr>
              <w:t>79</w:t>
            </w:r>
          </w:p>
        </w:tc>
      </w:tr>
    </w:tbl>
    <w:p w14:paraId="31D1C85C" w14:textId="56143E20" w:rsidR="005C0CAF" w:rsidRDefault="005C0CAF" w:rsidP="000731A9">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sectPr w:rsidR="005C0CAF" w:rsidSect="00C50F1A">
          <w:footerReference w:type="default" r:id="rId63"/>
          <w:footerReference w:type="first" r:id="rId64"/>
          <w:pgSz w:w="12240" w:h="15840"/>
          <w:pgMar w:top="1080" w:right="1080" w:bottom="1080" w:left="1080" w:header="432" w:footer="720" w:gutter="0"/>
          <w:pgNumType w:fmt="lowerRoman" w:start="1"/>
          <w:cols w:space="720"/>
          <w:titlePg/>
          <w:docGrid w:linePitch="360"/>
        </w:sectPr>
      </w:pPr>
    </w:p>
    <w:p w14:paraId="6F411A0B" w14:textId="77777777" w:rsidR="005C0CAF" w:rsidRDefault="005C0CAF" w:rsidP="000731A9">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sectPr w:rsidR="005C0CAF" w:rsidSect="005C0CAF">
          <w:type w:val="continuous"/>
          <w:pgSz w:w="12240" w:h="15840"/>
          <w:pgMar w:top="1080" w:right="1080" w:bottom="1080" w:left="1080" w:header="432" w:footer="720" w:gutter="0"/>
          <w:pgNumType w:fmt="lowerRoman" w:start="1"/>
          <w:cols w:space="720"/>
          <w:titlePg/>
          <w:docGrid w:linePitch="360"/>
        </w:sectPr>
      </w:pPr>
    </w:p>
    <w:p w14:paraId="79D4097F" w14:textId="1D33D94E" w:rsidR="005C0CAF" w:rsidRPr="00F009DF" w:rsidRDefault="005C0CAF" w:rsidP="005C0CAF">
      <w:pPr>
        <w:jc w:val="center"/>
        <w:rPr>
          <w:spacing w:val="-3"/>
          <w:sz w:val="24"/>
          <w:szCs w:val="24"/>
        </w:rPr>
      </w:pPr>
      <w:r w:rsidRPr="00F009DF">
        <w:rPr>
          <w:b/>
          <w:sz w:val="24"/>
        </w:rPr>
        <w:lastRenderedPageBreak/>
        <w:t>APPENDIX F-3</w:t>
      </w:r>
    </w:p>
    <w:p w14:paraId="567D428C" w14:textId="4F660781" w:rsidR="005C0CAF" w:rsidRDefault="00F009DF" w:rsidP="005C0CAF">
      <w:pPr>
        <w:jc w:val="center"/>
        <w:rPr>
          <w:b/>
          <w:sz w:val="24"/>
          <w:szCs w:val="24"/>
        </w:rPr>
      </w:pPr>
      <w:r w:rsidRPr="00F009DF">
        <w:rPr>
          <w:b/>
          <w:sz w:val="24"/>
          <w:szCs w:val="24"/>
        </w:rPr>
        <w:t>SUMMARY OF PCBs LOADS</w:t>
      </w:r>
    </w:p>
    <w:p w14:paraId="183AD222" w14:textId="6209CD65" w:rsidR="00A23670" w:rsidRDefault="00A23670" w:rsidP="00A23670">
      <w:pPr>
        <w:rPr>
          <w:sz w:val="24"/>
          <w:szCs w:val="24"/>
        </w:rPr>
      </w:pPr>
    </w:p>
    <w:p w14:paraId="2D197B60" w14:textId="2DB9E746" w:rsidR="00363BE1" w:rsidRPr="00BC6118" w:rsidRDefault="00BC6118" w:rsidP="00BC6118">
      <w:pPr>
        <w:autoSpaceDE w:val="0"/>
        <w:autoSpaceDN w:val="0"/>
        <w:adjustRightInd w:val="0"/>
        <w:jc w:val="center"/>
        <w:rPr>
          <w:b/>
          <w:bCs/>
          <w:sz w:val="24"/>
        </w:rPr>
      </w:pPr>
      <w:r>
        <w:rPr>
          <w:b/>
          <w:bCs/>
          <w:sz w:val="24"/>
        </w:rPr>
        <w:t>Table 1. PCBs Loads from Municipal Dischargers (Secondary Treatment)</w:t>
      </w:r>
    </w:p>
    <w:tbl>
      <w:tblPr>
        <w:tblW w:w="8640" w:type="dxa"/>
        <w:jc w:val="center"/>
        <w:tblLook w:val="04A0" w:firstRow="1" w:lastRow="0" w:firstColumn="1" w:lastColumn="0" w:noHBand="0" w:noVBand="1"/>
      </w:tblPr>
      <w:tblGrid>
        <w:gridCol w:w="2430"/>
        <w:gridCol w:w="1620"/>
        <w:gridCol w:w="1530"/>
        <w:gridCol w:w="1530"/>
        <w:gridCol w:w="1530"/>
      </w:tblGrid>
      <w:tr w:rsidR="00426116" w:rsidRPr="00426116" w14:paraId="6384A797" w14:textId="77777777" w:rsidTr="00590587">
        <w:trPr>
          <w:trHeight w:val="540"/>
          <w:jc w:val="center"/>
        </w:trPr>
        <w:tc>
          <w:tcPr>
            <w:tcW w:w="243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44645832" w14:textId="77777777" w:rsidR="00426116" w:rsidRPr="00BA2A47" w:rsidRDefault="00426116" w:rsidP="00426116">
            <w:pPr>
              <w:jc w:val="center"/>
              <w:rPr>
                <w:b/>
                <w:bCs/>
                <w:color w:val="000000"/>
              </w:rPr>
            </w:pPr>
            <w:r w:rsidRPr="00BA2A47">
              <w:rPr>
                <w:b/>
                <w:bCs/>
                <w:color w:val="000000"/>
              </w:rPr>
              <w:t>Discharger</w:t>
            </w:r>
          </w:p>
        </w:tc>
        <w:tc>
          <w:tcPr>
            <w:tcW w:w="6210" w:type="dxa"/>
            <w:gridSpan w:val="4"/>
            <w:tcBorders>
              <w:top w:val="single" w:sz="4" w:space="0" w:color="auto"/>
              <w:left w:val="nil"/>
              <w:bottom w:val="single" w:sz="4" w:space="0" w:color="auto"/>
              <w:right w:val="single" w:sz="4" w:space="0" w:color="auto"/>
            </w:tcBorders>
            <w:shd w:val="clear" w:color="000000" w:fill="FFFFFF"/>
            <w:vAlign w:val="center"/>
            <w:hideMark/>
          </w:tcPr>
          <w:p w14:paraId="58983DB8" w14:textId="77777777" w:rsidR="00426116" w:rsidRPr="00BA2A47" w:rsidRDefault="00426116" w:rsidP="00426116">
            <w:pPr>
              <w:jc w:val="center"/>
              <w:rPr>
                <w:b/>
                <w:bCs/>
                <w:color w:val="000000"/>
              </w:rPr>
            </w:pPr>
            <w:r w:rsidRPr="00BA2A47">
              <w:rPr>
                <w:b/>
                <w:bCs/>
                <w:color w:val="000000"/>
              </w:rPr>
              <w:t>PCBs Loads (kg/yr)</w:t>
            </w:r>
            <w:r w:rsidRPr="00BA2A47">
              <w:rPr>
                <w:b/>
                <w:bCs/>
                <w:color w:val="000000"/>
              </w:rPr>
              <w:br/>
              <w:t>Normalized</w:t>
            </w:r>
          </w:p>
        </w:tc>
      </w:tr>
      <w:tr w:rsidR="00426116" w:rsidRPr="00426116" w14:paraId="0430C07C" w14:textId="77777777" w:rsidTr="00590587">
        <w:trPr>
          <w:trHeight w:val="300"/>
          <w:jc w:val="center"/>
        </w:trPr>
        <w:tc>
          <w:tcPr>
            <w:tcW w:w="2430" w:type="dxa"/>
            <w:vMerge/>
            <w:tcBorders>
              <w:top w:val="single" w:sz="4" w:space="0" w:color="auto"/>
              <w:left w:val="single" w:sz="4" w:space="0" w:color="auto"/>
              <w:bottom w:val="single" w:sz="4" w:space="0" w:color="000000"/>
              <w:right w:val="single" w:sz="4" w:space="0" w:color="auto"/>
            </w:tcBorders>
            <w:vAlign w:val="center"/>
            <w:hideMark/>
          </w:tcPr>
          <w:p w14:paraId="731E2D56" w14:textId="77777777" w:rsidR="00426116" w:rsidRPr="00BA2A47" w:rsidRDefault="00426116" w:rsidP="00426116">
            <w:pPr>
              <w:rPr>
                <w:b/>
                <w:bCs/>
                <w:color w:val="000000"/>
              </w:rPr>
            </w:pPr>
          </w:p>
        </w:tc>
        <w:tc>
          <w:tcPr>
            <w:tcW w:w="6210" w:type="dxa"/>
            <w:gridSpan w:val="4"/>
            <w:tcBorders>
              <w:top w:val="single" w:sz="4" w:space="0" w:color="auto"/>
              <w:left w:val="nil"/>
              <w:bottom w:val="single" w:sz="4" w:space="0" w:color="auto"/>
              <w:right w:val="single" w:sz="4" w:space="0" w:color="auto"/>
            </w:tcBorders>
            <w:shd w:val="clear" w:color="000000" w:fill="D9D9D9"/>
            <w:vAlign w:val="center"/>
            <w:hideMark/>
          </w:tcPr>
          <w:p w14:paraId="67BE2224" w14:textId="77777777" w:rsidR="00426116" w:rsidRPr="00BA2A47" w:rsidRDefault="00426116" w:rsidP="00426116">
            <w:pPr>
              <w:jc w:val="center"/>
              <w:rPr>
                <w:b/>
                <w:bCs/>
                <w:color w:val="000000"/>
              </w:rPr>
            </w:pPr>
            <w:r w:rsidRPr="00BA2A47">
              <w:rPr>
                <w:b/>
                <w:bCs/>
                <w:color w:val="000000"/>
              </w:rPr>
              <w:t>Year</w:t>
            </w:r>
          </w:p>
        </w:tc>
      </w:tr>
      <w:tr w:rsidR="00590587" w:rsidRPr="00426116" w14:paraId="21B438C0" w14:textId="77777777" w:rsidTr="00590587">
        <w:trPr>
          <w:trHeight w:val="300"/>
          <w:jc w:val="center"/>
        </w:trPr>
        <w:tc>
          <w:tcPr>
            <w:tcW w:w="2430" w:type="dxa"/>
            <w:vMerge/>
            <w:tcBorders>
              <w:top w:val="single" w:sz="4" w:space="0" w:color="auto"/>
              <w:left w:val="single" w:sz="4" w:space="0" w:color="auto"/>
              <w:bottom w:val="single" w:sz="4" w:space="0" w:color="000000"/>
              <w:right w:val="single" w:sz="4" w:space="0" w:color="auto"/>
            </w:tcBorders>
            <w:vAlign w:val="center"/>
            <w:hideMark/>
          </w:tcPr>
          <w:p w14:paraId="5D54FCC2" w14:textId="77777777" w:rsidR="00426116" w:rsidRPr="00BA2A47" w:rsidRDefault="00426116" w:rsidP="00426116">
            <w:pPr>
              <w:rPr>
                <w:b/>
                <w:bCs/>
                <w:color w:val="000000"/>
              </w:rPr>
            </w:pPr>
          </w:p>
        </w:tc>
        <w:tc>
          <w:tcPr>
            <w:tcW w:w="1620" w:type="dxa"/>
            <w:tcBorders>
              <w:top w:val="nil"/>
              <w:left w:val="nil"/>
              <w:bottom w:val="single" w:sz="4" w:space="0" w:color="auto"/>
              <w:right w:val="single" w:sz="4" w:space="0" w:color="auto"/>
            </w:tcBorders>
            <w:shd w:val="clear" w:color="auto" w:fill="auto"/>
            <w:vAlign w:val="center"/>
            <w:hideMark/>
          </w:tcPr>
          <w:p w14:paraId="207182A8" w14:textId="77777777" w:rsidR="00426116" w:rsidRPr="00BA2A47" w:rsidRDefault="00426116" w:rsidP="00426116">
            <w:pPr>
              <w:jc w:val="center"/>
              <w:rPr>
                <w:b/>
                <w:bCs/>
                <w:color w:val="000000"/>
              </w:rPr>
            </w:pPr>
            <w:r w:rsidRPr="00BA2A47">
              <w:rPr>
                <w:b/>
                <w:bCs/>
                <w:color w:val="000000"/>
              </w:rPr>
              <w:t>2013</w:t>
            </w:r>
          </w:p>
        </w:tc>
        <w:tc>
          <w:tcPr>
            <w:tcW w:w="1530" w:type="dxa"/>
            <w:tcBorders>
              <w:top w:val="nil"/>
              <w:left w:val="nil"/>
              <w:bottom w:val="single" w:sz="4" w:space="0" w:color="auto"/>
              <w:right w:val="single" w:sz="4" w:space="0" w:color="auto"/>
            </w:tcBorders>
            <w:shd w:val="clear" w:color="auto" w:fill="auto"/>
            <w:vAlign w:val="center"/>
            <w:hideMark/>
          </w:tcPr>
          <w:p w14:paraId="3DAE3B40" w14:textId="77777777" w:rsidR="00426116" w:rsidRPr="00BA2A47" w:rsidRDefault="00426116" w:rsidP="00426116">
            <w:pPr>
              <w:jc w:val="center"/>
              <w:rPr>
                <w:b/>
                <w:bCs/>
                <w:color w:val="000000"/>
              </w:rPr>
            </w:pPr>
            <w:r w:rsidRPr="00BA2A47">
              <w:rPr>
                <w:b/>
                <w:bCs/>
                <w:color w:val="000000"/>
              </w:rPr>
              <w:t>2014</w:t>
            </w:r>
          </w:p>
        </w:tc>
        <w:tc>
          <w:tcPr>
            <w:tcW w:w="1530" w:type="dxa"/>
            <w:tcBorders>
              <w:top w:val="nil"/>
              <w:left w:val="nil"/>
              <w:bottom w:val="single" w:sz="4" w:space="0" w:color="auto"/>
              <w:right w:val="single" w:sz="4" w:space="0" w:color="auto"/>
            </w:tcBorders>
            <w:shd w:val="clear" w:color="auto" w:fill="auto"/>
            <w:vAlign w:val="center"/>
            <w:hideMark/>
          </w:tcPr>
          <w:p w14:paraId="6023E662" w14:textId="77777777" w:rsidR="00426116" w:rsidRPr="00BA2A47" w:rsidRDefault="00426116" w:rsidP="00426116">
            <w:pPr>
              <w:jc w:val="center"/>
              <w:rPr>
                <w:b/>
                <w:bCs/>
                <w:color w:val="000000"/>
              </w:rPr>
            </w:pPr>
            <w:r w:rsidRPr="00BA2A47">
              <w:rPr>
                <w:b/>
                <w:bCs/>
                <w:color w:val="000000"/>
              </w:rPr>
              <w:t>2015</w:t>
            </w:r>
          </w:p>
        </w:tc>
        <w:tc>
          <w:tcPr>
            <w:tcW w:w="1530" w:type="dxa"/>
            <w:tcBorders>
              <w:top w:val="nil"/>
              <w:left w:val="nil"/>
              <w:bottom w:val="single" w:sz="4" w:space="0" w:color="auto"/>
              <w:right w:val="single" w:sz="4" w:space="0" w:color="auto"/>
            </w:tcBorders>
            <w:shd w:val="clear" w:color="auto" w:fill="auto"/>
            <w:vAlign w:val="center"/>
            <w:hideMark/>
          </w:tcPr>
          <w:p w14:paraId="5C4A192A" w14:textId="77777777" w:rsidR="00426116" w:rsidRPr="00BA2A47" w:rsidRDefault="00426116" w:rsidP="00426116">
            <w:pPr>
              <w:jc w:val="center"/>
              <w:rPr>
                <w:b/>
                <w:bCs/>
                <w:color w:val="000000"/>
              </w:rPr>
            </w:pPr>
            <w:r w:rsidRPr="00BA2A47">
              <w:rPr>
                <w:b/>
                <w:bCs/>
                <w:color w:val="000000"/>
              </w:rPr>
              <w:t>2016</w:t>
            </w:r>
          </w:p>
        </w:tc>
      </w:tr>
      <w:tr w:rsidR="00590587" w:rsidRPr="00426116" w14:paraId="35B555B0" w14:textId="77777777" w:rsidTr="00590587">
        <w:trPr>
          <w:trHeight w:val="300"/>
          <w:jc w:val="center"/>
        </w:trPr>
        <w:tc>
          <w:tcPr>
            <w:tcW w:w="2430" w:type="dxa"/>
            <w:tcBorders>
              <w:top w:val="nil"/>
              <w:left w:val="single" w:sz="4" w:space="0" w:color="auto"/>
              <w:bottom w:val="nil"/>
              <w:right w:val="single" w:sz="4" w:space="0" w:color="auto"/>
            </w:tcBorders>
            <w:shd w:val="clear" w:color="auto" w:fill="auto"/>
            <w:noWrap/>
            <w:vAlign w:val="bottom"/>
            <w:hideMark/>
          </w:tcPr>
          <w:p w14:paraId="19F1E516" w14:textId="77777777" w:rsidR="00426116" w:rsidRPr="00BA2A47" w:rsidRDefault="00426116" w:rsidP="00426116">
            <w:pPr>
              <w:rPr>
                <w:color w:val="000000"/>
              </w:rPr>
            </w:pPr>
            <w:r w:rsidRPr="00BA2A47">
              <w:rPr>
                <w:color w:val="000000"/>
              </w:rPr>
              <w:t>Benicia</w:t>
            </w:r>
          </w:p>
        </w:tc>
        <w:tc>
          <w:tcPr>
            <w:tcW w:w="1620" w:type="dxa"/>
            <w:tcBorders>
              <w:top w:val="nil"/>
              <w:left w:val="nil"/>
              <w:bottom w:val="nil"/>
              <w:right w:val="single" w:sz="4" w:space="0" w:color="auto"/>
            </w:tcBorders>
            <w:shd w:val="clear" w:color="auto" w:fill="auto"/>
            <w:noWrap/>
            <w:vAlign w:val="bottom"/>
            <w:hideMark/>
          </w:tcPr>
          <w:p w14:paraId="6FEE2D78" w14:textId="77777777" w:rsidR="00426116" w:rsidRPr="00BA2A47" w:rsidRDefault="00426116" w:rsidP="00426116">
            <w:pPr>
              <w:jc w:val="right"/>
              <w:rPr>
                <w:color w:val="000000"/>
              </w:rPr>
            </w:pPr>
            <w:r w:rsidRPr="00BA2A47">
              <w:rPr>
                <w:color w:val="000000"/>
              </w:rPr>
              <w:t>0.001027366</w:t>
            </w:r>
          </w:p>
        </w:tc>
        <w:tc>
          <w:tcPr>
            <w:tcW w:w="1530" w:type="dxa"/>
            <w:tcBorders>
              <w:top w:val="nil"/>
              <w:left w:val="nil"/>
              <w:bottom w:val="nil"/>
              <w:right w:val="single" w:sz="4" w:space="0" w:color="auto"/>
            </w:tcBorders>
            <w:shd w:val="clear" w:color="auto" w:fill="auto"/>
            <w:noWrap/>
            <w:vAlign w:val="bottom"/>
            <w:hideMark/>
          </w:tcPr>
          <w:p w14:paraId="1F534271" w14:textId="77777777" w:rsidR="00426116" w:rsidRPr="00BA2A47" w:rsidRDefault="00426116" w:rsidP="00426116">
            <w:pPr>
              <w:jc w:val="right"/>
              <w:rPr>
                <w:color w:val="000000"/>
              </w:rPr>
            </w:pPr>
            <w:r w:rsidRPr="00BA2A47">
              <w:rPr>
                <w:color w:val="000000"/>
              </w:rPr>
              <w:t>0.000702512</w:t>
            </w:r>
          </w:p>
        </w:tc>
        <w:tc>
          <w:tcPr>
            <w:tcW w:w="1530" w:type="dxa"/>
            <w:tcBorders>
              <w:top w:val="nil"/>
              <w:left w:val="nil"/>
              <w:bottom w:val="nil"/>
              <w:right w:val="single" w:sz="4" w:space="0" w:color="auto"/>
            </w:tcBorders>
            <w:shd w:val="clear" w:color="auto" w:fill="auto"/>
            <w:noWrap/>
            <w:vAlign w:val="bottom"/>
            <w:hideMark/>
          </w:tcPr>
          <w:p w14:paraId="5828A79D" w14:textId="77777777" w:rsidR="00426116" w:rsidRPr="00BA2A47" w:rsidRDefault="00426116" w:rsidP="00426116">
            <w:pPr>
              <w:jc w:val="right"/>
              <w:rPr>
                <w:color w:val="000000"/>
              </w:rPr>
            </w:pPr>
            <w:r w:rsidRPr="00BA2A47">
              <w:rPr>
                <w:color w:val="000000"/>
              </w:rPr>
              <w:t>0.001330807</w:t>
            </w:r>
          </w:p>
        </w:tc>
        <w:tc>
          <w:tcPr>
            <w:tcW w:w="1530" w:type="dxa"/>
            <w:tcBorders>
              <w:top w:val="nil"/>
              <w:left w:val="nil"/>
              <w:bottom w:val="nil"/>
              <w:right w:val="single" w:sz="4" w:space="0" w:color="auto"/>
            </w:tcBorders>
            <w:shd w:val="clear" w:color="auto" w:fill="auto"/>
            <w:noWrap/>
            <w:vAlign w:val="bottom"/>
            <w:hideMark/>
          </w:tcPr>
          <w:p w14:paraId="2AB32594" w14:textId="77777777" w:rsidR="00426116" w:rsidRPr="00BA2A47" w:rsidRDefault="00426116" w:rsidP="00426116">
            <w:pPr>
              <w:jc w:val="right"/>
              <w:rPr>
                <w:color w:val="000000"/>
              </w:rPr>
            </w:pPr>
            <w:r w:rsidRPr="00BA2A47">
              <w:rPr>
                <w:color w:val="000000"/>
              </w:rPr>
              <w:t>0.001729332</w:t>
            </w:r>
          </w:p>
        </w:tc>
      </w:tr>
      <w:tr w:rsidR="00590587" w:rsidRPr="00426116" w14:paraId="7D4AF767" w14:textId="77777777" w:rsidTr="00590587">
        <w:trPr>
          <w:trHeight w:val="30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14:paraId="08A52040" w14:textId="77777777" w:rsidR="00426116" w:rsidRPr="00BA2A47" w:rsidRDefault="00426116" w:rsidP="00426116">
            <w:pPr>
              <w:rPr>
                <w:color w:val="000000"/>
              </w:rPr>
            </w:pPr>
            <w:r w:rsidRPr="00BA2A47">
              <w:rPr>
                <w:color w:val="000000"/>
              </w:rPr>
              <w:t>Benicia</w:t>
            </w:r>
          </w:p>
        </w:tc>
        <w:tc>
          <w:tcPr>
            <w:tcW w:w="1620" w:type="dxa"/>
            <w:tcBorders>
              <w:top w:val="nil"/>
              <w:left w:val="nil"/>
              <w:bottom w:val="single" w:sz="4" w:space="0" w:color="auto"/>
              <w:right w:val="single" w:sz="4" w:space="0" w:color="auto"/>
            </w:tcBorders>
            <w:shd w:val="clear" w:color="auto" w:fill="auto"/>
            <w:noWrap/>
            <w:vAlign w:val="bottom"/>
            <w:hideMark/>
          </w:tcPr>
          <w:p w14:paraId="41D2EC86" w14:textId="77777777" w:rsidR="00426116" w:rsidRPr="00BA2A47" w:rsidRDefault="00426116" w:rsidP="00426116">
            <w:pPr>
              <w:jc w:val="right"/>
              <w:rPr>
                <w:color w:val="000000"/>
              </w:rPr>
            </w:pPr>
            <w:r w:rsidRPr="00BA2A47">
              <w:rPr>
                <w:color w:val="000000"/>
              </w:rPr>
              <w:t>0.000361876</w:t>
            </w:r>
          </w:p>
        </w:tc>
        <w:tc>
          <w:tcPr>
            <w:tcW w:w="1530" w:type="dxa"/>
            <w:tcBorders>
              <w:top w:val="nil"/>
              <w:left w:val="nil"/>
              <w:bottom w:val="single" w:sz="4" w:space="0" w:color="auto"/>
              <w:right w:val="single" w:sz="4" w:space="0" w:color="auto"/>
            </w:tcBorders>
            <w:shd w:val="clear" w:color="auto" w:fill="auto"/>
            <w:noWrap/>
            <w:vAlign w:val="bottom"/>
            <w:hideMark/>
          </w:tcPr>
          <w:p w14:paraId="53C8B023" w14:textId="77777777" w:rsidR="00426116" w:rsidRPr="00BA2A47" w:rsidRDefault="00426116" w:rsidP="00426116">
            <w:pPr>
              <w:jc w:val="right"/>
              <w:rPr>
                <w:color w:val="000000"/>
              </w:rPr>
            </w:pPr>
            <w:r w:rsidRPr="00BA2A47">
              <w:rPr>
                <w:color w:val="000000"/>
              </w:rPr>
              <w:t>0.001375673</w:t>
            </w:r>
          </w:p>
        </w:tc>
        <w:tc>
          <w:tcPr>
            <w:tcW w:w="1530" w:type="dxa"/>
            <w:tcBorders>
              <w:top w:val="nil"/>
              <w:left w:val="nil"/>
              <w:bottom w:val="single" w:sz="4" w:space="0" w:color="auto"/>
              <w:right w:val="single" w:sz="4" w:space="0" w:color="auto"/>
            </w:tcBorders>
            <w:shd w:val="clear" w:color="auto" w:fill="auto"/>
            <w:noWrap/>
            <w:vAlign w:val="bottom"/>
            <w:hideMark/>
          </w:tcPr>
          <w:p w14:paraId="551A184A" w14:textId="77777777" w:rsidR="00426116" w:rsidRPr="00BA2A47" w:rsidRDefault="00426116" w:rsidP="00426116">
            <w:pPr>
              <w:jc w:val="right"/>
              <w:rPr>
                <w:color w:val="000000"/>
              </w:rPr>
            </w:pPr>
            <w:r w:rsidRPr="00BA2A47">
              <w:rPr>
                <w:color w:val="000000"/>
              </w:rPr>
              <w:t>0.000691841</w:t>
            </w:r>
          </w:p>
        </w:tc>
        <w:tc>
          <w:tcPr>
            <w:tcW w:w="1530" w:type="dxa"/>
            <w:tcBorders>
              <w:top w:val="nil"/>
              <w:left w:val="nil"/>
              <w:bottom w:val="single" w:sz="4" w:space="0" w:color="auto"/>
              <w:right w:val="single" w:sz="4" w:space="0" w:color="auto"/>
            </w:tcBorders>
            <w:shd w:val="clear" w:color="auto" w:fill="auto"/>
            <w:noWrap/>
            <w:vAlign w:val="bottom"/>
            <w:hideMark/>
          </w:tcPr>
          <w:p w14:paraId="6522A619" w14:textId="77777777" w:rsidR="00426116" w:rsidRPr="00BA2A47" w:rsidRDefault="00426116" w:rsidP="00426116">
            <w:pPr>
              <w:jc w:val="right"/>
              <w:rPr>
                <w:color w:val="000000"/>
              </w:rPr>
            </w:pPr>
            <w:r w:rsidRPr="00BA2A47">
              <w:rPr>
                <w:color w:val="000000"/>
              </w:rPr>
              <w:t>0.000834243</w:t>
            </w:r>
          </w:p>
        </w:tc>
      </w:tr>
      <w:tr w:rsidR="00590587" w:rsidRPr="00426116" w14:paraId="1F762603" w14:textId="77777777" w:rsidTr="00590587">
        <w:trPr>
          <w:trHeight w:val="300"/>
          <w:jc w:val="center"/>
        </w:trPr>
        <w:tc>
          <w:tcPr>
            <w:tcW w:w="2430" w:type="dxa"/>
            <w:tcBorders>
              <w:top w:val="nil"/>
              <w:left w:val="single" w:sz="4" w:space="0" w:color="auto"/>
              <w:bottom w:val="nil"/>
              <w:right w:val="single" w:sz="4" w:space="0" w:color="auto"/>
            </w:tcBorders>
            <w:shd w:val="clear" w:color="auto" w:fill="auto"/>
            <w:noWrap/>
            <w:vAlign w:val="bottom"/>
            <w:hideMark/>
          </w:tcPr>
          <w:p w14:paraId="400220F4" w14:textId="77777777" w:rsidR="00426116" w:rsidRPr="00BA2A47" w:rsidRDefault="00426116" w:rsidP="00426116">
            <w:pPr>
              <w:rPr>
                <w:color w:val="000000"/>
              </w:rPr>
            </w:pPr>
            <w:r w:rsidRPr="00BA2A47">
              <w:rPr>
                <w:color w:val="000000"/>
              </w:rPr>
              <w:t>Burlingame</w:t>
            </w:r>
          </w:p>
        </w:tc>
        <w:tc>
          <w:tcPr>
            <w:tcW w:w="1620" w:type="dxa"/>
            <w:tcBorders>
              <w:top w:val="nil"/>
              <w:left w:val="nil"/>
              <w:bottom w:val="nil"/>
              <w:right w:val="single" w:sz="4" w:space="0" w:color="auto"/>
            </w:tcBorders>
            <w:shd w:val="clear" w:color="auto" w:fill="auto"/>
            <w:noWrap/>
            <w:vAlign w:val="bottom"/>
            <w:hideMark/>
          </w:tcPr>
          <w:p w14:paraId="2CB71845" w14:textId="77777777" w:rsidR="00426116" w:rsidRPr="00BA2A47" w:rsidRDefault="00426116" w:rsidP="00426116">
            <w:pPr>
              <w:jc w:val="right"/>
              <w:rPr>
                <w:color w:val="000000"/>
              </w:rPr>
            </w:pPr>
            <w:r w:rsidRPr="00BA2A47">
              <w:rPr>
                <w:color w:val="000000"/>
              </w:rPr>
              <w:t>0.00130887</w:t>
            </w:r>
          </w:p>
        </w:tc>
        <w:tc>
          <w:tcPr>
            <w:tcW w:w="1530" w:type="dxa"/>
            <w:tcBorders>
              <w:top w:val="nil"/>
              <w:left w:val="nil"/>
              <w:bottom w:val="nil"/>
              <w:right w:val="single" w:sz="4" w:space="0" w:color="auto"/>
            </w:tcBorders>
            <w:shd w:val="clear" w:color="auto" w:fill="auto"/>
            <w:noWrap/>
            <w:vAlign w:val="bottom"/>
            <w:hideMark/>
          </w:tcPr>
          <w:p w14:paraId="072ACA90" w14:textId="77777777" w:rsidR="00426116" w:rsidRPr="00BA2A47" w:rsidRDefault="00426116" w:rsidP="00426116">
            <w:pPr>
              <w:jc w:val="right"/>
              <w:rPr>
                <w:color w:val="000000"/>
              </w:rPr>
            </w:pPr>
            <w:r w:rsidRPr="00BA2A47">
              <w:rPr>
                <w:color w:val="000000"/>
              </w:rPr>
              <w:t>0.000888176</w:t>
            </w:r>
          </w:p>
        </w:tc>
        <w:tc>
          <w:tcPr>
            <w:tcW w:w="1530" w:type="dxa"/>
            <w:tcBorders>
              <w:top w:val="nil"/>
              <w:left w:val="nil"/>
              <w:bottom w:val="nil"/>
              <w:right w:val="single" w:sz="4" w:space="0" w:color="auto"/>
            </w:tcBorders>
            <w:shd w:val="clear" w:color="auto" w:fill="auto"/>
            <w:noWrap/>
            <w:vAlign w:val="bottom"/>
            <w:hideMark/>
          </w:tcPr>
          <w:p w14:paraId="0FA9B255" w14:textId="77777777" w:rsidR="00426116" w:rsidRPr="00BA2A47" w:rsidRDefault="00426116" w:rsidP="00426116">
            <w:pPr>
              <w:jc w:val="right"/>
              <w:rPr>
                <w:color w:val="000000"/>
              </w:rPr>
            </w:pPr>
            <w:r w:rsidRPr="00BA2A47">
              <w:rPr>
                <w:color w:val="000000"/>
              </w:rPr>
              <w:t>0.000736908</w:t>
            </w:r>
          </w:p>
        </w:tc>
        <w:tc>
          <w:tcPr>
            <w:tcW w:w="1530" w:type="dxa"/>
            <w:tcBorders>
              <w:top w:val="nil"/>
              <w:left w:val="nil"/>
              <w:bottom w:val="nil"/>
              <w:right w:val="single" w:sz="4" w:space="0" w:color="auto"/>
            </w:tcBorders>
            <w:shd w:val="clear" w:color="auto" w:fill="auto"/>
            <w:noWrap/>
            <w:vAlign w:val="bottom"/>
            <w:hideMark/>
          </w:tcPr>
          <w:p w14:paraId="7C2B2D4F" w14:textId="77777777" w:rsidR="00426116" w:rsidRPr="00BA2A47" w:rsidRDefault="00426116" w:rsidP="00426116">
            <w:pPr>
              <w:jc w:val="right"/>
              <w:rPr>
                <w:color w:val="000000"/>
              </w:rPr>
            </w:pPr>
            <w:r w:rsidRPr="00BA2A47">
              <w:rPr>
                <w:color w:val="000000"/>
              </w:rPr>
              <w:t>0</w:t>
            </w:r>
          </w:p>
        </w:tc>
      </w:tr>
      <w:tr w:rsidR="00590587" w:rsidRPr="00426116" w14:paraId="0DFF9453" w14:textId="77777777" w:rsidTr="00590587">
        <w:trPr>
          <w:trHeight w:val="300"/>
          <w:jc w:val="center"/>
        </w:trPr>
        <w:tc>
          <w:tcPr>
            <w:tcW w:w="2430" w:type="dxa"/>
            <w:tcBorders>
              <w:top w:val="nil"/>
              <w:left w:val="single" w:sz="4" w:space="0" w:color="auto"/>
              <w:bottom w:val="nil"/>
              <w:right w:val="single" w:sz="4" w:space="0" w:color="auto"/>
            </w:tcBorders>
            <w:shd w:val="clear" w:color="auto" w:fill="auto"/>
            <w:noWrap/>
            <w:vAlign w:val="bottom"/>
            <w:hideMark/>
          </w:tcPr>
          <w:p w14:paraId="129D13BD" w14:textId="77777777" w:rsidR="00426116" w:rsidRPr="00BA2A47" w:rsidRDefault="00426116" w:rsidP="00426116">
            <w:pPr>
              <w:rPr>
                <w:color w:val="000000"/>
              </w:rPr>
            </w:pPr>
            <w:r w:rsidRPr="00BA2A47">
              <w:rPr>
                <w:color w:val="000000"/>
              </w:rPr>
              <w:t>Burlingame</w:t>
            </w:r>
          </w:p>
        </w:tc>
        <w:tc>
          <w:tcPr>
            <w:tcW w:w="1620" w:type="dxa"/>
            <w:tcBorders>
              <w:top w:val="nil"/>
              <w:left w:val="nil"/>
              <w:bottom w:val="nil"/>
              <w:right w:val="single" w:sz="4" w:space="0" w:color="auto"/>
            </w:tcBorders>
            <w:shd w:val="clear" w:color="auto" w:fill="auto"/>
            <w:noWrap/>
            <w:vAlign w:val="bottom"/>
            <w:hideMark/>
          </w:tcPr>
          <w:p w14:paraId="2F0AFA8D" w14:textId="77777777" w:rsidR="00426116" w:rsidRPr="00BA2A47" w:rsidRDefault="00426116" w:rsidP="00426116">
            <w:pPr>
              <w:jc w:val="right"/>
              <w:rPr>
                <w:color w:val="000000"/>
              </w:rPr>
            </w:pPr>
            <w:r w:rsidRPr="00BA2A47">
              <w:rPr>
                <w:color w:val="000000"/>
              </w:rPr>
              <w:t>0.001422589</w:t>
            </w:r>
          </w:p>
        </w:tc>
        <w:tc>
          <w:tcPr>
            <w:tcW w:w="1530" w:type="dxa"/>
            <w:tcBorders>
              <w:top w:val="nil"/>
              <w:left w:val="nil"/>
              <w:bottom w:val="nil"/>
              <w:right w:val="single" w:sz="4" w:space="0" w:color="auto"/>
            </w:tcBorders>
            <w:shd w:val="clear" w:color="auto" w:fill="auto"/>
            <w:noWrap/>
            <w:vAlign w:val="bottom"/>
            <w:hideMark/>
          </w:tcPr>
          <w:p w14:paraId="533AB23D" w14:textId="77777777" w:rsidR="00426116" w:rsidRPr="00BA2A47" w:rsidRDefault="00426116" w:rsidP="00426116">
            <w:pPr>
              <w:jc w:val="right"/>
              <w:rPr>
                <w:color w:val="000000"/>
              </w:rPr>
            </w:pPr>
            <w:r w:rsidRPr="00BA2A47">
              <w:rPr>
                <w:color w:val="000000"/>
              </w:rPr>
              <w:t>0.0010376</w:t>
            </w:r>
          </w:p>
        </w:tc>
        <w:tc>
          <w:tcPr>
            <w:tcW w:w="1530" w:type="dxa"/>
            <w:tcBorders>
              <w:top w:val="nil"/>
              <w:left w:val="nil"/>
              <w:bottom w:val="nil"/>
              <w:right w:val="single" w:sz="4" w:space="0" w:color="auto"/>
            </w:tcBorders>
            <w:shd w:val="clear" w:color="auto" w:fill="auto"/>
            <w:noWrap/>
            <w:vAlign w:val="bottom"/>
            <w:hideMark/>
          </w:tcPr>
          <w:p w14:paraId="0DD49EC9" w14:textId="77777777" w:rsidR="00426116" w:rsidRPr="00BA2A47" w:rsidRDefault="00426116" w:rsidP="00426116">
            <w:pPr>
              <w:jc w:val="right"/>
              <w:rPr>
                <w:color w:val="000000"/>
              </w:rPr>
            </w:pPr>
            <w:r w:rsidRPr="00BA2A47">
              <w:rPr>
                <w:color w:val="000000"/>
              </w:rPr>
              <w:t>0.000834373</w:t>
            </w:r>
          </w:p>
        </w:tc>
        <w:tc>
          <w:tcPr>
            <w:tcW w:w="1530" w:type="dxa"/>
            <w:tcBorders>
              <w:top w:val="nil"/>
              <w:left w:val="nil"/>
              <w:bottom w:val="nil"/>
              <w:right w:val="single" w:sz="4" w:space="0" w:color="auto"/>
            </w:tcBorders>
            <w:shd w:val="clear" w:color="auto" w:fill="auto"/>
            <w:noWrap/>
            <w:vAlign w:val="bottom"/>
            <w:hideMark/>
          </w:tcPr>
          <w:p w14:paraId="30DC4995" w14:textId="77777777" w:rsidR="00426116" w:rsidRPr="00BA2A47" w:rsidRDefault="00426116" w:rsidP="00426116">
            <w:pPr>
              <w:jc w:val="right"/>
              <w:rPr>
                <w:color w:val="000000"/>
              </w:rPr>
            </w:pPr>
            <w:r w:rsidRPr="00BA2A47">
              <w:rPr>
                <w:color w:val="000000"/>
              </w:rPr>
              <w:t>0.000655316</w:t>
            </w:r>
          </w:p>
        </w:tc>
      </w:tr>
      <w:tr w:rsidR="00590587" w:rsidRPr="00426116" w14:paraId="41E6035E" w14:textId="77777777" w:rsidTr="00590587">
        <w:trPr>
          <w:trHeight w:val="300"/>
          <w:jc w:val="center"/>
        </w:trPr>
        <w:tc>
          <w:tcPr>
            <w:tcW w:w="2430" w:type="dxa"/>
            <w:tcBorders>
              <w:top w:val="nil"/>
              <w:left w:val="single" w:sz="4" w:space="0" w:color="auto"/>
              <w:bottom w:val="nil"/>
              <w:right w:val="single" w:sz="4" w:space="0" w:color="auto"/>
            </w:tcBorders>
            <w:shd w:val="clear" w:color="auto" w:fill="auto"/>
            <w:noWrap/>
            <w:vAlign w:val="bottom"/>
            <w:hideMark/>
          </w:tcPr>
          <w:p w14:paraId="20E9FAA9" w14:textId="77777777" w:rsidR="00426116" w:rsidRPr="00BA2A47" w:rsidRDefault="00426116" w:rsidP="00426116">
            <w:pPr>
              <w:rPr>
                <w:color w:val="000000"/>
              </w:rPr>
            </w:pPr>
            <w:r w:rsidRPr="00BA2A47">
              <w:rPr>
                <w:color w:val="000000"/>
              </w:rPr>
              <w:t>Burlingame</w:t>
            </w:r>
          </w:p>
        </w:tc>
        <w:tc>
          <w:tcPr>
            <w:tcW w:w="1620" w:type="dxa"/>
            <w:tcBorders>
              <w:top w:val="nil"/>
              <w:left w:val="nil"/>
              <w:bottom w:val="nil"/>
              <w:right w:val="single" w:sz="4" w:space="0" w:color="auto"/>
            </w:tcBorders>
            <w:shd w:val="clear" w:color="auto" w:fill="auto"/>
            <w:noWrap/>
            <w:vAlign w:val="bottom"/>
            <w:hideMark/>
          </w:tcPr>
          <w:p w14:paraId="4B41FC50" w14:textId="77777777" w:rsidR="00426116" w:rsidRPr="00BA2A47" w:rsidRDefault="00426116" w:rsidP="00426116">
            <w:pPr>
              <w:jc w:val="right"/>
              <w:rPr>
                <w:color w:val="000000"/>
              </w:rPr>
            </w:pPr>
            <w:r w:rsidRPr="00BA2A47">
              <w:rPr>
                <w:color w:val="000000"/>
              </w:rPr>
              <w:t>0.001675026</w:t>
            </w:r>
          </w:p>
        </w:tc>
        <w:tc>
          <w:tcPr>
            <w:tcW w:w="1530" w:type="dxa"/>
            <w:tcBorders>
              <w:top w:val="nil"/>
              <w:left w:val="nil"/>
              <w:bottom w:val="nil"/>
              <w:right w:val="single" w:sz="4" w:space="0" w:color="auto"/>
            </w:tcBorders>
            <w:shd w:val="clear" w:color="auto" w:fill="auto"/>
            <w:noWrap/>
            <w:vAlign w:val="bottom"/>
            <w:hideMark/>
          </w:tcPr>
          <w:p w14:paraId="3D795783" w14:textId="77777777" w:rsidR="00426116" w:rsidRPr="00BA2A47" w:rsidRDefault="00426116" w:rsidP="00426116">
            <w:pPr>
              <w:jc w:val="right"/>
              <w:rPr>
                <w:color w:val="000000"/>
              </w:rPr>
            </w:pPr>
            <w:r w:rsidRPr="00BA2A47">
              <w:rPr>
                <w:color w:val="000000"/>
              </w:rPr>
              <w:t>0.000914767</w:t>
            </w:r>
          </w:p>
        </w:tc>
        <w:tc>
          <w:tcPr>
            <w:tcW w:w="1530" w:type="dxa"/>
            <w:tcBorders>
              <w:top w:val="nil"/>
              <w:left w:val="nil"/>
              <w:bottom w:val="nil"/>
              <w:right w:val="single" w:sz="4" w:space="0" w:color="auto"/>
            </w:tcBorders>
            <w:shd w:val="clear" w:color="auto" w:fill="auto"/>
            <w:noWrap/>
            <w:vAlign w:val="bottom"/>
            <w:hideMark/>
          </w:tcPr>
          <w:p w14:paraId="731F1D3F" w14:textId="77777777" w:rsidR="00426116" w:rsidRPr="00BA2A47" w:rsidRDefault="00426116" w:rsidP="00426116">
            <w:pPr>
              <w:jc w:val="right"/>
              <w:rPr>
                <w:color w:val="000000"/>
              </w:rPr>
            </w:pPr>
            <w:r w:rsidRPr="00BA2A47">
              <w:rPr>
                <w:color w:val="000000"/>
              </w:rPr>
              <w:t>0.001560205</w:t>
            </w:r>
          </w:p>
        </w:tc>
        <w:tc>
          <w:tcPr>
            <w:tcW w:w="1530" w:type="dxa"/>
            <w:tcBorders>
              <w:top w:val="nil"/>
              <w:left w:val="nil"/>
              <w:bottom w:val="nil"/>
              <w:right w:val="single" w:sz="4" w:space="0" w:color="auto"/>
            </w:tcBorders>
            <w:shd w:val="clear" w:color="auto" w:fill="auto"/>
            <w:noWrap/>
            <w:vAlign w:val="bottom"/>
            <w:hideMark/>
          </w:tcPr>
          <w:p w14:paraId="0BB1DFDE" w14:textId="77777777" w:rsidR="00426116" w:rsidRPr="00BA2A47" w:rsidRDefault="00426116" w:rsidP="00426116">
            <w:pPr>
              <w:jc w:val="right"/>
              <w:rPr>
                <w:color w:val="000000"/>
              </w:rPr>
            </w:pPr>
            <w:r w:rsidRPr="00BA2A47">
              <w:rPr>
                <w:color w:val="000000"/>
              </w:rPr>
              <w:t>0.000426249</w:t>
            </w:r>
          </w:p>
        </w:tc>
      </w:tr>
      <w:tr w:rsidR="00590587" w:rsidRPr="00426116" w14:paraId="51DD1F5C" w14:textId="77777777" w:rsidTr="00590587">
        <w:trPr>
          <w:trHeight w:val="30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14:paraId="301BFE13" w14:textId="77777777" w:rsidR="00426116" w:rsidRPr="00BA2A47" w:rsidRDefault="00426116" w:rsidP="00426116">
            <w:pPr>
              <w:rPr>
                <w:color w:val="000000"/>
              </w:rPr>
            </w:pPr>
            <w:r w:rsidRPr="00BA2A47">
              <w:rPr>
                <w:color w:val="000000"/>
              </w:rPr>
              <w:t>Burlingame</w:t>
            </w:r>
          </w:p>
        </w:tc>
        <w:tc>
          <w:tcPr>
            <w:tcW w:w="1620" w:type="dxa"/>
            <w:tcBorders>
              <w:top w:val="nil"/>
              <w:left w:val="nil"/>
              <w:bottom w:val="single" w:sz="4" w:space="0" w:color="auto"/>
              <w:right w:val="single" w:sz="4" w:space="0" w:color="auto"/>
            </w:tcBorders>
            <w:shd w:val="clear" w:color="auto" w:fill="auto"/>
            <w:noWrap/>
            <w:vAlign w:val="bottom"/>
            <w:hideMark/>
          </w:tcPr>
          <w:p w14:paraId="3CEED8F9" w14:textId="77777777" w:rsidR="00426116" w:rsidRPr="00BA2A47" w:rsidRDefault="00426116" w:rsidP="00426116">
            <w:pPr>
              <w:jc w:val="right"/>
              <w:rPr>
                <w:color w:val="000000"/>
              </w:rPr>
            </w:pPr>
            <w:r w:rsidRPr="00BA2A47">
              <w:rPr>
                <w:color w:val="000000"/>
              </w:rPr>
              <w:t>0.000504476</w:t>
            </w:r>
          </w:p>
        </w:tc>
        <w:tc>
          <w:tcPr>
            <w:tcW w:w="1530" w:type="dxa"/>
            <w:tcBorders>
              <w:top w:val="nil"/>
              <w:left w:val="nil"/>
              <w:bottom w:val="single" w:sz="4" w:space="0" w:color="auto"/>
              <w:right w:val="single" w:sz="4" w:space="0" w:color="auto"/>
            </w:tcBorders>
            <w:shd w:val="clear" w:color="auto" w:fill="auto"/>
            <w:noWrap/>
            <w:vAlign w:val="bottom"/>
            <w:hideMark/>
          </w:tcPr>
          <w:p w14:paraId="32069988" w14:textId="77777777" w:rsidR="00426116" w:rsidRPr="00BA2A47" w:rsidRDefault="00426116" w:rsidP="00426116">
            <w:pPr>
              <w:jc w:val="right"/>
              <w:rPr>
                <w:color w:val="000000"/>
              </w:rPr>
            </w:pPr>
            <w:r w:rsidRPr="00BA2A47">
              <w:rPr>
                <w:color w:val="000000"/>
              </w:rPr>
              <w:t>0.001043412</w:t>
            </w:r>
          </w:p>
        </w:tc>
        <w:tc>
          <w:tcPr>
            <w:tcW w:w="1530" w:type="dxa"/>
            <w:tcBorders>
              <w:top w:val="nil"/>
              <w:left w:val="nil"/>
              <w:bottom w:val="single" w:sz="4" w:space="0" w:color="auto"/>
              <w:right w:val="single" w:sz="4" w:space="0" w:color="auto"/>
            </w:tcBorders>
            <w:shd w:val="clear" w:color="auto" w:fill="auto"/>
            <w:noWrap/>
            <w:vAlign w:val="bottom"/>
            <w:hideMark/>
          </w:tcPr>
          <w:p w14:paraId="423CBE6A" w14:textId="77777777" w:rsidR="00426116" w:rsidRPr="00BA2A47" w:rsidRDefault="00426116" w:rsidP="00426116">
            <w:pPr>
              <w:jc w:val="right"/>
              <w:rPr>
                <w:color w:val="000000"/>
              </w:rPr>
            </w:pPr>
            <w:r w:rsidRPr="00BA2A47">
              <w:rPr>
                <w:color w:val="000000"/>
              </w:rPr>
              <w:t>0.001156979</w:t>
            </w:r>
          </w:p>
        </w:tc>
        <w:tc>
          <w:tcPr>
            <w:tcW w:w="1530" w:type="dxa"/>
            <w:tcBorders>
              <w:top w:val="nil"/>
              <w:left w:val="nil"/>
              <w:bottom w:val="single" w:sz="4" w:space="0" w:color="auto"/>
              <w:right w:val="single" w:sz="4" w:space="0" w:color="auto"/>
            </w:tcBorders>
            <w:shd w:val="clear" w:color="auto" w:fill="auto"/>
            <w:noWrap/>
            <w:vAlign w:val="bottom"/>
            <w:hideMark/>
          </w:tcPr>
          <w:p w14:paraId="2F61B157" w14:textId="77777777" w:rsidR="00426116" w:rsidRPr="00BA2A47" w:rsidRDefault="00426116" w:rsidP="00426116">
            <w:pPr>
              <w:jc w:val="right"/>
              <w:rPr>
                <w:color w:val="000000"/>
              </w:rPr>
            </w:pPr>
            <w:r w:rsidRPr="00BA2A47">
              <w:rPr>
                <w:color w:val="000000"/>
              </w:rPr>
              <w:t>0.000476454</w:t>
            </w:r>
          </w:p>
        </w:tc>
      </w:tr>
      <w:tr w:rsidR="00590587" w:rsidRPr="00426116" w14:paraId="46884029" w14:textId="77777777" w:rsidTr="00590587">
        <w:trPr>
          <w:trHeight w:val="30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14:paraId="2B08F493" w14:textId="77777777" w:rsidR="00426116" w:rsidRPr="00BA2A47" w:rsidRDefault="00426116" w:rsidP="00426116">
            <w:pPr>
              <w:rPr>
                <w:color w:val="000000"/>
              </w:rPr>
            </w:pPr>
            <w:r w:rsidRPr="00BA2A47">
              <w:rPr>
                <w:color w:val="000000"/>
              </w:rPr>
              <w:t>Calistoga</w:t>
            </w:r>
          </w:p>
        </w:tc>
        <w:tc>
          <w:tcPr>
            <w:tcW w:w="1620" w:type="dxa"/>
            <w:tcBorders>
              <w:top w:val="nil"/>
              <w:left w:val="nil"/>
              <w:bottom w:val="single" w:sz="4" w:space="0" w:color="auto"/>
              <w:right w:val="single" w:sz="4" w:space="0" w:color="auto"/>
            </w:tcBorders>
            <w:shd w:val="clear" w:color="auto" w:fill="auto"/>
            <w:noWrap/>
            <w:vAlign w:val="bottom"/>
            <w:hideMark/>
          </w:tcPr>
          <w:p w14:paraId="119B7150" w14:textId="77777777" w:rsidR="00426116" w:rsidRPr="00BA2A47" w:rsidRDefault="00426116" w:rsidP="00426116">
            <w:pPr>
              <w:jc w:val="right"/>
              <w:rPr>
                <w:color w:val="000000"/>
              </w:rPr>
            </w:pPr>
            <w:r w:rsidRPr="00BA2A47">
              <w:rPr>
                <w:color w:val="000000"/>
              </w:rPr>
              <w:t>0</w:t>
            </w:r>
          </w:p>
        </w:tc>
        <w:tc>
          <w:tcPr>
            <w:tcW w:w="1530" w:type="dxa"/>
            <w:tcBorders>
              <w:top w:val="nil"/>
              <w:left w:val="nil"/>
              <w:bottom w:val="single" w:sz="4" w:space="0" w:color="auto"/>
              <w:right w:val="single" w:sz="4" w:space="0" w:color="auto"/>
            </w:tcBorders>
            <w:shd w:val="clear" w:color="auto" w:fill="auto"/>
            <w:noWrap/>
            <w:vAlign w:val="bottom"/>
            <w:hideMark/>
          </w:tcPr>
          <w:p w14:paraId="1356CF99" w14:textId="77777777" w:rsidR="00426116" w:rsidRPr="00BA2A47" w:rsidRDefault="00426116" w:rsidP="00426116">
            <w:pPr>
              <w:jc w:val="right"/>
              <w:rPr>
                <w:color w:val="000000"/>
              </w:rPr>
            </w:pPr>
            <w:r w:rsidRPr="00BA2A47">
              <w:rPr>
                <w:color w:val="000000"/>
              </w:rPr>
              <w:t>6.29016E-05</w:t>
            </w:r>
          </w:p>
        </w:tc>
        <w:tc>
          <w:tcPr>
            <w:tcW w:w="1530" w:type="dxa"/>
            <w:tcBorders>
              <w:top w:val="nil"/>
              <w:left w:val="nil"/>
              <w:bottom w:val="single" w:sz="4" w:space="0" w:color="auto"/>
              <w:right w:val="single" w:sz="4" w:space="0" w:color="auto"/>
            </w:tcBorders>
            <w:shd w:val="clear" w:color="auto" w:fill="auto"/>
            <w:noWrap/>
            <w:vAlign w:val="bottom"/>
            <w:hideMark/>
          </w:tcPr>
          <w:p w14:paraId="0466E9A4" w14:textId="77777777" w:rsidR="00426116" w:rsidRPr="00BA2A47" w:rsidRDefault="00426116" w:rsidP="00426116">
            <w:pPr>
              <w:jc w:val="right"/>
              <w:rPr>
                <w:color w:val="000000"/>
              </w:rPr>
            </w:pPr>
            <w:r w:rsidRPr="00BA2A47">
              <w:rPr>
                <w:color w:val="000000"/>
              </w:rPr>
              <w:t>5.50621E-05</w:t>
            </w:r>
          </w:p>
        </w:tc>
        <w:tc>
          <w:tcPr>
            <w:tcW w:w="1530" w:type="dxa"/>
            <w:tcBorders>
              <w:top w:val="nil"/>
              <w:left w:val="nil"/>
              <w:bottom w:val="single" w:sz="4" w:space="0" w:color="auto"/>
              <w:right w:val="single" w:sz="4" w:space="0" w:color="auto"/>
            </w:tcBorders>
            <w:shd w:val="clear" w:color="auto" w:fill="auto"/>
            <w:noWrap/>
            <w:vAlign w:val="bottom"/>
            <w:hideMark/>
          </w:tcPr>
          <w:p w14:paraId="7B1DEFDF" w14:textId="77777777" w:rsidR="00426116" w:rsidRPr="00BA2A47" w:rsidRDefault="00426116" w:rsidP="00426116">
            <w:pPr>
              <w:jc w:val="right"/>
              <w:rPr>
                <w:color w:val="000000"/>
              </w:rPr>
            </w:pPr>
            <w:r w:rsidRPr="00BA2A47">
              <w:rPr>
                <w:color w:val="000000"/>
              </w:rPr>
              <w:t>7.66743E-05</w:t>
            </w:r>
          </w:p>
        </w:tc>
      </w:tr>
      <w:tr w:rsidR="00590587" w:rsidRPr="00426116" w14:paraId="1F08FC6F" w14:textId="77777777" w:rsidTr="00590587">
        <w:trPr>
          <w:trHeight w:val="300"/>
          <w:jc w:val="center"/>
        </w:trPr>
        <w:tc>
          <w:tcPr>
            <w:tcW w:w="2430" w:type="dxa"/>
            <w:tcBorders>
              <w:top w:val="nil"/>
              <w:left w:val="single" w:sz="4" w:space="0" w:color="auto"/>
              <w:bottom w:val="nil"/>
              <w:right w:val="single" w:sz="4" w:space="0" w:color="auto"/>
            </w:tcBorders>
            <w:shd w:val="clear" w:color="auto" w:fill="auto"/>
            <w:noWrap/>
            <w:vAlign w:val="bottom"/>
            <w:hideMark/>
          </w:tcPr>
          <w:p w14:paraId="7412525D" w14:textId="77777777" w:rsidR="00426116" w:rsidRPr="00BA2A47" w:rsidRDefault="00426116" w:rsidP="00426116">
            <w:pPr>
              <w:rPr>
                <w:color w:val="000000"/>
              </w:rPr>
            </w:pPr>
            <w:r w:rsidRPr="00BA2A47">
              <w:rPr>
                <w:color w:val="000000"/>
              </w:rPr>
              <w:t>CCCSD</w:t>
            </w:r>
          </w:p>
        </w:tc>
        <w:tc>
          <w:tcPr>
            <w:tcW w:w="1620" w:type="dxa"/>
            <w:tcBorders>
              <w:top w:val="nil"/>
              <w:left w:val="nil"/>
              <w:bottom w:val="nil"/>
              <w:right w:val="single" w:sz="4" w:space="0" w:color="auto"/>
            </w:tcBorders>
            <w:shd w:val="clear" w:color="auto" w:fill="auto"/>
            <w:noWrap/>
            <w:vAlign w:val="bottom"/>
            <w:hideMark/>
          </w:tcPr>
          <w:p w14:paraId="7DEEA215" w14:textId="77777777" w:rsidR="00426116" w:rsidRPr="00BA2A47" w:rsidRDefault="00426116" w:rsidP="00426116">
            <w:pPr>
              <w:jc w:val="right"/>
              <w:rPr>
                <w:color w:val="000000"/>
              </w:rPr>
            </w:pPr>
            <w:r w:rsidRPr="00BA2A47">
              <w:rPr>
                <w:color w:val="000000"/>
              </w:rPr>
              <w:t>0.025095234</w:t>
            </w:r>
          </w:p>
        </w:tc>
        <w:tc>
          <w:tcPr>
            <w:tcW w:w="1530" w:type="dxa"/>
            <w:tcBorders>
              <w:top w:val="nil"/>
              <w:left w:val="nil"/>
              <w:bottom w:val="nil"/>
              <w:right w:val="single" w:sz="4" w:space="0" w:color="auto"/>
            </w:tcBorders>
            <w:shd w:val="clear" w:color="auto" w:fill="auto"/>
            <w:noWrap/>
            <w:vAlign w:val="bottom"/>
            <w:hideMark/>
          </w:tcPr>
          <w:p w14:paraId="46CCF9D6" w14:textId="77777777" w:rsidR="00426116" w:rsidRPr="00BA2A47" w:rsidRDefault="00426116" w:rsidP="00426116">
            <w:pPr>
              <w:jc w:val="right"/>
              <w:rPr>
                <w:color w:val="000000"/>
              </w:rPr>
            </w:pPr>
            <w:r w:rsidRPr="00BA2A47">
              <w:rPr>
                <w:color w:val="000000"/>
              </w:rPr>
              <w:t>0.006116432</w:t>
            </w:r>
          </w:p>
        </w:tc>
        <w:tc>
          <w:tcPr>
            <w:tcW w:w="1530" w:type="dxa"/>
            <w:tcBorders>
              <w:top w:val="nil"/>
              <w:left w:val="nil"/>
              <w:bottom w:val="nil"/>
              <w:right w:val="single" w:sz="4" w:space="0" w:color="auto"/>
            </w:tcBorders>
            <w:shd w:val="clear" w:color="auto" w:fill="auto"/>
            <w:noWrap/>
            <w:vAlign w:val="bottom"/>
            <w:hideMark/>
          </w:tcPr>
          <w:p w14:paraId="40996A79" w14:textId="77777777" w:rsidR="00426116" w:rsidRPr="00BA2A47" w:rsidRDefault="00426116" w:rsidP="00426116">
            <w:pPr>
              <w:jc w:val="right"/>
              <w:rPr>
                <w:color w:val="000000"/>
              </w:rPr>
            </w:pPr>
            <w:r w:rsidRPr="00BA2A47">
              <w:rPr>
                <w:color w:val="000000"/>
              </w:rPr>
              <w:t>0.013747729</w:t>
            </w:r>
          </w:p>
        </w:tc>
        <w:tc>
          <w:tcPr>
            <w:tcW w:w="1530" w:type="dxa"/>
            <w:tcBorders>
              <w:top w:val="nil"/>
              <w:left w:val="nil"/>
              <w:bottom w:val="nil"/>
              <w:right w:val="single" w:sz="4" w:space="0" w:color="auto"/>
            </w:tcBorders>
            <w:shd w:val="clear" w:color="auto" w:fill="auto"/>
            <w:noWrap/>
            <w:vAlign w:val="bottom"/>
            <w:hideMark/>
          </w:tcPr>
          <w:p w14:paraId="589674BB" w14:textId="77777777" w:rsidR="00426116" w:rsidRPr="00BA2A47" w:rsidRDefault="00426116" w:rsidP="00426116">
            <w:pPr>
              <w:jc w:val="right"/>
              <w:rPr>
                <w:color w:val="000000"/>
              </w:rPr>
            </w:pPr>
            <w:r w:rsidRPr="00BA2A47">
              <w:rPr>
                <w:color w:val="000000"/>
              </w:rPr>
              <w:t>0.008623899</w:t>
            </w:r>
          </w:p>
        </w:tc>
      </w:tr>
      <w:tr w:rsidR="00590587" w:rsidRPr="00426116" w14:paraId="26B1B772" w14:textId="77777777" w:rsidTr="00590587">
        <w:trPr>
          <w:trHeight w:val="300"/>
          <w:jc w:val="center"/>
        </w:trPr>
        <w:tc>
          <w:tcPr>
            <w:tcW w:w="2430" w:type="dxa"/>
            <w:tcBorders>
              <w:top w:val="nil"/>
              <w:left w:val="single" w:sz="4" w:space="0" w:color="auto"/>
              <w:bottom w:val="nil"/>
              <w:right w:val="single" w:sz="4" w:space="0" w:color="auto"/>
            </w:tcBorders>
            <w:shd w:val="clear" w:color="auto" w:fill="auto"/>
            <w:noWrap/>
            <w:vAlign w:val="bottom"/>
            <w:hideMark/>
          </w:tcPr>
          <w:p w14:paraId="36C8E147" w14:textId="77777777" w:rsidR="00426116" w:rsidRPr="00BA2A47" w:rsidRDefault="00426116" w:rsidP="00426116">
            <w:pPr>
              <w:rPr>
                <w:color w:val="000000"/>
              </w:rPr>
            </w:pPr>
            <w:r w:rsidRPr="00BA2A47">
              <w:rPr>
                <w:color w:val="000000"/>
              </w:rPr>
              <w:t>CCCSD</w:t>
            </w:r>
          </w:p>
        </w:tc>
        <w:tc>
          <w:tcPr>
            <w:tcW w:w="1620" w:type="dxa"/>
            <w:tcBorders>
              <w:top w:val="nil"/>
              <w:left w:val="nil"/>
              <w:bottom w:val="nil"/>
              <w:right w:val="single" w:sz="4" w:space="0" w:color="auto"/>
            </w:tcBorders>
            <w:shd w:val="clear" w:color="auto" w:fill="auto"/>
            <w:noWrap/>
            <w:vAlign w:val="bottom"/>
            <w:hideMark/>
          </w:tcPr>
          <w:p w14:paraId="5377280D" w14:textId="77777777" w:rsidR="00426116" w:rsidRPr="00BA2A47" w:rsidRDefault="00426116" w:rsidP="00426116">
            <w:pPr>
              <w:jc w:val="right"/>
              <w:rPr>
                <w:color w:val="000000"/>
              </w:rPr>
            </w:pPr>
            <w:r w:rsidRPr="00BA2A47">
              <w:rPr>
                <w:color w:val="000000"/>
              </w:rPr>
              <w:t>0.003264302</w:t>
            </w:r>
          </w:p>
        </w:tc>
        <w:tc>
          <w:tcPr>
            <w:tcW w:w="1530" w:type="dxa"/>
            <w:tcBorders>
              <w:top w:val="nil"/>
              <w:left w:val="nil"/>
              <w:bottom w:val="nil"/>
              <w:right w:val="single" w:sz="4" w:space="0" w:color="auto"/>
            </w:tcBorders>
            <w:shd w:val="clear" w:color="auto" w:fill="auto"/>
            <w:noWrap/>
            <w:vAlign w:val="bottom"/>
            <w:hideMark/>
          </w:tcPr>
          <w:p w14:paraId="1D484A99" w14:textId="77777777" w:rsidR="00426116" w:rsidRPr="00BA2A47" w:rsidRDefault="00426116" w:rsidP="00426116">
            <w:pPr>
              <w:jc w:val="right"/>
              <w:rPr>
                <w:color w:val="000000"/>
              </w:rPr>
            </w:pPr>
            <w:r w:rsidRPr="00BA2A47">
              <w:rPr>
                <w:color w:val="000000"/>
              </w:rPr>
              <w:t>0.005624446</w:t>
            </w:r>
          </w:p>
        </w:tc>
        <w:tc>
          <w:tcPr>
            <w:tcW w:w="1530" w:type="dxa"/>
            <w:tcBorders>
              <w:top w:val="nil"/>
              <w:left w:val="nil"/>
              <w:bottom w:val="nil"/>
              <w:right w:val="single" w:sz="4" w:space="0" w:color="auto"/>
            </w:tcBorders>
            <w:shd w:val="clear" w:color="auto" w:fill="auto"/>
            <w:noWrap/>
            <w:vAlign w:val="bottom"/>
            <w:hideMark/>
          </w:tcPr>
          <w:p w14:paraId="79629B2E" w14:textId="77777777" w:rsidR="00426116" w:rsidRPr="00BA2A47" w:rsidRDefault="00426116" w:rsidP="00426116">
            <w:pPr>
              <w:jc w:val="right"/>
              <w:rPr>
                <w:color w:val="000000"/>
              </w:rPr>
            </w:pPr>
            <w:r w:rsidRPr="00BA2A47">
              <w:rPr>
                <w:color w:val="000000"/>
              </w:rPr>
              <w:t>0.018697144</w:t>
            </w:r>
          </w:p>
        </w:tc>
        <w:tc>
          <w:tcPr>
            <w:tcW w:w="1530" w:type="dxa"/>
            <w:tcBorders>
              <w:top w:val="nil"/>
              <w:left w:val="nil"/>
              <w:bottom w:val="nil"/>
              <w:right w:val="single" w:sz="4" w:space="0" w:color="auto"/>
            </w:tcBorders>
            <w:shd w:val="clear" w:color="auto" w:fill="auto"/>
            <w:noWrap/>
            <w:vAlign w:val="bottom"/>
            <w:hideMark/>
          </w:tcPr>
          <w:p w14:paraId="56E83E7A" w14:textId="77777777" w:rsidR="00426116" w:rsidRPr="00BA2A47" w:rsidRDefault="00426116" w:rsidP="00426116">
            <w:pPr>
              <w:jc w:val="right"/>
              <w:rPr>
                <w:color w:val="000000"/>
              </w:rPr>
            </w:pPr>
            <w:r w:rsidRPr="00BA2A47">
              <w:rPr>
                <w:color w:val="000000"/>
              </w:rPr>
              <w:t>0.011315563</w:t>
            </w:r>
          </w:p>
        </w:tc>
      </w:tr>
      <w:tr w:rsidR="00590587" w:rsidRPr="00426116" w14:paraId="69A3E3E8" w14:textId="77777777" w:rsidTr="00590587">
        <w:trPr>
          <w:trHeight w:val="300"/>
          <w:jc w:val="center"/>
        </w:trPr>
        <w:tc>
          <w:tcPr>
            <w:tcW w:w="2430" w:type="dxa"/>
            <w:tcBorders>
              <w:top w:val="nil"/>
              <w:left w:val="single" w:sz="4" w:space="0" w:color="auto"/>
              <w:bottom w:val="nil"/>
              <w:right w:val="single" w:sz="4" w:space="0" w:color="auto"/>
            </w:tcBorders>
            <w:shd w:val="clear" w:color="auto" w:fill="auto"/>
            <w:noWrap/>
            <w:vAlign w:val="bottom"/>
            <w:hideMark/>
          </w:tcPr>
          <w:p w14:paraId="0AD76430" w14:textId="77777777" w:rsidR="00426116" w:rsidRPr="00BA2A47" w:rsidRDefault="00426116" w:rsidP="00426116">
            <w:pPr>
              <w:rPr>
                <w:color w:val="000000"/>
              </w:rPr>
            </w:pPr>
            <w:r w:rsidRPr="00BA2A47">
              <w:rPr>
                <w:color w:val="000000"/>
              </w:rPr>
              <w:t>CCCSD</w:t>
            </w:r>
          </w:p>
        </w:tc>
        <w:tc>
          <w:tcPr>
            <w:tcW w:w="1620" w:type="dxa"/>
            <w:tcBorders>
              <w:top w:val="nil"/>
              <w:left w:val="nil"/>
              <w:bottom w:val="nil"/>
              <w:right w:val="single" w:sz="4" w:space="0" w:color="auto"/>
            </w:tcBorders>
            <w:shd w:val="clear" w:color="auto" w:fill="auto"/>
            <w:noWrap/>
            <w:vAlign w:val="bottom"/>
            <w:hideMark/>
          </w:tcPr>
          <w:p w14:paraId="042B3BC4" w14:textId="77777777" w:rsidR="00426116" w:rsidRPr="00BA2A47" w:rsidRDefault="00426116" w:rsidP="00426116">
            <w:pPr>
              <w:jc w:val="right"/>
              <w:rPr>
                <w:color w:val="000000"/>
              </w:rPr>
            </w:pPr>
            <w:r w:rsidRPr="00BA2A47">
              <w:rPr>
                <w:color w:val="000000"/>
              </w:rPr>
              <w:t>0.007228911</w:t>
            </w:r>
          </w:p>
        </w:tc>
        <w:tc>
          <w:tcPr>
            <w:tcW w:w="1530" w:type="dxa"/>
            <w:tcBorders>
              <w:top w:val="nil"/>
              <w:left w:val="nil"/>
              <w:bottom w:val="nil"/>
              <w:right w:val="single" w:sz="4" w:space="0" w:color="auto"/>
            </w:tcBorders>
            <w:shd w:val="clear" w:color="auto" w:fill="auto"/>
            <w:noWrap/>
            <w:vAlign w:val="bottom"/>
            <w:hideMark/>
          </w:tcPr>
          <w:p w14:paraId="09A075C5" w14:textId="77777777" w:rsidR="00426116" w:rsidRPr="00BA2A47" w:rsidRDefault="00426116" w:rsidP="00426116">
            <w:pPr>
              <w:jc w:val="right"/>
              <w:rPr>
                <w:color w:val="000000"/>
              </w:rPr>
            </w:pPr>
            <w:r w:rsidRPr="00BA2A47">
              <w:rPr>
                <w:color w:val="000000"/>
              </w:rPr>
              <w:t>0.017594892</w:t>
            </w:r>
          </w:p>
        </w:tc>
        <w:tc>
          <w:tcPr>
            <w:tcW w:w="1530" w:type="dxa"/>
            <w:tcBorders>
              <w:top w:val="nil"/>
              <w:left w:val="nil"/>
              <w:bottom w:val="nil"/>
              <w:right w:val="single" w:sz="4" w:space="0" w:color="auto"/>
            </w:tcBorders>
            <w:shd w:val="clear" w:color="auto" w:fill="auto"/>
            <w:noWrap/>
            <w:vAlign w:val="bottom"/>
            <w:hideMark/>
          </w:tcPr>
          <w:p w14:paraId="6BD2B671" w14:textId="77777777" w:rsidR="00426116" w:rsidRPr="00BA2A47" w:rsidRDefault="00426116" w:rsidP="00426116">
            <w:pPr>
              <w:jc w:val="right"/>
              <w:rPr>
                <w:color w:val="000000"/>
              </w:rPr>
            </w:pPr>
            <w:r w:rsidRPr="00BA2A47">
              <w:rPr>
                <w:color w:val="000000"/>
              </w:rPr>
              <w:t>0.00797204</w:t>
            </w:r>
          </w:p>
        </w:tc>
        <w:tc>
          <w:tcPr>
            <w:tcW w:w="1530" w:type="dxa"/>
            <w:tcBorders>
              <w:top w:val="nil"/>
              <w:left w:val="nil"/>
              <w:bottom w:val="nil"/>
              <w:right w:val="single" w:sz="4" w:space="0" w:color="auto"/>
            </w:tcBorders>
            <w:shd w:val="clear" w:color="auto" w:fill="auto"/>
            <w:noWrap/>
            <w:vAlign w:val="bottom"/>
            <w:hideMark/>
          </w:tcPr>
          <w:p w14:paraId="0DAE0FE1" w14:textId="77777777" w:rsidR="00426116" w:rsidRPr="00BA2A47" w:rsidRDefault="00426116" w:rsidP="00426116">
            <w:pPr>
              <w:jc w:val="right"/>
              <w:rPr>
                <w:color w:val="000000"/>
              </w:rPr>
            </w:pPr>
            <w:r w:rsidRPr="00BA2A47">
              <w:rPr>
                <w:color w:val="000000"/>
              </w:rPr>
              <w:t>0.009579598</w:t>
            </w:r>
          </w:p>
        </w:tc>
      </w:tr>
      <w:tr w:rsidR="00590587" w:rsidRPr="00426116" w14:paraId="721C775A" w14:textId="77777777" w:rsidTr="00590587">
        <w:trPr>
          <w:trHeight w:val="300"/>
          <w:jc w:val="center"/>
        </w:trPr>
        <w:tc>
          <w:tcPr>
            <w:tcW w:w="2430" w:type="dxa"/>
            <w:tcBorders>
              <w:top w:val="nil"/>
              <w:left w:val="single" w:sz="4" w:space="0" w:color="auto"/>
              <w:bottom w:val="nil"/>
              <w:right w:val="single" w:sz="4" w:space="0" w:color="auto"/>
            </w:tcBorders>
            <w:shd w:val="clear" w:color="auto" w:fill="auto"/>
            <w:noWrap/>
            <w:vAlign w:val="bottom"/>
            <w:hideMark/>
          </w:tcPr>
          <w:p w14:paraId="4F6B2BD3" w14:textId="77777777" w:rsidR="00426116" w:rsidRPr="00BA2A47" w:rsidRDefault="00426116" w:rsidP="00426116">
            <w:pPr>
              <w:rPr>
                <w:color w:val="000000"/>
              </w:rPr>
            </w:pPr>
            <w:r w:rsidRPr="00BA2A47">
              <w:rPr>
                <w:color w:val="000000"/>
              </w:rPr>
              <w:t>CCCSD</w:t>
            </w:r>
          </w:p>
        </w:tc>
        <w:tc>
          <w:tcPr>
            <w:tcW w:w="1620" w:type="dxa"/>
            <w:tcBorders>
              <w:top w:val="nil"/>
              <w:left w:val="nil"/>
              <w:bottom w:val="nil"/>
              <w:right w:val="single" w:sz="4" w:space="0" w:color="auto"/>
            </w:tcBorders>
            <w:shd w:val="clear" w:color="auto" w:fill="auto"/>
            <w:noWrap/>
            <w:vAlign w:val="bottom"/>
            <w:hideMark/>
          </w:tcPr>
          <w:p w14:paraId="5D7D10BF" w14:textId="77777777" w:rsidR="00426116" w:rsidRPr="00BA2A47" w:rsidRDefault="00426116" w:rsidP="00426116">
            <w:pPr>
              <w:jc w:val="right"/>
              <w:rPr>
                <w:color w:val="000000"/>
              </w:rPr>
            </w:pPr>
            <w:r w:rsidRPr="00BA2A47">
              <w:rPr>
                <w:color w:val="000000"/>
              </w:rPr>
              <w:t>0.005032644</w:t>
            </w:r>
          </w:p>
        </w:tc>
        <w:tc>
          <w:tcPr>
            <w:tcW w:w="1530" w:type="dxa"/>
            <w:tcBorders>
              <w:top w:val="nil"/>
              <w:left w:val="nil"/>
              <w:bottom w:val="nil"/>
              <w:right w:val="single" w:sz="4" w:space="0" w:color="auto"/>
            </w:tcBorders>
            <w:shd w:val="clear" w:color="auto" w:fill="auto"/>
            <w:noWrap/>
            <w:vAlign w:val="bottom"/>
            <w:hideMark/>
          </w:tcPr>
          <w:p w14:paraId="21F85A16" w14:textId="77777777" w:rsidR="00426116" w:rsidRPr="00BA2A47" w:rsidRDefault="00426116" w:rsidP="00426116">
            <w:pPr>
              <w:jc w:val="right"/>
              <w:rPr>
                <w:color w:val="000000"/>
              </w:rPr>
            </w:pPr>
            <w:r w:rsidRPr="00BA2A47">
              <w:rPr>
                <w:color w:val="000000"/>
              </w:rPr>
              <w:t>0.011936161</w:t>
            </w:r>
          </w:p>
        </w:tc>
        <w:tc>
          <w:tcPr>
            <w:tcW w:w="1530" w:type="dxa"/>
            <w:tcBorders>
              <w:top w:val="nil"/>
              <w:left w:val="nil"/>
              <w:bottom w:val="nil"/>
              <w:right w:val="single" w:sz="4" w:space="0" w:color="auto"/>
            </w:tcBorders>
            <w:shd w:val="clear" w:color="auto" w:fill="auto"/>
            <w:noWrap/>
            <w:vAlign w:val="bottom"/>
            <w:hideMark/>
          </w:tcPr>
          <w:p w14:paraId="4FA4CAA5" w14:textId="77777777" w:rsidR="00426116" w:rsidRPr="00BA2A47" w:rsidRDefault="00426116" w:rsidP="00426116">
            <w:pPr>
              <w:jc w:val="right"/>
              <w:rPr>
                <w:color w:val="000000"/>
              </w:rPr>
            </w:pPr>
            <w:r w:rsidRPr="00BA2A47">
              <w:rPr>
                <w:color w:val="000000"/>
              </w:rPr>
              <w:t>0.011321103</w:t>
            </w:r>
          </w:p>
        </w:tc>
        <w:tc>
          <w:tcPr>
            <w:tcW w:w="1530" w:type="dxa"/>
            <w:tcBorders>
              <w:top w:val="nil"/>
              <w:left w:val="nil"/>
              <w:bottom w:val="nil"/>
              <w:right w:val="single" w:sz="4" w:space="0" w:color="auto"/>
            </w:tcBorders>
            <w:shd w:val="clear" w:color="auto" w:fill="auto"/>
            <w:noWrap/>
            <w:vAlign w:val="bottom"/>
            <w:hideMark/>
          </w:tcPr>
          <w:p w14:paraId="7FFEEECF" w14:textId="77777777" w:rsidR="00426116" w:rsidRPr="00BA2A47" w:rsidRDefault="00426116" w:rsidP="00426116">
            <w:pPr>
              <w:jc w:val="right"/>
              <w:rPr>
                <w:color w:val="000000"/>
              </w:rPr>
            </w:pPr>
            <w:r w:rsidRPr="00BA2A47">
              <w:rPr>
                <w:color w:val="000000"/>
              </w:rPr>
              <w:t>0.010361204</w:t>
            </w:r>
          </w:p>
        </w:tc>
      </w:tr>
      <w:tr w:rsidR="00590587" w:rsidRPr="00426116" w14:paraId="7E08573C" w14:textId="77777777" w:rsidTr="00590587">
        <w:trPr>
          <w:trHeight w:val="30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14:paraId="491BB726" w14:textId="77777777" w:rsidR="00426116" w:rsidRPr="00BA2A47" w:rsidRDefault="00426116" w:rsidP="00426116">
            <w:pPr>
              <w:rPr>
                <w:color w:val="000000"/>
              </w:rPr>
            </w:pPr>
            <w:r w:rsidRPr="00BA2A47">
              <w:rPr>
                <w:color w:val="000000"/>
              </w:rPr>
              <w:t>CCCSD</w:t>
            </w:r>
          </w:p>
        </w:tc>
        <w:tc>
          <w:tcPr>
            <w:tcW w:w="1620" w:type="dxa"/>
            <w:tcBorders>
              <w:top w:val="nil"/>
              <w:left w:val="nil"/>
              <w:bottom w:val="single" w:sz="4" w:space="0" w:color="auto"/>
              <w:right w:val="single" w:sz="4" w:space="0" w:color="auto"/>
            </w:tcBorders>
            <w:shd w:val="clear" w:color="auto" w:fill="auto"/>
            <w:noWrap/>
            <w:vAlign w:val="bottom"/>
            <w:hideMark/>
          </w:tcPr>
          <w:p w14:paraId="474E0598" w14:textId="77777777" w:rsidR="00426116" w:rsidRPr="00BA2A47" w:rsidRDefault="00426116" w:rsidP="006479F8">
            <w:pPr>
              <w:jc w:val="center"/>
              <w:rPr>
                <w:color w:val="000000"/>
              </w:rPr>
            </w:pPr>
            <w:r w:rsidRPr="00BA2A47">
              <w:rPr>
                <w:color w:val="000000"/>
              </w:rPr>
              <w:t>-</w:t>
            </w:r>
          </w:p>
        </w:tc>
        <w:tc>
          <w:tcPr>
            <w:tcW w:w="1530" w:type="dxa"/>
            <w:tcBorders>
              <w:top w:val="nil"/>
              <w:left w:val="nil"/>
              <w:bottom w:val="single" w:sz="4" w:space="0" w:color="auto"/>
              <w:right w:val="single" w:sz="4" w:space="0" w:color="auto"/>
            </w:tcBorders>
            <w:shd w:val="clear" w:color="auto" w:fill="auto"/>
            <w:noWrap/>
            <w:vAlign w:val="bottom"/>
            <w:hideMark/>
          </w:tcPr>
          <w:p w14:paraId="17397B6D" w14:textId="77777777" w:rsidR="00426116" w:rsidRPr="00BA2A47" w:rsidRDefault="00426116" w:rsidP="00426116">
            <w:pPr>
              <w:jc w:val="right"/>
              <w:rPr>
                <w:color w:val="000000"/>
              </w:rPr>
            </w:pPr>
            <w:r w:rsidRPr="00BA2A47">
              <w:rPr>
                <w:color w:val="000000"/>
              </w:rPr>
              <w:t>0.012157971</w:t>
            </w:r>
          </w:p>
        </w:tc>
        <w:tc>
          <w:tcPr>
            <w:tcW w:w="1530" w:type="dxa"/>
            <w:tcBorders>
              <w:top w:val="nil"/>
              <w:left w:val="nil"/>
              <w:bottom w:val="single" w:sz="4" w:space="0" w:color="auto"/>
              <w:right w:val="single" w:sz="4" w:space="0" w:color="auto"/>
            </w:tcBorders>
            <w:shd w:val="clear" w:color="auto" w:fill="auto"/>
            <w:noWrap/>
            <w:vAlign w:val="bottom"/>
            <w:hideMark/>
          </w:tcPr>
          <w:p w14:paraId="1340CAF5" w14:textId="77777777" w:rsidR="00426116" w:rsidRPr="00BA2A47" w:rsidRDefault="00426116" w:rsidP="006479F8">
            <w:pPr>
              <w:jc w:val="center"/>
              <w:rPr>
                <w:color w:val="000000"/>
              </w:rPr>
            </w:pPr>
            <w:r w:rsidRPr="00BA2A47">
              <w:rPr>
                <w:color w:val="000000"/>
              </w:rPr>
              <w:t>-</w:t>
            </w:r>
          </w:p>
        </w:tc>
        <w:tc>
          <w:tcPr>
            <w:tcW w:w="1530" w:type="dxa"/>
            <w:tcBorders>
              <w:top w:val="nil"/>
              <w:left w:val="nil"/>
              <w:bottom w:val="single" w:sz="4" w:space="0" w:color="auto"/>
              <w:right w:val="single" w:sz="4" w:space="0" w:color="auto"/>
            </w:tcBorders>
            <w:shd w:val="clear" w:color="auto" w:fill="auto"/>
            <w:noWrap/>
            <w:vAlign w:val="bottom"/>
            <w:hideMark/>
          </w:tcPr>
          <w:p w14:paraId="37B6E1FC" w14:textId="77777777" w:rsidR="00426116" w:rsidRPr="00BA2A47" w:rsidRDefault="00426116" w:rsidP="006479F8">
            <w:pPr>
              <w:jc w:val="center"/>
              <w:rPr>
                <w:color w:val="000000"/>
              </w:rPr>
            </w:pPr>
            <w:r w:rsidRPr="00BA2A47">
              <w:rPr>
                <w:color w:val="000000"/>
              </w:rPr>
              <w:t>-</w:t>
            </w:r>
          </w:p>
        </w:tc>
      </w:tr>
      <w:tr w:rsidR="00590587" w:rsidRPr="00426116" w14:paraId="6C1EA54B" w14:textId="77777777" w:rsidTr="00590587">
        <w:trPr>
          <w:trHeight w:val="300"/>
          <w:jc w:val="center"/>
        </w:trPr>
        <w:tc>
          <w:tcPr>
            <w:tcW w:w="2430" w:type="dxa"/>
            <w:tcBorders>
              <w:top w:val="nil"/>
              <w:left w:val="single" w:sz="4" w:space="0" w:color="auto"/>
              <w:bottom w:val="nil"/>
              <w:right w:val="single" w:sz="4" w:space="0" w:color="auto"/>
            </w:tcBorders>
            <w:shd w:val="clear" w:color="auto" w:fill="auto"/>
            <w:noWrap/>
            <w:vAlign w:val="bottom"/>
            <w:hideMark/>
          </w:tcPr>
          <w:p w14:paraId="21079F12" w14:textId="77777777" w:rsidR="00426116" w:rsidRPr="00BA2A47" w:rsidRDefault="00426116" w:rsidP="00426116">
            <w:pPr>
              <w:rPr>
                <w:color w:val="000000"/>
              </w:rPr>
            </w:pPr>
            <w:r w:rsidRPr="00BA2A47">
              <w:rPr>
                <w:color w:val="000000"/>
              </w:rPr>
              <w:t>Central Marin</w:t>
            </w:r>
          </w:p>
        </w:tc>
        <w:tc>
          <w:tcPr>
            <w:tcW w:w="1620" w:type="dxa"/>
            <w:tcBorders>
              <w:top w:val="nil"/>
              <w:left w:val="nil"/>
              <w:bottom w:val="nil"/>
              <w:right w:val="single" w:sz="4" w:space="0" w:color="auto"/>
            </w:tcBorders>
            <w:shd w:val="clear" w:color="auto" w:fill="auto"/>
            <w:noWrap/>
            <w:vAlign w:val="bottom"/>
            <w:hideMark/>
          </w:tcPr>
          <w:p w14:paraId="3C6E3C32" w14:textId="77777777" w:rsidR="00426116" w:rsidRPr="00BA2A47" w:rsidRDefault="00426116" w:rsidP="00426116">
            <w:pPr>
              <w:jc w:val="right"/>
              <w:rPr>
                <w:color w:val="000000"/>
              </w:rPr>
            </w:pPr>
            <w:r w:rsidRPr="00BA2A47">
              <w:rPr>
                <w:color w:val="000000"/>
              </w:rPr>
              <w:t>0.000756037</w:t>
            </w:r>
          </w:p>
        </w:tc>
        <w:tc>
          <w:tcPr>
            <w:tcW w:w="1530" w:type="dxa"/>
            <w:tcBorders>
              <w:top w:val="nil"/>
              <w:left w:val="nil"/>
              <w:bottom w:val="nil"/>
              <w:right w:val="single" w:sz="4" w:space="0" w:color="auto"/>
            </w:tcBorders>
            <w:shd w:val="clear" w:color="auto" w:fill="auto"/>
            <w:noWrap/>
            <w:vAlign w:val="bottom"/>
            <w:hideMark/>
          </w:tcPr>
          <w:p w14:paraId="6C082F04" w14:textId="77777777" w:rsidR="00426116" w:rsidRPr="00BA2A47" w:rsidRDefault="00426116" w:rsidP="00426116">
            <w:pPr>
              <w:jc w:val="right"/>
              <w:rPr>
                <w:color w:val="000000"/>
              </w:rPr>
            </w:pPr>
            <w:r w:rsidRPr="00BA2A47">
              <w:rPr>
                <w:color w:val="000000"/>
              </w:rPr>
              <w:t>0.004998032</w:t>
            </w:r>
          </w:p>
        </w:tc>
        <w:tc>
          <w:tcPr>
            <w:tcW w:w="1530" w:type="dxa"/>
            <w:tcBorders>
              <w:top w:val="nil"/>
              <w:left w:val="nil"/>
              <w:bottom w:val="nil"/>
              <w:right w:val="single" w:sz="4" w:space="0" w:color="auto"/>
            </w:tcBorders>
            <w:shd w:val="clear" w:color="auto" w:fill="auto"/>
            <w:noWrap/>
            <w:vAlign w:val="bottom"/>
            <w:hideMark/>
          </w:tcPr>
          <w:p w14:paraId="11009907" w14:textId="77777777" w:rsidR="00426116" w:rsidRPr="00BA2A47" w:rsidRDefault="00426116" w:rsidP="00426116">
            <w:pPr>
              <w:jc w:val="right"/>
              <w:rPr>
                <w:color w:val="000000"/>
              </w:rPr>
            </w:pPr>
            <w:r w:rsidRPr="00BA2A47">
              <w:rPr>
                <w:color w:val="000000"/>
              </w:rPr>
              <w:t>0.003114993</w:t>
            </w:r>
          </w:p>
        </w:tc>
        <w:tc>
          <w:tcPr>
            <w:tcW w:w="1530" w:type="dxa"/>
            <w:tcBorders>
              <w:top w:val="nil"/>
              <w:left w:val="nil"/>
              <w:bottom w:val="nil"/>
              <w:right w:val="single" w:sz="4" w:space="0" w:color="auto"/>
            </w:tcBorders>
            <w:shd w:val="clear" w:color="auto" w:fill="auto"/>
            <w:noWrap/>
            <w:vAlign w:val="bottom"/>
            <w:hideMark/>
          </w:tcPr>
          <w:p w14:paraId="5EFB5CA9" w14:textId="77777777" w:rsidR="00426116" w:rsidRPr="00BA2A47" w:rsidRDefault="00426116" w:rsidP="00426116">
            <w:pPr>
              <w:jc w:val="right"/>
              <w:rPr>
                <w:color w:val="000000"/>
              </w:rPr>
            </w:pPr>
            <w:r w:rsidRPr="00BA2A47">
              <w:rPr>
                <w:color w:val="000000"/>
              </w:rPr>
              <w:t>0.003365655</w:t>
            </w:r>
          </w:p>
        </w:tc>
      </w:tr>
      <w:tr w:rsidR="00590587" w:rsidRPr="00426116" w14:paraId="7576BF8B" w14:textId="77777777" w:rsidTr="00590587">
        <w:trPr>
          <w:trHeight w:val="300"/>
          <w:jc w:val="center"/>
        </w:trPr>
        <w:tc>
          <w:tcPr>
            <w:tcW w:w="2430" w:type="dxa"/>
            <w:tcBorders>
              <w:top w:val="nil"/>
              <w:left w:val="single" w:sz="4" w:space="0" w:color="auto"/>
              <w:bottom w:val="nil"/>
              <w:right w:val="single" w:sz="4" w:space="0" w:color="auto"/>
            </w:tcBorders>
            <w:shd w:val="clear" w:color="auto" w:fill="auto"/>
            <w:noWrap/>
            <w:vAlign w:val="bottom"/>
            <w:hideMark/>
          </w:tcPr>
          <w:p w14:paraId="6EB82FA5" w14:textId="77777777" w:rsidR="00426116" w:rsidRPr="00BA2A47" w:rsidRDefault="00426116" w:rsidP="00426116">
            <w:pPr>
              <w:rPr>
                <w:color w:val="000000"/>
              </w:rPr>
            </w:pPr>
            <w:r w:rsidRPr="00BA2A47">
              <w:rPr>
                <w:color w:val="000000"/>
              </w:rPr>
              <w:t>Central Marin</w:t>
            </w:r>
          </w:p>
        </w:tc>
        <w:tc>
          <w:tcPr>
            <w:tcW w:w="1620" w:type="dxa"/>
            <w:tcBorders>
              <w:top w:val="nil"/>
              <w:left w:val="nil"/>
              <w:bottom w:val="nil"/>
              <w:right w:val="single" w:sz="4" w:space="0" w:color="auto"/>
            </w:tcBorders>
            <w:shd w:val="clear" w:color="auto" w:fill="auto"/>
            <w:noWrap/>
            <w:vAlign w:val="bottom"/>
            <w:hideMark/>
          </w:tcPr>
          <w:p w14:paraId="2B08C175" w14:textId="77777777" w:rsidR="00426116" w:rsidRPr="00BA2A47" w:rsidRDefault="00426116" w:rsidP="00426116">
            <w:pPr>
              <w:jc w:val="right"/>
              <w:rPr>
                <w:color w:val="000000"/>
              </w:rPr>
            </w:pPr>
            <w:r w:rsidRPr="00BA2A47">
              <w:rPr>
                <w:color w:val="000000"/>
              </w:rPr>
              <w:t>0.000943599</w:t>
            </w:r>
          </w:p>
        </w:tc>
        <w:tc>
          <w:tcPr>
            <w:tcW w:w="1530" w:type="dxa"/>
            <w:tcBorders>
              <w:top w:val="nil"/>
              <w:left w:val="nil"/>
              <w:bottom w:val="nil"/>
              <w:right w:val="single" w:sz="4" w:space="0" w:color="auto"/>
            </w:tcBorders>
            <w:shd w:val="clear" w:color="auto" w:fill="auto"/>
            <w:noWrap/>
            <w:vAlign w:val="bottom"/>
            <w:hideMark/>
          </w:tcPr>
          <w:p w14:paraId="09F26A5E" w14:textId="77777777" w:rsidR="00426116" w:rsidRPr="00BA2A47" w:rsidRDefault="00426116" w:rsidP="00426116">
            <w:pPr>
              <w:jc w:val="right"/>
              <w:rPr>
                <w:color w:val="000000"/>
              </w:rPr>
            </w:pPr>
            <w:r w:rsidRPr="00BA2A47">
              <w:rPr>
                <w:color w:val="000000"/>
              </w:rPr>
              <w:t>0.001978248</w:t>
            </w:r>
          </w:p>
        </w:tc>
        <w:tc>
          <w:tcPr>
            <w:tcW w:w="1530" w:type="dxa"/>
            <w:tcBorders>
              <w:top w:val="nil"/>
              <w:left w:val="nil"/>
              <w:bottom w:val="nil"/>
              <w:right w:val="single" w:sz="4" w:space="0" w:color="auto"/>
            </w:tcBorders>
            <w:shd w:val="clear" w:color="auto" w:fill="auto"/>
            <w:noWrap/>
            <w:vAlign w:val="bottom"/>
            <w:hideMark/>
          </w:tcPr>
          <w:p w14:paraId="33E748DA" w14:textId="77777777" w:rsidR="00426116" w:rsidRPr="00BA2A47" w:rsidRDefault="00426116" w:rsidP="00426116">
            <w:pPr>
              <w:jc w:val="right"/>
              <w:rPr>
                <w:color w:val="000000"/>
              </w:rPr>
            </w:pPr>
            <w:r w:rsidRPr="00BA2A47">
              <w:rPr>
                <w:color w:val="000000"/>
              </w:rPr>
              <w:t>0.002112238</w:t>
            </w:r>
          </w:p>
        </w:tc>
        <w:tc>
          <w:tcPr>
            <w:tcW w:w="1530" w:type="dxa"/>
            <w:tcBorders>
              <w:top w:val="nil"/>
              <w:left w:val="nil"/>
              <w:bottom w:val="nil"/>
              <w:right w:val="single" w:sz="4" w:space="0" w:color="auto"/>
            </w:tcBorders>
            <w:shd w:val="clear" w:color="auto" w:fill="auto"/>
            <w:noWrap/>
            <w:vAlign w:val="bottom"/>
            <w:hideMark/>
          </w:tcPr>
          <w:p w14:paraId="4AE2AF95" w14:textId="77777777" w:rsidR="00426116" w:rsidRPr="00BA2A47" w:rsidRDefault="00426116" w:rsidP="00426116">
            <w:pPr>
              <w:jc w:val="right"/>
              <w:rPr>
                <w:color w:val="000000"/>
              </w:rPr>
            </w:pPr>
            <w:r w:rsidRPr="00BA2A47">
              <w:rPr>
                <w:color w:val="000000"/>
              </w:rPr>
              <w:t>0.002093666</w:t>
            </w:r>
          </w:p>
        </w:tc>
      </w:tr>
      <w:tr w:rsidR="00590587" w:rsidRPr="00426116" w14:paraId="6623F4E6" w14:textId="77777777" w:rsidTr="00590587">
        <w:trPr>
          <w:trHeight w:val="300"/>
          <w:jc w:val="center"/>
        </w:trPr>
        <w:tc>
          <w:tcPr>
            <w:tcW w:w="2430" w:type="dxa"/>
            <w:tcBorders>
              <w:top w:val="nil"/>
              <w:left w:val="single" w:sz="4" w:space="0" w:color="auto"/>
              <w:bottom w:val="nil"/>
              <w:right w:val="single" w:sz="4" w:space="0" w:color="auto"/>
            </w:tcBorders>
            <w:shd w:val="clear" w:color="auto" w:fill="auto"/>
            <w:noWrap/>
            <w:vAlign w:val="bottom"/>
            <w:hideMark/>
          </w:tcPr>
          <w:p w14:paraId="679F1E38" w14:textId="77777777" w:rsidR="00426116" w:rsidRPr="00BA2A47" w:rsidRDefault="00426116" w:rsidP="00426116">
            <w:pPr>
              <w:rPr>
                <w:color w:val="000000"/>
              </w:rPr>
            </w:pPr>
            <w:r w:rsidRPr="00BA2A47">
              <w:rPr>
                <w:color w:val="000000"/>
              </w:rPr>
              <w:t>Central Marin</w:t>
            </w:r>
          </w:p>
        </w:tc>
        <w:tc>
          <w:tcPr>
            <w:tcW w:w="1620" w:type="dxa"/>
            <w:tcBorders>
              <w:top w:val="nil"/>
              <w:left w:val="nil"/>
              <w:bottom w:val="nil"/>
              <w:right w:val="single" w:sz="4" w:space="0" w:color="auto"/>
            </w:tcBorders>
            <w:shd w:val="clear" w:color="auto" w:fill="auto"/>
            <w:noWrap/>
            <w:vAlign w:val="bottom"/>
            <w:hideMark/>
          </w:tcPr>
          <w:p w14:paraId="5E574BBE" w14:textId="77777777" w:rsidR="00426116" w:rsidRPr="00BA2A47" w:rsidRDefault="00426116" w:rsidP="00426116">
            <w:pPr>
              <w:jc w:val="right"/>
              <w:rPr>
                <w:color w:val="000000"/>
              </w:rPr>
            </w:pPr>
            <w:r w:rsidRPr="00BA2A47">
              <w:rPr>
                <w:color w:val="000000"/>
              </w:rPr>
              <w:t>0.001152937</w:t>
            </w:r>
          </w:p>
        </w:tc>
        <w:tc>
          <w:tcPr>
            <w:tcW w:w="1530" w:type="dxa"/>
            <w:tcBorders>
              <w:top w:val="nil"/>
              <w:left w:val="nil"/>
              <w:bottom w:val="nil"/>
              <w:right w:val="single" w:sz="4" w:space="0" w:color="auto"/>
            </w:tcBorders>
            <w:shd w:val="clear" w:color="auto" w:fill="auto"/>
            <w:noWrap/>
            <w:vAlign w:val="bottom"/>
            <w:hideMark/>
          </w:tcPr>
          <w:p w14:paraId="5601AC76" w14:textId="77777777" w:rsidR="00426116" w:rsidRPr="00BA2A47" w:rsidRDefault="00426116" w:rsidP="00426116">
            <w:pPr>
              <w:jc w:val="right"/>
              <w:rPr>
                <w:color w:val="000000"/>
              </w:rPr>
            </w:pPr>
            <w:r w:rsidRPr="00BA2A47">
              <w:rPr>
                <w:color w:val="000000"/>
              </w:rPr>
              <w:t>0.002498263</w:t>
            </w:r>
          </w:p>
        </w:tc>
        <w:tc>
          <w:tcPr>
            <w:tcW w:w="1530" w:type="dxa"/>
            <w:tcBorders>
              <w:top w:val="nil"/>
              <w:left w:val="nil"/>
              <w:bottom w:val="nil"/>
              <w:right w:val="single" w:sz="4" w:space="0" w:color="auto"/>
            </w:tcBorders>
            <w:shd w:val="clear" w:color="auto" w:fill="auto"/>
            <w:noWrap/>
            <w:vAlign w:val="bottom"/>
            <w:hideMark/>
          </w:tcPr>
          <w:p w14:paraId="19420F0D" w14:textId="77777777" w:rsidR="00426116" w:rsidRPr="00BA2A47" w:rsidRDefault="00426116" w:rsidP="00426116">
            <w:pPr>
              <w:jc w:val="right"/>
              <w:rPr>
                <w:color w:val="000000"/>
              </w:rPr>
            </w:pPr>
            <w:r w:rsidRPr="00BA2A47">
              <w:rPr>
                <w:color w:val="000000"/>
              </w:rPr>
              <w:t>0.003452139</w:t>
            </w:r>
          </w:p>
        </w:tc>
        <w:tc>
          <w:tcPr>
            <w:tcW w:w="1530" w:type="dxa"/>
            <w:tcBorders>
              <w:top w:val="nil"/>
              <w:left w:val="nil"/>
              <w:bottom w:val="nil"/>
              <w:right w:val="single" w:sz="4" w:space="0" w:color="auto"/>
            </w:tcBorders>
            <w:shd w:val="clear" w:color="auto" w:fill="auto"/>
            <w:noWrap/>
            <w:vAlign w:val="bottom"/>
            <w:hideMark/>
          </w:tcPr>
          <w:p w14:paraId="16481395" w14:textId="77777777" w:rsidR="00426116" w:rsidRPr="00BA2A47" w:rsidRDefault="00426116" w:rsidP="00426116">
            <w:pPr>
              <w:jc w:val="right"/>
              <w:rPr>
                <w:color w:val="000000"/>
              </w:rPr>
            </w:pPr>
            <w:r w:rsidRPr="00BA2A47">
              <w:rPr>
                <w:color w:val="000000"/>
              </w:rPr>
              <w:t>0.001961261</w:t>
            </w:r>
          </w:p>
        </w:tc>
      </w:tr>
      <w:tr w:rsidR="00590587" w:rsidRPr="00426116" w14:paraId="3489525C" w14:textId="77777777" w:rsidTr="00590587">
        <w:trPr>
          <w:trHeight w:val="30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14:paraId="0C76F71F" w14:textId="77777777" w:rsidR="00426116" w:rsidRPr="00BA2A47" w:rsidRDefault="00426116" w:rsidP="00426116">
            <w:pPr>
              <w:rPr>
                <w:color w:val="000000"/>
              </w:rPr>
            </w:pPr>
            <w:r w:rsidRPr="00BA2A47">
              <w:rPr>
                <w:color w:val="000000"/>
              </w:rPr>
              <w:t>Central Marin</w:t>
            </w:r>
          </w:p>
        </w:tc>
        <w:tc>
          <w:tcPr>
            <w:tcW w:w="1620" w:type="dxa"/>
            <w:tcBorders>
              <w:top w:val="nil"/>
              <w:left w:val="nil"/>
              <w:bottom w:val="single" w:sz="4" w:space="0" w:color="auto"/>
              <w:right w:val="single" w:sz="4" w:space="0" w:color="auto"/>
            </w:tcBorders>
            <w:shd w:val="clear" w:color="auto" w:fill="auto"/>
            <w:noWrap/>
            <w:vAlign w:val="bottom"/>
            <w:hideMark/>
          </w:tcPr>
          <w:p w14:paraId="4AF31263" w14:textId="77777777" w:rsidR="00426116" w:rsidRPr="00BA2A47" w:rsidRDefault="00426116" w:rsidP="00426116">
            <w:pPr>
              <w:jc w:val="right"/>
              <w:rPr>
                <w:color w:val="000000"/>
              </w:rPr>
            </w:pPr>
            <w:r w:rsidRPr="00BA2A47">
              <w:rPr>
                <w:color w:val="000000"/>
              </w:rPr>
              <w:t>0.001224986</w:t>
            </w:r>
          </w:p>
        </w:tc>
        <w:tc>
          <w:tcPr>
            <w:tcW w:w="1530" w:type="dxa"/>
            <w:tcBorders>
              <w:top w:val="nil"/>
              <w:left w:val="nil"/>
              <w:bottom w:val="single" w:sz="4" w:space="0" w:color="auto"/>
              <w:right w:val="single" w:sz="4" w:space="0" w:color="auto"/>
            </w:tcBorders>
            <w:shd w:val="clear" w:color="auto" w:fill="auto"/>
            <w:noWrap/>
            <w:vAlign w:val="bottom"/>
            <w:hideMark/>
          </w:tcPr>
          <w:p w14:paraId="6A154DA8" w14:textId="77777777" w:rsidR="00426116" w:rsidRPr="00BA2A47" w:rsidRDefault="00426116" w:rsidP="00426116">
            <w:pPr>
              <w:jc w:val="right"/>
              <w:rPr>
                <w:color w:val="000000"/>
              </w:rPr>
            </w:pPr>
            <w:r w:rsidRPr="00BA2A47">
              <w:rPr>
                <w:color w:val="000000"/>
              </w:rPr>
              <w:t>0.002963676</w:t>
            </w:r>
          </w:p>
        </w:tc>
        <w:tc>
          <w:tcPr>
            <w:tcW w:w="1530" w:type="dxa"/>
            <w:tcBorders>
              <w:top w:val="nil"/>
              <w:left w:val="nil"/>
              <w:bottom w:val="single" w:sz="4" w:space="0" w:color="auto"/>
              <w:right w:val="single" w:sz="4" w:space="0" w:color="auto"/>
            </w:tcBorders>
            <w:shd w:val="clear" w:color="auto" w:fill="auto"/>
            <w:noWrap/>
            <w:vAlign w:val="bottom"/>
            <w:hideMark/>
          </w:tcPr>
          <w:p w14:paraId="4E51233C" w14:textId="77777777" w:rsidR="00426116" w:rsidRPr="00BA2A47" w:rsidRDefault="00426116" w:rsidP="00426116">
            <w:pPr>
              <w:jc w:val="right"/>
              <w:rPr>
                <w:color w:val="000000"/>
              </w:rPr>
            </w:pPr>
            <w:r w:rsidRPr="00BA2A47">
              <w:rPr>
                <w:color w:val="000000"/>
              </w:rPr>
              <w:t>0.002842755</w:t>
            </w:r>
          </w:p>
        </w:tc>
        <w:tc>
          <w:tcPr>
            <w:tcW w:w="1530" w:type="dxa"/>
            <w:tcBorders>
              <w:top w:val="nil"/>
              <w:left w:val="nil"/>
              <w:bottom w:val="single" w:sz="4" w:space="0" w:color="auto"/>
              <w:right w:val="single" w:sz="4" w:space="0" w:color="auto"/>
            </w:tcBorders>
            <w:shd w:val="clear" w:color="auto" w:fill="auto"/>
            <w:noWrap/>
            <w:vAlign w:val="bottom"/>
            <w:hideMark/>
          </w:tcPr>
          <w:p w14:paraId="19C1A2A5" w14:textId="77777777" w:rsidR="00426116" w:rsidRPr="00BA2A47" w:rsidRDefault="00426116" w:rsidP="00426116">
            <w:pPr>
              <w:jc w:val="right"/>
              <w:rPr>
                <w:color w:val="000000"/>
              </w:rPr>
            </w:pPr>
            <w:r w:rsidRPr="00BA2A47">
              <w:rPr>
                <w:color w:val="000000"/>
              </w:rPr>
              <w:t>0.00240807</w:t>
            </w:r>
          </w:p>
        </w:tc>
      </w:tr>
      <w:tr w:rsidR="00590587" w:rsidRPr="00426116" w14:paraId="67AE883E" w14:textId="77777777" w:rsidTr="00590587">
        <w:trPr>
          <w:trHeight w:val="300"/>
          <w:jc w:val="center"/>
        </w:trPr>
        <w:tc>
          <w:tcPr>
            <w:tcW w:w="2430" w:type="dxa"/>
            <w:tcBorders>
              <w:top w:val="nil"/>
              <w:left w:val="single" w:sz="4" w:space="0" w:color="auto"/>
              <w:bottom w:val="nil"/>
              <w:right w:val="single" w:sz="4" w:space="0" w:color="auto"/>
            </w:tcBorders>
            <w:shd w:val="clear" w:color="auto" w:fill="auto"/>
            <w:noWrap/>
            <w:vAlign w:val="bottom"/>
            <w:hideMark/>
          </w:tcPr>
          <w:p w14:paraId="132952AA" w14:textId="77777777" w:rsidR="00426116" w:rsidRPr="00BA2A47" w:rsidRDefault="00426116" w:rsidP="00426116">
            <w:pPr>
              <w:rPr>
                <w:color w:val="000000"/>
              </w:rPr>
            </w:pPr>
            <w:r w:rsidRPr="00BA2A47">
              <w:rPr>
                <w:color w:val="000000"/>
              </w:rPr>
              <w:t>Delta Diablo</w:t>
            </w:r>
          </w:p>
        </w:tc>
        <w:tc>
          <w:tcPr>
            <w:tcW w:w="1620" w:type="dxa"/>
            <w:tcBorders>
              <w:top w:val="nil"/>
              <w:left w:val="nil"/>
              <w:bottom w:val="nil"/>
              <w:right w:val="single" w:sz="4" w:space="0" w:color="auto"/>
            </w:tcBorders>
            <w:shd w:val="clear" w:color="auto" w:fill="auto"/>
            <w:noWrap/>
            <w:vAlign w:val="bottom"/>
            <w:hideMark/>
          </w:tcPr>
          <w:p w14:paraId="335502EC" w14:textId="77777777" w:rsidR="00426116" w:rsidRPr="00BA2A47" w:rsidRDefault="00426116" w:rsidP="00426116">
            <w:pPr>
              <w:jc w:val="right"/>
              <w:rPr>
                <w:color w:val="000000"/>
              </w:rPr>
            </w:pPr>
            <w:r w:rsidRPr="00BA2A47">
              <w:rPr>
                <w:color w:val="000000"/>
              </w:rPr>
              <w:t>0.000942957</w:t>
            </w:r>
          </w:p>
        </w:tc>
        <w:tc>
          <w:tcPr>
            <w:tcW w:w="1530" w:type="dxa"/>
            <w:tcBorders>
              <w:top w:val="nil"/>
              <w:left w:val="nil"/>
              <w:bottom w:val="nil"/>
              <w:right w:val="single" w:sz="4" w:space="0" w:color="auto"/>
            </w:tcBorders>
            <w:shd w:val="clear" w:color="auto" w:fill="auto"/>
            <w:noWrap/>
            <w:vAlign w:val="bottom"/>
            <w:hideMark/>
          </w:tcPr>
          <w:p w14:paraId="5F5DF64B" w14:textId="77777777" w:rsidR="00426116" w:rsidRPr="00BA2A47" w:rsidRDefault="00426116" w:rsidP="00426116">
            <w:pPr>
              <w:jc w:val="right"/>
              <w:rPr>
                <w:color w:val="000000"/>
              </w:rPr>
            </w:pPr>
            <w:r w:rsidRPr="00BA2A47">
              <w:rPr>
                <w:color w:val="000000"/>
              </w:rPr>
              <w:t>0.002947538</w:t>
            </w:r>
          </w:p>
        </w:tc>
        <w:tc>
          <w:tcPr>
            <w:tcW w:w="1530" w:type="dxa"/>
            <w:tcBorders>
              <w:top w:val="nil"/>
              <w:left w:val="nil"/>
              <w:bottom w:val="nil"/>
              <w:right w:val="single" w:sz="4" w:space="0" w:color="auto"/>
            </w:tcBorders>
            <w:shd w:val="clear" w:color="auto" w:fill="auto"/>
            <w:noWrap/>
            <w:vAlign w:val="bottom"/>
            <w:hideMark/>
          </w:tcPr>
          <w:p w14:paraId="32BE7DEE" w14:textId="77777777" w:rsidR="00426116" w:rsidRPr="00BA2A47" w:rsidRDefault="00426116" w:rsidP="00426116">
            <w:pPr>
              <w:jc w:val="right"/>
              <w:rPr>
                <w:color w:val="000000"/>
              </w:rPr>
            </w:pPr>
            <w:r w:rsidRPr="00BA2A47">
              <w:rPr>
                <w:color w:val="000000"/>
              </w:rPr>
              <w:t>0.002737323</w:t>
            </w:r>
          </w:p>
        </w:tc>
        <w:tc>
          <w:tcPr>
            <w:tcW w:w="1530" w:type="dxa"/>
            <w:tcBorders>
              <w:top w:val="nil"/>
              <w:left w:val="nil"/>
              <w:bottom w:val="nil"/>
              <w:right w:val="single" w:sz="4" w:space="0" w:color="auto"/>
            </w:tcBorders>
            <w:shd w:val="clear" w:color="auto" w:fill="auto"/>
            <w:noWrap/>
            <w:vAlign w:val="bottom"/>
            <w:hideMark/>
          </w:tcPr>
          <w:p w14:paraId="50F1CF67" w14:textId="77777777" w:rsidR="00426116" w:rsidRPr="00BA2A47" w:rsidRDefault="00426116" w:rsidP="00426116">
            <w:pPr>
              <w:jc w:val="right"/>
              <w:rPr>
                <w:color w:val="000000"/>
              </w:rPr>
            </w:pPr>
            <w:r w:rsidRPr="00BA2A47">
              <w:rPr>
                <w:color w:val="000000"/>
              </w:rPr>
              <w:t>0.002280301</w:t>
            </w:r>
          </w:p>
        </w:tc>
      </w:tr>
      <w:tr w:rsidR="00590587" w:rsidRPr="00426116" w14:paraId="2414E38E" w14:textId="77777777" w:rsidTr="00590587">
        <w:trPr>
          <w:trHeight w:val="300"/>
          <w:jc w:val="center"/>
        </w:trPr>
        <w:tc>
          <w:tcPr>
            <w:tcW w:w="2430" w:type="dxa"/>
            <w:tcBorders>
              <w:top w:val="nil"/>
              <w:left w:val="single" w:sz="4" w:space="0" w:color="auto"/>
              <w:bottom w:val="nil"/>
              <w:right w:val="single" w:sz="4" w:space="0" w:color="auto"/>
            </w:tcBorders>
            <w:shd w:val="clear" w:color="auto" w:fill="auto"/>
            <w:noWrap/>
            <w:vAlign w:val="bottom"/>
            <w:hideMark/>
          </w:tcPr>
          <w:p w14:paraId="2DADACF5" w14:textId="77777777" w:rsidR="00426116" w:rsidRPr="00BA2A47" w:rsidRDefault="00426116" w:rsidP="00426116">
            <w:pPr>
              <w:rPr>
                <w:color w:val="000000"/>
              </w:rPr>
            </w:pPr>
            <w:r w:rsidRPr="00BA2A47">
              <w:rPr>
                <w:color w:val="000000"/>
              </w:rPr>
              <w:t>Delta Diablo</w:t>
            </w:r>
          </w:p>
        </w:tc>
        <w:tc>
          <w:tcPr>
            <w:tcW w:w="1620" w:type="dxa"/>
            <w:tcBorders>
              <w:top w:val="nil"/>
              <w:left w:val="nil"/>
              <w:bottom w:val="nil"/>
              <w:right w:val="single" w:sz="4" w:space="0" w:color="auto"/>
            </w:tcBorders>
            <w:shd w:val="clear" w:color="auto" w:fill="auto"/>
            <w:noWrap/>
            <w:vAlign w:val="bottom"/>
            <w:hideMark/>
          </w:tcPr>
          <w:p w14:paraId="7AD10532" w14:textId="77777777" w:rsidR="00426116" w:rsidRPr="00BA2A47" w:rsidRDefault="00426116" w:rsidP="00426116">
            <w:pPr>
              <w:jc w:val="right"/>
              <w:rPr>
                <w:color w:val="000000"/>
              </w:rPr>
            </w:pPr>
            <w:r w:rsidRPr="00BA2A47">
              <w:rPr>
                <w:color w:val="000000"/>
              </w:rPr>
              <w:t>0.000779033</w:t>
            </w:r>
          </w:p>
        </w:tc>
        <w:tc>
          <w:tcPr>
            <w:tcW w:w="1530" w:type="dxa"/>
            <w:tcBorders>
              <w:top w:val="nil"/>
              <w:left w:val="nil"/>
              <w:bottom w:val="nil"/>
              <w:right w:val="single" w:sz="4" w:space="0" w:color="auto"/>
            </w:tcBorders>
            <w:shd w:val="clear" w:color="auto" w:fill="auto"/>
            <w:noWrap/>
            <w:vAlign w:val="bottom"/>
            <w:hideMark/>
          </w:tcPr>
          <w:p w14:paraId="3FC15955" w14:textId="77777777" w:rsidR="00426116" w:rsidRPr="00BA2A47" w:rsidRDefault="00426116" w:rsidP="00426116">
            <w:pPr>
              <w:jc w:val="right"/>
              <w:rPr>
                <w:color w:val="000000"/>
              </w:rPr>
            </w:pPr>
            <w:r w:rsidRPr="00BA2A47">
              <w:rPr>
                <w:color w:val="000000"/>
              </w:rPr>
              <w:t>0.002095981</w:t>
            </w:r>
          </w:p>
        </w:tc>
        <w:tc>
          <w:tcPr>
            <w:tcW w:w="1530" w:type="dxa"/>
            <w:tcBorders>
              <w:top w:val="nil"/>
              <w:left w:val="nil"/>
              <w:bottom w:val="nil"/>
              <w:right w:val="single" w:sz="4" w:space="0" w:color="auto"/>
            </w:tcBorders>
            <w:shd w:val="clear" w:color="auto" w:fill="auto"/>
            <w:noWrap/>
            <w:vAlign w:val="bottom"/>
            <w:hideMark/>
          </w:tcPr>
          <w:p w14:paraId="778CE99E" w14:textId="77777777" w:rsidR="00426116" w:rsidRPr="00BA2A47" w:rsidRDefault="00426116" w:rsidP="00426116">
            <w:pPr>
              <w:jc w:val="right"/>
              <w:rPr>
                <w:color w:val="000000"/>
              </w:rPr>
            </w:pPr>
            <w:r w:rsidRPr="00BA2A47">
              <w:rPr>
                <w:color w:val="000000"/>
              </w:rPr>
              <w:t>0.002335431</w:t>
            </w:r>
          </w:p>
        </w:tc>
        <w:tc>
          <w:tcPr>
            <w:tcW w:w="1530" w:type="dxa"/>
            <w:tcBorders>
              <w:top w:val="nil"/>
              <w:left w:val="nil"/>
              <w:bottom w:val="nil"/>
              <w:right w:val="single" w:sz="4" w:space="0" w:color="auto"/>
            </w:tcBorders>
            <w:shd w:val="clear" w:color="auto" w:fill="auto"/>
            <w:noWrap/>
            <w:vAlign w:val="bottom"/>
            <w:hideMark/>
          </w:tcPr>
          <w:p w14:paraId="73EB4722" w14:textId="77777777" w:rsidR="00426116" w:rsidRPr="00BA2A47" w:rsidRDefault="00426116" w:rsidP="00426116">
            <w:pPr>
              <w:jc w:val="right"/>
              <w:rPr>
                <w:color w:val="000000"/>
              </w:rPr>
            </w:pPr>
            <w:r w:rsidRPr="00BA2A47">
              <w:rPr>
                <w:color w:val="000000"/>
              </w:rPr>
              <w:t>0.002723372</w:t>
            </w:r>
          </w:p>
        </w:tc>
      </w:tr>
      <w:tr w:rsidR="00590587" w:rsidRPr="00426116" w14:paraId="53ECEF85" w14:textId="77777777" w:rsidTr="00590587">
        <w:trPr>
          <w:trHeight w:val="300"/>
          <w:jc w:val="center"/>
        </w:trPr>
        <w:tc>
          <w:tcPr>
            <w:tcW w:w="2430" w:type="dxa"/>
            <w:tcBorders>
              <w:top w:val="nil"/>
              <w:left w:val="single" w:sz="4" w:space="0" w:color="auto"/>
              <w:bottom w:val="nil"/>
              <w:right w:val="single" w:sz="4" w:space="0" w:color="auto"/>
            </w:tcBorders>
            <w:shd w:val="clear" w:color="auto" w:fill="auto"/>
            <w:noWrap/>
            <w:vAlign w:val="bottom"/>
            <w:hideMark/>
          </w:tcPr>
          <w:p w14:paraId="506A9055" w14:textId="77777777" w:rsidR="00426116" w:rsidRPr="00BA2A47" w:rsidRDefault="00426116" w:rsidP="00426116">
            <w:pPr>
              <w:rPr>
                <w:color w:val="000000"/>
              </w:rPr>
            </w:pPr>
            <w:r w:rsidRPr="00BA2A47">
              <w:rPr>
                <w:color w:val="000000"/>
              </w:rPr>
              <w:t>Delta Diablo</w:t>
            </w:r>
          </w:p>
        </w:tc>
        <w:tc>
          <w:tcPr>
            <w:tcW w:w="1620" w:type="dxa"/>
            <w:tcBorders>
              <w:top w:val="nil"/>
              <w:left w:val="nil"/>
              <w:bottom w:val="nil"/>
              <w:right w:val="single" w:sz="4" w:space="0" w:color="auto"/>
            </w:tcBorders>
            <w:shd w:val="clear" w:color="auto" w:fill="auto"/>
            <w:noWrap/>
            <w:vAlign w:val="bottom"/>
            <w:hideMark/>
          </w:tcPr>
          <w:p w14:paraId="232FED3D" w14:textId="77777777" w:rsidR="00426116" w:rsidRPr="00BA2A47" w:rsidRDefault="00426116" w:rsidP="00426116">
            <w:pPr>
              <w:jc w:val="right"/>
              <w:rPr>
                <w:color w:val="000000"/>
              </w:rPr>
            </w:pPr>
            <w:r w:rsidRPr="00BA2A47">
              <w:rPr>
                <w:color w:val="000000"/>
              </w:rPr>
              <w:t>0.0006008</w:t>
            </w:r>
          </w:p>
        </w:tc>
        <w:tc>
          <w:tcPr>
            <w:tcW w:w="1530" w:type="dxa"/>
            <w:tcBorders>
              <w:top w:val="nil"/>
              <w:left w:val="nil"/>
              <w:bottom w:val="nil"/>
              <w:right w:val="single" w:sz="4" w:space="0" w:color="auto"/>
            </w:tcBorders>
            <w:shd w:val="clear" w:color="auto" w:fill="auto"/>
            <w:noWrap/>
            <w:vAlign w:val="bottom"/>
            <w:hideMark/>
          </w:tcPr>
          <w:p w14:paraId="00AD0745" w14:textId="77777777" w:rsidR="00426116" w:rsidRPr="00BA2A47" w:rsidRDefault="00426116" w:rsidP="00426116">
            <w:pPr>
              <w:jc w:val="right"/>
              <w:rPr>
                <w:color w:val="000000"/>
              </w:rPr>
            </w:pPr>
            <w:r w:rsidRPr="00BA2A47">
              <w:rPr>
                <w:color w:val="000000"/>
              </w:rPr>
              <w:t>0.001712705</w:t>
            </w:r>
          </w:p>
        </w:tc>
        <w:tc>
          <w:tcPr>
            <w:tcW w:w="1530" w:type="dxa"/>
            <w:tcBorders>
              <w:top w:val="nil"/>
              <w:left w:val="nil"/>
              <w:bottom w:val="nil"/>
              <w:right w:val="single" w:sz="4" w:space="0" w:color="auto"/>
            </w:tcBorders>
            <w:shd w:val="clear" w:color="auto" w:fill="auto"/>
            <w:noWrap/>
            <w:vAlign w:val="bottom"/>
            <w:hideMark/>
          </w:tcPr>
          <w:p w14:paraId="08FC87D5" w14:textId="77777777" w:rsidR="00426116" w:rsidRPr="00BA2A47" w:rsidRDefault="00426116" w:rsidP="00426116">
            <w:pPr>
              <w:jc w:val="right"/>
              <w:rPr>
                <w:color w:val="000000"/>
              </w:rPr>
            </w:pPr>
            <w:r w:rsidRPr="00BA2A47">
              <w:rPr>
                <w:color w:val="000000"/>
              </w:rPr>
              <w:t>0.003653966</w:t>
            </w:r>
          </w:p>
        </w:tc>
        <w:tc>
          <w:tcPr>
            <w:tcW w:w="1530" w:type="dxa"/>
            <w:tcBorders>
              <w:top w:val="nil"/>
              <w:left w:val="nil"/>
              <w:bottom w:val="nil"/>
              <w:right w:val="single" w:sz="4" w:space="0" w:color="auto"/>
            </w:tcBorders>
            <w:shd w:val="clear" w:color="auto" w:fill="auto"/>
            <w:noWrap/>
            <w:vAlign w:val="bottom"/>
            <w:hideMark/>
          </w:tcPr>
          <w:p w14:paraId="5AF3BED6" w14:textId="77777777" w:rsidR="00426116" w:rsidRPr="00BA2A47" w:rsidRDefault="00426116" w:rsidP="00426116">
            <w:pPr>
              <w:jc w:val="right"/>
              <w:rPr>
                <w:color w:val="000000"/>
              </w:rPr>
            </w:pPr>
            <w:r w:rsidRPr="00BA2A47">
              <w:rPr>
                <w:color w:val="000000"/>
              </w:rPr>
              <w:t>0.001881737</w:t>
            </w:r>
          </w:p>
        </w:tc>
      </w:tr>
      <w:tr w:rsidR="00590587" w:rsidRPr="00426116" w14:paraId="2047BE07" w14:textId="77777777" w:rsidTr="00590587">
        <w:trPr>
          <w:trHeight w:val="30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14:paraId="43ADA652" w14:textId="77777777" w:rsidR="00426116" w:rsidRPr="00BA2A47" w:rsidRDefault="00426116" w:rsidP="00426116">
            <w:pPr>
              <w:rPr>
                <w:color w:val="000000"/>
              </w:rPr>
            </w:pPr>
            <w:r w:rsidRPr="00BA2A47">
              <w:rPr>
                <w:color w:val="000000"/>
              </w:rPr>
              <w:t>Delta Diablo</w:t>
            </w:r>
          </w:p>
        </w:tc>
        <w:tc>
          <w:tcPr>
            <w:tcW w:w="1620" w:type="dxa"/>
            <w:tcBorders>
              <w:top w:val="nil"/>
              <w:left w:val="nil"/>
              <w:bottom w:val="single" w:sz="4" w:space="0" w:color="auto"/>
              <w:right w:val="single" w:sz="4" w:space="0" w:color="auto"/>
            </w:tcBorders>
            <w:shd w:val="clear" w:color="auto" w:fill="auto"/>
            <w:noWrap/>
            <w:vAlign w:val="bottom"/>
            <w:hideMark/>
          </w:tcPr>
          <w:p w14:paraId="77D26BEE" w14:textId="77777777" w:rsidR="00426116" w:rsidRPr="00BA2A47" w:rsidRDefault="00426116" w:rsidP="00426116">
            <w:pPr>
              <w:jc w:val="right"/>
              <w:rPr>
                <w:color w:val="000000"/>
              </w:rPr>
            </w:pPr>
            <w:r w:rsidRPr="00BA2A47">
              <w:rPr>
                <w:color w:val="000000"/>
              </w:rPr>
              <w:t>0.00079602</w:t>
            </w:r>
          </w:p>
        </w:tc>
        <w:tc>
          <w:tcPr>
            <w:tcW w:w="1530" w:type="dxa"/>
            <w:tcBorders>
              <w:top w:val="nil"/>
              <w:left w:val="nil"/>
              <w:bottom w:val="single" w:sz="4" w:space="0" w:color="auto"/>
              <w:right w:val="single" w:sz="4" w:space="0" w:color="auto"/>
            </w:tcBorders>
            <w:shd w:val="clear" w:color="auto" w:fill="auto"/>
            <w:noWrap/>
            <w:vAlign w:val="bottom"/>
            <w:hideMark/>
          </w:tcPr>
          <w:p w14:paraId="5E8388FD" w14:textId="77777777" w:rsidR="00426116" w:rsidRPr="00BA2A47" w:rsidRDefault="00426116" w:rsidP="00426116">
            <w:pPr>
              <w:jc w:val="right"/>
              <w:rPr>
                <w:color w:val="000000"/>
              </w:rPr>
            </w:pPr>
            <w:r w:rsidRPr="00BA2A47">
              <w:rPr>
                <w:color w:val="000000"/>
              </w:rPr>
              <w:t>0.002938497</w:t>
            </w:r>
          </w:p>
        </w:tc>
        <w:tc>
          <w:tcPr>
            <w:tcW w:w="1530" w:type="dxa"/>
            <w:tcBorders>
              <w:top w:val="nil"/>
              <w:left w:val="nil"/>
              <w:bottom w:val="single" w:sz="4" w:space="0" w:color="auto"/>
              <w:right w:val="single" w:sz="4" w:space="0" w:color="auto"/>
            </w:tcBorders>
            <w:shd w:val="clear" w:color="auto" w:fill="auto"/>
            <w:noWrap/>
            <w:vAlign w:val="bottom"/>
            <w:hideMark/>
          </w:tcPr>
          <w:p w14:paraId="772B31BE" w14:textId="77777777" w:rsidR="00426116" w:rsidRPr="00BA2A47" w:rsidRDefault="00426116" w:rsidP="00426116">
            <w:pPr>
              <w:jc w:val="right"/>
              <w:rPr>
                <w:color w:val="000000"/>
              </w:rPr>
            </w:pPr>
            <w:r w:rsidRPr="00BA2A47">
              <w:rPr>
                <w:color w:val="000000"/>
              </w:rPr>
              <w:t>0.002095972</w:t>
            </w:r>
          </w:p>
        </w:tc>
        <w:tc>
          <w:tcPr>
            <w:tcW w:w="1530" w:type="dxa"/>
            <w:tcBorders>
              <w:top w:val="nil"/>
              <w:left w:val="nil"/>
              <w:bottom w:val="single" w:sz="4" w:space="0" w:color="auto"/>
              <w:right w:val="single" w:sz="4" w:space="0" w:color="auto"/>
            </w:tcBorders>
            <w:shd w:val="clear" w:color="auto" w:fill="auto"/>
            <w:noWrap/>
            <w:vAlign w:val="bottom"/>
            <w:hideMark/>
          </w:tcPr>
          <w:p w14:paraId="4F202C13" w14:textId="77777777" w:rsidR="00426116" w:rsidRPr="00BA2A47" w:rsidRDefault="00426116" w:rsidP="00426116">
            <w:pPr>
              <w:jc w:val="right"/>
              <w:rPr>
                <w:color w:val="000000"/>
              </w:rPr>
            </w:pPr>
            <w:r w:rsidRPr="00BA2A47">
              <w:rPr>
                <w:color w:val="000000"/>
              </w:rPr>
              <w:t>0.003134687</w:t>
            </w:r>
          </w:p>
        </w:tc>
      </w:tr>
      <w:tr w:rsidR="00590587" w:rsidRPr="00426116" w14:paraId="5958E883" w14:textId="77777777" w:rsidTr="00590587">
        <w:trPr>
          <w:trHeight w:val="300"/>
          <w:jc w:val="center"/>
        </w:trPr>
        <w:tc>
          <w:tcPr>
            <w:tcW w:w="2430" w:type="dxa"/>
            <w:tcBorders>
              <w:top w:val="nil"/>
              <w:left w:val="single" w:sz="4" w:space="0" w:color="auto"/>
              <w:bottom w:val="nil"/>
              <w:right w:val="single" w:sz="4" w:space="0" w:color="auto"/>
            </w:tcBorders>
            <w:shd w:val="clear" w:color="auto" w:fill="auto"/>
            <w:noWrap/>
            <w:vAlign w:val="bottom"/>
            <w:hideMark/>
          </w:tcPr>
          <w:p w14:paraId="7B51E64F" w14:textId="77777777" w:rsidR="00426116" w:rsidRPr="00BA2A47" w:rsidRDefault="00426116" w:rsidP="00426116">
            <w:pPr>
              <w:rPr>
                <w:color w:val="000000"/>
              </w:rPr>
            </w:pPr>
            <w:r w:rsidRPr="00BA2A47">
              <w:rPr>
                <w:color w:val="000000"/>
              </w:rPr>
              <w:t>EBDA</w:t>
            </w:r>
          </w:p>
        </w:tc>
        <w:tc>
          <w:tcPr>
            <w:tcW w:w="1620" w:type="dxa"/>
            <w:tcBorders>
              <w:top w:val="nil"/>
              <w:left w:val="nil"/>
              <w:bottom w:val="nil"/>
              <w:right w:val="single" w:sz="4" w:space="0" w:color="auto"/>
            </w:tcBorders>
            <w:shd w:val="clear" w:color="auto" w:fill="auto"/>
            <w:noWrap/>
            <w:vAlign w:val="bottom"/>
            <w:hideMark/>
          </w:tcPr>
          <w:p w14:paraId="0FFD67C1" w14:textId="77777777" w:rsidR="00426116" w:rsidRPr="00BA2A47" w:rsidRDefault="00426116" w:rsidP="00426116">
            <w:pPr>
              <w:jc w:val="right"/>
              <w:rPr>
                <w:color w:val="000000"/>
              </w:rPr>
            </w:pPr>
            <w:r w:rsidRPr="00BA2A47">
              <w:rPr>
                <w:color w:val="000000"/>
              </w:rPr>
              <w:t>0.014436013</w:t>
            </w:r>
          </w:p>
        </w:tc>
        <w:tc>
          <w:tcPr>
            <w:tcW w:w="1530" w:type="dxa"/>
            <w:tcBorders>
              <w:top w:val="nil"/>
              <w:left w:val="nil"/>
              <w:bottom w:val="nil"/>
              <w:right w:val="single" w:sz="4" w:space="0" w:color="auto"/>
            </w:tcBorders>
            <w:shd w:val="clear" w:color="auto" w:fill="auto"/>
            <w:noWrap/>
            <w:vAlign w:val="bottom"/>
            <w:hideMark/>
          </w:tcPr>
          <w:p w14:paraId="0781FEC1" w14:textId="77777777" w:rsidR="00426116" w:rsidRPr="00BA2A47" w:rsidRDefault="00426116" w:rsidP="00426116">
            <w:pPr>
              <w:jc w:val="right"/>
              <w:rPr>
                <w:color w:val="000000"/>
              </w:rPr>
            </w:pPr>
            <w:r w:rsidRPr="00BA2A47">
              <w:rPr>
                <w:color w:val="000000"/>
              </w:rPr>
              <w:t>0.02736045</w:t>
            </w:r>
          </w:p>
        </w:tc>
        <w:tc>
          <w:tcPr>
            <w:tcW w:w="1530" w:type="dxa"/>
            <w:tcBorders>
              <w:top w:val="nil"/>
              <w:left w:val="nil"/>
              <w:bottom w:val="nil"/>
              <w:right w:val="single" w:sz="4" w:space="0" w:color="auto"/>
            </w:tcBorders>
            <w:shd w:val="clear" w:color="auto" w:fill="auto"/>
            <w:noWrap/>
            <w:vAlign w:val="bottom"/>
            <w:hideMark/>
          </w:tcPr>
          <w:p w14:paraId="2116E8F7" w14:textId="77777777" w:rsidR="00426116" w:rsidRPr="00BA2A47" w:rsidRDefault="00426116" w:rsidP="00426116">
            <w:pPr>
              <w:jc w:val="right"/>
              <w:rPr>
                <w:color w:val="000000"/>
              </w:rPr>
            </w:pPr>
            <w:r w:rsidRPr="00BA2A47">
              <w:rPr>
                <w:color w:val="000000"/>
              </w:rPr>
              <w:t>0.029149428</w:t>
            </w:r>
          </w:p>
        </w:tc>
        <w:tc>
          <w:tcPr>
            <w:tcW w:w="1530" w:type="dxa"/>
            <w:tcBorders>
              <w:top w:val="nil"/>
              <w:left w:val="nil"/>
              <w:bottom w:val="nil"/>
              <w:right w:val="single" w:sz="4" w:space="0" w:color="auto"/>
            </w:tcBorders>
            <w:shd w:val="clear" w:color="auto" w:fill="auto"/>
            <w:noWrap/>
            <w:vAlign w:val="bottom"/>
            <w:hideMark/>
          </w:tcPr>
          <w:p w14:paraId="06F3FDB6" w14:textId="77777777" w:rsidR="00426116" w:rsidRPr="00BA2A47" w:rsidRDefault="00426116" w:rsidP="00426116">
            <w:pPr>
              <w:jc w:val="right"/>
              <w:rPr>
                <w:color w:val="000000"/>
              </w:rPr>
            </w:pPr>
            <w:r w:rsidRPr="00BA2A47">
              <w:rPr>
                <w:color w:val="000000"/>
              </w:rPr>
              <w:t>0.038618654</w:t>
            </w:r>
          </w:p>
        </w:tc>
      </w:tr>
      <w:tr w:rsidR="00590587" w:rsidRPr="00426116" w14:paraId="7201B508" w14:textId="77777777" w:rsidTr="00590587">
        <w:trPr>
          <w:trHeight w:val="300"/>
          <w:jc w:val="center"/>
        </w:trPr>
        <w:tc>
          <w:tcPr>
            <w:tcW w:w="2430" w:type="dxa"/>
            <w:tcBorders>
              <w:top w:val="nil"/>
              <w:left w:val="single" w:sz="4" w:space="0" w:color="auto"/>
              <w:bottom w:val="nil"/>
              <w:right w:val="single" w:sz="4" w:space="0" w:color="auto"/>
            </w:tcBorders>
            <w:shd w:val="clear" w:color="auto" w:fill="auto"/>
            <w:noWrap/>
            <w:vAlign w:val="bottom"/>
            <w:hideMark/>
          </w:tcPr>
          <w:p w14:paraId="42DCC8AD" w14:textId="77777777" w:rsidR="00426116" w:rsidRPr="00BA2A47" w:rsidRDefault="00426116" w:rsidP="00426116">
            <w:pPr>
              <w:rPr>
                <w:color w:val="000000"/>
              </w:rPr>
            </w:pPr>
            <w:r w:rsidRPr="00BA2A47">
              <w:rPr>
                <w:color w:val="000000"/>
              </w:rPr>
              <w:t>EBDA</w:t>
            </w:r>
          </w:p>
        </w:tc>
        <w:tc>
          <w:tcPr>
            <w:tcW w:w="1620" w:type="dxa"/>
            <w:tcBorders>
              <w:top w:val="nil"/>
              <w:left w:val="nil"/>
              <w:bottom w:val="nil"/>
              <w:right w:val="single" w:sz="4" w:space="0" w:color="auto"/>
            </w:tcBorders>
            <w:shd w:val="clear" w:color="auto" w:fill="auto"/>
            <w:noWrap/>
            <w:vAlign w:val="bottom"/>
            <w:hideMark/>
          </w:tcPr>
          <w:p w14:paraId="2B0B5B95" w14:textId="77777777" w:rsidR="00426116" w:rsidRPr="00BA2A47" w:rsidRDefault="00426116" w:rsidP="00426116">
            <w:pPr>
              <w:jc w:val="right"/>
              <w:rPr>
                <w:color w:val="000000"/>
              </w:rPr>
            </w:pPr>
            <w:r w:rsidRPr="00BA2A47">
              <w:rPr>
                <w:color w:val="000000"/>
              </w:rPr>
              <w:t>0.006465304</w:t>
            </w:r>
          </w:p>
        </w:tc>
        <w:tc>
          <w:tcPr>
            <w:tcW w:w="1530" w:type="dxa"/>
            <w:tcBorders>
              <w:top w:val="nil"/>
              <w:left w:val="nil"/>
              <w:bottom w:val="nil"/>
              <w:right w:val="single" w:sz="4" w:space="0" w:color="auto"/>
            </w:tcBorders>
            <w:shd w:val="clear" w:color="auto" w:fill="auto"/>
            <w:noWrap/>
            <w:vAlign w:val="bottom"/>
            <w:hideMark/>
          </w:tcPr>
          <w:p w14:paraId="6DC52896" w14:textId="77777777" w:rsidR="00426116" w:rsidRPr="00BA2A47" w:rsidRDefault="00426116" w:rsidP="00426116">
            <w:pPr>
              <w:jc w:val="right"/>
              <w:rPr>
                <w:color w:val="000000"/>
              </w:rPr>
            </w:pPr>
            <w:r w:rsidRPr="00BA2A47">
              <w:rPr>
                <w:color w:val="000000"/>
              </w:rPr>
              <w:t>0.029425402</w:t>
            </w:r>
          </w:p>
        </w:tc>
        <w:tc>
          <w:tcPr>
            <w:tcW w:w="1530" w:type="dxa"/>
            <w:tcBorders>
              <w:top w:val="nil"/>
              <w:left w:val="nil"/>
              <w:bottom w:val="nil"/>
              <w:right w:val="single" w:sz="4" w:space="0" w:color="auto"/>
            </w:tcBorders>
            <w:shd w:val="clear" w:color="auto" w:fill="auto"/>
            <w:noWrap/>
            <w:vAlign w:val="bottom"/>
            <w:hideMark/>
          </w:tcPr>
          <w:p w14:paraId="3FB2EAF1" w14:textId="77777777" w:rsidR="00426116" w:rsidRPr="00BA2A47" w:rsidRDefault="00426116" w:rsidP="00426116">
            <w:pPr>
              <w:jc w:val="right"/>
              <w:rPr>
                <w:color w:val="000000"/>
              </w:rPr>
            </w:pPr>
            <w:r w:rsidRPr="00BA2A47">
              <w:rPr>
                <w:color w:val="000000"/>
              </w:rPr>
              <w:t>0.047366545</w:t>
            </w:r>
          </w:p>
        </w:tc>
        <w:tc>
          <w:tcPr>
            <w:tcW w:w="1530" w:type="dxa"/>
            <w:tcBorders>
              <w:top w:val="nil"/>
              <w:left w:val="nil"/>
              <w:bottom w:val="nil"/>
              <w:right w:val="single" w:sz="4" w:space="0" w:color="auto"/>
            </w:tcBorders>
            <w:shd w:val="clear" w:color="auto" w:fill="auto"/>
            <w:noWrap/>
            <w:vAlign w:val="bottom"/>
            <w:hideMark/>
          </w:tcPr>
          <w:p w14:paraId="4DEC017B" w14:textId="77777777" w:rsidR="00426116" w:rsidRPr="00BA2A47" w:rsidRDefault="00426116" w:rsidP="00426116">
            <w:pPr>
              <w:jc w:val="right"/>
              <w:rPr>
                <w:color w:val="000000"/>
              </w:rPr>
            </w:pPr>
            <w:r w:rsidRPr="00BA2A47">
              <w:rPr>
                <w:color w:val="000000"/>
              </w:rPr>
              <w:t>0.02194252</w:t>
            </w:r>
          </w:p>
        </w:tc>
      </w:tr>
      <w:tr w:rsidR="00590587" w:rsidRPr="00426116" w14:paraId="777F49AC" w14:textId="77777777" w:rsidTr="00590587">
        <w:trPr>
          <w:trHeight w:val="300"/>
          <w:jc w:val="center"/>
        </w:trPr>
        <w:tc>
          <w:tcPr>
            <w:tcW w:w="2430" w:type="dxa"/>
            <w:tcBorders>
              <w:top w:val="nil"/>
              <w:left w:val="single" w:sz="4" w:space="0" w:color="auto"/>
              <w:bottom w:val="nil"/>
              <w:right w:val="single" w:sz="4" w:space="0" w:color="auto"/>
            </w:tcBorders>
            <w:shd w:val="clear" w:color="auto" w:fill="auto"/>
            <w:noWrap/>
            <w:vAlign w:val="bottom"/>
            <w:hideMark/>
          </w:tcPr>
          <w:p w14:paraId="468ADC95" w14:textId="77777777" w:rsidR="00426116" w:rsidRPr="00BA2A47" w:rsidRDefault="00426116" w:rsidP="00426116">
            <w:pPr>
              <w:rPr>
                <w:color w:val="000000"/>
              </w:rPr>
            </w:pPr>
            <w:r w:rsidRPr="00BA2A47">
              <w:rPr>
                <w:color w:val="000000"/>
              </w:rPr>
              <w:t>EBDA</w:t>
            </w:r>
          </w:p>
        </w:tc>
        <w:tc>
          <w:tcPr>
            <w:tcW w:w="1620" w:type="dxa"/>
            <w:tcBorders>
              <w:top w:val="nil"/>
              <w:left w:val="nil"/>
              <w:bottom w:val="nil"/>
              <w:right w:val="single" w:sz="4" w:space="0" w:color="auto"/>
            </w:tcBorders>
            <w:shd w:val="clear" w:color="auto" w:fill="auto"/>
            <w:noWrap/>
            <w:vAlign w:val="bottom"/>
            <w:hideMark/>
          </w:tcPr>
          <w:p w14:paraId="583D1087" w14:textId="77777777" w:rsidR="00426116" w:rsidRPr="00BA2A47" w:rsidRDefault="00426116" w:rsidP="00426116">
            <w:pPr>
              <w:jc w:val="right"/>
              <w:rPr>
                <w:color w:val="000000"/>
              </w:rPr>
            </w:pPr>
            <w:r w:rsidRPr="00BA2A47">
              <w:rPr>
                <w:color w:val="000000"/>
              </w:rPr>
              <w:t>0.011573873</w:t>
            </w:r>
          </w:p>
        </w:tc>
        <w:tc>
          <w:tcPr>
            <w:tcW w:w="1530" w:type="dxa"/>
            <w:tcBorders>
              <w:top w:val="nil"/>
              <w:left w:val="nil"/>
              <w:bottom w:val="nil"/>
              <w:right w:val="single" w:sz="4" w:space="0" w:color="auto"/>
            </w:tcBorders>
            <w:shd w:val="clear" w:color="auto" w:fill="auto"/>
            <w:noWrap/>
            <w:vAlign w:val="bottom"/>
            <w:hideMark/>
          </w:tcPr>
          <w:p w14:paraId="39AFE110" w14:textId="77777777" w:rsidR="00426116" w:rsidRPr="00BA2A47" w:rsidRDefault="00426116" w:rsidP="00426116">
            <w:pPr>
              <w:jc w:val="right"/>
              <w:rPr>
                <w:color w:val="000000"/>
              </w:rPr>
            </w:pPr>
            <w:r w:rsidRPr="00BA2A47">
              <w:rPr>
                <w:color w:val="000000"/>
              </w:rPr>
              <w:t>0.041672703</w:t>
            </w:r>
          </w:p>
        </w:tc>
        <w:tc>
          <w:tcPr>
            <w:tcW w:w="1530" w:type="dxa"/>
            <w:tcBorders>
              <w:top w:val="nil"/>
              <w:left w:val="nil"/>
              <w:bottom w:val="nil"/>
              <w:right w:val="single" w:sz="4" w:space="0" w:color="auto"/>
            </w:tcBorders>
            <w:shd w:val="clear" w:color="auto" w:fill="auto"/>
            <w:noWrap/>
            <w:vAlign w:val="bottom"/>
            <w:hideMark/>
          </w:tcPr>
          <w:p w14:paraId="2B59EA5F" w14:textId="77777777" w:rsidR="00426116" w:rsidRPr="00BA2A47" w:rsidRDefault="00426116" w:rsidP="00426116">
            <w:pPr>
              <w:jc w:val="right"/>
              <w:rPr>
                <w:color w:val="000000"/>
              </w:rPr>
            </w:pPr>
            <w:r w:rsidRPr="00BA2A47">
              <w:rPr>
                <w:color w:val="000000"/>
              </w:rPr>
              <w:t>0.023974444</w:t>
            </w:r>
          </w:p>
        </w:tc>
        <w:tc>
          <w:tcPr>
            <w:tcW w:w="1530" w:type="dxa"/>
            <w:tcBorders>
              <w:top w:val="nil"/>
              <w:left w:val="nil"/>
              <w:bottom w:val="nil"/>
              <w:right w:val="single" w:sz="4" w:space="0" w:color="auto"/>
            </w:tcBorders>
            <w:shd w:val="clear" w:color="auto" w:fill="auto"/>
            <w:noWrap/>
            <w:vAlign w:val="bottom"/>
            <w:hideMark/>
          </w:tcPr>
          <w:p w14:paraId="338103E5" w14:textId="77777777" w:rsidR="00426116" w:rsidRPr="00BA2A47" w:rsidRDefault="00426116" w:rsidP="00426116">
            <w:pPr>
              <w:jc w:val="right"/>
              <w:rPr>
                <w:color w:val="000000"/>
              </w:rPr>
            </w:pPr>
            <w:r w:rsidRPr="00BA2A47">
              <w:rPr>
                <w:color w:val="000000"/>
              </w:rPr>
              <w:t>0.031044006</w:t>
            </w:r>
          </w:p>
        </w:tc>
      </w:tr>
      <w:tr w:rsidR="00590587" w:rsidRPr="00426116" w14:paraId="51E05E90" w14:textId="77777777" w:rsidTr="00590587">
        <w:trPr>
          <w:trHeight w:val="30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14:paraId="693A3162" w14:textId="77777777" w:rsidR="00426116" w:rsidRPr="00BA2A47" w:rsidRDefault="00426116" w:rsidP="00426116">
            <w:pPr>
              <w:rPr>
                <w:color w:val="000000"/>
              </w:rPr>
            </w:pPr>
            <w:r w:rsidRPr="00BA2A47">
              <w:rPr>
                <w:color w:val="000000"/>
              </w:rPr>
              <w:t>EBDA</w:t>
            </w:r>
          </w:p>
        </w:tc>
        <w:tc>
          <w:tcPr>
            <w:tcW w:w="1620" w:type="dxa"/>
            <w:tcBorders>
              <w:top w:val="nil"/>
              <w:left w:val="nil"/>
              <w:bottom w:val="single" w:sz="4" w:space="0" w:color="auto"/>
              <w:right w:val="single" w:sz="4" w:space="0" w:color="auto"/>
            </w:tcBorders>
            <w:shd w:val="clear" w:color="auto" w:fill="auto"/>
            <w:noWrap/>
            <w:vAlign w:val="bottom"/>
            <w:hideMark/>
          </w:tcPr>
          <w:p w14:paraId="78857E00" w14:textId="77777777" w:rsidR="00426116" w:rsidRPr="00BA2A47" w:rsidRDefault="00426116" w:rsidP="00426116">
            <w:pPr>
              <w:jc w:val="right"/>
              <w:rPr>
                <w:color w:val="000000"/>
              </w:rPr>
            </w:pPr>
            <w:r w:rsidRPr="00BA2A47">
              <w:rPr>
                <w:color w:val="000000"/>
              </w:rPr>
              <w:t>0.021440442</w:t>
            </w:r>
          </w:p>
        </w:tc>
        <w:tc>
          <w:tcPr>
            <w:tcW w:w="1530" w:type="dxa"/>
            <w:tcBorders>
              <w:top w:val="nil"/>
              <w:left w:val="nil"/>
              <w:bottom w:val="single" w:sz="4" w:space="0" w:color="auto"/>
              <w:right w:val="single" w:sz="4" w:space="0" w:color="auto"/>
            </w:tcBorders>
            <w:shd w:val="clear" w:color="auto" w:fill="auto"/>
            <w:noWrap/>
            <w:vAlign w:val="bottom"/>
            <w:hideMark/>
          </w:tcPr>
          <w:p w14:paraId="343FBA71" w14:textId="77777777" w:rsidR="00426116" w:rsidRPr="00BA2A47" w:rsidRDefault="00426116" w:rsidP="00426116">
            <w:pPr>
              <w:jc w:val="right"/>
              <w:rPr>
                <w:color w:val="000000"/>
              </w:rPr>
            </w:pPr>
            <w:r w:rsidRPr="00BA2A47">
              <w:rPr>
                <w:color w:val="000000"/>
              </w:rPr>
              <w:t>0.074240246</w:t>
            </w:r>
          </w:p>
        </w:tc>
        <w:tc>
          <w:tcPr>
            <w:tcW w:w="1530" w:type="dxa"/>
            <w:tcBorders>
              <w:top w:val="nil"/>
              <w:left w:val="nil"/>
              <w:bottom w:val="single" w:sz="4" w:space="0" w:color="auto"/>
              <w:right w:val="single" w:sz="4" w:space="0" w:color="auto"/>
            </w:tcBorders>
            <w:shd w:val="clear" w:color="auto" w:fill="auto"/>
            <w:noWrap/>
            <w:vAlign w:val="bottom"/>
            <w:hideMark/>
          </w:tcPr>
          <w:p w14:paraId="0BE03F05" w14:textId="77777777" w:rsidR="00426116" w:rsidRPr="00BA2A47" w:rsidRDefault="00426116" w:rsidP="00426116">
            <w:pPr>
              <w:jc w:val="right"/>
              <w:rPr>
                <w:color w:val="000000"/>
              </w:rPr>
            </w:pPr>
            <w:r w:rsidRPr="00BA2A47">
              <w:rPr>
                <w:color w:val="000000"/>
              </w:rPr>
              <w:t>0.038079977</w:t>
            </w:r>
          </w:p>
        </w:tc>
        <w:tc>
          <w:tcPr>
            <w:tcW w:w="1530" w:type="dxa"/>
            <w:tcBorders>
              <w:top w:val="nil"/>
              <w:left w:val="nil"/>
              <w:bottom w:val="single" w:sz="4" w:space="0" w:color="auto"/>
              <w:right w:val="single" w:sz="4" w:space="0" w:color="auto"/>
            </w:tcBorders>
            <w:shd w:val="clear" w:color="auto" w:fill="auto"/>
            <w:noWrap/>
            <w:vAlign w:val="bottom"/>
            <w:hideMark/>
          </w:tcPr>
          <w:p w14:paraId="34DE5E9C" w14:textId="77777777" w:rsidR="00426116" w:rsidRPr="00BA2A47" w:rsidRDefault="00426116" w:rsidP="00426116">
            <w:pPr>
              <w:jc w:val="right"/>
              <w:rPr>
                <w:color w:val="000000"/>
              </w:rPr>
            </w:pPr>
            <w:r w:rsidRPr="00BA2A47">
              <w:rPr>
                <w:color w:val="000000"/>
              </w:rPr>
              <w:t>0.038907642</w:t>
            </w:r>
          </w:p>
        </w:tc>
      </w:tr>
      <w:tr w:rsidR="00590587" w:rsidRPr="00426116" w14:paraId="011A6107" w14:textId="77777777" w:rsidTr="00590587">
        <w:trPr>
          <w:trHeight w:val="300"/>
          <w:jc w:val="center"/>
        </w:trPr>
        <w:tc>
          <w:tcPr>
            <w:tcW w:w="2430" w:type="dxa"/>
            <w:tcBorders>
              <w:top w:val="nil"/>
              <w:left w:val="single" w:sz="4" w:space="0" w:color="auto"/>
              <w:bottom w:val="nil"/>
              <w:right w:val="single" w:sz="4" w:space="0" w:color="auto"/>
            </w:tcBorders>
            <w:shd w:val="clear" w:color="auto" w:fill="auto"/>
            <w:noWrap/>
            <w:vAlign w:val="bottom"/>
            <w:hideMark/>
          </w:tcPr>
          <w:p w14:paraId="279896A0" w14:textId="77777777" w:rsidR="00426116" w:rsidRPr="00BA2A47" w:rsidRDefault="00426116" w:rsidP="00426116">
            <w:pPr>
              <w:rPr>
                <w:color w:val="000000"/>
              </w:rPr>
            </w:pPr>
            <w:r w:rsidRPr="00BA2A47">
              <w:rPr>
                <w:color w:val="000000"/>
              </w:rPr>
              <w:t>EBMUD</w:t>
            </w:r>
          </w:p>
        </w:tc>
        <w:tc>
          <w:tcPr>
            <w:tcW w:w="1620" w:type="dxa"/>
            <w:tcBorders>
              <w:top w:val="nil"/>
              <w:left w:val="nil"/>
              <w:bottom w:val="nil"/>
              <w:right w:val="single" w:sz="4" w:space="0" w:color="auto"/>
            </w:tcBorders>
            <w:shd w:val="clear" w:color="auto" w:fill="auto"/>
            <w:noWrap/>
            <w:vAlign w:val="bottom"/>
            <w:hideMark/>
          </w:tcPr>
          <w:p w14:paraId="23D74993" w14:textId="77777777" w:rsidR="00426116" w:rsidRPr="00BA2A47" w:rsidRDefault="00426116" w:rsidP="00426116">
            <w:pPr>
              <w:jc w:val="right"/>
              <w:rPr>
                <w:color w:val="000000"/>
              </w:rPr>
            </w:pPr>
            <w:r w:rsidRPr="00BA2A47">
              <w:rPr>
                <w:color w:val="000000"/>
              </w:rPr>
              <w:t>0.021144144</w:t>
            </w:r>
          </w:p>
        </w:tc>
        <w:tc>
          <w:tcPr>
            <w:tcW w:w="1530" w:type="dxa"/>
            <w:tcBorders>
              <w:top w:val="nil"/>
              <w:left w:val="nil"/>
              <w:bottom w:val="nil"/>
              <w:right w:val="single" w:sz="4" w:space="0" w:color="auto"/>
            </w:tcBorders>
            <w:shd w:val="clear" w:color="auto" w:fill="auto"/>
            <w:noWrap/>
            <w:vAlign w:val="bottom"/>
            <w:hideMark/>
          </w:tcPr>
          <w:p w14:paraId="152E50E4" w14:textId="77777777" w:rsidR="00426116" w:rsidRPr="00BA2A47" w:rsidRDefault="00426116" w:rsidP="00426116">
            <w:pPr>
              <w:jc w:val="right"/>
              <w:rPr>
                <w:color w:val="000000"/>
              </w:rPr>
            </w:pPr>
            <w:r w:rsidRPr="00BA2A47">
              <w:rPr>
                <w:color w:val="000000"/>
              </w:rPr>
              <w:t>0.039301374</w:t>
            </w:r>
          </w:p>
        </w:tc>
        <w:tc>
          <w:tcPr>
            <w:tcW w:w="1530" w:type="dxa"/>
            <w:tcBorders>
              <w:top w:val="nil"/>
              <w:left w:val="nil"/>
              <w:bottom w:val="nil"/>
              <w:right w:val="single" w:sz="4" w:space="0" w:color="auto"/>
            </w:tcBorders>
            <w:shd w:val="clear" w:color="auto" w:fill="auto"/>
            <w:noWrap/>
            <w:vAlign w:val="bottom"/>
            <w:hideMark/>
          </w:tcPr>
          <w:p w14:paraId="2CE1EF0E" w14:textId="77777777" w:rsidR="00426116" w:rsidRPr="00BA2A47" w:rsidRDefault="00426116" w:rsidP="00426116">
            <w:pPr>
              <w:jc w:val="right"/>
              <w:rPr>
                <w:color w:val="000000"/>
              </w:rPr>
            </w:pPr>
            <w:r w:rsidRPr="00BA2A47">
              <w:rPr>
                <w:color w:val="000000"/>
              </w:rPr>
              <w:t>0.040613268</w:t>
            </w:r>
          </w:p>
        </w:tc>
        <w:tc>
          <w:tcPr>
            <w:tcW w:w="1530" w:type="dxa"/>
            <w:tcBorders>
              <w:top w:val="nil"/>
              <w:left w:val="nil"/>
              <w:bottom w:val="nil"/>
              <w:right w:val="single" w:sz="4" w:space="0" w:color="auto"/>
            </w:tcBorders>
            <w:shd w:val="clear" w:color="auto" w:fill="auto"/>
            <w:noWrap/>
            <w:vAlign w:val="bottom"/>
            <w:hideMark/>
          </w:tcPr>
          <w:p w14:paraId="729CB6B6" w14:textId="77777777" w:rsidR="00426116" w:rsidRPr="00BA2A47" w:rsidRDefault="00426116" w:rsidP="00426116">
            <w:pPr>
              <w:jc w:val="right"/>
              <w:rPr>
                <w:color w:val="000000"/>
              </w:rPr>
            </w:pPr>
            <w:r w:rsidRPr="00BA2A47">
              <w:rPr>
                <w:color w:val="000000"/>
              </w:rPr>
              <w:t>0.034658698</w:t>
            </w:r>
          </w:p>
        </w:tc>
      </w:tr>
      <w:tr w:rsidR="00590587" w:rsidRPr="00426116" w14:paraId="4C40EF97" w14:textId="77777777" w:rsidTr="00590587">
        <w:trPr>
          <w:trHeight w:val="300"/>
          <w:jc w:val="center"/>
        </w:trPr>
        <w:tc>
          <w:tcPr>
            <w:tcW w:w="2430" w:type="dxa"/>
            <w:tcBorders>
              <w:top w:val="nil"/>
              <w:left w:val="single" w:sz="4" w:space="0" w:color="auto"/>
              <w:bottom w:val="nil"/>
              <w:right w:val="single" w:sz="4" w:space="0" w:color="auto"/>
            </w:tcBorders>
            <w:shd w:val="clear" w:color="auto" w:fill="auto"/>
            <w:noWrap/>
            <w:vAlign w:val="bottom"/>
            <w:hideMark/>
          </w:tcPr>
          <w:p w14:paraId="6C08F539" w14:textId="77777777" w:rsidR="00426116" w:rsidRPr="00BA2A47" w:rsidRDefault="00426116" w:rsidP="00426116">
            <w:pPr>
              <w:rPr>
                <w:color w:val="000000"/>
              </w:rPr>
            </w:pPr>
            <w:r w:rsidRPr="00BA2A47">
              <w:rPr>
                <w:color w:val="000000"/>
              </w:rPr>
              <w:t>EBMUD</w:t>
            </w:r>
          </w:p>
        </w:tc>
        <w:tc>
          <w:tcPr>
            <w:tcW w:w="1620" w:type="dxa"/>
            <w:tcBorders>
              <w:top w:val="nil"/>
              <w:left w:val="nil"/>
              <w:bottom w:val="nil"/>
              <w:right w:val="single" w:sz="4" w:space="0" w:color="auto"/>
            </w:tcBorders>
            <w:shd w:val="clear" w:color="auto" w:fill="auto"/>
            <w:noWrap/>
            <w:vAlign w:val="bottom"/>
            <w:hideMark/>
          </w:tcPr>
          <w:p w14:paraId="2EB487F1" w14:textId="77777777" w:rsidR="00426116" w:rsidRPr="00BA2A47" w:rsidRDefault="00426116" w:rsidP="00426116">
            <w:pPr>
              <w:jc w:val="right"/>
              <w:rPr>
                <w:color w:val="000000"/>
              </w:rPr>
            </w:pPr>
            <w:r w:rsidRPr="00BA2A47">
              <w:rPr>
                <w:color w:val="000000"/>
              </w:rPr>
              <w:t>0.015332442</w:t>
            </w:r>
          </w:p>
        </w:tc>
        <w:tc>
          <w:tcPr>
            <w:tcW w:w="1530" w:type="dxa"/>
            <w:tcBorders>
              <w:top w:val="nil"/>
              <w:left w:val="nil"/>
              <w:bottom w:val="nil"/>
              <w:right w:val="single" w:sz="4" w:space="0" w:color="auto"/>
            </w:tcBorders>
            <w:shd w:val="clear" w:color="auto" w:fill="auto"/>
            <w:noWrap/>
            <w:vAlign w:val="bottom"/>
            <w:hideMark/>
          </w:tcPr>
          <w:p w14:paraId="5ECFEDB5" w14:textId="77777777" w:rsidR="00426116" w:rsidRPr="00BA2A47" w:rsidRDefault="00426116" w:rsidP="00426116">
            <w:pPr>
              <w:jc w:val="right"/>
              <w:rPr>
                <w:color w:val="000000"/>
              </w:rPr>
            </w:pPr>
            <w:r w:rsidRPr="00BA2A47">
              <w:rPr>
                <w:color w:val="000000"/>
              </w:rPr>
              <w:t>0.052093417</w:t>
            </w:r>
          </w:p>
        </w:tc>
        <w:tc>
          <w:tcPr>
            <w:tcW w:w="1530" w:type="dxa"/>
            <w:tcBorders>
              <w:top w:val="nil"/>
              <w:left w:val="nil"/>
              <w:bottom w:val="nil"/>
              <w:right w:val="single" w:sz="4" w:space="0" w:color="auto"/>
            </w:tcBorders>
            <w:shd w:val="clear" w:color="auto" w:fill="auto"/>
            <w:noWrap/>
            <w:vAlign w:val="bottom"/>
            <w:hideMark/>
          </w:tcPr>
          <w:p w14:paraId="69DF2BB1" w14:textId="77777777" w:rsidR="00426116" w:rsidRPr="00BA2A47" w:rsidRDefault="00426116" w:rsidP="00426116">
            <w:pPr>
              <w:jc w:val="right"/>
              <w:rPr>
                <w:color w:val="000000"/>
              </w:rPr>
            </w:pPr>
            <w:r w:rsidRPr="00BA2A47">
              <w:rPr>
                <w:color w:val="000000"/>
              </w:rPr>
              <w:t>0.038458924</w:t>
            </w:r>
          </w:p>
        </w:tc>
        <w:tc>
          <w:tcPr>
            <w:tcW w:w="1530" w:type="dxa"/>
            <w:tcBorders>
              <w:top w:val="nil"/>
              <w:left w:val="nil"/>
              <w:bottom w:val="nil"/>
              <w:right w:val="single" w:sz="4" w:space="0" w:color="auto"/>
            </w:tcBorders>
            <w:shd w:val="clear" w:color="auto" w:fill="auto"/>
            <w:noWrap/>
            <w:vAlign w:val="bottom"/>
            <w:hideMark/>
          </w:tcPr>
          <w:p w14:paraId="319C1791" w14:textId="77777777" w:rsidR="00426116" w:rsidRPr="00BA2A47" w:rsidRDefault="00426116" w:rsidP="00426116">
            <w:pPr>
              <w:jc w:val="right"/>
              <w:rPr>
                <w:color w:val="000000"/>
              </w:rPr>
            </w:pPr>
            <w:r w:rsidRPr="00BA2A47">
              <w:rPr>
                <w:color w:val="000000"/>
              </w:rPr>
              <w:t>0.016606272</w:t>
            </w:r>
          </w:p>
        </w:tc>
      </w:tr>
      <w:tr w:rsidR="00590587" w:rsidRPr="00426116" w14:paraId="02070CB3" w14:textId="77777777" w:rsidTr="00590587">
        <w:trPr>
          <w:trHeight w:val="300"/>
          <w:jc w:val="center"/>
        </w:trPr>
        <w:tc>
          <w:tcPr>
            <w:tcW w:w="2430" w:type="dxa"/>
            <w:tcBorders>
              <w:top w:val="nil"/>
              <w:left w:val="single" w:sz="4" w:space="0" w:color="auto"/>
              <w:bottom w:val="nil"/>
              <w:right w:val="single" w:sz="4" w:space="0" w:color="auto"/>
            </w:tcBorders>
            <w:shd w:val="clear" w:color="auto" w:fill="auto"/>
            <w:noWrap/>
            <w:vAlign w:val="bottom"/>
            <w:hideMark/>
          </w:tcPr>
          <w:p w14:paraId="72344C7E" w14:textId="77777777" w:rsidR="00426116" w:rsidRPr="00BA2A47" w:rsidRDefault="00426116" w:rsidP="00426116">
            <w:pPr>
              <w:rPr>
                <w:color w:val="000000"/>
              </w:rPr>
            </w:pPr>
            <w:r w:rsidRPr="00BA2A47">
              <w:rPr>
                <w:color w:val="000000"/>
              </w:rPr>
              <w:t>EBMUD</w:t>
            </w:r>
          </w:p>
        </w:tc>
        <w:tc>
          <w:tcPr>
            <w:tcW w:w="1620" w:type="dxa"/>
            <w:tcBorders>
              <w:top w:val="nil"/>
              <w:left w:val="nil"/>
              <w:bottom w:val="nil"/>
              <w:right w:val="single" w:sz="4" w:space="0" w:color="auto"/>
            </w:tcBorders>
            <w:shd w:val="clear" w:color="auto" w:fill="auto"/>
            <w:noWrap/>
            <w:vAlign w:val="bottom"/>
            <w:hideMark/>
          </w:tcPr>
          <w:p w14:paraId="5B677967" w14:textId="77777777" w:rsidR="00426116" w:rsidRPr="00BA2A47" w:rsidRDefault="00426116" w:rsidP="00426116">
            <w:pPr>
              <w:jc w:val="right"/>
              <w:rPr>
                <w:color w:val="000000"/>
              </w:rPr>
            </w:pPr>
            <w:r w:rsidRPr="00BA2A47">
              <w:rPr>
                <w:color w:val="000000"/>
              </w:rPr>
              <w:t>0.024145186</w:t>
            </w:r>
          </w:p>
        </w:tc>
        <w:tc>
          <w:tcPr>
            <w:tcW w:w="1530" w:type="dxa"/>
            <w:tcBorders>
              <w:top w:val="nil"/>
              <w:left w:val="nil"/>
              <w:bottom w:val="nil"/>
              <w:right w:val="single" w:sz="4" w:space="0" w:color="auto"/>
            </w:tcBorders>
            <w:shd w:val="clear" w:color="auto" w:fill="auto"/>
            <w:noWrap/>
            <w:vAlign w:val="bottom"/>
            <w:hideMark/>
          </w:tcPr>
          <w:p w14:paraId="2BA95988" w14:textId="77777777" w:rsidR="00426116" w:rsidRPr="00BA2A47" w:rsidRDefault="00426116" w:rsidP="00426116">
            <w:pPr>
              <w:jc w:val="right"/>
              <w:rPr>
                <w:color w:val="000000"/>
              </w:rPr>
            </w:pPr>
            <w:r w:rsidRPr="00BA2A47">
              <w:rPr>
                <w:color w:val="000000"/>
              </w:rPr>
              <w:t>0.024682848</w:t>
            </w:r>
          </w:p>
        </w:tc>
        <w:tc>
          <w:tcPr>
            <w:tcW w:w="1530" w:type="dxa"/>
            <w:tcBorders>
              <w:top w:val="nil"/>
              <w:left w:val="nil"/>
              <w:bottom w:val="nil"/>
              <w:right w:val="single" w:sz="4" w:space="0" w:color="auto"/>
            </w:tcBorders>
            <w:shd w:val="clear" w:color="auto" w:fill="auto"/>
            <w:noWrap/>
            <w:vAlign w:val="bottom"/>
            <w:hideMark/>
          </w:tcPr>
          <w:p w14:paraId="1ADC8C94" w14:textId="77777777" w:rsidR="00426116" w:rsidRPr="00BA2A47" w:rsidRDefault="00426116" w:rsidP="00426116">
            <w:pPr>
              <w:jc w:val="right"/>
              <w:rPr>
                <w:color w:val="000000"/>
              </w:rPr>
            </w:pPr>
            <w:r w:rsidRPr="00BA2A47">
              <w:rPr>
                <w:color w:val="000000"/>
              </w:rPr>
              <w:t>0.027393817</w:t>
            </w:r>
          </w:p>
        </w:tc>
        <w:tc>
          <w:tcPr>
            <w:tcW w:w="1530" w:type="dxa"/>
            <w:tcBorders>
              <w:top w:val="nil"/>
              <w:left w:val="nil"/>
              <w:bottom w:val="nil"/>
              <w:right w:val="single" w:sz="4" w:space="0" w:color="auto"/>
            </w:tcBorders>
            <w:shd w:val="clear" w:color="auto" w:fill="auto"/>
            <w:noWrap/>
            <w:vAlign w:val="bottom"/>
            <w:hideMark/>
          </w:tcPr>
          <w:p w14:paraId="1A09B8E6" w14:textId="77777777" w:rsidR="00426116" w:rsidRPr="00BA2A47" w:rsidRDefault="00426116" w:rsidP="00426116">
            <w:pPr>
              <w:jc w:val="right"/>
              <w:rPr>
                <w:color w:val="000000"/>
              </w:rPr>
            </w:pPr>
            <w:r w:rsidRPr="00BA2A47">
              <w:rPr>
                <w:color w:val="000000"/>
              </w:rPr>
              <w:t>0.030472948</w:t>
            </w:r>
          </w:p>
        </w:tc>
      </w:tr>
      <w:tr w:rsidR="00590587" w:rsidRPr="00426116" w14:paraId="7E19D633" w14:textId="77777777" w:rsidTr="00590587">
        <w:trPr>
          <w:trHeight w:val="30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14:paraId="637EEAE5" w14:textId="77777777" w:rsidR="00426116" w:rsidRPr="00BA2A47" w:rsidRDefault="00426116" w:rsidP="00426116">
            <w:pPr>
              <w:rPr>
                <w:color w:val="000000"/>
              </w:rPr>
            </w:pPr>
            <w:r w:rsidRPr="00BA2A47">
              <w:rPr>
                <w:color w:val="000000"/>
              </w:rPr>
              <w:t>EBMUD</w:t>
            </w:r>
          </w:p>
        </w:tc>
        <w:tc>
          <w:tcPr>
            <w:tcW w:w="1620" w:type="dxa"/>
            <w:tcBorders>
              <w:top w:val="nil"/>
              <w:left w:val="nil"/>
              <w:bottom w:val="single" w:sz="4" w:space="0" w:color="auto"/>
              <w:right w:val="single" w:sz="4" w:space="0" w:color="auto"/>
            </w:tcBorders>
            <w:shd w:val="clear" w:color="auto" w:fill="auto"/>
            <w:noWrap/>
            <w:vAlign w:val="bottom"/>
            <w:hideMark/>
          </w:tcPr>
          <w:p w14:paraId="1706320E" w14:textId="77777777" w:rsidR="00426116" w:rsidRPr="00BA2A47" w:rsidRDefault="00426116" w:rsidP="00426116">
            <w:pPr>
              <w:jc w:val="right"/>
              <w:rPr>
                <w:color w:val="000000"/>
              </w:rPr>
            </w:pPr>
            <w:r w:rsidRPr="00BA2A47">
              <w:rPr>
                <w:color w:val="000000"/>
              </w:rPr>
              <w:t>0.029025869</w:t>
            </w:r>
          </w:p>
        </w:tc>
        <w:tc>
          <w:tcPr>
            <w:tcW w:w="1530" w:type="dxa"/>
            <w:tcBorders>
              <w:top w:val="nil"/>
              <w:left w:val="nil"/>
              <w:bottom w:val="single" w:sz="4" w:space="0" w:color="auto"/>
              <w:right w:val="single" w:sz="4" w:space="0" w:color="auto"/>
            </w:tcBorders>
            <w:shd w:val="clear" w:color="auto" w:fill="auto"/>
            <w:noWrap/>
            <w:vAlign w:val="bottom"/>
            <w:hideMark/>
          </w:tcPr>
          <w:p w14:paraId="63BB0BEA" w14:textId="77777777" w:rsidR="00426116" w:rsidRPr="00BA2A47" w:rsidRDefault="00426116" w:rsidP="00426116">
            <w:pPr>
              <w:jc w:val="right"/>
              <w:rPr>
                <w:color w:val="000000"/>
              </w:rPr>
            </w:pPr>
            <w:r w:rsidRPr="00BA2A47">
              <w:rPr>
                <w:color w:val="000000"/>
              </w:rPr>
              <w:t>0.065442361</w:t>
            </w:r>
          </w:p>
        </w:tc>
        <w:tc>
          <w:tcPr>
            <w:tcW w:w="1530" w:type="dxa"/>
            <w:tcBorders>
              <w:top w:val="nil"/>
              <w:left w:val="nil"/>
              <w:bottom w:val="single" w:sz="4" w:space="0" w:color="auto"/>
              <w:right w:val="single" w:sz="4" w:space="0" w:color="auto"/>
            </w:tcBorders>
            <w:shd w:val="clear" w:color="auto" w:fill="auto"/>
            <w:noWrap/>
            <w:vAlign w:val="bottom"/>
            <w:hideMark/>
          </w:tcPr>
          <w:p w14:paraId="19C4FF21" w14:textId="77777777" w:rsidR="00426116" w:rsidRPr="00BA2A47" w:rsidRDefault="00426116" w:rsidP="00426116">
            <w:pPr>
              <w:jc w:val="right"/>
              <w:rPr>
                <w:color w:val="000000"/>
              </w:rPr>
            </w:pPr>
            <w:r w:rsidRPr="00BA2A47">
              <w:rPr>
                <w:color w:val="000000"/>
              </w:rPr>
              <w:t>0.04044419</w:t>
            </w:r>
          </w:p>
        </w:tc>
        <w:tc>
          <w:tcPr>
            <w:tcW w:w="1530" w:type="dxa"/>
            <w:tcBorders>
              <w:top w:val="nil"/>
              <w:left w:val="nil"/>
              <w:bottom w:val="single" w:sz="4" w:space="0" w:color="auto"/>
              <w:right w:val="single" w:sz="4" w:space="0" w:color="auto"/>
            </w:tcBorders>
            <w:shd w:val="clear" w:color="auto" w:fill="auto"/>
            <w:noWrap/>
            <w:vAlign w:val="bottom"/>
            <w:hideMark/>
          </w:tcPr>
          <w:p w14:paraId="357C56C7" w14:textId="77777777" w:rsidR="00426116" w:rsidRPr="00BA2A47" w:rsidRDefault="00426116" w:rsidP="00426116">
            <w:pPr>
              <w:jc w:val="right"/>
              <w:rPr>
                <w:color w:val="000000"/>
              </w:rPr>
            </w:pPr>
            <w:r w:rsidRPr="00BA2A47">
              <w:rPr>
                <w:color w:val="000000"/>
              </w:rPr>
              <w:t>0.031946445</w:t>
            </w:r>
          </w:p>
        </w:tc>
      </w:tr>
      <w:tr w:rsidR="00590587" w:rsidRPr="00426116" w14:paraId="62B0DC7A" w14:textId="77777777" w:rsidTr="00590587">
        <w:trPr>
          <w:trHeight w:val="300"/>
          <w:jc w:val="center"/>
        </w:trPr>
        <w:tc>
          <w:tcPr>
            <w:tcW w:w="2430" w:type="dxa"/>
            <w:tcBorders>
              <w:top w:val="nil"/>
              <w:left w:val="single" w:sz="4" w:space="0" w:color="auto"/>
              <w:bottom w:val="nil"/>
              <w:right w:val="single" w:sz="4" w:space="0" w:color="auto"/>
            </w:tcBorders>
            <w:shd w:val="clear" w:color="auto" w:fill="auto"/>
            <w:noWrap/>
            <w:vAlign w:val="bottom"/>
            <w:hideMark/>
          </w:tcPr>
          <w:p w14:paraId="403B4E6D" w14:textId="77777777" w:rsidR="00426116" w:rsidRPr="00BA2A47" w:rsidRDefault="00426116" w:rsidP="00426116">
            <w:pPr>
              <w:rPr>
                <w:color w:val="000000"/>
              </w:rPr>
            </w:pPr>
            <w:r w:rsidRPr="00BA2A47">
              <w:rPr>
                <w:color w:val="000000"/>
              </w:rPr>
              <w:t>Las Gallinas</w:t>
            </w:r>
          </w:p>
        </w:tc>
        <w:tc>
          <w:tcPr>
            <w:tcW w:w="1620" w:type="dxa"/>
            <w:tcBorders>
              <w:top w:val="nil"/>
              <w:left w:val="nil"/>
              <w:bottom w:val="nil"/>
              <w:right w:val="single" w:sz="4" w:space="0" w:color="auto"/>
            </w:tcBorders>
            <w:shd w:val="clear" w:color="auto" w:fill="auto"/>
            <w:noWrap/>
            <w:vAlign w:val="bottom"/>
            <w:hideMark/>
          </w:tcPr>
          <w:p w14:paraId="3E3C74A7" w14:textId="77777777" w:rsidR="00426116" w:rsidRPr="00BA2A47" w:rsidRDefault="00426116" w:rsidP="00426116">
            <w:pPr>
              <w:jc w:val="right"/>
              <w:rPr>
                <w:color w:val="000000"/>
              </w:rPr>
            </w:pPr>
            <w:r w:rsidRPr="00BA2A47">
              <w:rPr>
                <w:color w:val="000000"/>
              </w:rPr>
              <w:t>0.003546046</w:t>
            </w:r>
          </w:p>
        </w:tc>
        <w:tc>
          <w:tcPr>
            <w:tcW w:w="1530" w:type="dxa"/>
            <w:tcBorders>
              <w:top w:val="nil"/>
              <w:left w:val="nil"/>
              <w:bottom w:val="nil"/>
              <w:right w:val="single" w:sz="4" w:space="0" w:color="auto"/>
            </w:tcBorders>
            <w:shd w:val="clear" w:color="auto" w:fill="auto"/>
            <w:noWrap/>
            <w:vAlign w:val="bottom"/>
            <w:hideMark/>
          </w:tcPr>
          <w:p w14:paraId="30540854" w14:textId="77777777" w:rsidR="00426116" w:rsidRPr="00BA2A47" w:rsidRDefault="00426116" w:rsidP="00426116">
            <w:pPr>
              <w:jc w:val="right"/>
              <w:rPr>
                <w:color w:val="000000"/>
              </w:rPr>
            </w:pPr>
            <w:r w:rsidRPr="00BA2A47">
              <w:rPr>
                <w:color w:val="000000"/>
              </w:rPr>
              <w:t>0.003804885</w:t>
            </w:r>
          </w:p>
        </w:tc>
        <w:tc>
          <w:tcPr>
            <w:tcW w:w="1530" w:type="dxa"/>
            <w:tcBorders>
              <w:top w:val="nil"/>
              <w:left w:val="nil"/>
              <w:bottom w:val="nil"/>
              <w:right w:val="single" w:sz="4" w:space="0" w:color="auto"/>
            </w:tcBorders>
            <w:shd w:val="clear" w:color="auto" w:fill="auto"/>
            <w:noWrap/>
            <w:vAlign w:val="bottom"/>
            <w:hideMark/>
          </w:tcPr>
          <w:p w14:paraId="22D05A4E" w14:textId="77777777" w:rsidR="00426116" w:rsidRPr="00BA2A47" w:rsidRDefault="00426116" w:rsidP="00426116">
            <w:pPr>
              <w:jc w:val="right"/>
              <w:rPr>
                <w:color w:val="000000"/>
              </w:rPr>
            </w:pPr>
            <w:r w:rsidRPr="00BA2A47">
              <w:rPr>
                <w:color w:val="000000"/>
              </w:rPr>
              <w:t>0.003110253</w:t>
            </w:r>
          </w:p>
        </w:tc>
        <w:tc>
          <w:tcPr>
            <w:tcW w:w="1530" w:type="dxa"/>
            <w:tcBorders>
              <w:top w:val="nil"/>
              <w:left w:val="nil"/>
              <w:bottom w:val="nil"/>
              <w:right w:val="single" w:sz="4" w:space="0" w:color="auto"/>
            </w:tcBorders>
            <w:shd w:val="clear" w:color="auto" w:fill="auto"/>
            <w:noWrap/>
            <w:vAlign w:val="bottom"/>
            <w:hideMark/>
          </w:tcPr>
          <w:p w14:paraId="2E25295F" w14:textId="77777777" w:rsidR="00426116" w:rsidRPr="00BA2A47" w:rsidRDefault="00426116" w:rsidP="00426116">
            <w:pPr>
              <w:jc w:val="right"/>
              <w:rPr>
                <w:color w:val="000000"/>
              </w:rPr>
            </w:pPr>
            <w:r w:rsidRPr="00BA2A47">
              <w:rPr>
                <w:color w:val="000000"/>
              </w:rPr>
              <w:t>0.004953674</w:t>
            </w:r>
          </w:p>
        </w:tc>
      </w:tr>
      <w:tr w:rsidR="00590587" w:rsidRPr="00426116" w14:paraId="53B17466" w14:textId="77777777" w:rsidTr="00590587">
        <w:trPr>
          <w:trHeight w:val="30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14:paraId="360732A6" w14:textId="77777777" w:rsidR="00426116" w:rsidRPr="00BA2A47" w:rsidRDefault="00426116" w:rsidP="00426116">
            <w:pPr>
              <w:rPr>
                <w:color w:val="000000"/>
              </w:rPr>
            </w:pPr>
            <w:r w:rsidRPr="00BA2A47">
              <w:rPr>
                <w:color w:val="000000"/>
              </w:rPr>
              <w:t>Las Gallinas</w:t>
            </w:r>
          </w:p>
        </w:tc>
        <w:tc>
          <w:tcPr>
            <w:tcW w:w="1620" w:type="dxa"/>
            <w:tcBorders>
              <w:top w:val="nil"/>
              <w:left w:val="nil"/>
              <w:bottom w:val="single" w:sz="4" w:space="0" w:color="auto"/>
              <w:right w:val="single" w:sz="4" w:space="0" w:color="auto"/>
            </w:tcBorders>
            <w:shd w:val="clear" w:color="auto" w:fill="auto"/>
            <w:noWrap/>
            <w:vAlign w:val="bottom"/>
            <w:hideMark/>
          </w:tcPr>
          <w:p w14:paraId="4D2EED96" w14:textId="77777777" w:rsidR="00426116" w:rsidRPr="00BA2A47" w:rsidRDefault="00426116" w:rsidP="00590587">
            <w:pPr>
              <w:jc w:val="center"/>
              <w:rPr>
                <w:color w:val="000000"/>
              </w:rPr>
            </w:pPr>
            <w:r w:rsidRPr="00BA2A47">
              <w:rPr>
                <w:color w:val="000000"/>
              </w:rPr>
              <w:t>-</w:t>
            </w:r>
          </w:p>
        </w:tc>
        <w:tc>
          <w:tcPr>
            <w:tcW w:w="1530" w:type="dxa"/>
            <w:tcBorders>
              <w:top w:val="nil"/>
              <w:left w:val="nil"/>
              <w:bottom w:val="single" w:sz="4" w:space="0" w:color="auto"/>
              <w:right w:val="single" w:sz="4" w:space="0" w:color="auto"/>
            </w:tcBorders>
            <w:shd w:val="clear" w:color="auto" w:fill="auto"/>
            <w:noWrap/>
            <w:vAlign w:val="bottom"/>
            <w:hideMark/>
          </w:tcPr>
          <w:p w14:paraId="1C5D60D2" w14:textId="77777777" w:rsidR="00426116" w:rsidRPr="00BA2A47" w:rsidRDefault="00426116" w:rsidP="00426116">
            <w:pPr>
              <w:jc w:val="right"/>
              <w:rPr>
                <w:color w:val="000000"/>
              </w:rPr>
            </w:pPr>
            <w:r w:rsidRPr="00BA2A47">
              <w:rPr>
                <w:color w:val="000000"/>
              </w:rPr>
              <w:t>0.003239256</w:t>
            </w:r>
          </w:p>
        </w:tc>
        <w:tc>
          <w:tcPr>
            <w:tcW w:w="1530" w:type="dxa"/>
            <w:tcBorders>
              <w:top w:val="nil"/>
              <w:left w:val="nil"/>
              <w:bottom w:val="single" w:sz="4" w:space="0" w:color="auto"/>
              <w:right w:val="single" w:sz="4" w:space="0" w:color="auto"/>
            </w:tcBorders>
            <w:shd w:val="clear" w:color="auto" w:fill="auto"/>
            <w:noWrap/>
            <w:vAlign w:val="bottom"/>
            <w:hideMark/>
          </w:tcPr>
          <w:p w14:paraId="45581D26" w14:textId="77777777" w:rsidR="00426116" w:rsidRPr="00BA2A47" w:rsidRDefault="00426116" w:rsidP="00426116">
            <w:pPr>
              <w:jc w:val="right"/>
              <w:rPr>
                <w:color w:val="000000"/>
              </w:rPr>
            </w:pPr>
            <w:r w:rsidRPr="00BA2A47">
              <w:rPr>
                <w:color w:val="000000"/>
              </w:rPr>
              <w:t>0.001178193</w:t>
            </w:r>
          </w:p>
        </w:tc>
        <w:tc>
          <w:tcPr>
            <w:tcW w:w="1530" w:type="dxa"/>
            <w:tcBorders>
              <w:top w:val="nil"/>
              <w:left w:val="nil"/>
              <w:bottom w:val="single" w:sz="4" w:space="0" w:color="auto"/>
              <w:right w:val="single" w:sz="4" w:space="0" w:color="auto"/>
            </w:tcBorders>
            <w:shd w:val="clear" w:color="auto" w:fill="auto"/>
            <w:noWrap/>
            <w:vAlign w:val="bottom"/>
            <w:hideMark/>
          </w:tcPr>
          <w:p w14:paraId="606311DF" w14:textId="77777777" w:rsidR="00426116" w:rsidRPr="00BA2A47" w:rsidRDefault="00426116" w:rsidP="00426116">
            <w:pPr>
              <w:jc w:val="right"/>
              <w:rPr>
                <w:color w:val="000000"/>
              </w:rPr>
            </w:pPr>
            <w:r w:rsidRPr="00BA2A47">
              <w:rPr>
                <w:color w:val="000000"/>
              </w:rPr>
              <w:t>0.002048252</w:t>
            </w:r>
          </w:p>
        </w:tc>
      </w:tr>
      <w:tr w:rsidR="00590587" w:rsidRPr="00426116" w14:paraId="3BABCBC9" w14:textId="77777777" w:rsidTr="00590587">
        <w:trPr>
          <w:trHeight w:val="300"/>
          <w:jc w:val="center"/>
        </w:trPr>
        <w:tc>
          <w:tcPr>
            <w:tcW w:w="2430" w:type="dxa"/>
            <w:tcBorders>
              <w:top w:val="nil"/>
              <w:left w:val="single" w:sz="4" w:space="0" w:color="auto"/>
              <w:bottom w:val="nil"/>
              <w:right w:val="single" w:sz="4" w:space="0" w:color="auto"/>
            </w:tcBorders>
            <w:shd w:val="clear" w:color="auto" w:fill="auto"/>
            <w:noWrap/>
            <w:vAlign w:val="bottom"/>
            <w:hideMark/>
          </w:tcPr>
          <w:p w14:paraId="59CB4578" w14:textId="77777777" w:rsidR="00426116" w:rsidRPr="00BA2A47" w:rsidRDefault="00426116" w:rsidP="00426116">
            <w:pPr>
              <w:rPr>
                <w:color w:val="000000"/>
              </w:rPr>
            </w:pPr>
            <w:r w:rsidRPr="00BA2A47">
              <w:rPr>
                <w:color w:val="000000"/>
              </w:rPr>
              <w:t>Millbrae</w:t>
            </w:r>
          </w:p>
        </w:tc>
        <w:tc>
          <w:tcPr>
            <w:tcW w:w="1620" w:type="dxa"/>
            <w:tcBorders>
              <w:top w:val="nil"/>
              <w:left w:val="nil"/>
              <w:bottom w:val="nil"/>
              <w:right w:val="single" w:sz="4" w:space="0" w:color="auto"/>
            </w:tcBorders>
            <w:shd w:val="clear" w:color="auto" w:fill="auto"/>
            <w:noWrap/>
            <w:vAlign w:val="bottom"/>
            <w:hideMark/>
          </w:tcPr>
          <w:p w14:paraId="6634F352" w14:textId="77777777" w:rsidR="00426116" w:rsidRPr="00BA2A47" w:rsidRDefault="00426116" w:rsidP="00426116">
            <w:pPr>
              <w:jc w:val="right"/>
              <w:rPr>
                <w:color w:val="000000"/>
              </w:rPr>
            </w:pPr>
            <w:r w:rsidRPr="00BA2A47">
              <w:rPr>
                <w:color w:val="000000"/>
              </w:rPr>
              <w:t>0.001520444</w:t>
            </w:r>
          </w:p>
        </w:tc>
        <w:tc>
          <w:tcPr>
            <w:tcW w:w="1530" w:type="dxa"/>
            <w:tcBorders>
              <w:top w:val="nil"/>
              <w:left w:val="nil"/>
              <w:bottom w:val="nil"/>
              <w:right w:val="single" w:sz="4" w:space="0" w:color="auto"/>
            </w:tcBorders>
            <w:shd w:val="clear" w:color="auto" w:fill="auto"/>
            <w:noWrap/>
            <w:vAlign w:val="bottom"/>
            <w:hideMark/>
          </w:tcPr>
          <w:p w14:paraId="18676BC1" w14:textId="77777777" w:rsidR="00426116" w:rsidRPr="00BA2A47" w:rsidRDefault="00426116" w:rsidP="00426116">
            <w:pPr>
              <w:jc w:val="right"/>
              <w:rPr>
                <w:color w:val="000000"/>
              </w:rPr>
            </w:pPr>
            <w:r w:rsidRPr="00BA2A47">
              <w:rPr>
                <w:color w:val="000000"/>
              </w:rPr>
              <w:t>0.002647206</w:t>
            </w:r>
          </w:p>
        </w:tc>
        <w:tc>
          <w:tcPr>
            <w:tcW w:w="1530" w:type="dxa"/>
            <w:tcBorders>
              <w:top w:val="nil"/>
              <w:left w:val="nil"/>
              <w:bottom w:val="nil"/>
              <w:right w:val="single" w:sz="4" w:space="0" w:color="auto"/>
            </w:tcBorders>
            <w:shd w:val="clear" w:color="auto" w:fill="auto"/>
            <w:noWrap/>
            <w:vAlign w:val="bottom"/>
            <w:hideMark/>
          </w:tcPr>
          <w:p w14:paraId="529D9238" w14:textId="77777777" w:rsidR="00426116" w:rsidRPr="00BA2A47" w:rsidRDefault="00426116" w:rsidP="00426116">
            <w:pPr>
              <w:jc w:val="right"/>
              <w:rPr>
                <w:color w:val="000000"/>
              </w:rPr>
            </w:pPr>
            <w:r w:rsidRPr="00BA2A47">
              <w:rPr>
                <w:color w:val="000000"/>
              </w:rPr>
              <w:t>0.00154215</w:t>
            </w:r>
          </w:p>
        </w:tc>
        <w:tc>
          <w:tcPr>
            <w:tcW w:w="1530" w:type="dxa"/>
            <w:tcBorders>
              <w:top w:val="nil"/>
              <w:left w:val="nil"/>
              <w:bottom w:val="nil"/>
              <w:right w:val="single" w:sz="4" w:space="0" w:color="auto"/>
            </w:tcBorders>
            <w:shd w:val="clear" w:color="auto" w:fill="auto"/>
            <w:noWrap/>
            <w:vAlign w:val="bottom"/>
            <w:hideMark/>
          </w:tcPr>
          <w:p w14:paraId="01FF56A6" w14:textId="77777777" w:rsidR="00426116" w:rsidRPr="00BA2A47" w:rsidRDefault="00426116" w:rsidP="00426116">
            <w:pPr>
              <w:jc w:val="right"/>
              <w:rPr>
                <w:color w:val="000000"/>
              </w:rPr>
            </w:pPr>
            <w:r w:rsidRPr="00BA2A47">
              <w:rPr>
                <w:color w:val="000000"/>
              </w:rPr>
              <w:t>0.001174746</w:t>
            </w:r>
          </w:p>
        </w:tc>
      </w:tr>
      <w:tr w:rsidR="00590587" w:rsidRPr="00426116" w14:paraId="61A48877" w14:textId="77777777" w:rsidTr="00590587">
        <w:trPr>
          <w:trHeight w:val="30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14:paraId="48B5C1AD" w14:textId="77777777" w:rsidR="00426116" w:rsidRPr="00BA2A47" w:rsidRDefault="00426116" w:rsidP="00426116">
            <w:pPr>
              <w:rPr>
                <w:color w:val="000000"/>
              </w:rPr>
            </w:pPr>
            <w:r w:rsidRPr="00BA2A47">
              <w:rPr>
                <w:color w:val="000000"/>
              </w:rPr>
              <w:t>Millbrae</w:t>
            </w:r>
          </w:p>
        </w:tc>
        <w:tc>
          <w:tcPr>
            <w:tcW w:w="1620" w:type="dxa"/>
            <w:tcBorders>
              <w:top w:val="nil"/>
              <w:left w:val="nil"/>
              <w:bottom w:val="single" w:sz="4" w:space="0" w:color="auto"/>
              <w:right w:val="single" w:sz="4" w:space="0" w:color="auto"/>
            </w:tcBorders>
            <w:shd w:val="clear" w:color="auto" w:fill="auto"/>
            <w:noWrap/>
            <w:vAlign w:val="bottom"/>
            <w:hideMark/>
          </w:tcPr>
          <w:p w14:paraId="7FD3EAA7" w14:textId="77777777" w:rsidR="00426116" w:rsidRPr="00BA2A47" w:rsidRDefault="00426116" w:rsidP="00426116">
            <w:pPr>
              <w:jc w:val="right"/>
              <w:rPr>
                <w:color w:val="000000"/>
              </w:rPr>
            </w:pPr>
            <w:r w:rsidRPr="00BA2A47">
              <w:rPr>
                <w:color w:val="000000"/>
              </w:rPr>
              <w:t>0.00209798</w:t>
            </w:r>
          </w:p>
        </w:tc>
        <w:tc>
          <w:tcPr>
            <w:tcW w:w="1530" w:type="dxa"/>
            <w:tcBorders>
              <w:top w:val="nil"/>
              <w:left w:val="nil"/>
              <w:bottom w:val="single" w:sz="4" w:space="0" w:color="auto"/>
              <w:right w:val="single" w:sz="4" w:space="0" w:color="auto"/>
            </w:tcBorders>
            <w:shd w:val="clear" w:color="auto" w:fill="auto"/>
            <w:noWrap/>
            <w:vAlign w:val="bottom"/>
            <w:hideMark/>
          </w:tcPr>
          <w:p w14:paraId="7FDDFC94" w14:textId="77777777" w:rsidR="00426116" w:rsidRPr="00BA2A47" w:rsidRDefault="00426116" w:rsidP="00426116">
            <w:pPr>
              <w:jc w:val="right"/>
              <w:rPr>
                <w:color w:val="000000"/>
              </w:rPr>
            </w:pPr>
            <w:r w:rsidRPr="00BA2A47">
              <w:rPr>
                <w:color w:val="000000"/>
              </w:rPr>
              <w:t>0.000939631</w:t>
            </w:r>
          </w:p>
        </w:tc>
        <w:tc>
          <w:tcPr>
            <w:tcW w:w="1530" w:type="dxa"/>
            <w:tcBorders>
              <w:top w:val="nil"/>
              <w:left w:val="nil"/>
              <w:bottom w:val="single" w:sz="4" w:space="0" w:color="auto"/>
              <w:right w:val="single" w:sz="4" w:space="0" w:color="auto"/>
            </w:tcBorders>
            <w:shd w:val="clear" w:color="auto" w:fill="auto"/>
            <w:noWrap/>
            <w:vAlign w:val="bottom"/>
            <w:hideMark/>
          </w:tcPr>
          <w:p w14:paraId="022FB9F9" w14:textId="77777777" w:rsidR="00426116" w:rsidRPr="00BA2A47" w:rsidRDefault="00426116" w:rsidP="00426116">
            <w:pPr>
              <w:jc w:val="right"/>
              <w:rPr>
                <w:color w:val="000000"/>
              </w:rPr>
            </w:pPr>
            <w:r w:rsidRPr="00BA2A47">
              <w:rPr>
                <w:color w:val="000000"/>
              </w:rPr>
              <w:t>0.000980862</w:t>
            </w:r>
          </w:p>
        </w:tc>
        <w:tc>
          <w:tcPr>
            <w:tcW w:w="1530" w:type="dxa"/>
            <w:tcBorders>
              <w:top w:val="nil"/>
              <w:left w:val="nil"/>
              <w:bottom w:val="single" w:sz="4" w:space="0" w:color="auto"/>
              <w:right w:val="single" w:sz="4" w:space="0" w:color="auto"/>
            </w:tcBorders>
            <w:shd w:val="clear" w:color="auto" w:fill="auto"/>
            <w:noWrap/>
            <w:vAlign w:val="bottom"/>
            <w:hideMark/>
          </w:tcPr>
          <w:p w14:paraId="7BFE30D6" w14:textId="77777777" w:rsidR="00426116" w:rsidRPr="00BA2A47" w:rsidRDefault="00426116" w:rsidP="00426116">
            <w:pPr>
              <w:jc w:val="right"/>
              <w:rPr>
                <w:color w:val="000000"/>
              </w:rPr>
            </w:pPr>
            <w:r w:rsidRPr="00BA2A47">
              <w:rPr>
                <w:color w:val="000000"/>
              </w:rPr>
              <w:t>0.000539392</w:t>
            </w:r>
          </w:p>
        </w:tc>
      </w:tr>
      <w:tr w:rsidR="00590587" w:rsidRPr="00426116" w14:paraId="0E57849B" w14:textId="77777777" w:rsidTr="00590587">
        <w:trPr>
          <w:trHeight w:val="300"/>
          <w:jc w:val="center"/>
        </w:trPr>
        <w:tc>
          <w:tcPr>
            <w:tcW w:w="2430" w:type="dxa"/>
            <w:tcBorders>
              <w:top w:val="nil"/>
              <w:left w:val="single" w:sz="4" w:space="0" w:color="auto"/>
              <w:bottom w:val="nil"/>
              <w:right w:val="single" w:sz="4" w:space="0" w:color="auto"/>
            </w:tcBorders>
            <w:shd w:val="clear" w:color="auto" w:fill="auto"/>
            <w:noWrap/>
            <w:vAlign w:val="bottom"/>
            <w:hideMark/>
          </w:tcPr>
          <w:p w14:paraId="00141E6B" w14:textId="77777777" w:rsidR="00426116" w:rsidRPr="00BA2A47" w:rsidRDefault="00426116" w:rsidP="00426116">
            <w:pPr>
              <w:rPr>
                <w:color w:val="000000"/>
              </w:rPr>
            </w:pPr>
            <w:r w:rsidRPr="00BA2A47">
              <w:rPr>
                <w:color w:val="000000"/>
              </w:rPr>
              <w:t>Napa</w:t>
            </w:r>
          </w:p>
        </w:tc>
        <w:tc>
          <w:tcPr>
            <w:tcW w:w="1620" w:type="dxa"/>
            <w:tcBorders>
              <w:top w:val="nil"/>
              <w:left w:val="nil"/>
              <w:bottom w:val="nil"/>
              <w:right w:val="single" w:sz="4" w:space="0" w:color="auto"/>
            </w:tcBorders>
            <w:shd w:val="clear" w:color="auto" w:fill="auto"/>
            <w:noWrap/>
            <w:vAlign w:val="bottom"/>
            <w:hideMark/>
          </w:tcPr>
          <w:p w14:paraId="1EDF928A" w14:textId="77777777" w:rsidR="00426116" w:rsidRPr="00BA2A47" w:rsidRDefault="00426116" w:rsidP="00426116">
            <w:pPr>
              <w:jc w:val="right"/>
              <w:rPr>
                <w:color w:val="000000"/>
              </w:rPr>
            </w:pPr>
            <w:r w:rsidRPr="00BA2A47">
              <w:rPr>
                <w:color w:val="000000"/>
              </w:rPr>
              <w:t>0.000679109</w:t>
            </w:r>
          </w:p>
        </w:tc>
        <w:tc>
          <w:tcPr>
            <w:tcW w:w="1530" w:type="dxa"/>
            <w:tcBorders>
              <w:top w:val="nil"/>
              <w:left w:val="nil"/>
              <w:bottom w:val="nil"/>
              <w:right w:val="single" w:sz="4" w:space="0" w:color="auto"/>
            </w:tcBorders>
            <w:shd w:val="clear" w:color="auto" w:fill="auto"/>
            <w:noWrap/>
            <w:vAlign w:val="bottom"/>
            <w:hideMark/>
          </w:tcPr>
          <w:p w14:paraId="02057D4C" w14:textId="77777777" w:rsidR="00426116" w:rsidRPr="00BA2A47" w:rsidRDefault="00426116" w:rsidP="00426116">
            <w:pPr>
              <w:jc w:val="right"/>
              <w:rPr>
                <w:color w:val="000000"/>
              </w:rPr>
            </w:pPr>
            <w:r w:rsidRPr="00BA2A47">
              <w:rPr>
                <w:color w:val="000000"/>
              </w:rPr>
              <w:t>0.001060108</w:t>
            </w:r>
          </w:p>
        </w:tc>
        <w:tc>
          <w:tcPr>
            <w:tcW w:w="1530" w:type="dxa"/>
            <w:tcBorders>
              <w:top w:val="nil"/>
              <w:left w:val="nil"/>
              <w:bottom w:val="nil"/>
              <w:right w:val="single" w:sz="4" w:space="0" w:color="auto"/>
            </w:tcBorders>
            <w:shd w:val="clear" w:color="auto" w:fill="auto"/>
            <w:noWrap/>
            <w:vAlign w:val="bottom"/>
            <w:hideMark/>
          </w:tcPr>
          <w:p w14:paraId="27A48076" w14:textId="77777777" w:rsidR="00426116" w:rsidRPr="00BA2A47" w:rsidRDefault="00426116" w:rsidP="00426116">
            <w:pPr>
              <w:jc w:val="right"/>
              <w:rPr>
                <w:color w:val="000000"/>
              </w:rPr>
            </w:pPr>
            <w:r w:rsidRPr="00BA2A47">
              <w:rPr>
                <w:color w:val="000000"/>
              </w:rPr>
              <w:t>0.001661206</w:t>
            </w:r>
          </w:p>
        </w:tc>
        <w:tc>
          <w:tcPr>
            <w:tcW w:w="1530" w:type="dxa"/>
            <w:tcBorders>
              <w:top w:val="nil"/>
              <w:left w:val="nil"/>
              <w:bottom w:val="nil"/>
              <w:right w:val="single" w:sz="4" w:space="0" w:color="auto"/>
            </w:tcBorders>
            <w:shd w:val="clear" w:color="auto" w:fill="auto"/>
            <w:noWrap/>
            <w:vAlign w:val="bottom"/>
            <w:hideMark/>
          </w:tcPr>
          <w:p w14:paraId="6CE0FD04" w14:textId="77777777" w:rsidR="00426116" w:rsidRPr="00BA2A47" w:rsidRDefault="00426116" w:rsidP="00426116">
            <w:pPr>
              <w:jc w:val="right"/>
              <w:rPr>
                <w:color w:val="000000"/>
              </w:rPr>
            </w:pPr>
            <w:r w:rsidRPr="00BA2A47">
              <w:rPr>
                <w:color w:val="000000"/>
              </w:rPr>
              <w:t>0.000525912</w:t>
            </w:r>
          </w:p>
        </w:tc>
      </w:tr>
      <w:tr w:rsidR="00590587" w:rsidRPr="00426116" w14:paraId="36511193" w14:textId="77777777" w:rsidTr="00590587">
        <w:trPr>
          <w:trHeight w:val="300"/>
          <w:jc w:val="center"/>
        </w:trPr>
        <w:tc>
          <w:tcPr>
            <w:tcW w:w="2430" w:type="dxa"/>
            <w:tcBorders>
              <w:top w:val="nil"/>
              <w:left w:val="single" w:sz="4" w:space="0" w:color="auto"/>
              <w:bottom w:val="nil"/>
              <w:right w:val="single" w:sz="4" w:space="0" w:color="auto"/>
            </w:tcBorders>
            <w:shd w:val="clear" w:color="auto" w:fill="auto"/>
            <w:noWrap/>
            <w:vAlign w:val="bottom"/>
            <w:hideMark/>
          </w:tcPr>
          <w:p w14:paraId="4E86F56A" w14:textId="77777777" w:rsidR="00426116" w:rsidRPr="00BA2A47" w:rsidRDefault="00426116" w:rsidP="00426116">
            <w:pPr>
              <w:rPr>
                <w:color w:val="000000"/>
              </w:rPr>
            </w:pPr>
            <w:r w:rsidRPr="00BA2A47">
              <w:rPr>
                <w:color w:val="000000"/>
              </w:rPr>
              <w:t>Napa</w:t>
            </w:r>
          </w:p>
        </w:tc>
        <w:tc>
          <w:tcPr>
            <w:tcW w:w="1620" w:type="dxa"/>
            <w:tcBorders>
              <w:top w:val="nil"/>
              <w:left w:val="nil"/>
              <w:bottom w:val="nil"/>
              <w:right w:val="single" w:sz="4" w:space="0" w:color="auto"/>
            </w:tcBorders>
            <w:shd w:val="clear" w:color="auto" w:fill="auto"/>
            <w:noWrap/>
            <w:vAlign w:val="bottom"/>
            <w:hideMark/>
          </w:tcPr>
          <w:p w14:paraId="2A81CBCF" w14:textId="77777777" w:rsidR="00426116" w:rsidRPr="00BA2A47" w:rsidRDefault="00426116" w:rsidP="00426116">
            <w:pPr>
              <w:jc w:val="right"/>
              <w:rPr>
                <w:color w:val="000000"/>
              </w:rPr>
            </w:pPr>
            <w:r w:rsidRPr="00BA2A47">
              <w:rPr>
                <w:color w:val="000000"/>
              </w:rPr>
              <w:t>0</w:t>
            </w:r>
          </w:p>
        </w:tc>
        <w:tc>
          <w:tcPr>
            <w:tcW w:w="1530" w:type="dxa"/>
            <w:tcBorders>
              <w:top w:val="nil"/>
              <w:left w:val="nil"/>
              <w:bottom w:val="nil"/>
              <w:right w:val="single" w:sz="4" w:space="0" w:color="auto"/>
            </w:tcBorders>
            <w:shd w:val="clear" w:color="auto" w:fill="auto"/>
            <w:noWrap/>
            <w:vAlign w:val="bottom"/>
            <w:hideMark/>
          </w:tcPr>
          <w:p w14:paraId="5074980B" w14:textId="77777777" w:rsidR="00426116" w:rsidRPr="00BA2A47" w:rsidRDefault="00426116" w:rsidP="00426116">
            <w:pPr>
              <w:jc w:val="right"/>
              <w:rPr>
                <w:color w:val="000000"/>
              </w:rPr>
            </w:pPr>
            <w:r w:rsidRPr="00BA2A47">
              <w:rPr>
                <w:color w:val="000000"/>
              </w:rPr>
              <w:t>0.003697313</w:t>
            </w:r>
          </w:p>
        </w:tc>
        <w:tc>
          <w:tcPr>
            <w:tcW w:w="1530" w:type="dxa"/>
            <w:tcBorders>
              <w:top w:val="nil"/>
              <w:left w:val="nil"/>
              <w:bottom w:val="nil"/>
              <w:right w:val="single" w:sz="4" w:space="0" w:color="auto"/>
            </w:tcBorders>
            <w:shd w:val="clear" w:color="auto" w:fill="auto"/>
            <w:noWrap/>
            <w:vAlign w:val="bottom"/>
            <w:hideMark/>
          </w:tcPr>
          <w:p w14:paraId="23F9C1A7" w14:textId="77777777" w:rsidR="00426116" w:rsidRPr="00BA2A47" w:rsidRDefault="00426116" w:rsidP="00426116">
            <w:pPr>
              <w:jc w:val="right"/>
              <w:rPr>
                <w:color w:val="000000"/>
              </w:rPr>
            </w:pPr>
            <w:r w:rsidRPr="00BA2A47">
              <w:rPr>
                <w:color w:val="000000"/>
              </w:rPr>
              <w:t>0.001400147</w:t>
            </w:r>
          </w:p>
        </w:tc>
        <w:tc>
          <w:tcPr>
            <w:tcW w:w="1530" w:type="dxa"/>
            <w:tcBorders>
              <w:top w:val="nil"/>
              <w:left w:val="nil"/>
              <w:bottom w:val="nil"/>
              <w:right w:val="single" w:sz="4" w:space="0" w:color="auto"/>
            </w:tcBorders>
            <w:shd w:val="clear" w:color="auto" w:fill="auto"/>
            <w:noWrap/>
            <w:vAlign w:val="bottom"/>
            <w:hideMark/>
          </w:tcPr>
          <w:p w14:paraId="3F86ED79" w14:textId="77777777" w:rsidR="00426116" w:rsidRPr="00BA2A47" w:rsidRDefault="00426116" w:rsidP="00426116">
            <w:pPr>
              <w:jc w:val="right"/>
              <w:rPr>
                <w:color w:val="000000"/>
              </w:rPr>
            </w:pPr>
            <w:r w:rsidRPr="00BA2A47">
              <w:rPr>
                <w:color w:val="000000"/>
              </w:rPr>
              <w:t>4.04505E-05</w:t>
            </w:r>
          </w:p>
        </w:tc>
      </w:tr>
      <w:tr w:rsidR="00590587" w:rsidRPr="00426116" w14:paraId="0C238987" w14:textId="77777777" w:rsidTr="00590587">
        <w:trPr>
          <w:trHeight w:val="30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14:paraId="5F1C0D57" w14:textId="77777777" w:rsidR="00426116" w:rsidRPr="00BA2A47" w:rsidRDefault="00426116" w:rsidP="00426116">
            <w:pPr>
              <w:rPr>
                <w:color w:val="000000"/>
              </w:rPr>
            </w:pPr>
            <w:r w:rsidRPr="00BA2A47">
              <w:rPr>
                <w:color w:val="000000"/>
              </w:rPr>
              <w:t>Napa</w:t>
            </w:r>
          </w:p>
        </w:tc>
        <w:tc>
          <w:tcPr>
            <w:tcW w:w="1620" w:type="dxa"/>
            <w:tcBorders>
              <w:top w:val="nil"/>
              <w:left w:val="nil"/>
              <w:bottom w:val="single" w:sz="4" w:space="0" w:color="auto"/>
              <w:right w:val="single" w:sz="4" w:space="0" w:color="auto"/>
            </w:tcBorders>
            <w:shd w:val="clear" w:color="auto" w:fill="auto"/>
            <w:noWrap/>
            <w:vAlign w:val="bottom"/>
            <w:hideMark/>
          </w:tcPr>
          <w:p w14:paraId="5238B3BF" w14:textId="77777777" w:rsidR="00426116" w:rsidRPr="00BA2A47" w:rsidRDefault="00426116" w:rsidP="00426116">
            <w:pPr>
              <w:jc w:val="right"/>
              <w:rPr>
                <w:color w:val="000000"/>
              </w:rPr>
            </w:pPr>
            <w:r w:rsidRPr="00BA2A47">
              <w:rPr>
                <w:color w:val="000000"/>
              </w:rPr>
              <w:t>0.000542489</w:t>
            </w:r>
          </w:p>
        </w:tc>
        <w:tc>
          <w:tcPr>
            <w:tcW w:w="1530" w:type="dxa"/>
            <w:tcBorders>
              <w:top w:val="nil"/>
              <w:left w:val="nil"/>
              <w:bottom w:val="single" w:sz="4" w:space="0" w:color="auto"/>
              <w:right w:val="single" w:sz="4" w:space="0" w:color="auto"/>
            </w:tcBorders>
            <w:shd w:val="clear" w:color="auto" w:fill="auto"/>
            <w:noWrap/>
            <w:vAlign w:val="bottom"/>
            <w:hideMark/>
          </w:tcPr>
          <w:p w14:paraId="64548ADD" w14:textId="77777777" w:rsidR="00426116" w:rsidRPr="00BA2A47" w:rsidRDefault="00426116" w:rsidP="00426116">
            <w:pPr>
              <w:jc w:val="right"/>
              <w:rPr>
                <w:color w:val="000000"/>
              </w:rPr>
            </w:pPr>
            <w:r w:rsidRPr="00BA2A47">
              <w:rPr>
                <w:color w:val="000000"/>
              </w:rPr>
              <w:t>0.00187091</w:t>
            </w:r>
          </w:p>
        </w:tc>
        <w:tc>
          <w:tcPr>
            <w:tcW w:w="1530" w:type="dxa"/>
            <w:tcBorders>
              <w:top w:val="nil"/>
              <w:left w:val="nil"/>
              <w:bottom w:val="single" w:sz="4" w:space="0" w:color="auto"/>
              <w:right w:val="single" w:sz="4" w:space="0" w:color="auto"/>
            </w:tcBorders>
            <w:shd w:val="clear" w:color="auto" w:fill="auto"/>
            <w:noWrap/>
            <w:vAlign w:val="bottom"/>
            <w:hideMark/>
          </w:tcPr>
          <w:p w14:paraId="1A603061" w14:textId="77777777" w:rsidR="00426116" w:rsidRPr="00BA2A47" w:rsidRDefault="00426116" w:rsidP="00426116">
            <w:pPr>
              <w:jc w:val="right"/>
              <w:rPr>
                <w:color w:val="000000"/>
              </w:rPr>
            </w:pPr>
            <w:r w:rsidRPr="00BA2A47">
              <w:rPr>
                <w:color w:val="000000"/>
              </w:rPr>
              <w:t>0.001107936</w:t>
            </w:r>
          </w:p>
        </w:tc>
        <w:tc>
          <w:tcPr>
            <w:tcW w:w="1530" w:type="dxa"/>
            <w:tcBorders>
              <w:top w:val="nil"/>
              <w:left w:val="nil"/>
              <w:bottom w:val="single" w:sz="4" w:space="0" w:color="auto"/>
              <w:right w:val="single" w:sz="4" w:space="0" w:color="auto"/>
            </w:tcBorders>
            <w:shd w:val="clear" w:color="auto" w:fill="auto"/>
            <w:noWrap/>
            <w:vAlign w:val="bottom"/>
            <w:hideMark/>
          </w:tcPr>
          <w:p w14:paraId="772CC8E2" w14:textId="77777777" w:rsidR="00426116" w:rsidRPr="00BA2A47" w:rsidRDefault="00426116" w:rsidP="00426116">
            <w:pPr>
              <w:jc w:val="right"/>
              <w:rPr>
                <w:color w:val="000000"/>
              </w:rPr>
            </w:pPr>
            <w:r w:rsidRPr="00BA2A47">
              <w:rPr>
                <w:color w:val="000000"/>
              </w:rPr>
              <w:t>0.00040638</w:t>
            </w:r>
          </w:p>
        </w:tc>
      </w:tr>
      <w:tr w:rsidR="00590587" w:rsidRPr="00426116" w14:paraId="64395251" w14:textId="77777777" w:rsidTr="00590587">
        <w:trPr>
          <w:trHeight w:val="300"/>
          <w:jc w:val="center"/>
        </w:trPr>
        <w:tc>
          <w:tcPr>
            <w:tcW w:w="2430" w:type="dxa"/>
            <w:tcBorders>
              <w:top w:val="nil"/>
              <w:left w:val="single" w:sz="4" w:space="0" w:color="auto"/>
              <w:bottom w:val="nil"/>
              <w:right w:val="single" w:sz="4" w:space="0" w:color="auto"/>
            </w:tcBorders>
            <w:shd w:val="clear" w:color="auto" w:fill="auto"/>
            <w:noWrap/>
            <w:vAlign w:val="bottom"/>
            <w:hideMark/>
          </w:tcPr>
          <w:p w14:paraId="4A5FCA99" w14:textId="77777777" w:rsidR="00426116" w:rsidRPr="00BA2A47" w:rsidRDefault="00426116" w:rsidP="00426116">
            <w:pPr>
              <w:rPr>
                <w:color w:val="000000"/>
              </w:rPr>
            </w:pPr>
            <w:r w:rsidRPr="00BA2A47">
              <w:rPr>
                <w:color w:val="000000"/>
              </w:rPr>
              <w:t>Novato</w:t>
            </w:r>
          </w:p>
        </w:tc>
        <w:tc>
          <w:tcPr>
            <w:tcW w:w="1620" w:type="dxa"/>
            <w:tcBorders>
              <w:top w:val="nil"/>
              <w:left w:val="nil"/>
              <w:bottom w:val="nil"/>
              <w:right w:val="single" w:sz="4" w:space="0" w:color="auto"/>
            </w:tcBorders>
            <w:shd w:val="clear" w:color="auto" w:fill="auto"/>
            <w:noWrap/>
            <w:vAlign w:val="bottom"/>
            <w:hideMark/>
          </w:tcPr>
          <w:p w14:paraId="57EC1F28" w14:textId="77777777" w:rsidR="00426116" w:rsidRPr="00BA2A47" w:rsidRDefault="00426116" w:rsidP="00426116">
            <w:pPr>
              <w:jc w:val="right"/>
              <w:rPr>
                <w:color w:val="000000"/>
              </w:rPr>
            </w:pPr>
            <w:r w:rsidRPr="00BA2A47">
              <w:rPr>
                <w:color w:val="000000"/>
              </w:rPr>
              <w:t>0.00033085</w:t>
            </w:r>
          </w:p>
        </w:tc>
        <w:tc>
          <w:tcPr>
            <w:tcW w:w="1530" w:type="dxa"/>
            <w:tcBorders>
              <w:top w:val="nil"/>
              <w:left w:val="nil"/>
              <w:bottom w:val="nil"/>
              <w:right w:val="single" w:sz="4" w:space="0" w:color="auto"/>
            </w:tcBorders>
            <w:shd w:val="clear" w:color="auto" w:fill="auto"/>
            <w:noWrap/>
            <w:vAlign w:val="bottom"/>
            <w:hideMark/>
          </w:tcPr>
          <w:p w14:paraId="187417A0" w14:textId="77777777" w:rsidR="00426116" w:rsidRPr="00BA2A47" w:rsidRDefault="00426116" w:rsidP="00426116">
            <w:pPr>
              <w:jc w:val="right"/>
              <w:rPr>
                <w:color w:val="000000"/>
              </w:rPr>
            </w:pPr>
            <w:r w:rsidRPr="00BA2A47">
              <w:rPr>
                <w:color w:val="000000"/>
              </w:rPr>
              <w:t>0.003548261</w:t>
            </w:r>
          </w:p>
        </w:tc>
        <w:tc>
          <w:tcPr>
            <w:tcW w:w="1530" w:type="dxa"/>
            <w:tcBorders>
              <w:top w:val="nil"/>
              <w:left w:val="nil"/>
              <w:bottom w:val="nil"/>
              <w:right w:val="single" w:sz="4" w:space="0" w:color="auto"/>
            </w:tcBorders>
            <w:shd w:val="clear" w:color="auto" w:fill="auto"/>
            <w:noWrap/>
            <w:vAlign w:val="bottom"/>
            <w:hideMark/>
          </w:tcPr>
          <w:p w14:paraId="38BB23A7" w14:textId="77777777" w:rsidR="00426116" w:rsidRPr="00BA2A47" w:rsidRDefault="00426116" w:rsidP="00426116">
            <w:pPr>
              <w:jc w:val="right"/>
              <w:rPr>
                <w:color w:val="000000"/>
              </w:rPr>
            </w:pPr>
            <w:r w:rsidRPr="00BA2A47">
              <w:rPr>
                <w:color w:val="000000"/>
              </w:rPr>
              <w:t>0.003399076</w:t>
            </w:r>
          </w:p>
        </w:tc>
        <w:tc>
          <w:tcPr>
            <w:tcW w:w="1530" w:type="dxa"/>
            <w:tcBorders>
              <w:top w:val="nil"/>
              <w:left w:val="nil"/>
              <w:bottom w:val="nil"/>
              <w:right w:val="single" w:sz="4" w:space="0" w:color="auto"/>
            </w:tcBorders>
            <w:shd w:val="clear" w:color="auto" w:fill="auto"/>
            <w:noWrap/>
            <w:vAlign w:val="bottom"/>
            <w:hideMark/>
          </w:tcPr>
          <w:p w14:paraId="7E537EED" w14:textId="77777777" w:rsidR="00426116" w:rsidRPr="00BA2A47" w:rsidRDefault="00426116" w:rsidP="00426116">
            <w:pPr>
              <w:jc w:val="right"/>
              <w:rPr>
                <w:color w:val="000000"/>
              </w:rPr>
            </w:pPr>
            <w:r w:rsidRPr="00BA2A47">
              <w:rPr>
                <w:color w:val="000000"/>
              </w:rPr>
              <w:t>0.003348265</w:t>
            </w:r>
          </w:p>
        </w:tc>
      </w:tr>
      <w:tr w:rsidR="00590587" w:rsidRPr="00426116" w14:paraId="7A43B02D" w14:textId="77777777" w:rsidTr="00590587">
        <w:trPr>
          <w:trHeight w:val="300"/>
          <w:jc w:val="center"/>
        </w:trPr>
        <w:tc>
          <w:tcPr>
            <w:tcW w:w="2430" w:type="dxa"/>
            <w:tcBorders>
              <w:top w:val="nil"/>
              <w:left w:val="single" w:sz="4" w:space="0" w:color="auto"/>
              <w:bottom w:val="nil"/>
              <w:right w:val="single" w:sz="4" w:space="0" w:color="auto"/>
            </w:tcBorders>
            <w:shd w:val="clear" w:color="auto" w:fill="auto"/>
            <w:noWrap/>
            <w:vAlign w:val="bottom"/>
            <w:hideMark/>
          </w:tcPr>
          <w:p w14:paraId="0617CFF6" w14:textId="77777777" w:rsidR="00426116" w:rsidRPr="00BA2A47" w:rsidRDefault="00426116" w:rsidP="00426116">
            <w:pPr>
              <w:rPr>
                <w:color w:val="000000"/>
              </w:rPr>
            </w:pPr>
            <w:r w:rsidRPr="00BA2A47">
              <w:rPr>
                <w:color w:val="000000"/>
              </w:rPr>
              <w:t>Novato</w:t>
            </w:r>
          </w:p>
        </w:tc>
        <w:tc>
          <w:tcPr>
            <w:tcW w:w="1620" w:type="dxa"/>
            <w:tcBorders>
              <w:top w:val="nil"/>
              <w:left w:val="nil"/>
              <w:bottom w:val="nil"/>
              <w:right w:val="single" w:sz="4" w:space="0" w:color="auto"/>
            </w:tcBorders>
            <w:shd w:val="clear" w:color="auto" w:fill="auto"/>
            <w:noWrap/>
            <w:vAlign w:val="bottom"/>
            <w:hideMark/>
          </w:tcPr>
          <w:p w14:paraId="5A91BE5F" w14:textId="77777777" w:rsidR="00426116" w:rsidRPr="00BA2A47" w:rsidRDefault="00426116" w:rsidP="00426116">
            <w:pPr>
              <w:jc w:val="right"/>
              <w:rPr>
                <w:color w:val="000000"/>
              </w:rPr>
            </w:pPr>
            <w:r w:rsidRPr="00BA2A47">
              <w:rPr>
                <w:color w:val="000000"/>
              </w:rPr>
              <w:t>0.000477889</w:t>
            </w:r>
          </w:p>
        </w:tc>
        <w:tc>
          <w:tcPr>
            <w:tcW w:w="1530" w:type="dxa"/>
            <w:tcBorders>
              <w:top w:val="nil"/>
              <w:left w:val="nil"/>
              <w:bottom w:val="nil"/>
              <w:right w:val="single" w:sz="4" w:space="0" w:color="auto"/>
            </w:tcBorders>
            <w:shd w:val="clear" w:color="auto" w:fill="auto"/>
            <w:noWrap/>
            <w:vAlign w:val="bottom"/>
            <w:hideMark/>
          </w:tcPr>
          <w:p w14:paraId="24413095" w14:textId="77777777" w:rsidR="00426116" w:rsidRPr="00BA2A47" w:rsidRDefault="00426116" w:rsidP="00426116">
            <w:pPr>
              <w:jc w:val="right"/>
              <w:rPr>
                <w:color w:val="000000"/>
              </w:rPr>
            </w:pPr>
            <w:r w:rsidRPr="00BA2A47">
              <w:rPr>
                <w:color w:val="000000"/>
              </w:rPr>
              <w:t>0.001653349</w:t>
            </w:r>
          </w:p>
        </w:tc>
        <w:tc>
          <w:tcPr>
            <w:tcW w:w="1530" w:type="dxa"/>
            <w:tcBorders>
              <w:top w:val="nil"/>
              <w:left w:val="nil"/>
              <w:bottom w:val="nil"/>
              <w:right w:val="single" w:sz="4" w:space="0" w:color="auto"/>
            </w:tcBorders>
            <w:shd w:val="clear" w:color="auto" w:fill="auto"/>
            <w:noWrap/>
            <w:vAlign w:val="bottom"/>
            <w:hideMark/>
          </w:tcPr>
          <w:p w14:paraId="73F19772" w14:textId="77777777" w:rsidR="00426116" w:rsidRPr="00BA2A47" w:rsidRDefault="00426116" w:rsidP="00426116">
            <w:pPr>
              <w:jc w:val="right"/>
              <w:rPr>
                <w:color w:val="000000"/>
              </w:rPr>
            </w:pPr>
            <w:r w:rsidRPr="00BA2A47">
              <w:rPr>
                <w:color w:val="000000"/>
              </w:rPr>
              <w:t>0.00248184</w:t>
            </w:r>
          </w:p>
        </w:tc>
        <w:tc>
          <w:tcPr>
            <w:tcW w:w="1530" w:type="dxa"/>
            <w:tcBorders>
              <w:top w:val="nil"/>
              <w:left w:val="nil"/>
              <w:bottom w:val="nil"/>
              <w:right w:val="single" w:sz="4" w:space="0" w:color="auto"/>
            </w:tcBorders>
            <w:shd w:val="clear" w:color="auto" w:fill="auto"/>
            <w:noWrap/>
            <w:vAlign w:val="bottom"/>
            <w:hideMark/>
          </w:tcPr>
          <w:p w14:paraId="164BF005" w14:textId="77777777" w:rsidR="00426116" w:rsidRPr="00BA2A47" w:rsidRDefault="00426116" w:rsidP="00426116">
            <w:pPr>
              <w:jc w:val="right"/>
              <w:rPr>
                <w:color w:val="000000"/>
              </w:rPr>
            </w:pPr>
            <w:r w:rsidRPr="00BA2A47">
              <w:rPr>
                <w:color w:val="000000"/>
              </w:rPr>
              <w:t>0.00104419</w:t>
            </w:r>
          </w:p>
        </w:tc>
      </w:tr>
      <w:tr w:rsidR="00590587" w:rsidRPr="00426116" w14:paraId="6A44B3DF" w14:textId="77777777" w:rsidTr="00590587">
        <w:trPr>
          <w:trHeight w:val="30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14:paraId="11CAAFAD" w14:textId="77777777" w:rsidR="00426116" w:rsidRPr="00BA2A47" w:rsidRDefault="00426116" w:rsidP="00426116">
            <w:pPr>
              <w:rPr>
                <w:color w:val="000000"/>
              </w:rPr>
            </w:pPr>
            <w:r w:rsidRPr="00BA2A47">
              <w:rPr>
                <w:color w:val="000000"/>
              </w:rPr>
              <w:lastRenderedPageBreak/>
              <w:t>Novato</w:t>
            </w:r>
          </w:p>
        </w:tc>
        <w:tc>
          <w:tcPr>
            <w:tcW w:w="1620" w:type="dxa"/>
            <w:tcBorders>
              <w:top w:val="nil"/>
              <w:left w:val="nil"/>
              <w:bottom w:val="single" w:sz="4" w:space="0" w:color="auto"/>
              <w:right w:val="single" w:sz="4" w:space="0" w:color="auto"/>
            </w:tcBorders>
            <w:shd w:val="clear" w:color="auto" w:fill="auto"/>
            <w:noWrap/>
            <w:vAlign w:val="bottom"/>
            <w:hideMark/>
          </w:tcPr>
          <w:p w14:paraId="27C2471B" w14:textId="77777777" w:rsidR="00426116" w:rsidRPr="00BA2A47" w:rsidRDefault="00426116" w:rsidP="00426116">
            <w:pPr>
              <w:jc w:val="right"/>
              <w:rPr>
                <w:color w:val="000000"/>
              </w:rPr>
            </w:pPr>
            <w:r w:rsidRPr="00BA2A47">
              <w:rPr>
                <w:color w:val="000000"/>
              </w:rPr>
              <w:t>0.000523464</w:t>
            </w:r>
          </w:p>
        </w:tc>
        <w:tc>
          <w:tcPr>
            <w:tcW w:w="1530" w:type="dxa"/>
            <w:tcBorders>
              <w:top w:val="nil"/>
              <w:left w:val="nil"/>
              <w:bottom w:val="single" w:sz="4" w:space="0" w:color="auto"/>
              <w:right w:val="single" w:sz="4" w:space="0" w:color="auto"/>
            </w:tcBorders>
            <w:shd w:val="clear" w:color="auto" w:fill="auto"/>
            <w:noWrap/>
            <w:vAlign w:val="bottom"/>
            <w:hideMark/>
          </w:tcPr>
          <w:p w14:paraId="632EA6AE" w14:textId="77777777" w:rsidR="00426116" w:rsidRPr="00BA2A47" w:rsidRDefault="00426116" w:rsidP="00426116">
            <w:pPr>
              <w:jc w:val="right"/>
              <w:rPr>
                <w:color w:val="000000"/>
              </w:rPr>
            </w:pPr>
            <w:r w:rsidRPr="00BA2A47">
              <w:rPr>
                <w:color w:val="000000"/>
              </w:rPr>
              <w:t>0.000922565</w:t>
            </w:r>
          </w:p>
        </w:tc>
        <w:tc>
          <w:tcPr>
            <w:tcW w:w="1530" w:type="dxa"/>
            <w:tcBorders>
              <w:top w:val="nil"/>
              <w:left w:val="nil"/>
              <w:bottom w:val="single" w:sz="4" w:space="0" w:color="auto"/>
              <w:right w:val="single" w:sz="4" w:space="0" w:color="auto"/>
            </w:tcBorders>
            <w:shd w:val="clear" w:color="auto" w:fill="auto"/>
            <w:noWrap/>
            <w:vAlign w:val="bottom"/>
            <w:hideMark/>
          </w:tcPr>
          <w:p w14:paraId="0FBD532E" w14:textId="77777777" w:rsidR="00426116" w:rsidRPr="00BA2A47" w:rsidRDefault="00426116" w:rsidP="00426116">
            <w:pPr>
              <w:jc w:val="right"/>
              <w:rPr>
                <w:color w:val="000000"/>
              </w:rPr>
            </w:pPr>
            <w:r w:rsidRPr="00BA2A47">
              <w:rPr>
                <w:color w:val="000000"/>
              </w:rPr>
              <w:t>0.001123615</w:t>
            </w:r>
          </w:p>
        </w:tc>
        <w:tc>
          <w:tcPr>
            <w:tcW w:w="1530" w:type="dxa"/>
            <w:tcBorders>
              <w:top w:val="nil"/>
              <w:left w:val="nil"/>
              <w:bottom w:val="single" w:sz="4" w:space="0" w:color="auto"/>
              <w:right w:val="single" w:sz="4" w:space="0" w:color="auto"/>
            </w:tcBorders>
            <w:shd w:val="clear" w:color="auto" w:fill="auto"/>
            <w:noWrap/>
            <w:vAlign w:val="bottom"/>
            <w:hideMark/>
          </w:tcPr>
          <w:p w14:paraId="6D2CC9C0" w14:textId="77777777" w:rsidR="00426116" w:rsidRPr="00BA2A47" w:rsidRDefault="00426116" w:rsidP="00426116">
            <w:pPr>
              <w:jc w:val="right"/>
              <w:rPr>
                <w:color w:val="000000"/>
              </w:rPr>
            </w:pPr>
            <w:r w:rsidRPr="00BA2A47">
              <w:rPr>
                <w:color w:val="000000"/>
              </w:rPr>
              <w:t>0.002141501</w:t>
            </w:r>
          </w:p>
        </w:tc>
      </w:tr>
      <w:tr w:rsidR="00590587" w:rsidRPr="00426116" w14:paraId="05A42D69" w14:textId="77777777" w:rsidTr="00590587">
        <w:trPr>
          <w:trHeight w:val="300"/>
          <w:jc w:val="center"/>
        </w:trPr>
        <w:tc>
          <w:tcPr>
            <w:tcW w:w="2430" w:type="dxa"/>
            <w:tcBorders>
              <w:top w:val="nil"/>
              <w:left w:val="single" w:sz="4" w:space="0" w:color="auto"/>
              <w:bottom w:val="nil"/>
              <w:right w:val="single" w:sz="4" w:space="0" w:color="auto"/>
            </w:tcBorders>
            <w:shd w:val="clear" w:color="auto" w:fill="auto"/>
            <w:noWrap/>
            <w:vAlign w:val="bottom"/>
            <w:hideMark/>
          </w:tcPr>
          <w:p w14:paraId="68B56C38" w14:textId="77777777" w:rsidR="00426116" w:rsidRPr="00BA2A47" w:rsidRDefault="00426116" w:rsidP="00426116">
            <w:pPr>
              <w:rPr>
                <w:color w:val="000000"/>
              </w:rPr>
            </w:pPr>
            <w:r w:rsidRPr="00BA2A47">
              <w:rPr>
                <w:color w:val="000000"/>
              </w:rPr>
              <w:t>Petaluma</w:t>
            </w:r>
          </w:p>
        </w:tc>
        <w:tc>
          <w:tcPr>
            <w:tcW w:w="1620" w:type="dxa"/>
            <w:tcBorders>
              <w:top w:val="nil"/>
              <w:left w:val="nil"/>
              <w:bottom w:val="nil"/>
              <w:right w:val="single" w:sz="4" w:space="0" w:color="auto"/>
            </w:tcBorders>
            <w:shd w:val="clear" w:color="auto" w:fill="auto"/>
            <w:noWrap/>
            <w:vAlign w:val="bottom"/>
            <w:hideMark/>
          </w:tcPr>
          <w:p w14:paraId="13058400" w14:textId="77777777" w:rsidR="00426116" w:rsidRPr="00BA2A47" w:rsidRDefault="00426116" w:rsidP="00426116">
            <w:pPr>
              <w:jc w:val="right"/>
              <w:rPr>
                <w:color w:val="000000"/>
              </w:rPr>
            </w:pPr>
            <w:r w:rsidRPr="00BA2A47">
              <w:rPr>
                <w:color w:val="000000"/>
              </w:rPr>
              <w:t>1.95813E-05</w:t>
            </w:r>
          </w:p>
        </w:tc>
        <w:tc>
          <w:tcPr>
            <w:tcW w:w="1530" w:type="dxa"/>
            <w:tcBorders>
              <w:top w:val="nil"/>
              <w:left w:val="nil"/>
              <w:bottom w:val="nil"/>
              <w:right w:val="single" w:sz="4" w:space="0" w:color="auto"/>
            </w:tcBorders>
            <w:shd w:val="clear" w:color="auto" w:fill="auto"/>
            <w:noWrap/>
            <w:vAlign w:val="bottom"/>
            <w:hideMark/>
          </w:tcPr>
          <w:p w14:paraId="55A5BDCE" w14:textId="77777777" w:rsidR="00426116" w:rsidRPr="00BA2A47" w:rsidRDefault="00426116" w:rsidP="00426116">
            <w:pPr>
              <w:jc w:val="right"/>
              <w:rPr>
                <w:color w:val="000000"/>
              </w:rPr>
            </w:pPr>
            <w:r w:rsidRPr="00BA2A47">
              <w:rPr>
                <w:color w:val="000000"/>
              </w:rPr>
              <w:t>0.001564884</w:t>
            </w:r>
          </w:p>
        </w:tc>
        <w:tc>
          <w:tcPr>
            <w:tcW w:w="1530" w:type="dxa"/>
            <w:tcBorders>
              <w:top w:val="nil"/>
              <w:left w:val="nil"/>
              <w:bottom w:val="nil"/>
              <w:right w:val="single" w:sz="4" w:space="0" w:color="auto"/>
            </w:tcBorders>
            <w:shd w:val="clear" w:color="auto" w:fill="auto"/>
            <w:noWrap/>
            <w:vAlign w:val="bottom"/>
            <w:hideMark/>
          </w:tcPr>
          <w:p w14:paraId="526F5E74" w14:textId="77777777" w:rsidR="00426116" w:rsidRPr="00BA2A47" w:rsidRDefault="00426116" w:rsidP="00426116">
            <w:pPr>
              <w:jc w:val="right"/>
              <w:rPr>
                <w:color w:val="000000"/>
              </w:rPr>
            </w:pPr>
            <w:r w:rsidRPr="00BA2A47">
              <w:rPr>
                <w:color w:val="000000"/>
              </w:rPr>
              <w:t>0.000206902</w:t>
            </w:r>
          </w:p>
        </w:tc>
        <w:tc>
          <w:tcPr>
            <w:tcW w:w="1530" w:type="dxa"/>
            <w:tcBorders>
              <w:top w:val="nil"/>
              <w:left w:val="nil"/>
              <w:bottom w:val="nil"/>
              <w:right w:val="single" w:sz="4" w:space="0" w:color="auto"/>
            </w:tcBorders>
            <w:shd w:val="clear" w:color="auto" w:fill="auto"/>
            <w:noWrap/>
            <w:vAlign w:val="bottom"/>
            <w:hideMark/>
          </w:tcPr>
          <w:p w14:paraId="15876115" w14:textId="77777777" w:rsidR="00426116" w:rsidRPr="00BA2A47" w:rsidRDefault="00426116" w:rsidP="00426116">
            <w:pPr>
              <w:jc w:val="right"/>
              <w:rPr>
                <w:color w:val="000000"/>
              </w:rPr>
            </w:pPr>
            <w:r w:rsidRPr="00BA2A47">
              <w:rPr>
                <w:color w:val="000000"/>
              </w:rPr>
              <w:t>0.000166016</w:t>
            </w:r>
          </w:p>
        </w:tc>
      </w:tr>
      <w:tr w:rsidR="00590587" w:rsidRPr="00426116" w14:paraId="110B90EC" w14:textId="77777777" w:rsidTr="00590587">
        <w:trPr>
          <w:trHeight w:val="300"/>
          <w:jc w:val="center"/>
        </w:trPr>
        <w:tc>
          <w:tcPr>
            <w:tcW w:w="2430" w:type="dxa"/>
            <w:tcBorders>
              <w:top w:val="nil"/>
              <w:left w:val="single" w:sz="4" w:space="0" w:color="auto"/>
              <w:bottom w:val="nil"/>
              <w:right w:val="single" w:sz="4" w:space="0" w:color="auto"/>
            </w:tcBorders>
            <w:shd w:val="clear" w:color="auto" w:fill="auto"/>
            <w:noWrap/>
            <w:vAlign w:val="bottom"/>
            <w:hideMark/>
          </w:tcPr>
          <w:p w14:paraId="066ED344" w14:textId="77777777" w:rsidR="00426116" w:rsidRPr="00BA2A47" w:rsidRDefault="00426116" w:rsidP="00426116">
            <w:pPr>
              <w:rPr>
                <w:color w:val="000000"/>
              </w:rPr>
            </w:pPr>
            <w:r w:rsidRPr="00BA2A47">
              <w:rPr>
                <w:color w:val="000000"/>
              </w:rPr>
              <w:t>Petaluma</w:t>
            </w:r>
          </w:p>
        </w:tc>
        <w:tc>
          <w:tcPr>
            <w:tcW w:w="1620" w:type="dxa"/>
            <w:tcBorders>
              <w:top w:val="nil"/>
              <w:left w:val="nil"/>
              <w:bottom w:val="nil"/>
              <w:right w:val="single" w:sz="4" w:space="0" w:color="auto"/>
            </w:tcBorders>
            <w:shd w:val="clear" w:color="auto" w:fill="auto"/>
            <w:noWrap/>
            <w:vAlign w:val="bottom"/>
            <w:hideMark/>
          </w:tcPr>
          <w:p w14:paraId="64AB7B11" w14:textId="77777777" w:rsidR="00426116" w:rsidRPr="00BA2A47" w:rsidRDefault="00426116" w:rsidP="00426116">
            <w:pPr>
              <w:jc w:val="right"/>
              <w:rPr>
                <w:color w:val="000000"/>
              </w:rPr>
            </w:pPr>
            <w:r w:rsidRPr="00BA2A47">
              <w:rPr>
                <w:color w:val="000000"/>
              </w:rPr>
              <w:t>1.63824E-05</w:t>
            </w:r>
          </w:p>
        </w:tc>
        <w:tc>
          <w:tcPr>
            <w:tcW w:w="1530" w:type="dxa"/>
            <w:tcBorders>
              <w:top w:val="nil"/>
              <w:left w:val="nil"/>
              <w:bottom w:val="nil"/>
              <w:right w:val="single" w:sz="4" w:space="0" w:color="auto"/>
            </w:tcBorders>
            <w:shd w:val="clear" w:color="auto" w:fill="auto"/>
            <w:noWrap/>
            <w:vAlign w:val="bottom"/>
            <w:hideMark/>
          </w:tcPr>
          <w:p w14:paraId="219D3131" w14:textId="77777777" w:rsidR="00426116" w:rsidRPr="00BA2A47" w:rsidRDefault="00426116" w:rsidP="00426116">
            <w:pPr>
              <w:jc w:val="right"/>
              <w:rPr>
                <w:color w:val="000000"/>
              </w:rPr>
            </w:pPr>
            <w:r w:rsidRPr="00BA2A47">
              <w:rPr>
                <w:color w:val="000000"/>
              </w:rPr>
              <w:t>0.00040099</w:t>
            </w:r>
          </w:p>
        </w:tc>
        <w:tc>
          <w:tcPr>
            <w:tcW w:w="1530" w:type="dxa"/>
            <w:tcBorders>
              <w:top w:val="nil"/>
              <w:left w:val="nil"/>
              <w:bottom w:val="nil"/>
              <w:right w:val="single" w:sz="4" w:space="0" w:color="auto"/>
            </w:tcBorders>
            <w:shd w:val="clear" w:color="auto" w:fill="auto"/>
            <w:noWrap/>
            <w:vAlign w:val="bottom"/>
            <w:hideMark/>
          </w:tcPr>
          <w:p w14:paraId="2674DB80" w14:textId="77777777" w:rsidR="00426116" w:rsidRPr="00BA2A47" w:rsidRDefault="00426116" w:rsidP="00426116">
            <w:pPr>
              <w:jc w:val="right"/>
              <w:rPr>
                <w:color w:val="000000"/>
              </w:rPr>
            </w:pPr>
            <w:r w:rsidRPr="00BA2A47">
              <w:rPr>
                <w:color w:val="000000"/>
              </w:rPr>
              <w:t>4.94945E-05</w:t>
            </w:r>
          </w:p>
        </w:tc>
        <w:tc>
          <w:tcPr>
            <w:tcW w:w="1530" w:type="dxa"/>
            <w:tcBorders>
              <w:top w:val="nil"/>
              <w:left w:val="nil"/>
              <w:bottom w:val="nil"/>
              <w:right w:val="single" w:sz="4" w:space="0" w:color="auto"/>
            </w:tcBorders>
            <w:shd w:val="clear" w:color="auto" w:fill="auto"/>
            <w:noWrap/>
            <w:vAlign w:val="bottom"/>
            <w:hideMark/>
          </w:tcPr>
          <w:p w14:paraId="6C1587E7" w14:textId="77777777" w:rsidR="00426116" w:rsidRPr="00BA2A47" w:rsidRDefault="00426116" w:rsidP="00426116">
            <w:pPr>
              <w:jc w:val="right"/>
              <w:rPr>
                <w:color w:val="000000"/>
              </w:rPr>
            </w:pPr>
            <w:r w:rsidRPr="00BA2A47">
              <w:rPr>
                <w:color w:val="000000"/>
              </w:rPr>
              <w:t>1.01493E-05</w:t>
            </w:r>
          </w:p>
        </w:tc>
      </w:tr>
      <w:tr w:rsidR="00590587" w:rsidRPr="00426116" w14:paraId="03959439" w14:textId="77777777" w:rsidTr="00590587">
        <w:trPr>
          <w:trHeight w:val="30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14:paraId="03C365B6" w14:textId="77777777" w:rsidR="00426116" w:rsidRPr="00BA2A47" w:rsidRDefault="00426116" w:rsidP="00426116">
            <w:pPr>
              <w:rPr>
                <w:color w:val="000000"/>
              </w:rPr>
            </w:pPr>
            <w:r w:rsidRPr="00BA2A47">
              <w:rPr>
                <w:color w:val="000000"/>
              </w:rPr>
              <w:t>Petaluma</w:t>
            </w:r>
          </w:p>
        </w:tc>
        <w:tc>
          <w:tcPr>
            <w:tcW w:w="1620" w:type="dxa"/>
            <w:tcBorders>
              <w:top w:val="nil"/>
              <w:left w:val="nil"/>
              <w:bottom w:val="single" w:sz="4" w:space="0" w:color="auto"/>
              <w:right w:val="single" w:sz="4" w:space="0" w:color="auto"/>
            </w:tcBorders>
            <w:shd w:val="clear" w:color="auto" w:fill="auto"/>
            <w:noWrap/>
            <w:vAlign w:val="bottom"/>
            <w:hideMark/>
          </w:tcPr>
          <w:p w14:paraId="7A219E87" w14:textId="77777777" w:rsidR="00426116" w:rsidRPr="00BA2A47" w:rsidRDefault="00426116" w:rsidP="00426116">
            <w:pPr>
              <w:jc w:val="right"/>
              <w:rPr>
                <w:color w:val="000000"/>
              </w:rPr>
            </w:pPr>
            <w:r w:rsidRPr="00BA2A47">
              <w:rPr>
                <w:color w:val="000000"/>
              </w:rPr>
              <w:t>4.56325E-05</w:t>
            </w:r>
          </w:p>
        </w:tc>
        <w:tc>
          <w:tcPr>
            <w:tcW w:w="1530" w:type="dxa"/>
            <w:tcBorders>
              <w:top w:val="nil"/>
              <w:left w:val="nil"/>
              <w:bottom w:val="single" w:sz="4" w:space="0" w:color="auto"/>
              <w:right w:val="single" w:sz="4" w:space="0" w:color="auto"/>
            </w:tcBorders>
            <w:shd w:val="clear" w:color="auto" w:fill="auto"/>
            <w:noWrap/>
            <w:vAlign w:val="bottom"/>
            <w:hideMark/>
          </w:tcPr>
          <w:p w14:paraId="76CB8FB6" w14:textId="77777777" w:rsidR="00426116" w:rsidRPr="00BA2A47" w:rsidRDefault="00426116" w:rsidP="00426116">
            <w:pPr>
              <w:jc w:val="right"/>
              <w:rPr>
                <w:color w:val="000000"/>
              </w:rPr>
            </w:pPr>
            <w:r w:rsidRPr="00BA2A47">
              <w:rPr>
                <w:color w:val="000000"/>
              </w:rPr>
              <w:t>0.000418103</w:t>
            </w:r>
          </w:p>
        </w:tc>
        <w:tc>
          <w:tcPr>
            <w:tcW w:w="1530" w:type="dxa"/>
            <w:tcBorders>
              <w:top w:val="nil"/>
              <w:left w:val="nil"/>
              <w:bottom w:val="single" w:sz="4" w:space="0" w:color="auto"/>
              <w:right w:val="single" w:sz="4" w:space="0" w:color="auto"/>
            </w:tcBorders>
            <w:shd w:val="clear" w:color="auto" w:fill="auto"/>
            <w:noWrap/>
            <w:vAlign w:val="bottom"/>
            <w:hideMark/>
          </w:tcPr>
          <w:p w14:paraId="7A551DE4" w14:textId="77777777" w:rsidR="00426116" w:rsidRPr="00BA2A47" w:rsidRDefault="00426116" w:rsidP="00426116">
            <w:pPr>
              <w:jc w:val="right"/>
              <w:rPr>
                <w:color w:val="000000"/>
              </w:rPr>
            </w:pPr>
            <w:r w:rsidRPr="00BA2A47">
              <w:rPr>
                <w:color w:val="000000"/>
              </w:rPr>
              <w:t>2.92188E-05</w:t>
            </w:r>
          </w:p>
        </w:tc>
        <w:tc>
          <w:tcPr>
            <w:tcW w:w="1530" w:type="dxa"/>
            <w:tcBorders>
              <w:top w:val="nil"/>
              <w:left w:val="nil"/>
              <w:bottom w:val="single" w:sz="4" w:space="0" w:color="auto"/>
              <w:right w:val="single" w:sz="4" w:space="0" w:color="auto"/>
            </w:tcBorders>
            <w:shd w:val="clear" w:color="auto" w:fill="auto"/>
            <w:noWrap/>
            <w:vAlign w:val="bottom"/>
            <w:hideMark/>
          </w:tcPr>
          <w:p w14:paraId="2E68BFDF" w14:textId="77777777" w:rsidR="00426116" w:rsidRPr="00BA2A47" w:rsidRDefault="00426116" w:rsidP="00426116">
            <w:pPr>
              <w:jc w:val="right"/>
              <w:rPr>
                <w:color w:val="000000"/>
              </w:rPr>
            </w:pPr>
            <w:r w:rsidRPr="00BA2A47">
              <w:rPr>
                <w:color w:val="000000"/>
              </w:rPr>
              <w:t>4.48137E-05</w:t>
            </w:r>
          </w:p>
        </w:tc>
      </w:tr>
      <w:tr w:rsidR="00590587" w:rsidRPr="00426116" w14:paraId="12D6E412" w14:textId="77777777" w:rsidTr="00590587">
        <w:trPr>
          <w:trHeight w:val="300"/>
          <w:jc w:val="center"/>
        </w:trPr>
        <w:tc>
          <w:tcPr>
            <w:tcW w:w="2430" w:type="dxa"/>
            <w:tcBorders>
              <w:top w:val="nil"/>
              <w:left w:val="single" w:sz="4" w:space="0" w:color="auto"/>
              <w:bottom w:val="nil"/>
              <w:right w:val="single" w:sz="4" w:space="0" w:color="auto"/>
            </w:tcBorders>
            <w:shd w:val="clear" w:color="auto" w:fill="auto"/>
            <w:noWrap/>
            <w:vAlign w:val="bottom"/>
            <w:hideMark/>
          </w:tcPr>
          <w:p w14:paraId="1C6409C1" w14:textId="77777777" w:rsidR="00426116" w:rsidRPr="00BA2A47" w:rsidRDefault="00426116" w:rsidP="00426116">
            <w:pPr>
              <w:rPr>
                <w:color w:val="000000"/>
              </w:rPr>
            </w:pPr>
            <w:r w:rsidRPr="00BA2A47">
              <w:rPr>
                <w:color w:val="000000"/>
              </w:rPr>
              <w:t>Pinole</w:t>
            </w:r>
          </w:p>
        </w:tc>
        <w:tc>
          <w:tcPr>
            <w:tcW w:w="1620" w:type="dxa"/>
            <w:tcBorders>
              <w:top w:val="nil"/>
              <w:left w:val="nil"/>
              <w:bottom w:val="nil"/>
              <w:right w:val="single" w:sz="4" w:space="0" w:color="auto"/>
            </w:tcBorders>
            <w:shd w:val="clear" w:color="auto" w:fill="auto"/>
            <w:noWrap/>
            <w:vAlign w:val="bottom"/>
            <w:hideMark/>
          </w:tcPr>
          <w:p w14:paraId="44D6E9AF" w14:textId="77777777" w:rsidR="00426116" w:rsidRPr="00BA2A47" w:rsidRDefault="00426116" w:rsidP="00426116">
            <w:pPr>
              <w:jc w:val="right"/>
              <w:rPr>
                <w:color w:val="000000"/>
              </w:rPr>
            </w:pPr>
            <w:r w:rsidRPr="00BA2A47">
              <w:rPr>
                <w:color w:val="000000"/>
              </w:rPr>
              <w:t>0.001856034</w:t>
            </w:r>
          </w:p>
        </w:tc>
        <w:tc>
          <w:tcPr>
            <w:tcW w:w="1530" w:type="dxa"/>
            <w:tcBorders>
              <w:top w:val="nil"/>
              <w:left w:val="nil"/>
              <w:bottom w:val="nil"/>
              <w:right w:val="single" w:sz="4" w:space="0" w:color="auto"/>
            </w:tcBorders>
            <w:shd w:val="clear" w:color="auto" w:fill="auto"/>
            <w:noWrap/>
            <w:vAlign w:val="bottom"/>
            <w:hideMark/>
          </w:tcPr>
          <w:p w14:paraId="03CFBDBD" w14:textId="77777777" w:rsidR="00426116" w:rsidRPr="00BA2A47" w:rsidRDefault="00426116" w:rsidP="00426116">
            <w:pPr>
              <w:jc w:val="right"/>
              <w:rPr>
                <w:color w:val="000000"/>
              </w:rPr>
            </w:pPr>
            <w:r w:rsidRPr="00BA2A47">
              <w:rPr>
                <w:color w:val="000000"/>
              </w:rPr>
              <w:t>0.001040543</w:t>
            </w:r>
          </w:p>
        </w:tc>
        <w:tc>
          <w:tcPr>
            <w:tcW w:w="1530" w:type="dxa"/>
            <w:tcBorders>
              <w:top w:val="nil"/>
              <w:left w:val="nil"/>
              <w:bottom w:val="nil"/>
              <w:right w:val="single" w:sz="4" w:space="0" w:color="auto"/>
            </w:tcBorders>
            <w:shd w:val="clear" w:color="auto" w:fill="auto"/>
            <w:noWrap/>
            <w:vAlign w:val="bottom"/>
            <w:hideMark/>
          </w:tcPr>
          <w:p w14:paraId="53AEA2FF" w14:textId="77777777" w:rsidR="00426116" w:rsidRPr="00BA2A47" w:rsidRDefault="00426116" w:rsidP="00426116">
            <w:pPr>
              <w:jc w:val="right"/>
              <w:rPr>
                <w:color w:val="000000"/>
              </w:rPr>
            </w:pPr>
            <w:r w:rsidRPr="00BA2A47">
              <w:rPr>
                <w:color w:val="000000"/>
              </w:rPr>
              <w:t>0.000598382</w:t>
            </w:r>
          </w:p>
        </w:tc>
        <w:tc>
          <w:tcPr>
            <w:tcW w:w="1530" w:type="dxa"/>
            <w:tcBorders>
              <w:top w:val="nil"/>
              <w:left w:val="nil"/>
              <w:bottom w:val="nil"/>
              <w:right w:val="single" w:sz="4" w:space="0" w:color="auto"/>
            </w:tcBorders>
            <w:shd w:val="clear" w:color="auto" w:fill="auto"/>
            <w:noWrap/>
            <w:vAlign w:val="bottom"/>
            <w:hideMark/>
          </w:tcPr>
          <w:p w14:paraId="6DAFF856" w14:textId="77777777" w:rsidR="00426116" w:rsidRPr="00BA2A47" w:rsidRDefault="00426116" w:rsidP="00426116">
            <w:pPr>
              <w:jc w:val="right"/>
              <w:rPr>
                <w:color w:val="000000"/>
              </w:rPr>
            </w:pPr>
            <w:r w:rsidRPr="00BA2A47">
              <w:rPr>
                <w:color w:val="000000"/>
              </w:rPr>
              <w:t>0.000595688</w:t>
            </w:r>
          </w:p>
        </w:tc>
      </w:tr>
      <w:tr w:rsidR="00590587" w:rsidRPr="00426116" w14:paraId="70744917" w14:textId="77777777" w:rsidTr="00590587">
        <w:trPr>
          <w:trHeight w:val="30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14:paraId="58F83E82" w14:textId="77777777" w:rsidR="00426116" w:rsidRPr="00BA2A47" w:rsidRDefault="00426116" w:rsidP="00426116">
            <w:pPr>
              <w:rPr>
                <w:color w:val="000000"/>
              </w:rPr>
            </w:pPr>
            <w:r w:rsidRPr="00BA2A47">
              <w:rPr>
                <w:color w:val="000000"/>
              </w:rPr>
              <w:t>Pinole</w:t>
            </w:r>
          </w:p>
        </w:tc>
        <w:tc>
          <w:tcPr>
            <w:tcW w:w="1620" w:type="dxa"/>
            <w:tcBorders>
              <w:top w:val="nil"/>
              <w:left w:val="nil"/>
              <w:bottom w:val="single" w:sz="4" w:space="0" w:color="auto"/>
              <w:right w:val="single" w:sz="4" w:space="0" w:color="auto"/>
            </w:tcBorders>
            <w:shd w:val="clear" w:color="auto" w:fill="auto"/>
            <w:noWrap/>
            <w:vAlign w:val="bottom"/>
            <w:hideMark/>
          </w:tcPr>
          <w:p w14:paraId="4682F55E" w14:textId="77777777" w:rsidR="00426116" w:rsidRPr="00BA2A47" w:rsidRDefault="00426116" w:rsidP="00426116">
            <w:pPr>
              <w:jc w:val="right"/>
              <w:rPr>
                <w:color w:val="000000"/>
              </w:rPr>
            </w:pPr>
            <w:r w:rsidRPr="00BA2A47">
              <w:rPr>
                <w:color w:val="000000"/>
              </w:rPr>
              <w:t>0.000724087</w:t>
            </w:r>
          </w:p>
        </w:tc>
        <w:tc>
          <w:tcPr>
            <w:tcW w:w="1530" w:type="dxa"/>
            <w:tcBorders>
              <w:top w:val="nil"/>
              <w:left w:val="nil"/>
              <w:bottom w:val="single" w:sz="4" w:space="0" w:color="auto"/>
              <w:right w:val="single" w:sz="4" w:space="0" w:color="auto"/>
            </w:tcBorders>
            <w:shd w:val="clear" w:color="auto" w:fill="auto"/>
            <w:noWrap/>
            <w:vAlign w:val="bottom"/>
            <w:hideMark/>
          </w:tcPr>
          <w:p w14:paraId="290BDF75" w14:textId="77777777" w:rsidR="00426116" w:rsidRPr="00BA2A47" w:rsidRDefault="00426116" w:rsidP="00426116">
            <w:pPr>
              <w:jc w:val="right"/>
              <w:rPr>
                <w:color w:val="000000"/>
              </w:rPr>
            </w:pPr>
            <w:r w:rsidRPr="00BA2A47">
              <w:rPr>
                <w:color w:val="000000"/>
              </w:rPr>
              <w:t>0.000899116</w:t>
            </w:r>
          </w:p>
        </w:tc>
        <w:tc>
          <w:tcPr>
            <w:tcW w:w="1530" w:type="dxa"/>
            <w:tcBorders>
              <w:top w:val="nil"/>
              <w:left w:val="nil"/>
              <w:bottom w:val="single" w:sz="4" w:space="0" w:color="auto"/>
              <w:right w:val="single" w:sz="4" w:space="0" w:color="auto"/>
            </w:tcBorders>
            <w:shd w:val="clear" w:color="auto" w:fill="auto"/>
            <w:noWrap/>
            <w:vAlign w:val="bottom"/>
            <w:hideMark/>
          </w:tcPr>
          <w:p w14:paraId="478849D8" w14:textId="77777777" w:rsidR="00426116" w:rsidRPr="00BA2A47" w:rsidRDefault="00426116" w:rsidP="00426116">
            <w:pPr>
              <w:jc w:val="right"/>
              <w:rPr>
                <w:color w:val="000000"/>
              </w:rPr>
            </w:pPr>
            <w:r w:rsidRPr="00BA2A47">
              <w:rPr>
                <w:color w:val="000000"/>
              </w:rPr>
              <w:t>0.000587417</w:t>
            </w:r>
          </w:p>
        </w:tc>
        <w:tc>
          <w:tcPr>
            <w:tcW w:w="1530" w:type="dxa"/>
            <w:tcBorders>
              <w:top w:val="nil"/>
              <w:left w:val="nil"/>
              <w:bottom w:val="single" w:sz="4" w:space="0" w:color="auto"/>
              <w:right w:val="single" w:sz="4" w:space="0" w:color="auto"/>
            </w:tcBorders>
            <w:shd w:val="clear" w:color="auto" w:fill="auto"/>
            <w:noWrap/>
            <w:vAlign w:val="bottom"/>
            <w:hideMark/>
          </w:tcPr>
          <w:p w14:paraId="5285C21A" w14:textId="77777777" w:rsidR="00426116" w:rsidRPr="00BA2A47" w:rsidRDefault="00426116" w:rsidP="00426116">
            <w:pPr>
              <w:jc w:val="right"/>
              <w:rPr>
                <w:color w:val="000000"/>
              </w:rPr>
            </w:pPr>
            <w:r w:rsidRPr="00BA2A47">
              <w:rPr>
                <w:color w:val="000000"/>
              </w:rPr>
              <w:t>0.00097685</w:t>
            </w:r>
          </w:p>
        </w:tc>
      </w:tr>
      <w:tr w:rsidR="00590587" w:rsidRPr="00426116" w14:paraId="7D602855" w14:textId="77777777" w:rsidTr="00590587">
        <w:trPr>
          <w:trHeight w:val="300"/>
          <w:jc w:val="center"/>
        </w:trPr>
        <w:tc>
          <w:tcPr>
            <w:tcW w:w="2430" w:type="dxa"/>
            <w:tcBorders>
              <w:top w:val="nil"/>
              <w:left w:val="single" w:sz="4" w:space="0" w:color="auto"/>
              <w:bottom w:val="nil"/>
              <w:right w:val="single" w:sz="4" w:space="0" w:color="auto"/>
            </w:tcBorders>
            <w:shd w:val="clear" w:color="auto" w:fill="auto"/>
            <w:noWrap/>
            <w:vAlign w:val="bottom"/>
            <w:hideMark/>
          </w:tcPr>
          <w:p w14:paraId="3824FBE8" w14:textId="77777777" w:rsidR="00426116" w:rsidRPr="00BA2A47" w:rsidRDefault="00426116" w:rsidP="00426116">
            <w:pPr>
              <w:rPr>
                <w:color w:val="000000"/>
              </w:rPr>
            </w:pPr>
            <w:r w:rsidRPr="00BA2A47">
              <w:rPr>
                <w:color w:val="000000"/>
              </w:rPr>
              <w:t>Rodeo</w:t>
            </w:r>
          </w:p>
        </w:tc>
        <w:tc>
          <w:tcPr>
            <w:tcW w:w="1620" w:type="dxa"/>
            <w:tcBorders>
              <w:top w:val="nil"/>
              <w:left w:val="nil"/>
              <w:bottom w:val="nil"/>
              <w:right w:val="single" w:sz="4" w:space="0" w:color="auto"/>
            </w:tcBorders>
            <w:shd w:val="clear" w:color="auto" w:fill="auto"/>
            <w:noWrap/>
            <w:vAlign w:val="bottom"/>
            <w:hideMark/>
          </w:tcPr>
          <w:p w14:paraId="7DE0B331" w14:textId="77777777" w:rsidR="00426116" w:rsidRPr="00BA2A47" w:rsidRDefault="00426116" w:rsidP="00426116">
            <w:pPr>
              <w:jc w:val="right"/>
              <w:rPr>
                <w:color w:val="000000"/>
              </w:rPr>
            </w:pPr>
            <w:r w:rsidRPr="00BA2A47">
              <w:rPr>
                <w:color w:val="000000"/>
              </w:rPr>
              <w:t>0.000162977</w:t>
            </w:r>
          </w:p>
        </w:tc>
        <w:tc>
          <w:tcPr>
            <w:tcW w:w="1530" w:type="dxa"/>
            <w:tcBorders>
              <w:top w:val="nil"/>
              <w:left w:val="nil"/>
              <w:bottom w:val="nil"/>
              <w:right w:val="single" w:sz="4" w:space="0" w:color="auto"/>
            </w:tcBorders>
            <w:shd w:val="clear" w:color="auto" w:fill="auto"/>
            <w:noWrap/>
            <w:vAlign w:val="bottom"/>
            <w:hideMark/>
          </w:tcPr>
          <w:p w14:paraId="30475CAE" w14:textId="77777777" w:rsidR="00426116" w:rsidRPr="00BA2A47" w:rsidRDefault="00426116" w:rsidP="00426116">
            <w:pPr>
              <w:jc w:val="right"/>
              <w:rPr>
                <w:color w:val="000000"/>
              </w:rPr>
            </w:pPr>
            <w:r w:rsidRPr="00BA2A47">
              <w:rPr>
                <w:color w:val="000000"/>
              </w:rPr>
              <w:t>0.000152026</w:t>
            </w:r>
          </w:p>
        </w:tc>
        <w:tc>
          <w:tcPr>
            <w:tcW w:w="1530" w:type="dxa"/>
            <w:tcBorders>
              <w:top w:val="nil"/>
              <w:left w:val="nil"/>
              <w:bottom w:val="nil"/>
              <w:right w:val="single" w:sz="4" w:space="0" w:color="auto"/>
            </w:tcBorders>
            <w:shd w:val="clear" w:color="auto" w:fill="auto"/>
            <w:noWrap/>
            <w:vAlign w:val="bottom"/>
            <w:hideMark/>
          </w:tcPr>
          <w:p w14:paraId="3CBB5F0B" w14:textId="77777777" w:rsidR="00426116" w:rsidRPr="00BA2A47" w:rsidRDefault="00426116" w:rsidP="00426116">
            <w:pPr>
              <w:jc w:val="right"/>
              <w:rPr>
                <w:color w:val="000000"/>
              </w:rPr>
            </w:pPr>
            <w:r w:rsidRPr="00BA2A47">
              <w:rPr>
                <w:color w:val="000000"/>
              </w:rPr>
              <w:t>0.000161064</w:t>
            </w:r>
          </w:p>
        </w:tc>
        <w:tc>
          <w:tcPr>
            <w:tcW w:w="1530" w:type="dxa"/>
            <w:tcBorders>
              <w:top w:val="nil"/>
              <w:left w:val="nil"/>
              <w:bottom w:val="nil"/>
              <w:right w:val="single" w:sz="4" w:space="0" w:color="auto"/>
            </w:tcBorders>
            <w:shd w:val="clear" w:color="auto" w:fill="auto"/>
            <w:noWrap/>
            <w:vAlign w:val="bottom"/>
            <w:hideMark/>
          </w:tcPr>
          <w:p w14:paraId="7B3A0F0C" w14:textId="77777777" w:rsidR="00426116" w:rsidRPr="00BA2A47" w:rsidRDefault="00426116" w:rsidP="00426116">
            <w:pPr>
              <w:jc w:val="right"/>
              <w:rPr>
                <w:color w:val="000000"/>
              </w:rPr>
            </w:pPr>
            <w:r w:rsidRPr="00BA2A47">
              <w:rPr>
                <w:color w:val="000000"/>
              </w:rPr>
              <w:t>0.001340938</w:t>
            </w:r>
          </w:p>
        </w:tc>
      </w:tr>
      <w:tr w:rsidR="00590587" w:rsidRPr="00426116" w14:paraId="2AE0F7E8" w14:textId="77777777" w:rsidTr="00590587">
        <w:trPr>
          <w:trHeight w:val="30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14:paraId="6CF83126" w14:textId="77777777" w:rsidR="00426116" w:rsidRPr="00BA2A47" w:rsidRDefault="00426116" w:rsidP="00426116">
            <w:pPr>
              <w:rPr>
                <w:color w:val="000000"/>
              </w:rPr>
            </w:pPr>
            <w:r w:rsidRPr="00BA2A47">
              <w:rPr>
                <w:color w:val="000000"/>
              </w:rPr>
              <w:t>Rodeo</w:t>
            </w:r>
          </w:p>
        </w:tc>
        <w:tc>
          <w:tcPr>
            <w:tcW w:w="1620" w:type="dxa"/>
            <w:tcBorders>
              <w:top w:val="nil"/>
              <w:left w:val="nil"/>
              <w:bottom w:val="single" w:sz="4" w:space="0" w:color="auto"/>
              <w:right w:val="single" w:sz="4" w:space="0" w:color="auto"/>
            </w:tcBorders>
            <w:shd w:val="clear" w:color="auto" w:fill="auto"/>
            <w:noWrap/>
            <w:vAlign w:val="bottom"/>
            <w:hideMark/>
          </w:tcPr>
          <w:p w14:paraId="08826AC8" w14:textId="77777777" w:rsidR="00426116" w:rsidRPr="00BA2A47" w:rsidRDefault="00426116" w:rsidP="00426116">
            <w:pPr>
              <w:jc w:val="right"/>
              <w:rPr>
                <w:color w:val="000000"/>
              </w:rPr>
            </w:pPr>
            <w:r w:rsidRPr="00BA2A47">
              <w:rPr>
                <w:color w:val="000000"/>
              </w:rPr>
              <w:t>0.00015571</w:t>
            </w:r>
          </w:p>
        </w:tc>
        <w:tc>
          <w:tcPr>
            <w:tcW w:w="1530" w:type="dxa"/>
            <w:tcBorders>
              <w:top w:val="nil"/>
              <w:left w:val="nil"/>
              <w:bottom w:val="single" w:sz="4" w:space="0" w:color="auto"/>
              <w:right w:val="single" w:sz="4" w:space="0" w:color="auto"/>
            </w:tcBorders>
            <w:shd w:val="clear" w:color="auto" w:fill="auto"/>
            <w:noWrap/>
            <w:vAlign w:val="bottom"/>
            <w:hideMark/>
          </w:tcPr>
          <w:p w14:paraId="0E472465" w14:textId="77777777" w:rsidR="00426116" w:rsidRPr="00BA2A47" w:rsidRDefault="00426116" w:rsidP="00426116">
            <w:pPr>
              <w:jc w:val="right"/>
              <w:rPr>
                <w:color w:val="000000"/>
              </w:rPr>
            </w:pPr>
            <w:r w:rsidRPr="00BA2A47">
              <w:rPr>
                <w:color w:val="000000"/>
              </w:rPr>
              <w:t>0.000946098</w:t>
            </w:r>
          </w:p>
        </w:tc>
        <w:tc>
          <w:tcPr>
            <w:tcW w:w="1530" w:type="dxa"/>
            <w:tcBorders>
              <w:top w:val="nil"/>
              <w:left w:val="nil"/>
              <w:bottom w:val="single" w:sz="4" w:space="0" w:color="auto"/>
              <w:right w:val="single" w:sz="4" w:space="0" w:color="auto"/>
            </w:tcBorders>
            <w:shd w:val="clear" w:color="auto" w:fill="auto"/>
            <w:noWrap/>
            <w:vAlign w:val="bottom"/>
            <w:hideMark/>
          </w:tcPr>
          <w:p w14:paraId="5A4BF0D6" w14:textId="77777777" w:rsidR="00426116" w:rsidRPr="00BA2A47" w:rsidRDefault="00426116" w:rsidP="006479F8">
            <w:pPr>
              <w:jc w:val="center"/>
              <w:rPr>
                <w:color w:val="000000"/>
              </w:rPr>
            </w:pPr>
            <w:r w:rsidRPr="00BA2A47">
              <w:rPr>
                <w:color w:val="000000"/>
              </w:rPr>
              <w:t>-</w:t>
            </w:r>
          </w:p>
        </w:tc>
        <w:tc>
          <w:tcPr>
            <w:tcW w:w="1530" w:type="dxa"/>
            <w:tcBorders>
              <w:top w:val="nil"/>
              <w:left w:val="nil"/>
              <w:bottom w:val="single" w:sz="4" w:space="0" w:color="auto"/>
              <w:right w:val="single" w:sz="4" w:space="0" w:color="auto"/>
            </w:tcBorders>
            <w:shd w:val="clear" w:color="auto" w:fill="auto"/>
            <w:noWrap/>
            <w:vAlign w:val="bottom"/>
            <w:hideMark/>
          </w:tcPr>
          <w:p w14:paraId="2E6319C9" w14:textId="77777777" w:rsidR="00426116" w:rsidRPr="00BA2A47" w:rsidRDefault="00426116" w:rsidP="006479F8">
            <w:pPr>
              <w:jc w:val="center"/>
              <w:rPr>
                <w:color w:val="000000"/>
              </w:rPr>
            </w:pPr>
            <w:r w:rsidRPr="00BA2A47">
              <w:rPr>
                <w:color w:val="000000"/>
              </w:rPr>
              <w:t>-</w:t>
            </w:r>
          </w:p>
        </w:tc>
      </w:tr>
      <w:tr w:rsidR="00590587" w:rsidRPr="00426116" w14:paraId="5BA1F537" w14:textId="77777777" w:rsidTr="00590587">
        <w:trPr>
          <w:trHeight w:val="300"/>
          <w:jc w:val="center"/>
        </w:trPr>
        <w:tc>
          <w:tcPr>
            <w:tcW w:w="2430" w:type="dxa"/>
            <w:tcBorders>
              <w:top w:val="nil"/>
              <w:left w:val="single" w:sz="4" w:space="0" w:color="auto"/>
              <w:bottom w:val="nil"/>
              <w:right w:val="single" w:sz="4" w:space="0" w:color="auto"/>
            </w:tcBorders>
            <w:shd w:val="clear" w:color="auto" w:fill="auto"/>
            <w:noWrap/>
            <w:vAlign w:val="bottom"/>
            <w:hideMark/>
          </w:tcPr>
          <w:p w14:paraId="1393487D" w14:textId="77777777" w:rsidR="00426116" w:rsidRPr="00BA2A47" w:rsidRDefault="00426116" w:rsidP="00426116">
            <w:pPr>
              <w:rPr>
                <w:color w:val="000000"/>
              </w:rPr>
            </w:pPr>
            <w:r w:rsidRPr="00BA2A47">
              <w:rPr>
                <w:color w:val="000000"/>
              </w:rPr>
              <w:t>San Mateo</w:t>
            </w:r>
          </w:p>
        </w:tc>
        <w:tc>
          <w:tcPr>
            <w:tcW w:w="1620" w:type="dxa"/>
            <w:tcBorders>
              <w:top w:val="nil"/>
              <w:left w:val="nil"/>
              <w:bottom w:val="nil"/>
              <w:right w:val="single" w:sz="4" w:space="0" w:color="auto"/>
            </w:tcBorders>
            <w:shd w:val="clear" w:color="auto" w:fill="auto"/>
            <w:noWrap/>
            <w:vAlign w:val="bottom"/>
            <w:hideMark/>
          </w:tcPr>
          <w:p w14:paraId="1450A8A6" w14:textId="77777777" w:rsidR="00426116" w:rsidRPr="00BA2A47" w:rsidRDefault="00426116" w:rsidP="00426116">
            <w:pPr>
              <w:jc w:val="right"/>
              <w:rPr>
                <w:color w:val="000000"/>
              </w:rPr>
            </w:pPr>
            <w:r w:rsidRPr="00BA2A47">
              <w:rPr>
                <w:color w:val="000000"/>
              </w:rPr>
              <w:t>0.002015566</w:t>
            </w:r>
          </w:p>
        </w:tc>
        <w:tc>
          <w:tcPr>
            <w:tcW w:w="1530" w:type="dxa"/>
            <w:tcBorders>
              <w:top w:val="nil"/>
              <w:left w:val="nil"/>
              <w:bottom w:val="nil"/>
              <w:right w:val="single" w:sz="4" w:space="0" w:color="auto"/>
            </w:tcBorders>
            <w:shd w:val="clear" w:color="auto" w:fill="auto"/>
            <w:noWrap/>
            <w:vAlign w:val="bottom"/>
            <w:hideMark/>
          </w:tcPr>
          <w:p w14:paraId="7562957C" w14:textId="77777777" w:rsidR="00426116" w:rsidRPr="00BA2A47" w:rsidRDefault="00426116" w:rsidP="00426116">
            <w:pPr>
              <w:jc w:val="right"/>
              <w:rPr>
                <w:color w:val="000000"/>
              </w:rPr>
            </w:pPr>
            <w:r w:rsidRPr="00BA2A47">
              <w:rPr>
                <w:color w:val="000000"/>
              </w:rPr>
              <w:t>0.003454585</w:t>
            </w:r>
          </w:p>
        </w:tc>
        <w:tc>
          <w:tcPr>
            <w:tcW w:w="1530" w:type="dxa"/>
            <w:tcBorders>
              <w:top w:val="nil"/>
              <w:left w:val="nil"/>
              <w:bottom w:val="nil"/>
              <w:right w:val="single" w:sz="4" w:space="0" w:color="auto"/>
            </w:tcBorders>
            <w:shd w:val="clear" w:color="auto" w:fill="auto"/>
            <w:noWrap/>
            <w:vAlign w:val="bottom"/>
            <w:hideMark/>
          </w:tcPr>
          <w:p w14:paraId="620DA431" w14:textId="77777777" w:rsidR="00426116" w:rsidRPr="00BA2A47" w:rsidRDefault="00426116" w:rsidP="00426116">
            <w:pPr>
              <w:jc w:val="right"/>
              <w:rPr>
                <w:color w:val="000000"/>
              </w:rPr>
            </w:pPr>
            <w:r w:rsidRPr="00BA2A47">
              <w:rPr>
                <w:color w:val="000000"/>
              </w:rPr>
              <w:t>0.006283256</w:t>
            </w:r>
          </w:p>
        </w:tc>
        <w:tc>
          <w:tcPr>
            <w:tcW w:w="1530" w:type="dxa"/>
            <w:tcBorders>
              <w:top w:val="nil"/>
              <w:left w:val="nil"/>
              <w:bottom w:val="nil"/>
              <w:right w:val="single" w:sz="4" w:space="0" w:color="auto"/>
            </w:tcBorders>
            <w:shd w:val="clear" w:color="auto" w:fill="auto"/>
            <w:noWrap/>
            <w:vAlign w:val="bottom"/>
            <w:hideMark/>
          </w:tcPr>
          <w:p w14:paraId="4060C63D" w14:textId="77777777" w:rsidR="00426116" w:rsidRPr="00BA2A47" w:rsidRDefault="00426116" w:rsidP="00426116">
            <w:pPr>
              <w:jc w:val="right"/>
              <w:rPr>
                <w:color w:val="000000"/>
              </w:rPr>
            </w:pPr>
            <w:r w:rsidRPr="00BA2A47">
              <w:rPr>
                <w:color w:val="000000"/>
              </w:rPr>
              <w:t>0.003094478</w:t>
            </w:r>
          </w:p>
        </w:tc>
      </w:tr>
      <w:tr w:rsidR="00590587" w:rsidRPr="00426116" w14:paraId="6D5B673E" w14:textId="77777777" w:rsidTr="00590587">
        <w:trPr>
          <w:trHeight w:val="300"/>
          <w:jc w:val="center"/>
        </w:trPr>
        <w:tc>
          <w:tcPr>
            <w:tcW w:w="2430" w:type="dxa"/>
            <w:tcBorders>
              <w:top w:val="nil"/>
              <w:left w:val="single" w:sz="4" w:space="0" w:color="auto"/>
              <w:bottom w:val="nil"/>
              <w:right w:val="single" w:sz="4" w:space="0" w:color="auto"/>
            </w:tcBorders>
            <w:shd w:val="clear" w:color="auto" w:fill="auto"/>
            <w:noWrap/>
            <w:vAlign w:val="bottom"/>
            <w:hideMark/>
          </w:tcPr>
          <w:p w14:paraId="6F491DC3" w14:textId="77777777" w:rsidR="00426116" w:rsidRPr="00BA2A47" w:rsidRDefault="00426116" w:rsidP="00426116">
            <w:pPr>
              <w:rPr>
                <w:color w:val="000000"/>
              </w:rPr>
            </w:pPr>
            <w:r w:rsidRPr="00BA2A47">
              <w:rPr>
                <w:color w:val="000000"/>
              </w:rPr>
              <w:t>San Mateo</w:t>
            </w:r>
          </w:p>
        </w:tc>
        <w:tc>
          <w:tcPr>
            <w:tcW w:w="1620" w:type="dxa"/>
            <w:tcBorders>
              <w:top w:val="nil"/>
              <w:left w:val="nil"/>
              <w:bottom w:val="nil"/>
              <w:right w:val="single" w:sz="4" w:space="0" w:color="auto"/>
            </w:tcBorders>
            <w:shd w:val="clear" w:color="auto" w:fill="auto"/>
            <w:noWrap/>
            <w:vAlign w:val="bottom"/>
            <w:hideMark/>
          </w:tcPr>
          <w:p w14:paraId="6307B96C" w14:textId="77777777" w:rsidR="00426116" w:rsidRPr="00BA2A47" w:rsidRDefault="00426116" w:rsidP="00426116">
            <w:pPr>
              <w:jc w:val="right"/>
              <w:rPr>
                <w:color w:val="000000"/>
              </w:rPr>
            </w:pPr>
            <w:r w:rsidRPr="00BA2A47">
              <w:rPr>
                <w:color w:val="000000"/>
              </w:rPr>
              <w:t>0.001610267</w:t>
            </w:r>
          </w:p>
        </w:tc>
        <w:tc>
          <w:tcPr>
            <w:tcW w:w="1530" w:type="dxa"/>
            <w:tcBorders>
              <w:top w:val="nil"/>
              <w:left w:val="nil"/>
              <w:bottom w:val="nil"/>
              <w:right w:val="single" w:sz="4" w:space="0" w:color="auto"/>
            </w:tcBorders>
            <w:shd w:val="clear" w:color="auto" w:fill="auto"/>
            <w:noWrap/>
            <w:vAlign w:val="bottom"/>
            <w:hideMark/>
          </w:tcPr>
          <w:p w14:paraId="3A61608B" w14:textId="77777777" w:rsidR="00426116" w:rsidRPr="00BA2A47" w:rsidRDefault="00426116" w:rsidP="00426116">
            <w:pPr>
              <w:jc w:val="right"/>
              <w:rPr>
                <w:color w:val="000000"/>
              </w:rPr>
            </w:pPr>
            <w:r w:rsidRPr="00BA2A47">
              <w:rPr>
                <w:color w:val="000000"/>
              </w:rPr>
              <w:t>0.005098295</w:t>
            </w:r>
          </w:p>
        </w:tc>
        <w:tc>
          <w:tcPr>
            <w:tcW w:w="1530" w:type="dxa"/>
            <w:tcBorders>
              <w:top w:val="nil"/>
              <w:left w:val="nil"/>
              <w:bottom w:val="nil"/>
              <w:right w:val="single" w:sz="4" w:space="0" w:color="auto"/>
            </w:tcBorders>
            <w:shd w:val="clear" w:color="auto" w:fill="auto"/>
            <w:noWrap/>
            <w:vAlign w:val="bottom"/>
            <w:hideMark/>
          </w:tcPr>
          <w:p w14:paraId="44C17516" w14:textId="77777777" w:rsidR="00426116" w:rsidRPr="00BA2A47" w:rsidRDefault="00426116" w:rsidP="00426116">
            <w:pPr>
              <w:jc w:val="right"/>
              <w:rPr>
                <w:color w:val="000000"/>
              </w:rPr>
            </w:pPr>
            <w:r w:rsidRPr="00BA2A47">
              <w:rPr>
                <w:color w:val="000000"/>
              </w:rPr>
              <w:t>0.007244187</w:t>
            </w:r>
          </w:p>
        </w:tc>
        <w:tc>
          <w:tcPr>
            <w:tcW w:w="1530" w:type="dxa"/>
            <w:tcBorders>
              <w:top w:val="nil"/>
              <w:left w:val="nil"/>
              <w:bottom w:val="nil"/>
              <w:right w:val="single" w:sz="4" w:space="0" w:color="auto"/>
            </w:tcBorders>
            <w:shd w:val="clear" w:color="auto" w:fill="auto"/>
            <w:noWrap/>
            <w:vAlign w:val="bottom"/>
            <w:hideMark/>
          </w:tcPr>
          <w:p w14:paraId="4CB5967F" w14:textId="77777777" w:rsidR="00426116" w:rsidRPr="00BA2A47" w:rsidRDefault="00426116" w:rsidP="00426116">
            <w:pPr>
              <w:jc w:val="right"/>
              <w:rPr>
                <w:color w:val="000000"/>
              </w:rPr>
            </w:pPr>
            <w:r w:rsidRPr="00BA2A47">
              <w:rPr>
                <w:color w:val="000000"/>
              </w:rPr>
              <w:t>0.005104726</w:t>
            </w:r>
          </w:p>
        </w:tc>
      </w:tr>
      <w:tr w:rsidR="00590587" w:rsidRPr="00426116" w14:paraId="32A9E1AA" w14:textId="77777777" w:rsidTr="00590587">
        <w:trPr>
          <w:trHeight w:val="300"/>
          <w:jc w:val="center"/>
        </w:trPr>
        <w:tc>
          <w:tcPr>
            <w:tcW w:w="2430" w:type="dxa"/>
            <w:tcBorders>
              <w:top w:val="nil"/>
              <w:left w:val="single" w:sz="4" w:space="0" w:color="auto"/>
              <w:bottom w:val="nil"/>
              <w:right w:val="single" w:sz="4" w:space="0" w:color="auto"/>
            </w:tcBorders>
            <w:shd w:val="clear" w:color="auto" w:fill="auto"/>
            <w:noWrap/>
            <w:vAlign w:val="bottom"/>
            <w:hideMark/>
          </w:tcPr>
          <w:p w14:paraId="66949EF2" w14:textId="77777777" w:rsidR="00426116" w:rsidRPr="00BA2A47" w:rsidRDefault="00426116" w:rsidP="00426116">
            <w:pPr>
              <w:rPr>
                <w:color w:val="000000"/>
              </w:rPr>
            </w:pPr>
            <w:r w:rsidRPr="00BA2A47">
              <w:rPr>
                <w:color w:val="000000"/>
              </w:rPr>
              <w:t>San Mateo</w:t>
            </w:r>
          </w:p>
        </w:tc>
        <w:tc>
          <w:tcPr>
            <w:tcW w:w="1620" w:type="dxa"/>
            <w:tcBorders>
              <w:top w:val="nil"/>
              <w:left w:val="nil"/>
              <w:bottom w:val="nil"/>
              <w:right w:val="single" w:sz="4" w:space="0" w:color="auto"/>
            </w:tcBorders>
            <w:shd w:val="clear" w:color="auto" w:fill="auto"/>
            <w:noWrap/>
            <w:vAlign w:val="bottom"/>
            <w:hideMark/>
          </w:tcPr>
          <w:p w14:paraId="6EA299A1" w14:textId="77777777" w:rsidR="00426116" w:rsidRPr="00BA2A47" w:rsidRDefault="00426116" w:rsidP="00426116">
            <w:pPr>
              <w:jc w:val="right"/>
              <w:rPr>
                <w:color w:val="000000"/>
              </w:rPr>
            </w:pPr>
            <w:r w:rsidRPr="00BA2A47">
              <w:rPr>
                <w:color w:val="000000"/>
              </w:rPr>
              <w:t>0.004401604</w:t>
            </w:r>
          </w:p>
        </w:tc>
        <w:tc>
          <w:tcPr>
            <w:tcW w:w="1530" w:type="dxa"/>
            <w:tcBorders>
              <w:top w:val="nil"/>
              <w:left w:val="nil"/>
              <w:bottom w:val="nil"/>
              <w:right w:val="single" w:sz="4" w:space="0" w:color="auto"/>
            </w:tcBorders>
            <w:shd w:val="clear" w:color="auto" w:fill="auto"/>
            <w:noWrap/>
            <w:vAlign w:val="bottom"/>
            <w:hideMark/>
          </w:tcPr>
          <w:p w14:paraId="6EECAF05" w14:textId="77777777" w:rsidR="00426116" w:rsidRPr="00BA2A47" w:rsidRDefault="00426116" w:rsidP="00426116">
            <w:pPr>
              <w:jc w:val="right"/>
              <w:rPr>
                <w:color w:val="000000"/>
              </w:rPr>
            </w:pPr>
            <w:r w:rsidRPr="00BA2A47">
              <w:rPr>
                <w:color w:val="000000"/>
              </w:rPr>
              <w:t>0.008940223</w:t>
            </w:r>
          </w:p>
        </w:tc>
        <w:tc>
          <w:tcPr>
            <w:tcW w:w="1530" w:type="dxa"/>
            <w:tcBorders>
              <w:top w:val="nil"/>
              <w:left w:val="nil"/>
              <w:bottom w:val="nil"/>
              <w:right w:val="single" w:sz="4" w:space="0" w:color="auto"/>
            </w:tcBorders>
            <w:shd w:val="clear" w:color="auto" w:fill="auto"/>
            <w:noWrap/>
            <w:vAlign w:val="bottom"/>
            <w:hideMark/>
          </w:tcPr>
          <w:p w14:paraId="090344A3" w14:textId="77777777" w:rsidR="00426116" w:rsidRPr="00BA2A47" w:rsidRDefault="00426116" w:rsidP="00426116">
            <w:pPr>
              <w:jc w:val="right"/>
              <w:rPr>
                <w:color w:val="000000"/>
              </w:rPr>
            </w:pPr>
            <w:r w:rsidRPr="00BA2A47">
              <w:rPr>
                <w:color w:val="000000"/>
              </w:rPr>
              <w:t>0.005703687</w:t>
            </w:r>
          </w:p>
        </w:tc>
        <w:tc>
          <w:tcPr>
            <w:tcW w:w="1530" w:type="dxa"/>
            <w:tcBorders>
              <w:top w:val="nil"/>
              <w:left w:val="nil"/>
              <w:bottom w:val="nil"/>
              <w:right w:val="single" w:sz="4" w:space="0" w:color="auto"/>
            </w:tcBorders>
            <w:shd w:val="clear" w:color="auto" w:fill="auto"/>
            <w:noWrap/>
            <w:vAlign w:val="bottom"/>
            <w:hideMark/>
          </w:tcPr>
          <w:p w14:paraId="5D6CD164" w14:textId="77777777" w:rsidR="00426116" w:rsidRPr="00BA2A47" w:rsidRDefault="00426116" w:rsidP="00426116">
            <w:pPr>
              <w:jc w:val="right"/>
              <w:rPr>
                <w:color w:val="000000"/>
              </w:rPr>
            </w:pPr>
            <w:r w:rsidRPr="00BA2A47">
              <w:rPr>
                <w:color w:val="000000"/>
              </w:rPr>
              <w:t>0.005456581</w:t>
            </w:r>
          </w:p>
        </w:tc>
      </w:tr>
      <w:tr w:rsidR="00590587" w:rsidRPr="00426116" w14:paraId="644E864F" w14:textId="77777777" w:rsidTr="00590587">
        <w:trPr>
          <w:trHeight w:val="30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14:paraId="3A4305A8" w14:textId="77777777" w:rsidR="00426116" w:rsidRPr="00BA2A47" w:rsidRDefault="00426116" w:rsidP="00426116">
            <w:pPr>
              <w:rPr>
                <w:color w:val="000000"/>
              </w:rPr>
            </w:pPr>
            <w:r w:rsidRPr="00BA2A47">
              <w:rPr>
                <w:color w:val="000000"/>
              </w:rPr>
              <w:t>San Mateo</w:t>
            </w:r>
          </w:p>
        </w:tc>
        <w:tc>
          <w:tcPr>
            <w:tcW w:w="1620" w:type="dxa"/>
            <w:tcBorders>
              <w:top w:val="nil"/>
              <w:left w:val="nil"/>
              <w:bottom w:val="single" w:sz="4" w:space="0" w:color="auto"/>
              <w:right w:val="single" w:sz="4" w:space="0" w:color="auto"/>
            </w:tcBorders>
            <w:shd w:val="clear" w:color="auto" w:fill="auto"/>
            <w:noWrap/>
            <w:vAlign w:val="bottom"/>
            <w:hideMark/>
          </w:tcPr>
          <w:p w14:paraId="383CE223" w14:textId="77777777" w:rsidR="00426116" w:rsidRPr="00BA2A47" w:rsidRDefault="00426116" w:rsidP="00426116">
            <w:pPr>
              <w:jc w:val="right"/>
              <w:rPr>
                <w:color w:val="000000"/>
              </w:rPr>
            </w:pPr>
            <w:r w:rsidRPr="00BA2A47">
              <w:rPr>
                <w:color w:val="000000"/>
              </w:rPr>
              <w:t>0.001533621</w:t>
            </w:r>
          </w:p>
        </w:tc>
        <w:tc>
          <w:tcPr>
            <w:tcW w:w="1530" w:type="dxa"/>
            <w:tcBorders>
              <w:top w:val="nil"/>
              <w:left w:val="nil"/>
              <w:bottom w:val="single" w:sz="4" w:space="0" w:color="auto"/>
              <w:right w:val="single" w:sz="4" w:space="0" w:color="auto"/>
            </w:tcBorders>
            <w:shd w:val="clear" w:color="auto" w:fill="auto"/>
            <w:noWrap/>
            <w:vAlign w:val="bottom"/>
            <w:hideMark/>
          </w:tcPr>
          <w:p w14:paraId="12BC25F8" w14:textId="77777777" w:rsidR="00426116" w:rsidRPr="00BA2A47" w:rsidRDefault="00426116" w:rsidP="00426116">
            <w:pPr>
              <w:jc w:val="right"/>
              <w:rPr>
                <w:color w:val="000000"/>
              </w:rPr>
            </w:pPr>
            <w:r w:rsidRPr="00BA2A47">
              <w:rPr>
                <w:color w:val="000000"/>
              </w:rPr>
              <w:t>0.005745627</w:t>
            </w:r>
          </w:p>
        </w:tc>
        <w:tc>
          <w:tcPr>
            <w:tcW w:w="1530" w:type="dxa"/>
            <w:tcBorders>
              <w:top w:val="nil"/>
              <w:left w:val="nil"/>
              <w:bottom w:val="single" w:sz="4" w:space="0" w:color="auto"/>
              <w:right w:val="single" w:sz="4" w:space="0" w:color="auto"/>
            </w:tcBorders>
            <w:shd w:val="clear" w:color="auto" w:fill="auto"/>
            <w:noWrap/>
            <w:vAlign w:val="bottom"/>
            <w:hideMark/>
          </w:tcPr>
          <w:p w14:paraId="570958FC" w14:textId="77777777" w:rsidR="00426116" w:rsidRPr="00BA2A47" w:rsidRDefault="00426116" w:rsidP="00426116">
            <w:pPr>
              <w:jc w:val="right"/>
              <w:rPr>
                <w:color w:val="000000"/>
              </w:rPr>
            </w:pPr>
            <w:r w:rsidRPr="00BA2A47">
              <w:rPr>
                <w:color w:val="000000"/>
              </w:rPr>
              <w:t>0.005194759</w:t>
            </w:r>
          </w:p>
        </w:tc>
        <w:tc>
          <w:tcPr>
            <w:tcW w:w="1530" w:type="dxa"/>
            <w:tcBorders>
              <w:top w:val="nil"/>
              <w:left w:val="nil"/>
              <w:bottom w:val="single" w:sz="4" w:space="0" w:color="auto"/>
              <w:right w:val="single" w:sz="4" w:space="0" w:color="auto"/>
            </w:tcBorders>
            <w:shd w:val="clear" w:color="auto" w:fill="auto"/>
            <w:noWrap/>
            <w:vAlign w:val="bottom"/>
            <w:hideMark/>
          </w:tcPr>
          <w:p w14:paraId="1CA796BD" w14:textId="77777777" w:rsidR="00426116" w:rsidRPr="00BA2A47" w:rsidRDefault="00426116" w:rsidP="00426116">
            <w:pPr>
              <w:jc w:val="right"/>
              <w:rPr>
                <w:color w:val="000000"/>
              </w:rPr>
            </w:pPr>
            <w:r w:rsidRPr="00BA2A47">
              <w:rPr>
                <w:color w:val="000000"/>
              </w:rPr>
              <w:t>0.005324376</w:t>
            </w:r>
          </w:p>
        </w:tc>
      </w:tr>
      <w:tr w:rsidR="00590587" w:rsidRPr="00426116" w14:paraId="3E632425" w14:textId="77777777" w:rsidTr="00590587">
        <w:trPr>
          <w:trHeight w:val="300"/>
          <w:jc w:val="center"/>
        </w:trPr>
        <w:tc>
          <w:tcPr>
            <w:tcW w:w="2430" w:type="dxa"/>
            <w:tcBorders>
              <w:top w:val="nil"/>
              <w:left w:val="single" w:sz="4" w:space="0" w:color="auto"/>
              <w:bottom w:val="nil"/>
              <w:right w:val="single" w:sz="4" w:space="0" w:color="auto"/>
            </w:tcBorders>
            <w:shd w:val="clear" w:color="auto" w:fill="auto"/>
            <w:noWrap/>
            <w:vAlign w:val="bottom"/>
            <w:hideMark/>
          </w:tcPr>
          <w:p w14:paraId="338360A3" w14:textId="77777777" w:rsidR="00426116" w:rsidRPr="00BA2A47" w:rsidRDefault="00426116" w:rsidP="00426116">
            <w:pPr>
              <w:rPr>
                <w:color w:val="000000"/>
              </w:rPr>
            </w:pPr>
            <w:r w:rsidRPr="00BA2A47">
              <w:rPr>
                <w:color w:val="000000"/>
              </w:rPr>
              <w:t>SASM</w:t>
            </w:r>
          </w:p>
        </w:tc>
        <w:tc>
          <w:tcPr>
            <w:tcW w:w="1620" w:type="dxa"/>
            <w:tcBorders>
              <w:top w:val="nil"/>
              <w:left w:val="nil"/>
              <w:bottom w:val="nil"/>
              <w:right w:val="single" w:sz="4" w:space="0" w:color="auto"/>
            </w:tcBorders>
            <w:shd w:val="clear" w:color="auto" w:fill="auto"/>
            <w:noWrap/>
            <w:vAlign w:val="bottom"/>
            <w:hideMark/>
          </w:tcPr>
          <w:p w14:paraId="521F222F" w14:textId="77777777" w:rsidR="00426116" w:rsidRPr="00BA2A47" w:rsidRDefault="00426116" w:rsidP="00426116">
            <w:pPr>
              <w:jc w:val="right"/>
              <w:rPr>
                <w:color w:val="000000"/>
              </w:rPr>
            </w:pPr>
            <w:r w:rsidRPr="00BA2A47">
              <w:rPr>
                <w:color w:val="000000"/>
              </w:rPr>
              <w:t>0.004598506</w:t>
            </w:r>
          </w:p>
        </w:tc>
        <w:tc>
          <w:tcPr>
            <w:tcW w:w="1530" w:type="dxa"/>
            <w:tcBorders>
              <w:top w:val="nil"/>
              <w:left w:val="nil"/>
              <w:bottom w:val="nil"/>
              <w:right w:val="single" w:sz="4" w:space="0" w:color="auto"/>
            </w:tcBorders>
            <w:shd w:val="clear" w:color="auto" w:fill="auto"/>
            <w:noWrap/>
            <w:vAlign w:val="bottom"/>
            <w:hideMark/>
          </w:tcPr>
          <w:p w14:paraId="0F6F3E2B" w14:textId="77777777" w:rsidR="00426116" w:rsidRPr="00BA2A47" w:rsidRDefault="00426116" w:rsidP="00426116">
            <w:pPr>
              <w:jc w:val="right"/>
              <w:rPr>
                <w:color w:val="000000"/>
              </w:rPr>
            </w:pPr>
            <w:r w:rsidRPr="00BA2A47">
              <w:rPr>
                <w:color w:val="000000"/>
              </w:rPr>
              <w:t>0.004239067</w:t>
            </w:r>
          </w:p>
        </w:tc>
        <w:tc>
          <w:tcPr>
            <w:tcW w:w="1530" w:type="dxa"/>
            <w:tcBorders>
              <w:top w:val="nil"/>
              <w:left w:val="nil"/>
              <w:bottom w:val="nil"/>
              <w:right w:val="single" w:sz="4" w:space="0" w:color="auto"/>
            </w:tcBorders>
            <w:shd w:val="clear" w:color="auto" w:fill="auto"/>
            <w:noWrap/>
            <w:vAlign w:val="bottom"/>
            <w:hideMark/>
          </w:tcPr>
          <w:p w14:paraId="39B0A9F9" w14:textId="77777777" w:rsidR="00426116" w:rsidRPr="00BA2A47" w:rsidRDefault="00426116" w:rsidP="00426116">
            <w:pPr>
              <w:jc w:val="right"/>
              <w:rPr>
                <w:color w:val="000000"/>
              </w:rPr>
            </w:pPr>
            <w:r w:rsidRPr="00BA2A47">
              <w:rPr>
                <w:color w:val="000000"/>
              </w:rPr>
              <w:t>0.003155624</w:t>
            </w:r>
          </w:p>
        </w:tc>
        <w:tc>
          <w:tcPr>
            <w:tcW w:w="1530" w:type="dxa"/>
            <w:tcBorders>
              <w:top w:val="nil"/>
              <w:left w:val="nil"/>
              <w:bottom w:val="nil"/>
              <w:right w:val="single" w:sz="4" w:space="0" w:color="auto"/>
            </w:tcBorders>
            <w:shd w:val="clear" w:color="auto" w:fill="auto"/>
            <w:noWrap/>
            <w:vAlign w:val="bottom"/>
            <w:hideMark/>
          </w:tcPr>
          <w:p w14:paraId="497591B2" w14:textId="77777777" w:rsidR="00426116" w:rsidRPr="00BA2A47" w:rsidRDefault="00426116" w:rsidP="00426116">
            <w:pPr>
              <w:jc w:val="right"/>
              <w:rPr>
                <w:color w:val="000000"/>
              </w:rPr>
            </w:pPr>
            <w:r w:rsidRPr="00BA2A47">
              <w:rPr>
                <w:color w:val="000000"/>
              </w:rPr>
              <w:t>0.003602825</w:t>
            </w:r>
          </w:p>
        </w:tc>
      </w:tr>
      <w:tr w:rsidR="00590587" w:rsidRPr="00426116" w14:paraId="5BC30041" w14:textId="77777777" w:rsidTr="00590587">
        <w:trPr>
          <w:trHeight w:val="30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14:paraId="7C6E680B" w14:textId="77777777" w:rsidR="00426116" w:rsidRPr="00BA2A47" w:rsidRDefault="00426116" w:rsidP="00426116">
            <w:pPr>
              <w:rPr>
                <w:color w:val="000000"/>
              </w:rPr>
            </w:pPr>
            <w:r w:rsidRPr="00BA2A47">
              <w:rPr>
                <w:color w:val="000000"/>
              </w:rPr>
              <w:t>SASM</w:t>
            </w:r>
          </w:p>
        </w:tc>
        <w:tc>
          <w:tcPr>
            <w:tcW w:w="1620" w:type="dxa"/>
            <w:tcBorders>
              <w:top w:val="nil"/>
              <w:left w:val="nil"/>
              <w:bottom w:val="single" w:sz="4" w:space="0" w:color="auto"/>
              <w:right w:val="single" w:sz="4" w:space="0" w:color="auto"/>
            </w:tcBorders>
            <w:shd w:val="clear" w:color="auto" w:fill="auto"/>
            <w:noWrap/>
            <w:vAlign w:val="bottom"/>
            <w:hideMark/>
          </w:tcPr>
          <w:p w14:paraId="329A6E93" w14:textId="77777777" w:rsidR="00426116" w:rsidRPr="00BA2A47" w:rsidRDefault="00426116" w:rsidP="00426116">
            <w:pPr>
              <w:jc w:val="right"/>
              <w:rPr>
                <w:color w:val="000000"/>
              </w:rPr>
            </w:pPr>
            <w:r w:rsidRPr="00BA2A47">
              <w:rPr>
                <w:color w:val="000000"/>
              </w:rPr>
              <w:t>0.002120129</w:t>
            </w:r>
          </w:p>
        </w:tc>
        <w:tc>
          <w:tcPr>
            <w:tcW w:w="1530" w:type="dxa"/>
            <w:tcBorders>
              <w:top w:val="nil"/>
              <w:left w:val="nil"/>
              <w:bottom w:val="single" w:sz="4" w:space="0" w:color="auto"/>
              <w:right w:val="single" w:sz="4" w:space="0" w:color="auto"/>
            </w:tcBorders>
            <w:shd w:val="clear" w:color="auto" w:fill="auto"/>
            <w:noWrap/>
            <w:vAlign w:val="bottom"/>
            <w:hideMark/>
          </w:tcPr>
          <w:p w14:paraId="6990CB8D" w14:textId="77777777" w:rsidR="00426116" w:rsidRPr="00BA2A47" w:rsidRDefault="00426116" w:rsidP="00426116">
            <w:pPr>
              <w:jc w:val="right"/>
              <w:rPr>
                <w:color w:val="000000"/>
              </w:rPr>
            </w:pPr>
            <w:r w:rsidRPr="00BA2A47">
              <w:rPr>
                <w:color w:val="000000"/>
              </w:rPr>
              <w:t>0.003810661</w:t>
            </w:r>
          </w:p>
        </w:tc>
        <w:tc>
          <w:tcPr>
            <w:tcW w:w="1530" w:type="dxa"/>
            <w:tcBorders>
              <w:top w:val="nil"/>
              <w:left w:val="nil"/>
              <w:bottom w:val="single" w:sz="4" w:space="0" w:color="auto"/>
              <w:right w:val="single" w:sz="4" w:space="0" w:color="auto"/>
            </w:tcBorders>
            <w:shd w:val="clear" w:color="auto" w:fill="auto"/>
            <w:noWrap/>
            <w:vAlign w:val="bottom"/>
            <w:hideMark/>
          </w:tcPr>
          <w:p w14:paraId="72DDCB5E" w14:textId="77777777" w:rsidR="00426116" w:rsidRPr="00BA2A47" w:rsidRDefault="00426116" w:rsidP="00426116">
            <w:pPr>
              <w:jc w:val="right"/>
              <w:rPr>
                <w:color w:val="000000"/>
              </w:rPr>
            </w:pPr>
            <w:r w:rsidRPr="00BA2A47">
              <w:rPr>
                <w:color w:val="000000"/>
              </w:rPr>
              <w:t>0.001941614</w:t>
            </w:r>
          </w:p>
        </w:tc>
        <w:tc>
          <w:tcPr>
            <w:tcW w:w="1530" w:type="dxa"/>
            <w:tcBorders>
              <w:top w:val="nil"/>
              <w:left w:val="nil"/>
              <w:bottom w:val="single" w:sz="4" w:space="0" w:color="auto"/>
              <w:right w:val="single" w:sz="4" w:space="0" w:color="auto"/>
            </w:tcBorders>
            <w:shd w:val="clear" w:color="auto" w:fill="auto"/>
            <w:noWrap/>
            <w:vAlign w:val="bottom"/>
            <w:hideMark/>
          </w:tcPr>
          <w:p w14:paraId="41CFCB9C" w14:textId="77777777" w:rsidR="00426116" w:rsidRPr="00BA2A47" w:rsidRDefault="00426116" w:rsidP="00426116">
            <w:pPr>
              <w:jc w:val="right"/>
              <w:rPr>
                <w:color w:val="000000"/>
              </w:rPr>
            </w:pPr>
            <w:r w:rsidRPr="00BA2A47">
              <w:rPr>
                <w:color w:val="000000"/>
              </w:rPr>
              <w:t>0.003425009</w:t>
            </w:r>
          </w:p>
        </w:tc>
      </w:tr>
      <w:tr w:rsidR="00590587" w:rsidRPr="00426116" w14:paraId="56F263F0" w14:textId="77777777" w:rsidTr="00590587">
        <w:trPr>
          <w:trHeight w:val="300"/>
          <w:jc w:val="center"/>
        </w:trPr>
        <w:tc>
          <w:tcPr>
            <w:tcW w:w="2430" w:type="dxa"/>
            <w:tcBorders>
              <w:top w:val="nil"/>
              <w:left w:val="single" w:sz="4" w:space="0" w:color="auto"/>
              <w:bottom w:val="nil"/>
              <w:right w:val="single" w:sz="4" w:space="0" w:color="auto"/>
            </w:tcBorders>
            <w:shd w:val="clear" w:color="auto" w:fill="auto"/>
            <w:noWrap/>
            <w:vAlign w:val="bottom"/>
            <w:hideMark/>
          </w:tcPr>
          <w:p w14:paraId="62ED9C9F" w14:textId="77777777" w:rsidR="00426116" w:rsidRPr="00BA2A47" w:rsidRDefault="00426116" w:rsidP="00426116">
            <w:pPr>
              <w:rPr>
                <w:color w:val="000000"/>
              </w:rPr>
            </w:pPr>
            <w:r w:rsidRPr="00BA2A47">
              <w:rPr>
                <w:color w:val="000000"/>
              </w:rPr>
              <w:t>Sausalito-Marin</w:t>
            </w:r>
          </w:p>
        </w:tc>
        <w:tc>
          <w:tcPr>
            <w:tcW w:w="1620" w:type="dxa"/>
            <w:tcBorders>
              <w:top w:val="nil"/>
              <w:left w:val="nil"/>
              <w:bottom w:val="nil"/>
              <w:right w:val="single" w:sz="4" w:space="0" w:color="auto"/>
            </w:tcBorders>
            <w:shd w:val="clear" w:color="auto" w:fill="auto"/>
            <w:noWrap/>
            <w:vAlign w:val="bottom"/>
            <w:hideMark/>
          </w:tcPr>
          <w:p w14:paraId="509E65E3" w14:textId="77777777" w:rsidR="00426116" w:rsidRPr="00BA2A47" w:rsidRDefault="00426116" w:rsidP="00426116">
            <w:pPr>
              <w:jc w:val="right"/>
              <w:rPr>
                <w:color w:val="000000"/>
              </w:rPr>
            </w:pPr>
            <w:r w:rsidRPr="00BA2A47">
              <w:rPr>
                <w:color w:val="000000"/>
              </w:rPr>
              <w:t>0.001869741</w:t>
            </w:r>
          </w:p>
        </w:tc>
        <w:tc>
          <w:tcPr>
            <w:tcW w:w="1530" w:type="dxa"/>
            <w:tcBorders>
              <w:top w:val="nil"/>
              <w:left w:val="nil"/>
              <w:bottom w:val="nil"/>
              <w:right w:val="single" w:sz="4" w:space="0" w:color="auto"/>
            </w:tcBorders>
            <w:shd w:val="clear" w:color="auto" w:fill="auto"/>
            <w:noWrap/>
            <w:vAlign w:val="bottom"/>
            <w:hideMark/>
          </w:tcPr>
          <w:p w14:paraId="67B7A568" w14:textId="77777777" w:rsidR="00426116" w:rsidRPr="00BA2A47" w:rsidRDefault="00426116" w:rsidP="00426116">
            <w:pPr>
              <w:jc w:val="right"/>
              <w:rPr>
                <w:color w:val="000000"/>
              </w:rPr>
            </w:pPr>
            <w:r w:rsidRPr="00BA2A47">
              <w:rPr>
                <w:color w:val="000000"/>
              </w:rPr>
              <w:t>0.003155468</w:t>
            </w:r>
          </w:p>
        </w:tc>
        <w:tc>
          <w:tcPr>
            <w:tcW w:w="1530" w:type="dxa"/>
            <w:tcBorders>
              <w:top w:val="nil"/>
              <w:left w:val="nil"/>
              <w:bottom w:val="nil"/>
              <w:right w:val="single" w:sz="4" w:space="0" w:color="auto"/>
            </w:tcBorders>
            <w:shd w:val="clear" w:color="auto" w:fill="auto"/>
            <w:noWrap/>
            <w:vAlign w:val="bottom"/>
            <w:hideMark/>
          </w:tcPr>
          <w:p w14:paraId="0B516EDC" w14:textId="77777777" w:rsidR="00426116" w:rsidRPr="00BA2A47" w:rsidRDefault="00426116" w:rsidP="00426116">
            <w:pPr>
              <w:jc w:val="right"/>
              <w:rPr>
                <w:color w:val="000000"/>
              </w:rPr>
            </w:pPr>
            <w:r w:rsidRPr="00BA2A47">
              <w:rPr>
                <w:color w:val="000000"/>
              </w:rPr>
              <w:t>0.001941475</w:t>
            </w:r>
          </w:p>
        </w:tc>
        <w:tc>
          <w:tcPr>
            <w:tcW w:w="1530" w:type="dxa"/>
            <w:tcBorders>
              <w:top w:val="nil"/>
              <w:left w:val="nil"/>
              <w:bottom w:val="nil"/>
              <w:right w:val="single" w:sz="4" w:space="0" w:color="auto"/>
            </w:tcBorders>
            <w:shd w:val="clear" w:color="auto" w:fill="auto"/>
            <w:noWrap/>
            <w:vAlign w:val="bottom"/>
            <w:hideMark/>
          </w:tcPr>
          <w:p w14:paraId="4E16ACDC" w14:textId="77777777" w:rsidR="00426116" w:rsidRPr="00BA2A47" w:rsidRDefault="00426116" w:rsidP="006479F8">
            <w:pPr>
              <w:jc w:val="center"/>
              <w:rPr>
                <w:color w:val="000000"/>
              </w:rPr>
            </w:pPr>
            <w:r w:rsidRPr="00BA2A47">
              <w:rPr>
                <w:color w:val="000000"/>
              </w:rPr>
              <w:t>-</w:t>
            </w:r>
          </w:p>
        </w:tc>
      </w:tr>
      <w:tr w:rsidR="00590587" w:rsidRPr="00426116" w14:paraId="22F83E03" w14:textId="77777777" w:rsidTr="00590587">
        <w:trPr>
          <w:trHeight w:val="30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14:paraId="2BF0DD3C" w14:textId="77777777" w:rsidR="00426116" w:rsidRPr="00BA2A47" w:rsidRDefault="00426116" w:rsidP="00426116">
            <w:pPr>
              <w:rPr>
                <w:color w:val="000000"/>
              </w:rPr>
            </w:pPr>
            <w:r w:rsidRPr="00BA2A47">
              <w:rPr>
                <w:color w:val="000000"/>
              </w:rPr>
              <w:t>Sausalito-Marin</w:t>
            </w:r>
          </w:p>
        </w:tc>
        <w:tc>
          <w:tcPr>
            <w:tcW w:w="1620" w:type="dxa"/>
            <w:tcBorders>
              <w:top w:val="nil"/>
              <w:left w:val="nil"/>
              <w:bottom w:val="single" w:sz="4" w:space="0" w:color="auto"/>
              <w:right w:val="single" w:sz="4" w:space="0" w:color="auto"/>
            </w:tcBorders>
            <w:shd w:val="clear" w:color="auto" w:fill="auto"/>
            <w:noWrap/>
            <w:vAlign w:val="bottom"/>
            <w:hideMark/>
          </w:tcPr>
          <w:p w14:paraId="5264019D" w14:textId="77777777" w:rsidR="00426116" w:rsidRPr="00BA2A47" w:rsidRDefault="00426116" w:rsidP="00426116">
            <w:pPr>
              <w:jc w:val="right"/>
              <w:rPr>
                <w:color w:val="000000"/>
              </w:rPr>
            </w:pPr>
            <w:r w:rsidRPr="00BA2A47">
              <w:rPr>
                <w:color w:val="000000"/>
              </w:rPr>
              <w:t>0.002131512</w:t>
            </w:r>
          </w:p>
        </w:tc>
        <w:tc>
          <w:tcPr>
            <w:tcW w:w="1530" w:type="dxa"/>
            <w:tcBorders>
              <w:top w:val="nil"/>
              <w:left w:val="nil"/>
              <w:bottom w:val="single" w:sz="4" w:space="0" w:color="auto"/>
              <w:right w:val="single" w:sz="4" w:space="0" w:color="auto"/>
            </w:tcBorders>
            <w:shd w:val="clear" w:color="auto" w:fill="auto"/>
            <w:noWrap/>
            <w:vAlign w:val="bottom"/>
            <w:hideMark/>
          </w:tcPr>
          <w:p w14:paraId="619ED46D" w14:textId="77777777" w:rsidR="00426116" w:rsidRPr="00BA2A47" w:rsidRDefault="00426116" w:rsidP="00426116">
            <w:pPr>
              <w:jc w:val="right"/>
              <w:rPr>
                <w:color w:val="000000"/>
              </w:rPr>
            </w:pPr>
            <w:r w:rsidRPr="00BA2A47">
              <w:rPr>
                <w:color w:val="000000"/>
              </w:rPr>
              <w:t>0.002195343</w:t>
            </w:r>
          </w:p>
        </w:tc>
        <w:tc>
          <w:tcPr>
            <w:tcW w:w="1530" w:type="dxa"/>
            <w:tcBorders>
              <w:top w:val="nil"/>
              <w:left w:val="nil"/>
              <w:bottom w:val="single" w:sz="4" w:space="0" w:color="auto"/>
              <w:right w:val="single" w:sz="4" w:space="0" w:color="auto"/>
            </w:tcBorders>
            <w:shd w:val="clear" w:color="auto" w:fill="auto"/>
            <w:noWrap/>
            <w:vAlign w:val="bottom"/>
            <w:hideMark/>
          </w:tcPr>
          <w:p w14:paraId="2548451F" w14:textId="77777777" w:rsidR="00426116" w:rsidRPr="00BA2A47" w:rsidRDefault="00426116" w:rsidP="00426116">
            <w:pPr>
              <w:jc w:val="right"/>
              <w:rPr>
                <w:color w:val="000000"/>
              </w:rPr>
            </w:pPr>
            <w:r w:rsidRPr="00BA2A47">
              <w:rPr>
                <w:color w:val="000000"/>
              </w:rPr>
              <w:t>0.001243779</w:t>
            </w:r>
          </w:p>
        </w:tc>
        <w:tc>
          <w:tcPr>
            <w:tcW w:w="1530" w:type="dxa"/>
            <w:tcBorders>
              <w:top w:val="nil"/>
              <w:left w:val="nil"/>
              <w:bottom w:val="single" w:sz="4" w:space="0" w:color="auto"/>
              <w:right w:val="single" w:sz="4" w:space="0" w:color="auto"/>
            </w:tcBorders>
            <w:shd w:val="clear" w:color="auto" w:fill="auto"/>
            <w:noWrap/>
            <w:vAlign w:val="bottom"/>
            <w:hideMark/>
          </w:tcPr>
          <w:p w14:paraId="609082D6" w14:textId="77777777" w:rsidR="00426116" w:rsidRPr="00BA2A47" w:rsidRDefault="00426116" w:rsidP="00426116">
            <w:pPr>
              <w:jc w:val="right"/>
              <w:rPr>
                <w:color w:val="000000"/>
              </w:rPr>
            </w:pPr>
            <w:r w:rsidRPr="00BA2A47">
              <w:rPr>
                <w:color w:val="000000"/>
              </w:rPr>
              <w:t>0.003605147</w:t>
            </w:r>
          </w:p>
        </w:tc>
      </w:tr>
      <w:tr w:rsidR="00590587" w:rsidRPr="00426116" w14:paraId="336D7627" w14:textId="77777777" w:rsidTr="00590587">
        <w:trPr>
          <w:trHeight w:val="30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14:paraId="286FACA4" w14:textId="77777777" w:rsidR="00426116" w:rsidRPr="00BA2A47" w:rsidRDefault="00426116" w:rsidP="00426116">
            <w:pPr>
              <w:rPr>
                <w:color w:val="000000"/>
              </w:rPr>
            </w:pPr>
            <w:r w:rsidRPr="00BA2A47">
              <w:rPr>
                <w:color w:val="000000"/>
              </w:rPr>
              <w:t>SD #5 - Paradise Cove</w:t>
            </w:r>
          </w:p>
        </w:tc>
        <w:tc>
          <w:tcPr>
            <w:tcW w:w="1620" w:type="dxa"/>
            <w:tcBorders>
              <w:top w:val="nil"/>
              <w:left w:val="nil"/>
              <w:bottom w:val="single" w:sz="4" w:space="0" w:color="auto"/>
              <w:right w:val="single" w:sz="4" w:space="0" w:color="auto"/>
            </w:tcBorders>
            <w:shd w:val="clear" w:color="auto" w:fill="auto"/>
            <w:noWrap/>
            <w:vAlign w:val="bottom"/>
            <w:hideMark/>
          </w:tcPr>
          <w:p w14:paraId="5F3EE837" w14:textId="77777777" w:rsidR="00426116" w:rsidRPr="00BA2A47" w:rsidRDefault="00426116" w:rsidP="00426116">
            <w:pPr>
              <w:jc w:val="right"/>
              <w:rPr>
                <w:color w:val="000000"/>
              </w:rPr>
            </w:pPr>
            <w:r w:rsidRPr="00BA2A47">
              <w:rPr>
                <w:color w:val="000000"/>
              </w:rPr>
              <w:t>1.68706E-05</w:t>
            </w:r>
          </w:p>
        </w:tc>
        <w:tc>
          <w:tcPr>
            <w:tcW w:w="1530" w:type="dxa"/>
            <w:tcBorders>
              <w:top w:val="nil"/>
              <w:left w:val="nil"/>
              <w:bottom w:val="single" w:sz="4" w:space="0" w:color="auto"/>
              <w:right w:val="single" w:sz="4" w:space="0" w:color="auto"/>
            </w:tcBorders>
            <w:shd w:val="clear" w:color="auto" w:fill="auto"/>
            <w:noWrap/>
            <w:vAlign w:val="bottom"/>
            <w:hideMark/>
          </w:tcPr>
          <w:p w14:paraId="0B5F819E" w14:textId="77777777" w:rsidR="00426116" w:rsidRPr="00BA2A47" w:rsidRDefault="00426116" w:rsidP="00426116">
            <w:pPr>
              <w:jc w:val="right"/>
              <w:rPr>
                <w:color w:val="000000"/>
              </w:rPr>
            </w:pPr>
            <w:r w:rsidRPr="00BA2A47">
              <w:rPr>
                <w:color w:val="000000"/>
              </w:rPr>
              <w:t>4.83457E-05</w:t>
            </w:r>
          </w:p>
        </w:tc>
        <w:tc>
          <w:tcPr>
            <w:tcW w:w="1530" w:type="dxa"/>
            <w:tcBorders>
              <w:top w:val="nil"/>
              <w:left w:val="nil"/>
              <w:bottom w:val="single" w:sz="4" w:space="0" w:color="auto"/>
              <w:right w:val="single" w:sz="4" w:space="0" w:color="auto"/>
            </w:tcBorders>
            <w:shd w:val="clear" w:color="auto" w:fill="auto"/>
            <w:noWrap/>
            <w:vAlign w:val="bottom"/>
            <w:hideMark/>
          </w:tcPr>
          <w:p w14:paraId="69FC32A2" w14:textId="77777777" w:rsidR="00426116" w:rsidRPr="00BA2A47" w:rsidRDefault="00426116" w:rsidP="00426116">
            <w:pPr>
              <w:jc w:val="right"/>
              <w:rPr>
                <w:color w:val="000000"/>
              </w:rPr>
            </w:pPr>
            <w:r w:rsidRPr="00BA2A47">
              <w:rPr>
                <w:color w:val="000000"/>
              </w:rPr>
              <w:t>3.11404E-05</w:t>
            </w:r>
          </w:p>
        </w:tc>
        <w:tc>
          <w:tcPr>
            <w:tcW w:w="1530" w:type="dxa"/>
            <w:tcBorders>
              <w:top w:val="nil"/>
              <w:left w:val="nil"/>
              <w:bottom w:val="single" w:sz="4" w:space="0" w:color="auto"/>
              <w:right w:val="single" w:sz="4" w:space="0" w:color="auto"/>
            </w:tcBorders>
            <w:shd w:val="clear" w:color="auto" w:fill="auto"/>
            <w:noWrap/>
            <w:vAlign w:val="bottom"/>
            <w:hideMark/>
          </w:tcPr>
          <w:p w14:paraId="0B2F5F73" w14:textId="77777777" w:rsidR="00426116" w:rsidRPr="00BA2A47" w:rsidRDefault="00426116" w:rsidP="00426116">
            <w:pPr>
              <w:jc w:val="right"/>
              <w:rPr>
                <w:color w:val="000000"/>
              </w:rPr>
            </w:pPr>
            <w:r w:rsidRPr="00BA2A47">
              <w:rPr>
                <w:color w:val="000000"/>
              </w:rPr>
              <w:t>0.000309092</w:t>
            </w:r>
          </w:p>
        </w:tc>
      </w:tr>
      <w:tr w:rsidR="00590587" w:rsidRPr="00426116" w14:paraId="465408C6" w14:textId="77777777" w:rsidTr="00590587">
        <w:trPr>
          <w:trHeight w:val="300"/>
          <w:jc w:val="center"/>
        </w:trPr>
        <w:tc>
          <w:tcPr>
            <w:tcW w:w="2430" w:type="dxa"/>
            <w:tcBorders>
              <w:top w:val="nil"/>
              <w:left w:val="single" w:sz="4" w:space="0" w:color="auto"/>
              <w:bottom w:val="nil"/>
              <w:right w:val="single" w:sz="4" w:space="0" w:color="auto"/>
            </w:tcBorders>
            <w:shd w:val="clear" w:color="auto" w:fill="auto"/>
            <w:noWrap/>
            <w:vAlign w:val="bottom"/>
            <w:hideMark/>
          </w:tcPr>
          <w:p w14:paraId="095A7290" w14:textId="77777777" w:rsidR="00426116" w:rsidRPr="00BA2A47" w:rsidRDefault="00426116" w:rsidP="00426116">
            <w:pPr>
              <w:rPr>
                <w:color w:val="000000"/>
              </w:rPr>
            </w:pPr>
            <w:r w:rsidRPr="00BA2A47">
              <w:rPr>
                <w:color w:val="000000"/>
              </w:rPr>
              <w:t>SD #5 - Tiburon</w:t>
            </w:r>
          </w:p>
        </w:tc>
        <w:tc>
          <w:tcPr>
            <w:tcW w:w="1620" w:type="dxa"/>
            <w:tcBorders>
              <w:top w:val="nil"/>
              <w:left w:val="nil"/>
              <w:bottom w:val="nil"/>
              <w:right w:val="single" w:sz="4" w:space="0" w:color="auto"/>
            </w:tcBorders>
            <w:shd w:val="clear" w:color="auto" w:fill="auto"/>
            <w:noWrap/>
            <w:vAlign w:val="bottom"/>
            <w:hideMark/>
          </w:tcPr>
          <w:p w14:paraId="6DE9C139" w14:textId="77777777" w:rsidR="00426116" w:rsidRPr="00BA2A47" w:rsidRDefault="00426116" w:rsidP="00426116">
            <w:pPr>
              <w:jc w:val="right"/>
              <w:rPr>
                <w:color w:val="000000"/>
              </w:rPr>
            </w:pPr>
            <w:r w:rsidRPr="00BA2A47">
              <w:rPr>
                <w:color w:val="000000"/>
              </w:rPr>
              <w:t>0.000216382</w:t>
            </w:r>
          </w:p>
        </w:tc>
        <w:tc>
          <w:tcPr>
            <w:tcW w:w="1530" w:type="dxa"/>
            <w:tcBorders>
              <w:top w:val="nil"/>
              <w:left w:val="nil"/>
              <w:bottom w:val="nil"/>
              <w:right w:val="single" w:sz="4" w:space="0" w:color="auto"/>
            </w:tcBorders>
            <w:shd w:val="clear" w:color="auto" w:fill="auto"/>
            <w:noWrap/>
            <w:vAlign w:val="bottom"/>
            <w:hideMark/>
          </w:tcPr>
          <w:p w14:paraId="3BA6896A" w14:textId="77777777" w:rsidR="00426116" w:rsidRPr="00BA2A47" w:rsidRDefault="00426116" w:rsidP="00426116">
            <w:pPr>
              <w:jc w:val="right"/>
              <w:rPr>
                <w:color w:val="000000"/>
              </w:rPr>
            </w:pPr>
            <w:r w:rsidRPr="00BA2A47">
              <w:rPr>
                <w:color w:val="000000"/>
              </w:rPr>
              <w:t>0.000632623</w:t>
            </w:r>
          </w:p>
        </w:tc>
        <w:tc>
          <w:tcPr>
            <w:tcW w:w="1530" w:type="dxa"/>
            <w:tcBorders>
              <w:top w:val="nil"/>
              <w:left w:val="nil"/>
              <w:bottom w:val="nil"/>
              <w:right w:val="single" w:sz="4" w:space="0" w:color="auto"/>
            </w:tcBorders>
            <w:shd w:val="clear" w:color="auto" w:fill="auto"/>
            <w:noWrap/>
            <w:vAlign w:val="bottom"/>
            <w:hideMark/>
          </w:tcPr>
          <w:p w14:paraId="7EF27BF3" w14:textId="77777777" w:rsidR="00426116" w:rsidRPr="00BA2A47" w:rsidRDefault="00426116" w:rsidP="00426116">
            <w:pPr>
              <w:jc w:val="right"/>
              <w:rPr>
                <w:color w:val="000000"/>
              </w:rPr>
            </w:pPr>
            <w:r w:rsidRPr="00BA2A47">
              <w:rPr>
                <w:color w:val="000000"/>
              </w:rPr>
              <w:t>0.000697987</w:t>
            </w:r>
          </w:p>
        </w:tc>
        <w:tc>
          <w:tcPr>
            <w:tcW w:w="1530" w:type="dxa"/>
            <w:tcBorders>
              <w:top w:val="nil"/>
              <w:left w:val="nil"/>
              <w:bottom w:val="nil"/>
              <w:right w:val="single" w:sz="4" w:space="0" w:color="auto"/>
            </w:tcBorders>
            <w:shd w:val="clear" w:color="auto" w:fill="auto"/>
            <w:noWrap/>
            <w:vAlign w:val="bottom"/>
            <w:hideMark/>
          </w:tcPr>
          <w:p w14:paraId="378A0E51" w14:textId="77777777" w:rsidR="00426116" w:rsidRPr="00BA2A47" w:rsidRDefault="00426116" w:rsidP="00426116">
            <w:pPr>
              <w:jc w:val="right"/>
              <w:rPr>
                <w:color w:val="000000"/>
              </w:rPr>
            </w:pPr>
            <w:r w:rsidRPr="00BA2A47">
              <w:rPr>
                <w:color w:val="000000"/>
              </w:rPr>
              <w:t>0.002652883</w:t>
            </w:r>
          </w:p>
        </w:tc>
      </w:tr>
      <w:tr w:rsidR="00590587" w:rsidRPr="00426116" w14:paraId="3CAB1443" w14:textId="77777777" w:rsidTr="00590587">
        <w:trPr>
          <w:trHeight w:val="30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14:paraId="20E17B7C" w14:textId="77777777" w:rsidR="00426116" w:rsidRPr="00BA2A47" w:rsidRDefault="00426116" w:rsidP="00426116">
            <w:pPr>
              <w:rPr>
                <w:color w:val="000000"/>
              </w:rPr>
            </w:pPr>
            <w:r w:rsidRPr="00BA2A47">
              <w:rPr>
                <w:color w:val="000000"/>
              </w:rPr>
              <w:t>SD #5 - Tiburon</w:t>
            </w:r>
          </w:p>
        </w:tc>
        <w:tc>
          <w:tcPr>
            <w:tcW w:w="1620" w:type="dxa"/>
            <w:tcBorders>
              <w:top w:val="nil"/>
              <w:left w:val="nil"/>
              <w:bottom w:val="single" w:sz="4" w:space="0" w:color="auto"/>
              <w:right w:val="single" w:sz="4" w:space="0" w:color="auto"/>
            </w:tcBorders>
            <w:shd w:val="clear" w:color="auto" w:fill="auto"/>
            <w:noWrap/>
            <w:vAlign w:val="bottom"/>
            <w:hideMark/>
          </w:tcPr>
          <w:p w14:paraId="054AF893" w14:textId="77777777" w:rsidR="00426116" w:rsidRPr="00BA2A47" w:rsidRDefault="00426116" w:rsidP="00426116">
            <w:pPr>
              <w:jc w:val="right"/>
              <w:rPr>
                <w:color w:val="000000"/>
              </w:rPr>
            </w:pPr>
            <w:r w:rsidRPr="00BA2A47">
              <w:rPr>
                <w:color w:val="000000"/>
              </w:rPr>
              <w:t>0.00020725</w:t>
            </w:r>
          </w:p>
        </w:tc>
        <w:tc>
          <w:tcPr>
            <w:tcW w:w="1530" w:type="dxa"/>
            <w:tcBorders>
              <w:top w:val="nil"/>
              <w:left w:val="nil"/>
              <w:bottom w:val="single" w:sz="4" w:space="0" w:color="auto"/>
              <w:right w:val="single" w:sz="4" w:space="0" w:color="auto"/>
            </w:tcBorders>
            <w:shd w:val="clear" w:color="auto" w:fill="auto"/>
            <w:noWrap/>
            <w:vAlign w:val="bottom"/>
            <w:hideMark/>
          </w:tcPr>
          <w:p w14:paraId="282EDF8B" w14:textId="77777777" w:rsidR="00426116" w:rsidRPr="00BA2A47" w:rsidRDefault="00426116" w:rsidP="00426116">
            <w:pPr>
              <w:jc w:val="right"/>
              <w:rPr>
                <w:color w:val="000000"/>
              </w:rPr>
            </w:pPr>
            <w:r w:rsidRPr="00BA2A47">
              <w:rPr>
                <w:color w:val="000000"/>
              </w:rPr>
              <w:t>0.000529257</w:t>
            </w:r>
          </w:p>
        </w:tc>
        <w:tc>
          <w:tcPr>
            <w:tcW w:w="1530" w:type="dxa"/>
            <w:tcBorders>
              <w:top w:val="nil"/>
              <w:left w:val="nil"/>
              <w:bottom w:val="single" w:sz="4" w:space="0" w:color="auto"/>
              <w:right w:val="single" w:sz="4" w:space="0" w:color="auto"/>
            </w:tcBorders>
            <w:shd w:val="clear" w:color="auto" w:fill="auto"/>
            <w:noWrap/>
            <w:vAlign w:val="bottom"/>
            <w:hideMark/>
          </w:tcPr>
          <w:p w14:paraId="29429D8E" w14:textId="77777777" w:rsidR="00426116" w:rsidRPr="00BA2A47" w:rsidRDefault="00426116" w:rsidP="006479F8">
            <w:pPr>
              <w:jc w:val="center"/>
              <w:rPr>
                <w:color w:val="000000"/>
              </w:rPr>
            </w:pPr>
            <w:r w:rsidRPr="00BA2A47">
              <w:rPr>
                <w:color w:val="000000"/>
              </w:rPr>
              <w:t>-</w:t>
            </w:r>
          </w:p>
        </w:tc>
        <w:tc>
          <w:tcPr>
            <w:tcW w:w="1530" w:type="dxa"/>
            <w:tcBorders>
              <w:top w:val="nil"/>
              <w:left w:val="nil"/>
              <w:bottom w:val="single" w:sz="4" w:space="0" w:color="auto"/>
              <w:right w:val="single" w:sz="4" w:space="0" w:color="auto"/>
            </w:tcBorders>
            <w:shd w:val="clear" w:color="auto" w:fill="auto"/>
            <w:noWrap/>
            <w:vAlign w:val="bottom"/>
            <w:hideMark/>
          </w:tcPr>
          <w:p w14:paraId="7BA3240E" w14:textId="77777777" w:rsidR="00426116" w:rsidRPr="00BA2A47" w:rsidRDefault="00426116" w:rsidP="006479F8">
            <w:pPr>
              <w:jc w:val="center"/>
              <w:rPr>
                <w:color w:val="000000"/>
              </w:rPr>
            </w:pPr>
            <w:r w:rsidRPr="00BA2A47">
              <w:rPr>
                <w:color w:val="000000"/>
              </w:rPr>
              <w:t>-</w:t>
            </w:r>
          </w:p>
        </w:tc>
      </w:tr>
      <w:tr w:rsidR="00590587" w:rsidRPr="00426116" w14:paraId="601C23CA" w14:textId="77777777" w:rsidTr="00590587">
        <w:trPr>
          <w:trHeight w:val="300"/>
          <w:jc w:val="center"/>
        </w:trPr>
        <w:tc>
          <w:tcPr>
            <w:tcW w:w="2430" w:type="dxa"/>
            <w:tcBorders>
              <w:top w:val="nil"/>
              <w:left w:val="single" w:sz="4" w:space="0" w:color="auto"/>
              <w:bottom w:val="nil"/>
              <w:right w:val="single" w:sz="4" w:space="0" w:color="auto"/>
            </w:tcBorders>
            <w:shd w:val="clear" w:color="auto" w:fill="auto"/>
            <w:noWrap/>
            <w:vAlign w:val="bottom"/>
            <w:hideMark/>
          </w:tcPr>
          <w:p w14:paraId="0A352CD4" w14:textId="77777777" w:rsidR="00426116" w:rsidRPr="00BA2A47" w:rsidRDefault="00426116" w:rsidP="00426116">
            <w:pPr>
              <w:rPr>
                <w:color w:val="000000"/>
              </w:rPr>
            </w:pPr>
            <w:r w:rsidRPr="00BA2A47">
              <w:rPr>
                <w:color w:val="000000"/>
              </w:rPr>
              <w:t>SF Southeast</w:t>
            </w:r>
          </w:p>
        </w:tc>
        <w:tc>
          <w:tcPr>
            <w:tcW w:w="1620" w:type="dxa"/>
            <w:tcBorders>
              <w:top w:val="nil"/>
              <w:left w:val="nil"/>
              <w:bottom w:val="nil"/>
              <w:right w:val="single" w:sz="4" w:space="0" w:color="auto"/>
            </w:tcBorders>
            <w:shd w:val="clear" w:color="auto" w:fill="auto"/>
            <w:noWrap/>
            <w:vAlign w:val="bottom"/>
            <w:hideMark/>
          </w:tcPr>
          <w:p w14:paraId="3505765E" w14:textId="77777777" w:rsidR="00426116" w:rsidRPr="00BA2A47" w:rsidRDefault="00426116" w:rsidP="00426116">
            <w:pPr>
              <w:jc w:val="right"/>
              <w:rPr>
                <w:color w:val="000000"/>
              </w:rPr>
            </w:pPr>
            <w:r w:rsidRPr="00BA2A47">
              <w:rPr>
                <w:color w:val="000000"/>
              </w:rPr>
              <w:t>0.014440261</w:t>
            </w:r>
          </w:p>
        </w:tc>
        <w:tc>
          <w:tcPr>
            <w:tcW w:w="1530" w:type="dxa"/>
            <w:tcBorders>
              <w:top w:val="nil"/>
              <w:left w:val="nil"/>
              <w:bottom w:val="nil"/>
              <w:right w:val="single" w:sz="4" w:space="0" w:color="auto"/>
            </w:tcBorders>
            <w:shd w:val="clear" w:color="auto" w:fill="auto"/>
            <w:noWrap/>
            <w:vAlign w:val="bottom"/>
            <w:hideMark/>
          </w:tcPr>
          <w:p w14:paraId="2D9AB437" w14:textId="77777777" w:rsidR="00426116" w:rsidRPr="00BA2A47" w:rsidRDefault="00426116" w:rsidP="00426116">
            <w:pPr>
              <w:jc w:val="right"/>
              <w:rPr>
                <w:color w:val="000000"/>
              </w:rPr>
            </w:pPr>
            <w:r w:rsidRPr="00BA2A47">
              <w:rPr>
                <w:color w:val="000000"/>
              </w:rPr>
              <w:t>0.016051745</w:t>
            </w:r>
          </w:p>
        </w:tc>
        <w:tc>
          <w:tcPr>
            <w:tcW w:w="1530" w:type="dxa"/>
            <w:tcBorders>
              <w:top w:val="nil"/>
              <w:left w:val="nil"/>
              <w:bottom w:val="nil"/>
              <w:right w:val="single" w:sz="4" w:space="0" w:color="auto"/>
            </w:tcBorders>
            <w:shd w:val="clear" w:color="auto" w:fill="auto"/>
            <w:noWrap/>
            <w:vAlign w:val="bottom"/>
            <w:hideMark/>
          </w:tcPr>
          <w:p w14:paraId="23006112" w14:textId="77777777" w:rsidR="00426116" w:rsidRPr="00BA2A47" w:rsidRDefault="00426116" w:rsidP="00426116">
            <w:pPr>
              <w:jc w:val="right"/>
              <w:rPr>
                <w:color w:val="000000"/>
              </w:rPr>
            </w:pPr>
            <w:r w:rsidRPr="00BA2A47">
              <w:rPr>
                <w:color w:val="000000"/>
              </w:rPr>
              <w:t>0.026723587</w:t>
            </w:r>
          </w:p>
        </w:tc>
        <w:tc>
          <w:tcPr>
            <w:tcW w:w="1530" w:type="dxa"/>
            <w:tcBorders>
              <w:top w:val="nil"/>
              <w:left w:val="nil"/>
              <w:bottom w:val="nil"/>
              <w:right w:val="single" w:sz="4" w:space="0" w:color="auto"/>
            </w:tcBorders>
            <w:shd w:val="clear" w:color="auto" w:fill="auto"/>
            <w:noWrap/>
            <w:vAlign w:val="bottom"/>
            <w:hideMark/>
          </w:tcPr>
          <w:p w14:paraId="6098C721" w14:textId="77777777" w:rsidR="00426116" w:rsidRPr="00BA2A47" w:rsidRDefault="00426116" w:rsidP="00426116">
            <w:pPr>
              <w:jc w:val="right"/>
              <w:rPr>
                <w:color w:val="000000"/>
              </w:rPr>
            </w:pPr>
            <w:r w:rsidRPr="00BA2A47">
              <w:rPr>
                <w:color w:val="000000"/>
              </w:rPr>
              <w:t>0.017280144</w:t>
            </w:r>
          </w:p>
        </w:tc>
      </w:tr>
      <w:tr w:rsidR="00590587" w:rsidRPr="00426116" w14:paraId="5A475DAB" w14:textId="77777777" w:rsidTr="00590587">
        <w:trPr>
          <w:trHeight w:val="300"/>
          <w:jc w:val="center"/>
        </w:trPr>
        <w:tc>
          <w:tcPr>
            <w:tcW w:w="2430" w:type="dxa"/>
            <w:tcBorders>
              <w:top w:val="nil"/>
              <w:left w:val="single" w:sz="4" w:space="0" w:color="auto"/>
              <w:bottom w:val="nil"/>
              <w:right w:val="single" w:sz="4" w:space="0" w:color="auto"/>
            </w:tcBorders>
            <w:shd w:val="clear" w:color="auto" w:fill="auto"/>
            <w:noWrap/>
            <w:vAlign w:val="bottom"/>
            <w:hideMark/>
          </w:tcPr>
          <w:p w14:paraId="3295DE51" w14:textId="77777777" w:rsidR="00426116" w:rsidRPr="00BA2A47" w:rsidRDefault="00426116" w:rsidP="00426116">
            <w:pPr>
              <w:rPr>
                <w:color w:val="000000"/>
              </w:rPr>
            </w:pPr>
            <w:r w:rsidRPr="00BA2A47">
              <w:rPr>
                <w:color w:val="000000"/>
              </w:rPr>
              <w:t>SF Southeast</w:t>
            </w:r>
          </w:p>
        </w:tc>
        <w:tc>
          <w:tcPr>
            <w:tcW w:w="1620" w:type="dxa"/>
            <w:tcBorders>
              <w:top w:val="nil"/>
              <w:left w:val="nil"/>
              <w:bottom w:val="nil"/>
              <w:right w:val="single" w:sz="4" w:space="0" w:color="auto"/>
            </w:tcBorders>
            <w:shd w:val="clear" w:color="auto" w:fill="auto"/>
            <w:noWrap/>
            <w:vAlign w:val="bottom"/>
            <w:hideMark/>
          </w:tcPr>
          <w:p w14:paraId="3A7E8C6A" w14:textId="77777777" w:rsidR="00426116" w:rsidRPr="00BA2A47" w:rsidRDefault="00426116" w:rsidP="00426116">
            <w:pPr>
              <w:jc w:val="right"/>
              <w:rPr>
                <w:color w:val="000000"/>
              </w:rPr>
            </w:pPr>
            <w:r w:rsidRPr="00BA2A47">
              <w:rPr>
                <w:color w:val="000000"/>
              </w:rPr>
              <w:t>0.013196184</w:t>
            </w:r>
          </w:p>
        </w:tc>
        <w:tc>
          <w:tcPr>
            <w:tcW w:w="1530" w:type="dxa"/>
            <w:tcBorders>
              <w:top w:val="nil"/>
              <w:left w:val="nil"/>
              <w:bottom w:val="nil"/>
              <w:right w:val="single" w:sz="4" w:space="0" w:color="auto"/>
            </w:tcBorders>
            <w:shd w:val="clear" w:color="auto" w:fill="auto"/>
            <w:noWrap/>
            <w:vAlign w:val="bottom"/>
            <w:hideMark/>
          </w:tcPr>
          <w:p w14:paraId="23DD80D2" w14:textId="77777777" w:rsidR="00426116" w:rsidRPr="00BA2A47" w:rsidRDefault="00426116" w:rsidP="00426116">
            <w:pPr>
              <w:jc w:val="right"/>
              <w:rPr>
                <w:color w:val="000000"/>
              </w:rPr>
            </w:pPr>
            <w:r w:rsidRPr="00BA2A47">
              <w:rPr>
                <w:color w:val="000000"/>
              </w:rPr>
              <w:t>0.027851261</w:t>
            </w:r>
          </w:p>
        </w:tc>
        <w:tc>
          <w:tcPr>
            <w:tcW w:w="1530" w:type="dxa"/>
            <w:tcBorders>
              <w:top w:val="nil"/>
              <w:left w:val="nil"/>
              <w:bottom w:val="nil"/>
              <w:right w:val="single" w:sz="4" w:space="0" w:color="auto"/>
            </w:tcBorders>
            <w:shd w:val="clear" w:color="auto" w:fill="auto"/>
            <w:noWrap/>
            <w:vAlign w:val="bottom"/>
            <w:hideMark/>
          </w:tcPr>
          <w:p w14:paraId="03A3C89E" w14:textId="77777777" w:rsidR="00426116" w:rsidRPr="00BA2A47" w:rsidRDefault="00426116" w:rsidP="00426116">
            <w:pPr>
              <w:jc w:val="right"/>
              <w:rPr>
                <w:color w:val="000000"/>
              </w:rPr>
            </w:pPr>
            <w:r w:rsidRPr="00BA2A47">
              <w:rPr>
                <w:color w:val="000000"/>
              </w:rPr>
              <w:t>0.020763159</w:t>
            </w:r>
          </w:p>
        </w:tc>
        <w:tc>
          <w:tcPr>
            <w:tcW w:w="1530" w:type="dxa"/>
            <w:tcBorders>
              <w:top w:val="nil"/>
              <w:left w:val="nil"/>
              <w:bottom w:val="nil"/>
              <w:right w:val="single" w:sz="4" w:space="0" w:color="auto"/>
            </w:tcBorders>
            <w:shd w:val="clear" w:color="auto" w:fill="auto"/>
            <w:noWrap/>
            <w:vAlign w:val="bottom"/>
            <w:hideMark/>
          </w:tcPr>
          <w:p w14:paraId="3D53FE16" w14:textId="77777777" w:rsidR="00426116" w:rsidRPr="00BA2A47" w:rsidRDefault="00426116" w:rsidP="00426116">
            <w:pPr>
              <w:jc w:val="right"/>
              <w:rPr>
                <w:color w:val="000000"/>
              </w:rPr>
            </w:pPr>
            <w:r w:rsidRPr="00BA2A47">
              <w:rPr>
                <w:color w:val="000000"/>
              </w:rPr>
              <w:t>0.04175091</w:t>
            </w:r>
          </w:p>
        </w:tc>
      </w:tr>
      <w:tr w:rsidR="00590587" w:rsidRPr="00426116" w14:paraId="67C0C2DA" w14:textId="77777777" w:rsidTr="00590587">
        <w:trPr>
          <w:trHeight w:val="300"/>
          <w:jc w:val="center"/>
        </w:trPr>
        <w:tc>
          <w:tcPr>
            <w:tcW w:w="2430" w:type="dxa"/>
            <w:tcBorders>
              <w:top w:val="nil"/>
              <w:left w:val="single" w:sz="4" w:space="0" w:color="auto"/>
              <w:bottom w:val="nil"/>
              <w:right w:val="single" w:sz="4" w:space="0" w:color="auto"/>
            </w:tcBorders>
            <w:shd w:val="clear" w:color="auto" w:fill="auto"/>
            <w:noWrap/>
            <w:vAlign w:val="bottom"/>
            <w:hideMark/>
          </w:tcPr>
          <w:p w14:paraId="7EE1547D" w14:textId="77777777" w:rsidR="00426116" w:rsidRPr="00BA2A47" w:rsidRDefault="00426116" w:rsidP="00426116">
            <w:pPr>
              <w:rPr>
                <w:color w:val="000000"/>
              </w:rPr>
            </w:pPr>
            <w:r w:rsidRPr="00BA2A47">
              <w:rPr>
                <w:color w:val="000000"/>
              </w:rPr>
              <w:t>SF Southeast</w:t>
            </w:r>
          </w:p>
        </w:tc>
        <w:tc>
          <w:tcPr>
            <w:tcW w:w="1620" w:type="dxa"/>
            <w:tcBorders>
              <w:top w:val="nil"/>
              <w:left w:val="nil"/>
              <w:bottom w:val="nil"/>
              <w:right w:val="single" w:sz="4" w:space="0" w:color="auto"/>
            </w:tcBorders>
            <w:shd w:val="clear" w:color="auto" w:fill="auto"/>
            <w:noWrap/>
            <w:vAlign w:val="bottom"/>
            <w:hideMark/>
          </w:tcPr>
          <w:p w14:paraId="25734AC7" w14:textId="77777777" w:rsidR="00426116" w:rsidRPr="00BA2A47" w:rsidRDefault="00426116" w:rsidP="00426116">
            <w:pPr>
              <w:jc w:val="right"/>
              <w:rPr>
                <w:color w:val="000000"/>
              </w:rPr>
            </w:pPr>
            <w:r w:rsidRPr="00BA2A47">
              <w:rPr>
                <w:color w:val="000000"/>
              </w:rPr>
              <w:t>0.016433838</w:t>
            </w:r>
          </w:p>
        </w:tc>
        <w:tc>
          <w:tcPr>
            <w:tcW w:w="1530" w:type="dxa"/>
            <w:tcBorders>
              <w:top w:val="nil"/>
              <w:left w:val="nil"/>
              <w:bottom w:val="nil"/>
              <w:right w:val="single" w:sz="4" w:space="0" w:color="auto"/>
            </w:tcBorders>
            <w:shd w:val="clear" w:color="auto" w:fill="auto"/>
            <w:noWrap/>
            <w:vAlign w:val="bottom"/>
            <w:hideMark/>
          </w:tcPr>
          <w:p w14:paraId="53088870" w14:textId="77777777" w:rsidR="00426116" w:rsidRPr="00BA2A47" w:rsidRDefault="00426116" w:rsidP="00426116">
            <w:pPr>
              <w:jc w:val="right"/>
              <w:rPr>
                <w:color w:val="000000"/>
              </w:rPr>
            </w:pPr>
            <w:r w:rsidRPr="00BA2A47">
              <w:rPr>
                <w:color w:val="000000"/>
              </w:rPr>
              <w:t>0.035862344</w:t>
            </w:r>
          </w:p>
        </w:tc>
        <w:tc>
          <w:tcPr>
            <w:tcW w:w="1530" w:type="dxa"/>
            <w:tcBorders>
              <w:top w:val="nil"/>
              <w:left w:val="nil"/>
              <w:bottom w:val="nil"/>
              <w:right w:val="single" w:sz="4" w:space="0" w:color="auto"/>
            </w:tcBorders>
            <w:shd w:val="clear" w:color="auto" w:fill="auto"/>
            <w:noWrap/>
            <w:vAlign w:val="bottom"/>
            <w:hideMark/>
          </w:tcPr>
          <w:p w14:paraId="096709DB" w14:textId="77777777" w:rsidR="00426116" w:rsidRPr="00BA2A47" w:rsidRDefault="00426116" w:rsidP="00426116">
            <w:pPr>
              <w:jc w:val="right"/>
              <w:rPr>
                <w:color w:val="000000"/>
              </w:rPr>
            </w:pPr>
            <w:r w:rsidRPr="00BA2A47">
              <w:rPr>
                <w:color w:val="000000"/>
              </w:rPr>
              <w:t>0.014595356</w:t>
            </w:r>
          </w:p>
        </w:tc>
        <w:tc>
          <w:tcPr>
            <w:tcW w:w="1530" w:type="dxa"/>
            <w:tcBorders>
              <w:top w:val="nil"/>
              <w:left w:val="nil"/>
              <w:bottom w:val="nil"/>
              <w:right w:val="single" w:sz="4" w:space="0" w:color="auto"/>
            </w:tcBorders>
            <w:shd w:val="clear" w:color="auto" w:fill="auto"/>
            <w:noWrap/>
            <w:vAlign w:val="bottom"/>
            <w:hideMark/>
          </w:tcPr>
          <w:p w14:paraId="50F1CFE1" w14:textId="77777777" w:rsidR="00426116" w:rsidRPr="00BA2A47" w:rsidRDefault="00426116" w:rsidP="00426116">
            <w:pPr>
              <w:jc w:val="right"/>
              <w:rPr>
                <w:color w:val="000000"/>
              </w:rPr>
            </w:pPr>
            <w:r w:rsidRPr="00BA2A47">
              <w:rPr>
                <w:color w:val="000000"/>
              </w:rPr>
              <w:t>0.041059742</w:t>
            </w:r>
          </w:p>
        </w:tc>
      </w:tr>
      <w:tr w:rsidR="00590587" w:rsidRPr="00426116" w14:paraId="6F653725" w14:textId="77777777" w:rsidTr="00590587">
        <w:trPr>
          <w:trHeight w:val="30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14:paraId="69001669" w14:textId="77777777" w:rsidR="00426116" w:rsidRPr="00BA2A47" w:rsidRDefault="00426116" w:rsidP="00426116">
            <w:pPr>
              <w:rPr>
                <w:color w:val="000000"/>
              </w:rPr>
            </w:pPr>
            <w:r w:rsidRPr="00BA2A47">
              <w:rPr>
                <w:color w:val="000000"/>
              </w:rPr>
              <w:t>SF Southeast</w:t>
            </w:r>
          </w:p>
        </w:tc>
        <w:tc>
          <w:tcPr>
            <w:tcW w:w="1620" w:type="dxa"/>
            <w:tcBorders>
              <w:top w:val="nil"/>
              <w:left w:val="nil"/>
              <w:bottom w:val="single" w:sz="4" w:space="0" w:color="auto"/>
              <w:right w:val="single" w:sz="4" w:space="0" w:color="auto"/>
            </w:tcBorders>
            <w:shd w:val="clear" w:color="auto" w:fill="auto"/>
            <w:noWrap/>
            <w:vAlign w:val="bottom"/>
            <w:hideMark/>
          </w:tcPr>
          <w:p w14:paraId="4368A598" w14:textId="77777777" w:rsidR="00426116" w:rsidRPr="00BA2A47" w:rsidRDefault="00426116" w:rsidP="00426116">
            <w:pPr>
              <w:jc w:val="right"/>
              <w:rPr>
                <w:color w:val="000000"/>
              </w:rPr>
            </w:pPr>
            <w:r w:rsidRPr="00BA2A47">
              <w:rPr>
                <w:color w:val="000000"/>
              </w:rPr>
              <w:t>0.016014992</w:t>
            </w:r>
          </w:p>
        </w:tc>
        <w:tc>
          <w:tcPr>
            <w:tcW w:w="1530" w:type="dxa"/>
            <w:tcBorders>
              <w:top w:val="nil"/>
              <w:left w:val="nil"/>
              <w:bottom w:val="single" w:sz="4" w:space="0" w:color="auto"/>
              <w:right w:val="single" w:sz="4" w:space="0" w:color="auto"/>
            </w:tcBorders>
            <w:shd w:val="clear" w:color="auto" w:fill="auto"/>
            <w:noWrap/>
            <w:vAlign w:val="bottom"/>
            <w:hideMark/>
          </w:tcPr>
          <w:p w14:paraId="20A57DD4" w14:textId="77777777" w:rsidR="00426116" w:rsidRPr="00BA2A47" w:rsidRDefault="00426116" w:rsidP="00426116">
            <w:pPr>
              <w:jc w:val="right"/>
              <w:rPr>
                <w:color w:val="000000"/>
              </w:rPr>
            </w:pPr>
            <w:r w:rsidRPr="00BA2A47">
              <w:rPr>
                <w:color w:val="000000"/>
              </w:rPr>
              <w:t>0.052611259</w:t>
            </w:r>
          </w:p>
        </w:tc>
        <w:tc>
          <w:tcPr>
            <w:tcW w:w="1530" w:type="dxa"/>
            <w:tcBorders>
              <w:top w:val="nil"/>
              <w:left w:val="nil"/>
              <w:bottom w:val="single" w:sz="4" w:space="0" w:color="auto"/>
              <w:right w:val="single" w:sz="4" w:space="0" w:color="auto"/>
            </w:tcBorders>
            <w:shd w:val="clear" w:color="auto" w:fill="auto"/>
            <w:noWrap/>
            <w:vAlign w:val="bottom"/>
            <w:hideMark/>
          </w:tcPr>
          <w:p w14:paraId="07D8FE0B" w14:textId="77777777" w:rsidR="00426116" w:rsidRPr="00BA2A47" w:rsidRDefault="00426116" w:rsidP="00426116">
            <w:pPr>
              <w:jc w:val="right"/>
              <w:rPr>
                <w:color w:val="000000"/>
              </w:rPr>
            </w:pPr>
            <w:r w:rsidRPr="00BA2A47">
              <w:rPr>
                <w:color w:val="000000"/>
              </w:rPr>
              <w:t>0.061609612</w:t>
            </w:r>
          </w:p>
        </w:tc>
        <w:tc>
          <w:tcPr>
            <w:tcW w:w="1530" w:type="dxa"/>
            <w:tcBorders>
              <w:top w:val="nil"/>
              <w:left w:val="nil"/>
              <w:bottom w:val="single" w:sz="4" w:space="0" w:color="auto"/>
              <w:right w:val="single" w:sz="4" w:space="0" w:color="auto"/>
            </w:tcBorders>
            <w:shd w:val="clear" w:color="auto" w:fill="auto"/>
            <w:noWrap/>
            <w:vAlign w:val="bottom"/>
            <w:hideMark/>
          </w:tcPr>
          <w:p w14:paraId="2A969F2C" w14:textId="77777777" w:rsidR="00426116" w:rsidRPr="00BA2A47" w:rsidRDefault="00426116" w:rsidP="00426116">
            <w:pPr>
              <w:jc w:val="right"/>
              <w:rPr>
                <w:color w:val="000000"/>
              </w:rPr>
            </w:pPr>
            <w:r w:rsidRPr="00BA2A47">
              <w:rPr>
                <w:color w:val="000000"/>
              </w:rPr>
              <w:t>0.030861908</w:t>
            </w:r>
          </w:p>
        </w:tc>
      </w:tr>
      <w:tr w:rsidR="00590587" w:rsidRPr="00426116" w14:paraId="4B63BD02" w14:textId="77777777" w:rsidTr="00590587">
        <w:trPr>
          <w:trHeight w:val="300"/>
          <w:jc w:val="center"/>
        </w:trPr>
        <w:tc>
          <w:tcPr>
            <w:tcW w:w="2430" w:type="dxa"/>
            <w:tcBorders>
              <w:top w:val="nil"/>
              <w:left w:val="single" w:sz="4" w:space="0" w:color="auto"/>
              <w:bottom w:val="nil"/>
              <w:right w:val="single" w:sz="4" w:space="0" w:color="auto"/>
            </w:tcBorders>
            <w:shd w:val="clear" w:color="auto" w:fill="auto"/>
            <w:noWrap/>
            <w:vAlign w:val="bottom"/>
            <w:hideMark/>
          </w:tcPr>
          <w:p w14:paraId="19017051" w14:textId="77777777" w:rsidR="00426116" w:rsidRPr="00BA2A47" w:rsidRDefault="00426116" w:rsidP="00426116">
            <w:pPr>
              <w:rPr>
                <w:color w:val="000000"/>
              </w:rPr>
            </w:pPr>
            <w:r w:rsidRPr="00BA2A47">
              <w:rPr>
                <w:color w:val="000000"/>
              </w:rPr>
              <w:t>SFO Airport</w:t>
            </w:r>
          </w:p>
        </w:tc>
        <w:tc>
          <w:tcPr>
            <w:tcW w:w="1620" w:type="dxa"/>
            <w:tcBorders>
              <w:top w:val="nil"/>
              <w:left w:val="nil"/>
              <w:bottom w:val="nil"/>
              <w:right w:val="single" w:sz="4" w:space="0" w:color="auto"/>
            </w:tcBorders>
            <w:shd w:val="clear" w:color="auto" w:fill="auto"/>
            <w:noWrap/>
            <w:vAlign w:val="bottom"/>
            <w:hideMark/>
          </w:tcPr>
          <w:p w14:paraId="673EA03A" w14:textId="77777777" w:rsidR="00426116" w:rsidRPr="00BA2A47" w:rsidRDefault="00426116" w:rsidP="00426116">
            <w:pPr>
              <w:jc w:val="right"/>
              <w:rPr>
                <w:color w:val="000000"/>
              </w:rPr>
            </w:pPr>
            <w:r w:rsidRPr="00BA2A47">
              <w:rPr>
                <w:color w:val="000000"/>
              </w:rPr>
              <w:t>0.000254427</w:t>
            </w:r>
          </w:p>
        </w:tc>
        <w:tc>
          <w:tcPr>
            <w:tcW w:w="1530" w:type="dxa"/>
            <w:tcBorders>
              <w:top w:val="nil"/>
              <w:left w:val="nil"/>
              <w:bottom w:val="nil"/>
              <w:right w:val="single" w:sz="4" w:space="0" w:color="auto"/>
            </w:tcBorders>
            <w:shd w:val="clear" w:color="auto" w:fill="auto"/>
            <w:noWrap/>
            <w:vAlign w:val="bottom"/>
            <w:hideMark/>
          </w:tcPr>
          <w:p w14:paraId="6895B1E0" w14:textId="77777777" w:rsidR="00426116" w:rsidRPr="00BA2A47" w:rsidRDefault="00426116" w:rsidP="00426116">
            <w:pPr>
              <w:jc w:val="right"/>
              <w:rPr>
                <w:color w:val="000000"/>
              </w:rPr>
            </w:pPr>
            <w:r w:rsidRPr="00BA2A47">
              <w:rPr>
                <w:color w:val="000000"/>
              </w:rPr>
              <w:t>0.001230514</w:t>
            </w:r>
          </w:p>
        </w:tc>
        <w:tc>
          <w:tcPr>
            <w:tcW w:w="1530" w:type="dxa"/>
            <w:tcBorders>
              <w:top w:val="nil"/>
              <w:left w:val="nil"/>
              <w:bottom w:val="nil"/>
              <w:right w:val="single" w:sz="4" w:space="0" w:color="auto"/>
            </w:tcBorders>
            <w:shd w:val="clear" w:color="auto" w:fill="auto"/>
            <w:noWrap/>
            <w:vAlign w:val="bottom"/>
            <w:hideMark/>
          </w:tcPr>
          <w:p w14:paraId="51D5D24A" w14:textId="77777777" w:rsidR="00426116" w:rsidRPr="00BA2A47" w:rsidRDefault="00426116" w:rsidP="00426116">
            <w:pPr>
              <w:jc w:val="right"/>
              <w:rPr>
                <w:color w:val="000000"/>
              </w:rPr>
            </w:pPr>
            <w:r w:rsidRPr="00BA2A47">
              <w:rPr>
                <w:color w:val="000000"/>
              </w:rPr>
              <w:t>0.000572453</w:t>
            </w:r>
          </w:p>
        </w:tc>
        <w:tc>
          <w:tcPr>
            <w:tcW w:w="1530" w:type="dxa"/>
            <w:tcBorders>
              <w:top w:val="nil"/>
              <w:left w:val="nil"/>
              <w:bottom w:val="nil"/>
              <w:right w:val="single" w:sz="4" w:space="0" w:color="auto"/>
            </w:tcBorders>
            <w:shd w:val="clear" w:color="auto" w:fill="auto"/>
            <w:noWrap/>
            <w:vAlign w:val="bottom"/>
            <w:hideMark/>
          </w:tcPr>
          <w:p w14:paraId="12F13AA6" w14:textId="77777777" w:rsidR="00426116" w:rsidRPr="00BA2A47" w:rsidRDefault="00426116" w:rsidP="00426116">
            <w:pPr>
              <w:jc w:val="right"/>
              <w:rPr>
                <w:color w:val="000000"/>
              </w:rPr>
            </w:pPr>
            <w:r w:rsidRPr="00BA2A47">
              <w:rPr>
                <w:color w:val="000000"/>
              </w:rPr>
              <w:t>0.000675278</w:t>
            </w:r>
          </w:p>
        </w:tc>
      </w:tr>
      <w:tr w:rsidR="00590587" w:rsidRPr="00426116" w14:paraId="0B4968A9" w14:textId="77777777" w:rsidTr="00590587">
        <w:trPr>
          <w:trHeight w:val="30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14:paraId="4C56D33D" w14:textId="77777777" w:rsidR="00426116" w:rsidRPr="00BA2A47" w:rsidRDefault="00426116" w:rsidP="00426116">
            <w:pPr>
              <w:rPr>
                <w:color w:val="000000"/>
              </w:rPr>
            </w:pPr>
            <w:r w:rsidRPr="00BA2A47">
              <w:rPr>
                <w:color w:val="000000"/>
              </w:rPr>
              <w:t>SFO Airport</w:t>
            </w:r>
          </w:p>
        </w:tc>
        <w:tc>
          <w:tcPr>
            <w:tcW w:w="1620" w:type="dxa"/>
            <w:tcBorders>
              <w:top w:val="nil"/>
              <w:left w:val="nil"/>
              <w:bottom w:val="single" w:sz="4" w:space="0" w:color="auto"/>
              <w:right w:val="single" w:sz="4" w:space="0" w:color="auto"/>
            </w:tcBorders>
            <w:shd w:val="clear" w:color="auto" w:fill="auto"/>
            <w:noWrap/>
            <w:vAlign w:val="bottom"/>
            <w:hideMark/>
          </w:tcPr>
          <w:p w14:paraId="39F29903" w14:textId="77777777" w:rsidR="00426116" w:rsidRPr="00BA2A47" w:rsidRDefault="00426116" w:rsidP="00426116">
            <w:pPr>
              <w:jc w:val="right"/>
              <w:rPr>
                <w:color w:val="000000"/>
              </w:rPr>
            </w:pPr>
            <w:r w:rsidRPr="00BA2A47">
              <w:rPr>
                <w:color w:val="000000"/>
              </w:rPr>
              <w:t>0.000249322</w:t>
            </w:r>
          </w:p>
        </w:tc>
        <w:tc>
          <w:tcPr>
            <w:tcW w:w="1530" w:type="dxa"/>
            <w:tcBorders>
              <w:top w:val="nil"/>
              <w:left w:val="nil"/>
              <w:bottom w:val="single" w:sz="4" w:space="0" w:color="auto"/>
              <w:right w:val="single" w:sz="4" w:space="0" w:color="auto"/>
            </w:tcBorders>
            <w:shd w:val="clear" w:color="auto" w:fill="auto"/>
            <w:noWrap/>
            <w:vAlign w:val="bottom"/>
            <w:hideMark/>
          </w:tcPr>
          <w:p w14:paraId="2AE4D75E" w14:textId="77777777" w:rsidR="00426116" w:rsidRPr="00BA2A47" w:rsidRDefault="00426116" w:rsidP="00426116">
            <w:pPr>
              <w:jc w:val="right"/>
              <w:rPr>
                <w:color w:val="000000"/>
              </w:rPr>
            </w:pPr>
            <w:r w:rsidRPr="00BA2A47">
              <w:rPr>
                <w:color w:val="000000"/>
              </w:rPr>
              <w:t>0.001034041</w:t>
            </w:r>
          </w:p>
        </w:tc>
        <w:tc>
          <w:tcPr>
            <w:tcW w:w="1530" w:type="dxa"/>
            <w:tcBorders>
              <w:top w:val="nil"/>
              <w:left w:val="nil"/>
              <w:bottom w:val="single" w:sz="4" w:space="0" w:color="auto"/>
              <w:right w:val="single" w:sz="4" w:space="0" w:color="auto"/>
            </w:tcBorders>
            <w:shd w:val="clear" w:color="auto" w:fill="auto"/>
            <w:noWrap/>
            <w:vAlign w:val="bottom"/>
            <w:hideMark/>
          </w:tcPr>
          <w:p w14:paraId="2826EB5F" w14:textId="77777777" w:rsidR="00426116" w:rsidRPr="00BA2A47" w:rsidRDefault="00426116" w:rsidP="00426116">
            <w:pPr>
              <w:jc w:val="right"/>
              <w:rPr>
                <w:color w:val="000000"/>
              </w:rPr>
            </w:pPr>
            <w:r w:rsidRPr="00BA2A47">
              <w:rPr>
                <w:color w:val="000000"/>
              </w:rPr>
              <w:t>0.000581651</w:t>
            </w:r>
          </w:p>
        </w:tc>
        <w:tc>
          <w:tcPr>
            <w:tcW w:w="1530" w:type="dxa"/>
            <w:tcBorders>
              <w:top w:val="nil"/>
              <w:left w:val="nil"/>
              <w:bottom w:val="single" w:sz="4" w:space="0" w:color="auto"/>
              <w:right w:val="single" w:sz="4" w:space="0" w:color="auto"/>
            </w:tcBorders>
            <w:shd w:val="clear" w:color="auto" w:fill="auto"/>
            <w:noWrap/>
            <w:vAlign w:val="bottom"/>
            <w:hideMark/>
          </w:tcPr>
          <w:p w14:paraId="78205428" w14:textId="77777777" w:rsidR="00426116" w:rsidRPr="00BA2A47" w:rsidRDefault="00426116" w:rsidP="00426116">
            <w:pPr>
              <w:jc w:val="right"/>
              <w:rPr>
                <w:color w:val="000000"/>
              </w:rPr>
            </w:pPr>
            <w:r w:rsidRPr="00BA2A47">
              <w:rPr>
                <w:color w:val="000000"/>
              </w:rPr>
              <w:t>0.00125239</w:t>
            </w:r>
          </w:p>
        </w:tc>
      </w:tr>
      <w:tr w:rsidR="00590587" w:rsidRPr="00426116" w14:paraId="3416A826" w14:textId="77777777" w:rsidTr="00590587">
        <w:trPr>
          <w:trHeight w:val="300"/>
          <w:jc w:val="center"/>
        </w:trPr>
        <w:tc>
          <w:tcPr>
            <w:tcW w:w="2430" w:type="dxa"/>
            <w:tcBorders>
              <w:top w:val="nil"/>
              <w:left w:val="single" w:sz="4" w:space="0" w:color="auto"/>
              <w:bottom w:val="nil"/>
              <w:right w:val="single" w:sz="4" w:space="0" w:color="auto"/>
            </w:tcBorders>
            <w:shd w:val="clear" w:color="auto" w:fill="auto"/>
            <w:noWrap/>
            <w:vAlign w:val="bottom"/>
            <w:hideMark/>
          </w:tcPr>
          <w:p w14:paraId="1A40E50D" w14:textId="77777777" w:rsidR="00426116" w:rsidRPr="00BA2A47" w:rsidRDefault="00426116" w:rsidP="00426116">
            <w:pPr>
              <w:rPr>
                <w:color w:val="000000"/>
              </w:rPr>
            </w:pPr>
            <w:r w:rsidRPr="00BA2A47">
              <w:rPr>
                <w:color w:val="000000"/>
              </w:rPr>
              <w:t>Silicon Valley Clean Water</w:t>
            </w:r>
          </w:p>
        </w:tc>
        <w:tc>
          <w:tcPr>
            <w:tcW w:w="1620" w:type="dxa"/>
            <w:tcBorders>
              <w:top w:val="nil"/>
              <w:left w:val="nil"/>
              <w:bottom w:val="nil"/>
              <w:right w:val="single" w:sz="4" w:space="0" w:color="auto"/>
            </w:tcBorders>
            <w:shd w:val="clear" w:color="auto" w:fill="auto"/>
            <w:noWrap/>
            <w:vAlign w:val="bottom"/>
            <w:hideMark/>
          </w:tcPr>
          <w:p w14:paraId="469FEC67" w14:textId="77777777" w:rsidR="00426116" w:rsidRPr="00BA2A47" w:rsidRDefault="00426116" w:rsidP="00426116">
            <w:pPr>
              <w:jc w:val="right"/>
              <w:rPr>
                <w:color w:val="000000"/>
              </w:rPr>
            </w:pPr>
            <w:r w:rsidRPr="00BA2A47">
              <w:rPr>
                <w:color w:val="000000"/>
              </w:rPr>
              <w:t>0.007886899</w:t>
            </w:r>
          </w:p>
        </w:tc>
        <w:tc>
          <w:tcPr>
            <w:tcW w:w="1530" w:type="dxa"/>
            <w:tcBorders>
              <w:top w:val="nil"/>
              <w:left w:val="nil"/>
              <w:bottom w:val="nil"/>
              <w:right w:val="single" w:sz="4" w:space="0" w:color="auto"/>
            </w:tcBorders>
            <w:shd w:val="clear" w:color="auto" w:fill="auto"/>
            <w:noWrap/>
            <w:vAlign w:val="bottom"/>
            <w:hideMark/>
          </w:tcPr>
          <w:p w14:paraId="003D0C9B" w14:textId="77777777" w:rsidR="00426116" w:rsidRPr="00BA2A47" w:rsidRDefault="00426116" w:rsidP="00426116">
            <w:pPr>
              <w:jc w:val="right"/>
              <w:rPr>
                <w:color w:val="000000"/>
              </w:rPr>
            </w:pPr>
            <w:r w:rsidRPr="00BA2A47">
              <w:rPr>
                <w:color w:val="000000"/>
              </w:rPr>
              <w:t>0.00182581</w:t>
            </w:r>
          </w:p>
        </w:tc>
        <w:tc>
          <w:tcPr>
            <w:tcW w:w="1530" w:type="dxa"/>
            <w:tcBorders>
              <w:top w:val="nil"/>
              <w:left w:val="nil"/>
              <w:bottom w:val="nil"/>
              <w:right w:val="single" w:sz="4" w:space="0" w:color="auto"/>
            </w:tcBorders>
            <w:shd w:val="clear" w:color="auto" w:fill="auto"/>
            <w:noWrap/>
            <w:vAlign w:val="bottom"/>
            <w:hideMark/>
          </w:tcPr>
          <w:p w14:paraId="411939FA" w14:textId="77777777" w:rsidR="00426116" w:rsidRPr="00BA2A47" w:rsidRDefault="00426116" w:rsidP="00426116">
            <w:pPr>
              <w:jc w:val="right"/>
              <w:rPr>
                <w:color w:val="000000"/>
              </w:rPr>
            </w:pPr>
            <w:r w:rsidRPr="00BA2A47">
              <w:rPr>
                <w:color w:val="000000"/>
              </w:rPr>
              <w:t>0.004316189</w:t>
            </w:r>
          </w:p>
        </w:tc>
        <w:tc>
          <w:tcPr>
            <w:tcW w:w="1530" w:type="dxa"/>
            <w:tcBorders>
              <w:top w:val="nil"/>
              <w:left w:val="nil"/>
              <w:bottom w:val="nil"/>
              <w:right w:val="single" w:sz="4" w:space="0" w:color="auto"/>
            </w:tcBorders>
            <w:shd w:val="clear" w:color="auto" w:fill="auto"/>
            <w:noWrap/>
            <w:vAlign w:val="bottom"/>
            <w:hideMark/>
          </w:tcPr>
          <w:p w14:paraId="7FD1F0FA" w14:textId="77777777" w:rsidR="00426116" w:rsidRPr="00BA2A47" w:rsidRDefault="00426116" w:rsidP="00426116">
            <w:pPr>
              <w:jc w:val="right"/>
              <w:rPr>
                <w:color w:val="000000"/>
              </w:rPr>
            </w:pPr>
            <w:r w:rsidRPr="00BA2A47">
              <w:rPr>
                <w:color w:val="000000"/>
              </w:rPr>
              <w:t>0.026428526</w:t>
            </w:r>
          </w:p>
        </w:tc>
      </w:tr>
      <w:tr w:rsidR="00590587" w:rsidRPr="00426116" w14:paraId="7EDFFFF5" w14:textId="77777777" w:rsidTr="00590587">
        <w:trPr>
          <w:trHeight w:val="300"/>
          <w:jc w:val="center"/>
        </w:trPr>
        <w:tc>
          <w:tcPr>
            <w:tcW w:w="2430" w:type="dxa"/>
            <w:tcBorders>
              <w:top w:val="nil"/>
              <w:left w:val="single" w:sz="4" w:space="0" w:color="auto"/>
              <w:bottom w:val="nil"/>
              <w:right w:val="single" w:sz="4" w:space="0" w:color="auto"/>
            </w:tcBorders>
            <w:shd w:val="clear" w:color="auto" w:fill="auto"/>
            <w:noWrap/>
            <w:vAlign w:val="bottom"/>
            <w:hideMark/>
          </w:tcPr>
          <w:p w14:paraId="643D810F" w14:textId="77777777" w:rsidR="00426116" w:rsidRPr="00BA2A47" w:rsidRDefault="00426116" w:rsidP="00426116">
            <w:pPr>
              <w:rPr>
                <w:color w:val="000000"/>
              </w:rPr>
            </w:pPr>
            <w:r w:rsidRPr="00BA2A47">
              <w:rPr>
                <w:color w:val="000000"/>
              </w:rPr>
              <w:t>Silicon Valley Clean Water</w:t>
            </w:r>
          </w:p>
        </w:tc>
        <w:tc>
          <w:tcPr>
            <w:tcW w:w="1620" w:type="dxa"/>
            <w:tcBorders>
              <w:top w:val="nil"/>
              <w:left w:val="nil"/>
              <w:bottom w:val="nil"/>
              <w:right w:val="single" w:sz="4" w:space="0" w:color="auto"/>
            </w:tcBorders>
            <w:shd w:val="clear" w:color="auto" w:fill="auto"/>
            <w:noWrap/>
            <w:vAlign w:val="bottom"/>
            <w:hideMark/>
          </w:tcPr>
          <w:p w14:paraId="268D12B0" w14:textId="77777777" w:rsidR="00426116" w:rsidRPr="00BA2A47" w:rsidRDefault="00426116" w:rsidP="00426116">
            <w:pPr>
              <w:jc w:val="right"/>
              <w:rPr>
                <w:color w:val="000000"/>
              </w:rPr>
            </w:pPr>
            <w:r w:rsidRPr="00BA2A47">
              <w:rPr>
                <w:color w:val="000000"/>
              </w:rPr>
              <w:t>0.002780926</w:t>
            </w:r>
          </w:p>
        </w:tc>
        <w:tc>
          <w:tcPr>
            <w:tcW w:w="1530" w:type="dxa"/>
            <w:tcBorders>
              <w:top w:val="nil"/>
              <w:left w:val="nil"/>
              <w:bottom w:val="nil"/>
              <w:right w:val="single" w:sz="4" w:space="0" w:color="auto"/>
            </w:tcBorders>
            <w:shd w:val="clear" w:color="auto" w:fill="auto"/>
            <w:noWrap/>
            <w:vAlign w:val="bottom"/>
            <w:hideMark/>
          </w:tcPr>
          <w:p w14:paraId="0D12B58B" w14:textId="77777777" w:rsidR="00426116" w:rsidRPr="00BA2A47" w:rsidRDefault="00426116" w:rsidP="00426116">
            <w:pPr>
              <w:jc w:val="right"/>
              <w:rPr>
                <w:color w:val="000000"/>
              </w:rPr>
            </w:pPr>
            <w:r w:rsidRPr="00BA2A47">
              <w:rPr>
                <w:color w:val="000000"/>
              </w:rPr>
              <w:t>0.003606276</w:t>
            </w:r>
          </w:p>
        </w:tc>
        <w:tc>
          <w:tcPr>
            <w:tcW w:w="1530" w:type="dxa"/>
            <w:tcBorders>
              <w:top w:val="nil"/>
              <w:left w:val="nil"/>
              <w:bottom w:val="nil"/>
              <w:right w:val="single" w:sz="4" w:space="0" w:color="auto"/>
            </w:tcBorders>
            <w:shd w:val="clear" w:color="auto" w:fill="auto"/>
            <w:noWrap/>
            <w:vAlign w:val="bottom"/>
            <w:hideMark/>
          </w:tcPr>
          <w:p w14:paraId="21CB538A" w14:textId="77777777" w:rsidR="00426116" w:rsidRPr="00BA2A47" w:rsidRDefault="00426116" w:rsidP="00426116">
            <w:pPr>
              <w:jc w:val="right"/>
              <w:rPr>
                <w:color w:val="000000"/>
              </w:rPr>
            </w:pPr>
            <w:r w:rsidRPr="00BA2A47">
              <w:rPr>
                <w:color w:val="000000"/>
              </w:rPr>
              <w:t>0.002235643</w:t>
            </w:r>
          </w:p>
        </w:tc>
        <w:tc>
          <w:tcPr>
            <w:tcW w:w="1530" w:type="dxa"/>
            <w:tcBorders>
              <w:top w:val="nil"/>
              <w:left w:val="nil"/>
              <w:bottom w:val="nil"/>
              <w:right w:val="single" w:sz="4" w:space="0" w:color="auto"/>
            </w:tcBorders>
            <w:shd w:val="clear" w:color="auto" w:fill="auto"/>
            <w:noWrap/>
            <w:vAlign w:val="bottom"/>
            <w:hideMark/>
          </w:tcPr>
          <w:p w14:paraId="105097E6" w14:textId="77777777" w:rsidR="00426116" w:rsidRPr="00BA2A47" w:rsidRDefault="00426116" w:rsidP="00426116">
            <w:pPr>
              <w:jc w:val="right"/>
              <w:rPr>
                <w:color w:val="000000"/>
              </w:rPr>
            </w:pPr>
            <w:r w:rsidRPr="00BA2A47">
              <w:rPr>
                <w:color w:val="000000"/>
              </w:rPr>
              <w:t>0.002665677</w:t>
            </w:r>
          </w:p>
        </w:tc>
      </w:tr>
      <w:tr w:rsidR="00590587" w:rsidRPr="00426116" w14:paraId="2F1E7A17" w14:textId="77777777" w:rsidTr="00590587">
        <w:trPr>
          <w:trHeight w:val="300"/>
          <w:jc w:val="center"/>
        </w:trPr>
        <w:tc>
          <w:tcPr>
            <w:tcW w:w="2430" w:type="dxa"/>
            <w:tcBorders>
              <w:top w:val="nil"/>
              <w:left w:val="single" w:sz="4" w:space="0" w:color="auto"/>
              <w:bottom w:val="nil"/>
              <w:right w:val="single" w:sz="4" w:space="0" w:color="auto"/>
            </w:tcBorders>
            <w:shd w:val="clear" w:color="auto" w:fill="auto"/>
            <w:noWrap/>
            <w:vAlign w:val="bottom"/>
            <w:hideMark/>
          </w:tcPr>
          <w:p w14:paraId="726B5D0D" w14:textId="77777777" w:rsidR="00426116" w:rsidRPr="00BA2A47" w:rsidRDefault="00426116" w:rsidP="00426116">
            <w:pPr>
              <w:rPr>
                <w:color w:val="000000"/>
              </w:rPr>
            </w:pPr>
            <w:r w:rsidRPr="00BA2A47">
              <w:rPr>
                <w:color w:val="000000"/>
              </w:rPr>
              <w:t>Silicon Valley Clean Water</w:t>
            </w:r>
          </w:p>
        </w:tc>
        <w:tc>
          <w:tcPr>
            <w:tcW w:w="1620" w:type="dxa"/>
            <w:tcBorders>
              <w:top w:val="nil"/>
              <w:left w:val="nil"/>
              <w:bottom w:val="nil"/>
              <w:right w:val="single" w:sz="4" w:space="0" w:color="auto"/>
            </w:tcBorders>
            <w:shd w:val="clear" w:color="auto" w:fill="auto"/>
            <w:noWrap/>
            <w:vAlign w:val="bottom"/>
            <w:hideMark/>
          </w:tcPr>
          <w:p w14:paraId="1BDDB017" w14:textId="77777777" w:rsidR="00426116" w:rsidRPr="00BA2A47" w:rsidRDefault="00426116" w:rsidP="00426116">
            <w:pPr>
              <w:jc w:val="right"/>
              <w:rPr>
                <w:color w:val="000000"/>
              </w:rPr>
            </w:pPr>
            <w:r w:rsidRPr="00BA2A47">
              <w:rPr>
                <w:color w:val="000000"/>
              </w:rPr>
              <w:t>0.002660565</w:t>
            </w:r>
          </w:p>
        </w:tc>
        <w:tc>
          <w:tcPr>
            <w:tcW w:w="1530" w:type="dxa"/>
            <w:tcBorders>
              <w:top w:val="nil"/>
              <w:left w:val="nil"/>
              <w:bottom w:val="nil"/>
              <w:right w:val="single" w:sz="4" w:space="0" w:color="auto"/>
            </w:tcBorders>
            <w:shd w:val="clear" w:color="auto" w:fill="auto"/>
            <w:noWrap/>
            <w:vAlign w:val="bottom"/>
            <w:hideMark/>
          </w:tcPr>
          <w:p w14:paraId="22B91948" w14:textId="77777777" w:rsidR="00426116" w:rsidRPr="00BA2A47" w:rsidRDefault="00426116" w:rsidP="00426116">
            <w:pPr>
              <w:jc w:val="right"/>
              <w:rPr>
                <w:color w:val="000000"/>
              </w:rPr>
            </w:pPr>
            <w:r w:rsidRPr="00BA2A47">
              <w:rPr>
                <w:color w:val="000000"/>
              </w:rPr>
              <w:t>0.002797678</w:t>
            </w:r>
          </w:p>
        </w:tc>
        <w:tc>
          <w:tcPr>
            <w:tcW w:w="1530" w:type="dxa"/>
            <w:tcBorders>
              <w:top w:val="nil"/>
              <w:left w:val="nil"/>
              <w:bottom w:val="nil"/>
              <w:right w:val="single" w:sz="4" w:space="0" w:color="auto"/>
            </w:tcBorders>
            <w:shd w:val="clear" w:color="auto" w:fill="auto"/>
            <w:noWrap/>
            <w:vAlign w:val="bottom"/>
            <w:hideMark/>
          </w:tcPr>
          <w:p w14:paraId="320B981A" w14:textId="77777777" w:rsidR="00426116" w:rsidRPr="00BA2A47" w:rsidRDefault="00426116" w:rsidP="00426116">
            <w:pPr>
              <w:jc w:val="right"/>
              <w:rPr>
                <w:color w:val="000000"/>
              </w:rPr>
            </w:pPr>
            <w:r w:rsidRPr="00BA2A47">
              <w:rPr>
                <w:color w:val="000000"/>
              </w:rPr>
              <w:t>0.004337324</w:t>
            </w:r>
          </w:p>
        </w:tc>
        <w:tc>
          <w:tcPr>
            <w:tcW w:w="1530" w:type="dxa"/>
            <w:tcBorders>
              <w:top w:val="nil"/>
              <w:left w:val="nil"/>
              <w:bottom w:val="nil"/>
              <w:right w:val="single" w:sz="4" w:space="0" w:color="auto"/>
            </w:tcBorders>
            <w:shd w:val="clear" w:color="auto" w:fill="auto"/>
            <w:noWrap/>
            <w:vAlign w:val="bottom"/>
            <w:hideMark/>
          </w:tcPr>
          <w:p w14:paraId="01D6F916" w14:textId="77777777" w:rsidR="00426116" w:rsidRPr="00BA2A47" w:rsidRDefault="00426116" w:rsidP="00426116">
            <w:pPr>
              <w:jc w:val="right"/>
              <w:rPr>
                <w:color w:val="000000"/>
              </w:rPr>
            </w:pPr>
            <w:r w:rsidRPr="00BA2A47">
              <w:rPr>
                <w:color w:val="000000"/>
              </w:rPr>
              <w:t>0.01346841</w:t>
            </w:r>
          </w:p>
        </w:tc>
      </w:tr>
      <w:tr w:rsidR="00590587" w:rsidRPr="00426116" w14:paraId="28BC79D5" w14:textId="77777777" w:rsidTr="00590587">
        <w:trPr>
          <w:trHeight w:val="30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14:paraId="3F3E8792" w14:textId="77777777" w:rsidR="00426116" w:rsidRPr="00BA2A47" w:rsidRDefault="00426116" w:rsidP="00426116">
            <w:pPr>
              <w:rPr>
                <w:color w:val="000000"/>
              </w:rPr>
            </w:pPr>
            <w:r w:rsidRPr="00BA2A47">
              <w:rPr>
                <w:color w:val="000000"/>
              </w:rPr>
              <w:t>Silicon Valley Clean Water</w:t>
            </w:r>
          </w:p>
        </w:tc>
        <w:tc>
          <w:tcPr>
            <w:tcW w:w="1620" w:type="dxa"/>
            <w:tcBorders>
              <w:top w:val="nil"/>
              <w:left w:val="nil"/>
              <w:bottom w:val="single" w:sz="4" w:space="0" w:color="auto"/>
              <w:right w:val="single" w:sz="4" w:space="0" w:color="auto"/>
            </w:tcBorders>
            <w:shd w:val="clear" w:color="auto" w:fill="auto"/>
            <w:noWrap/>
            <w:vAlign w:val="bottom"/>
            <w:hideMark/>
          </w:tcPr>
          <w:p w14:paraId="5CE3B3E5" w14:textId="77777777" w:rsidR="00426116" w:rsidRPr="00BA2A47" w:rsidRDefault="00426116" w:rsidP="00426116">
            <w:pPr>
              <w:jc w:val="right"/>
              <w:rPr>
                <w:color w:val="000000"/>
              </w:rPr>
            </w:pPr>
            <w:r w:rsidRPr="00BA2A47">
              <w:rPr>
                <w:color w:val="000000"/>
              </w:rPr>
              <w:t>0.002518986</w:t>
            </w:r>
          </w:p>
        </w:tc>
        <w:tc>
          <w:tcPr>
            <w:tcW w:w="1530" w:type="dxa"/>
            <w:tcBorders>
              <w:top w:val="nil"/>
              <w:left w:val="nil"/>
              <w:bottom w:val="single" w:sz="4" w:space="0" w:color="auto"/>
              <w:right w:val="single" w:sz="4" w:space="0" w:color="auto"/>
            </w:tcBorders>
            <w:shd w:val="clear" w:color="auto" w:fill="auto"/>
            <w:noWrap/>
            <w:vAlign w:val="bottom"/>
            <w:hideMark/>
          </w:tcPr>
          <w:p w14:paraId="26793973" w14:textId="77777777" w:rsidR="00426116" w:rsidRPr="00BA2A47" w:rsidRDefault="00426116" w:rsidP="00426116">
            <w:pPr>
              <w:jc w:val="right"/>
              <w:rPr>
                <w:color w:val="000000"/>
              </w:rPr>
            </w:pPr>
            <w:r w:rsidRPr="00BA2A47">
              <w:rPr>
                <w:color w:val="000000"/>
              </w:rPr>
              <w:t>0.008893033</w:t>
            </w:r>
          </w:p>
        </w:tc>
        <w:tc>
          <w:tcPr>
            <w:tcW w:w="1530" w:type="dxa"/>
            <w:tcBorders>
              <w:top w:val="nil"/>
              <w:left w:val="nil"/>
              <w:bottom w:val="single" w:sz="4" w:space="0" w:color="auto"/>
              <w:right w:val="single" w:sz="4" w:space="0" w:color="auto"/>
            </w:tcBorders>
            <w:shd w:val="clear" w:color="auto" w:fill="auto"/>
            <w:noWrap/>
            <w:vAlign w:val="bottom"/>
            <w:hideMark/>
          </w:tcPr>
          <w:p w14:paraId="139DC1C7" w14:textId="77777777" w:rsidR="00426116" w:rsidRPr="00BA2A47" w:rsidRDefault="00426116" w:rsidP="00426116">
            <w:pPr>
              <w:jc w:val="right"/>
              <w:rPr>
                <w:color w:val="000000"/>
              </w:rPr>
            </w:pPr>
            <w:r w:rsidRPr="00BA2A47">
              <w:rPr>
                <w:color w:val="000000"/>
              </w:rPr>
              <w:t>0.004323485</w:t>
            </w:r>
          </w:p>
        </w:tc>
        <w:tc>
          <w:tcPr>
            <w:tcW w:w="1530" w:type="dxa"/>
            <w:tcBorders>
              <w:top w:val="nil"/>
              <w:left w:val="nil"/>
              <w:bottom w:val="single" w:sz="4" w:space="0" w:color="auto"/>
              <w:right w:val="single" w:sz="4" w:space="0" w:color="auto"/>
            </w:tcBorders>
            <w:shd w:val="clear" w:color="auto" w:fill="auto"/>
            <w:noWrap/>
            <w:vAlign w:val="bottom"/>
            <w:hideMark/>
          </w:tcPr>
          <w:p w14:paraId="261FB055" w14:textId="77777777" w:rsidR="00426116" w:rsidRPr="00BA2A47" w:rsidRDefault="00426116" w:rsidP="00426116">
            <w:pPr>
              <w:jc w:val="right"/>
              <w:rPr>
                <w:color w:val="000000"/>
              </w:rPr>
            </w:pPr>
            <w:r w:rsidRPr="00BA2A47">
              <w:rPr>
                <w:color w:val="000000"/>
              </w:rPr>
              <w:t>0.013385183</w:t>
            </w:r>
          </w:p>
        </w:tc>
      </w:tr>
      <w:tr w:rsidR="00590587" w:rsidRPr="00426116" w14:paraId="3F5895A6" w14:textId="77777777" w:rsidTr="00590587">
        <w:trPr>
          <w:trHeight w:val="300"/>
          <w:jc w:val="center"/>
        </w:trPr>
        <w:tc>
          <w:tcPr>
            <w:tcW w:w="2430" w:type="dxa"/>
            <w:tcBorders>
              <w:top w:val="nil"/>
              <w:left w:val="single" w:sz="4" w:space="0" w:color="auto"/>
              <w:bottom w:val="nil"/>
              <w:right w:val="single" w:sz="4" w:space="0" w:color="auto"/>
            </w:tcBorders>
            <w:shd w:val="clear" w:color="auto" w:fill="auto"/>
            <w:noWrap/>
            <w:vAlign w:val="bottom"/>
            <w:hideMark/>
          </w:tcPr>
          <w:p w14:paraId="619AA8C2" w14:textId="77777777" w:rsidR="00426116" w:rsidRPr="00BA2A47" w:rsidRDefault="00426116" w:rsidP="00426116">
            <w:pPr>
              <w:rPr>
                <w:color w:val="000000"/>
              </w:rPr>
            </w:pPr>
            <w:r w:rsidRPr="00BA2A47">
              <w:rPr>
                <w:color w:val="000000"/>
              </w:rPr>
              <w:t>Sonoma Valley County SD</w:t>
            </w:r>
          </w:p>
        </w:tc>
        <w:tc>
          <w:tcPr>
            <w:tcW w:w="1620" w:type="dxa"/>
            <w:tcBorders>
              <w:top w:val="nil"/>
              <w:left w:val="nil"/>
              <w:bottom w:val="nil"/>
              <w:right w:val="single" w:sz="4" w:space="0" w:color="auto"/>
            </w:tcBorders>
            <w:shd w:val="clear" w:color="auto" w:fill="auto"/>
            <w:noWrap/>
            <w:vAlign w:val="bottom"/>
            <w:hideMark/>
          </w:tcPr>
          <w:p w14:paraId="05490627" w14:textId="77777777" w:rsidR="00426116" w:rsidRPr="00BA2A47" w:rsidRDefault="00426116" w:rsidP="00426116">
            <w:pPr>
              <w:jc w:val="right"/>
              <w:rPr>
                <w:color w:val="000000"/>
              </w:rPr>
            </w:pPr>
            <w:r w:rsidRPr="00BA2A47">
              <w:rPr>
                <w:color w:val="000000"/>
              </w:rPr>
              <w:t>0.000240769</w:t>
            </w:r>
          </w:p>
        </w:tc>
        <w:tc>
          <w:tcPr>
            <w:tcW w:w="1530" w:type="dxa"/>
            <w:tcBorders>
              <w:top w:val="nil"/>
              <w:left w:val="nil"/>
              <w:bottom w:val="nil"/>
              <w:right w:val="single" w:sz="4" w:space="0" w:color="auto"/>
            </w:tcBorders>
            <w:shd w:val="clear" w:color="auto" w:fill="auto"/>
            <w:noWrap/>
            <w:vAlign w:val="bottom"/>
            <w:hideMark/>
          </w:tcPr>
          <w:p w14:paraId="5D7DBA51" w14:textId="77777777" w:rsidR="00426116" w:rsidRPr="00BA2A47" w:rsidRDefault="00426116" w:rsidP="00426116">
            <w:pPr>
              <w:jc w:val="right"/>
              <w:rPr>
                <w:color w:val="000000"/>
              </w:rPr>
            </w:pPr>
            <w:r w:rsidRPr="00BA2A47">
              <w:rPr>
                <w:color w:val="000000"/>
              </w:rPr>
              <w:t>5.29543E-05</w:t>
            </w:r>
          </w:p>
        </w:tc>
        <w:tc>
          <w:tcPr>
            <w:tcW w:w="1530" w:type="dxa"/>
            <w:tcBorders>
              <w:top w:val="nil"/>
              <w:left w:val="nil"/>
              <w:bottom w:val="nil"/>
              <w:right w:val="single" w:sz="4" w:space="0" w:color="auto"/>
            </w:tcBorders>
            <w:shd w:val="clear" w:color="auto" w:fill="auto"/>
            <w:noWrap/>
            <w:vAlign w:val="bottom"/>
            <w:hideMark/>
          </w:tcPr>
          <w:p w14:paraId="3B619F73" w14:textId="77777777" w:rsidR="00426116" w:rsidRPr="00BA2A47" w:rsidRDefault="00426116" w:rsidP="00426116">
            <w:pPr>
              <w:jc w:val="right"/>
              <w:rPr>
                <w:color w:val="000000"/>
              </w:rPr>
            </w:pPr>
            <w:r w:rsidRPr="00BA2A47">
              <w:rPr>
                <w:color w:val="000000"/>
              </w:rPr>
              <w:t>4.24765E-05</w:t>
            </w:r>
          </w:p>
        </w:tc>
        <w:tc>
          <w:tcPr>
            <w:tcW w:w="1530" w:type="dxa"/>
            <w:tcBorders>
              <w:top w:val="nil"/>
              <w:left w:val="nil"/>
              <w:bottom w:val="nil"/>
              <w:right w:val="single" w:sz="4" w:space="0" w:color="auto"/>
            </w:tcBorders>
            <w:shd w:val="clear" w:color="auto" w:fill="auto"/>
            <w:noWrap/>
            <w:vAlign w:val="bottom"/>
            <w:hideMark/>
          </w:tcPr>
          <w:p w14:paraId="2B2ED971" w14:textId="77777777" w:rsidR="00426116" w:rsidRPr="00BA2A47" w:rsidRDefault="00426116" w:rsidP="00426116">
            <w:pPr>
              <w:jc w:val="right"/>
              <w:rPr>
                <w:color w:val="000000"/>
              </w:rPr>
            </w:pPr>
            <w:r w:rsidRPr="00BA2A47">
              <w:rPr>
                <w:color w:val="000000"/>
              </w:rPr>
              <w:t>2.20148E-06</w:t>
            </w:r>
          </w:p>
        </w:tc>
      </w:tr>
      <w:tr w:rsidR="00590587" w:rsidRPr="00426116" w14:paraId="304D2286" w14:textId="77777777" w:rsidTr="00590587">
        <w:trPr>
          <w:trHeight w:val="30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14:paraId="4471D3BA" w14:textId="77777777" w:rsidR="00426116" w:rsidRPr="00BA2A47" w:rsidRDefault="00426116" w:rsidP="00426116">
            <w:pPr>
              <w:rPr>
                <w:color w:val="000000"/>
              </w:rPr>
            </w:pPr>
            <w:r w:rsidRPr="00BA2A47">
              <w:rPr>
                <w:color w:val="000000"/>
              </w:rPr>
              <w:t>Sonoma Valley County SD</w:t>
            </w:r>
          </w:p>
        </w:tc>
        <w:tc>
          <w:tcPr>
            <w:tcW w:w="1620" w:type="dxa"/>
            <w:tcBorders>
              <w:top w:val="nil"/>
              <w:left w:val="nil"/>
              <w:bottom w:val="single" w:sz="4" w:space="0" w:color="auto"/>
              <w:right w:val="single" w:sz="4" w:space="0" w:color="auto"/>
            </w:tcBorders>
            <w:shd w:val="clear" w:color="auto" w:fill="auto"/>
            <w:noWrap/>
            <w:vAlign w:val="bottom"/>
            <w:hideMark/>
          </w:tcPr>
          <w:p w14:paraId="5DD458EA" w14:textId="77777777" w:rsidR="00426116" w:rsidRPr="00BA2A47" w:rsidRDefault="00426116" w:rsidP="00426116">
            <w:pPr>
              <w:jc w:val="right"/>
              <w:rPr>
                <w:color w:val="000000"/>
              </w:rPr>
            </w:pPr>
            <w:r w:rsidRPr="00BA2A47">
              <w:rPr>
                <w:color w:val="000000"/>
              </w:rPr>
              <w:t>6.61511E-05</w:t>
            </w:r>
          </w:p>
        </w:tc>
        <w:tc>
          <w:tcPr>
            <w:tcW w:w="1530" w:type="dxa"/>
            <w:tcBorders>
              <w:top w:val="nil"/>
              <w:left w:val="nil"/>
              <w:bottom w:val="single" w:sz="4" w:space="0" w:color="auto"/>
              <w:right w:val="single" w:sz="4" w:space="0" w:color="auto"/>
            </w:tcBorders>
            <w:shd w:val="clear" w:color="auto" w:fill="auto"/>
            <w:noWrap/>
            <w:vAlign w:val="bottom"/>
            <w:hideMark/>
          </w:tcPr>
          <w:p w14:paraId="3663FAC0" w14:textId="77777777" w:rsidR="00426116" w:rsidRPr="00BA2A47" w:rsidRDefault="00426116" w:rsidP="00426116">
            <w:pPr>
              <w:jc w:val="right"/>
              <w:rPr>
                <w:color w:val="000000"/>
              </w:rPr>
            </w:pPr>
            <w:r w:rsidRPr="00BA2A47">
              <w:rPr>
                <w:color w:val="000000"/>
              </w:rPr>
              <w:t>0.000221437</w:t>
            </w:r>
          </w:p>
        </w:tc>
        <w:tc>
          <w:tcPr>
            <w:tcW w:w="1530" w:type="dxa"/>
            <w:tcBorders>
              <w:top w:val="nil"/>
              <w:left w:val="nil"/>
              <w:bottom w:val="single" w:sz="4" w:space="0" w:color="auto"/>
              <w:right w:val="single" w:sz="4" w:space="0" w:color="auto"/>
            </w:tcBorders>
            <w:shd w:val="clear" w:color="auto" w:fill="auto"/>
            <w:noWrap/>
            <w:vAlign w:val="bottom"/>
            <w:hideMark/>
          </w:tcPr>
          <w:p w14:paraId="34976740" w14:textId="77777777" w:rsidR="00426116" w:rsidRPr="00BA2A47" w:rsidRDefault="00426116" w:rsidP="00426116">
            <w:pPr>
              <w:jc w:val="right"/>
              <w:rPr>
                <w:color w:val="000000"/>
              </w:rPr>
            </w:pPr>
            <w:r w:rsidRPr="00BA2A47">
              <w:rPr>
                <w:color w:val="000000"/>
              </w:rPr>
              <w:t>7.29421E-05</w:t>
            </w:r>
          </w:p>
        </w:tc>
        <w:tc>
          <w:tcPr>
            <w:tcW w:w="1530" w:type="dxa"/>
            <w:tcBorders>
              <w:top w:val="nil"/>
              <w:left w:val="nil"/>
              <w:bottom w:val="single" w:sz="4" w:space="0" w:color="auto"/>
              <w:right w:val="single" w:sz="4" w:space="0" w:color="auto"/>
            </w:tcBorders>
            <w:shd w:val="clear" w:color="auto" w:fill="auto"/>
            <w:noWrap/>
            <w:vAlign w:val="bottom"/>
            <w:hideMark/>
          </w:tcPr>
          <w:p w14:paraId="2F60D160" w14:textId="77777777" w:rsidR="00426116" w:rsidRPr="00BA2A47" w:rsidRDefault="00426116" w:rsidP="00426116">
            <w:pPr>
              <w:jc w:val="right"/>
              <w:rPr>
                <w:color w:val="000000"/>
              </w:rPr>
            </w:pPr>
            <w:r w:rsidRPr="00BA2A47">
              <w:rPr>
                <w:color w:val="000000"/>
              </w:rPr>
              <w:t>0.000580791</w:t>
            </w:r>
          </w:p>
        </w:tc>
      </w:tr>
      <w:tr w:rsidR="00590587" w:rsidRPr="00426116" w14:paraId="6D8BBC49" w14:textId="77777777" w:rsidTr="00590587">
        <w:trPr>
          <w:trHeight w:val="300"/>
          <w:jc w:val="center"/>
        </w:trPr>
        <w:tc>
          <w:tcPr>
            <w:tcW w:w="2430" w:type="dxa"/>
            <w:tcBorders>
              <w:top w:val="nil"/>
              <w:left w:val="single" w:sz="4" w:space="0" w:color="auto"/>
              <w:bottom w:val="nil"/>
              <w:right w:val="single" w:sz="4" w:space="0" w:color="auto"/>
            </w:tcBorders>
            <w:shd w:val="clear" w:color="auto" w:fill="auto"/>
            <w:noWrap/>
            <w:vAlign w:val="bottom"/>
            <w:hideMark/>
          </w:tcPr>
          <w:p w14:paraId="1A322F92" w14:textId="77777777" w:rsidR="00426116" w:rsidRPr="00BA2A47" w:rsidRDefault="00426116" w:rsidP="00426116">
            <w:pPr>
              <w:rPr>
                <w:color w:val="000000"/>
              </w:rPr>
            </w:pPr>
            <w:r w:rsidRPr="00BA2A47">
              <w:rPr>
                <w:color w:val="000000"/>
              </w:rPr>
              <w:t>South SF and San Bruno</w:t>
            </w:r>
          </w:p>
        </w:tc>
        <w:tc>
          <w:tcPr>
            <w:tcW w:w="1620" w:type="dxa"/>
            <w:tcBorders>
              <w:top w:val="nil"/>
              <w:left w:val="nil"/>
              <w:bottom w:val="nil"/>
              <w:right w:val="single" w:sz="4" w:space="0" w:color="auto"/>
            </w:tcBorders>
            <w:shd w:val="clear" w:color="auto" w:fill="auto"/>
            <w:noWrap/>
            <w:vAlign w:val="bottom"/>
            <w:hideMark/>
          </w:tcPr>
          <w:p w14:paraId="1257B30F" w14:textId="77777777" w:rsidR="00426116" w:rsidRPr="00BA2A47" w:rsidRDefault="00426116" w:rsidP="00426116">
            <w:pPr>
              <w:jc w:val="right"/>
              <w:rPr>
                <w:color w:val="000000"/>
              </w:rPr>
            </w:pPr>
            <w:r w:rsidRPr="00BA2A47">
              <w:rPr>
                <w:color w:val="000000"/>
              </w:rPr>
              <w:t>0.003048769</w:t>
            </w:r>
          </w:p>
        </w:tc>
        <w:tc>
          <w:tcPr>
            <w:tcW w:w="1530" w:type="dxa"/>
            <w:tcBorders>
              <w:top w:val="nil"/>
              <w:left w:val="nil"/>
              <w:bottom w:val="nil"/>
              <w:right w:val="single" w:sz="4" w:space="0" w:color="auto"/>
            </w:tcBorders>
            <w:shd w:val="clear" w:color="auto" w:fill="auto"/>
            <w:noWrap/>
            <w:vAlign w:val="bottom"/>
            <w:hideMark/>
          </w:tcPr>
          <w:p w14:paraId="497CF0B5" w14:textId="77777777" w:rsidR="00426116" w:rsidRPr="00BA2A47" w:rsidRDefault="00426116" w:rsidP="00426116">
            <w:pPr>
              <w:jc w:val="right"/>
              <w:rPr>
                <w:color w:val="000000"/>
              </w:rPr>
            </w:pPr>
            <w:r w:rsidRPr="00BA2A47">
              <w:rPr>
                <w:color w:val="000000"/>
              </w:rPr>
              <w:t>0.002131267</w:t>
            </w:r>
          </w:p>
        </w:tc>
        <w:tc>
          <w:tcPr>
            <w:tcW w:w="1530" w:type="dxa"/>
            <w:tcBorders>
              <w:top w:val="nil"/>
              <w:left w:val="nil"/>
              <w:bottom w:val="nil"/>
              <w:right w:val="single" w:sz="4" w:space="0" w:color="auto"/>
            </w:tcBorders>
            <w:shd w:val="clear" w:color="auto" w:fill="auto"/>
            <w:noWrap/>
            <w:vAlign w:val="bottom"/>
            <w:hideMark/>
          </w:tcPr>
          <w:p w14:paraId="592B3AAD" w14:textId="77777777" w:rsidR="00426116" w:rsidRPr="00BA2A47" w:rsidRDefault="00426116" w:rsidP="00426116">
            <w:pPr>
              <w:jc w:val="right"/>
              <w:rPr>
                <w:color w:val="000000"/>
              </w:rPr>
            </w:pPr>
            <w:r w:rsidRPr="00BA2A47">
              <w:rPr>
                <w:color w:val="000000"/>
              </w:rPr>
              <w:t>0.001674849</w:t>
            </w:r>
          </w:p>
        </w:tc>
        <w:tc>
          <w:tcPr>
            <w:tcW w:w="1530" w:type="dxa"/>
            <w:tcBorders>
              <w:top w:val="nil"/>
              <w:left w:val="nil"/>
              <w:bottom w:val="nil"/>
              <w:right w:val="single" w:sz="4" w:space="0" w:color="auto"/>
            </w:tcBorders>
            <w:shd w:val="clear" w:color="auto" w:fill="auto"/>
            <w:noWrap/>
            <w:vAlign w:val="bottom"/>
            <w:hideMark/>
          </w:tcPr>
          <w:p w14:paraId="6A76E067" w14:textId="77777777" w:rsidR="00426116" w:rsidRPr="00BA2A47" w:rsidRDefault="00426116" w:rsidP="00426116">
            <w:pPr>
              <w:jc w:val="right"/>
              <w:rPr>
                <w:color w:val="000000"/>
              </w:rPr>
            </w:pPr>
            <w:r w:rsidRPr="00BA2A47">
              <w:rPr>
                <w:color w:val="000000"/>
              </w:rPr>
              <w:t>0.001597152</w:t>
            </w:r>
          </w:p>
        </w:tc>
      </w:tr>
      <w:tr w:rsidR="00590587" w:rsidRPr="00426116" w14:paraId="5A6C8A93" w14:textId="77777777" w:rsidTr="00590587">
        <w:trPr>
          <w:trHeight w:val="300"/>
          <w:jc w:val="center"/>
        </w:trPr>
        <w:tc>
          <w:tcPr>
            <w:tcW w:w="2430" w:type="dxa"/>
            <w:tcBorders>
              <w:top w:val="nil"/>
              <w:left w:val="single" w:sz="4" w:space="0" w:color="auto"/>
              <w:bottom w:val="nil"/>
              <w:right w:val="single" w:sz="4" w:space="0" w:color="auto"/>
            </w:tcBorders>
            <w:shd w:val="clear" w:color="auto" w:fill="auto"/>
            <w:noWrap/>
            <w:vAlign w:val="bottom"/>
            <w:hideMark/>
          </w:tcPr>
          <w:p w14:paraId="24C339CD" w14:textId="77777777" w:rsidR="00426116" w:rsidRPr="00BA2A47" w:rsidRDefault="00426116" w:rsidP="00426116">
            <w:pPr>
              <w:rPr>
                <w:color w:val="000000"/>
              </w:rPr>
            </w:pPr>
            <w:r w:rsidRPr="00BA2A47">
              <w:rPr>
                <w:color w:val="000000"/>
              </w:rPr>
              <w:t>South SF and San Bruno</w:t>
            </w:r>
          </w:p>
        </w:tc>
        <w:tc>
          <w:tcPr>
            <w:tcW w:w="1620" w:type="dxa"/>
            <w:tcBorders>
              <w:top w:val="nil"/>
              <w:left w:val="nil"/>
              <w:bottom w:val="nil"/>
              <w:right w:val="single" w:sz="4" w:space="0" w:color="auto"/>
            </w:tcBorders>
            <w:shd w:val="clear" w:color="auto" w:fill="auto"/>
            <w:noWrap/>
            <w:vAlign w:val="bottom"/>
            <w:hideMark/>
          </w:tcPr>
          <w:p w14:paraId="708D3BEC" w14:textId="77777777" w:rsidR="00426116" w:rsidRPr="00BA2A47" w:rsidRDefault="00426116" w:rsidP="00426116">
            <w:pPr>
              <w:jc w:val="right"/>
              <w:rPr>
                <w:color w:val="000000"/>
              </w:rPr>
            </w:pPr>
            <w:r w:rsidRPr="00BA2A47">
              <w:rPr>
                <w:color w:val="000000"/>
              </w:rPr>
              <w:t>0.001769671</w:t>
            </w:r>
          </w:p>
        </w:tc>
        <w:tc>
          <w:tcPr>
            <w:tcW w:w="1530" w:type="dxa"/>
            <w:tcBorders>
              <w:top w:val="nil"/>
              <w:left w:val="nil"/>
              <w:bottom w:val="nil"/>
              <w:right w:val="single" w:sz="4" w:space="0" w:color="auto"/>
            </w:tcBorders>
            <w:shd w:val="clear" w:color="auto" w:fill="auto"/>
            <w:noWrap/>
            <w:vAlign w:val="bottom"/>
            <w:hideMark/>
          </w:tcPr>
          <w:p w14:paraId="7540AD64" w14:textId="77777777" w:rsidR="00426116" w:rsidRPr="00BA2A47" w:rsidRDefault="00426116" w:rsidP="00426116">
            <w:pPr>
              <w:jc w:val="right"/>
              <w:rPr>
                <w:color w:val="000000"/>
              </w:rPr>
            </w:pPr>
            <w:r w:rsidRPr="00BA2A47">
              <w:rPr>
                <w:color w:val="000000"/>
              </w:rPr>
              <w:t>0.002469812</w:t>
            </w:r>
          </w:p>
        </w:tc>
        <w:tc>
          <w:tcPr>
            <w:tcW w:w="1530" w:type="dxa"/>
            <w:tcBorders>
              <w:top w:val="nil"/>
              <w:left w:val="nil"/>
              <w:bottom w:val="nil"/>
              <w:right w:val="single" w:sz="4" w:space="0" w:color="auto"/>
            </w:tcBorders>
            <w:shd w:val="clear" w:color="auto" w:fill="auto"/>
            <w:noWrap/>
            <w:vAlign w:val="bottom"/>
            <w:hideMark/>
          </w:tcPr>
          <w:p w14:paraId="4D48BB74" w14:textId="77777777" w:rsidR="00426116" w:rsidRPr="00BA2A47" w:rsidRDefault="00426116" w:rsidP="00426116">
            <w:pPr>
              <w:jc w:val="right"/>
              <w:rPr>
                <w:color w:val="000000"/>
              </w:rPr>
            </w:pPr>
            <w:r w:rsidRPr="00BA2A47">
              <w:rPr>
                <w:color w:val="000000"/>
              </w:rPr>
              <w:t>0.001199606</w:t>
            </w:r>
          </w:p>
        </w:tc>
        <w:tc>
          <w:tcPr>
            <w:tcW w:w="1530" w:type="dxa"/>
            <w:tcBorders>
              <w:top w:val="nil"/>
              <w:left w:val="nil"/>
              <w:bottom w:val="nil"/>
              <w:right w:val="single" w:sz="4" w:space="0" w:color="auto"/>
            </w:tcBorders>
            <w:shd w:val="clear" w:color="auto" w:fill="auto"/>
            <w:noWrap/>
            <w:vAlign w:val="bottom"/>
            <w:hideMark/>
          </w:tcPr>
          <w:p w14:paraId="7A4C4128" w14:textId="77777777" w:rsidR="00426116" w:rsidRPr="00BA2A47" w:rsidRDefault="00426116" w:rsidP="00426116">
            <w:pPr>
              <w:jc w:val="right"/>
              <w:rPr>
                <w:color w:val="000000"/>
              </w:rPr>
            </w:pPr>
            <w:r w:rsidRPr="00BA2A47">
              <w:rPr>
                <w:color w:val="000000"/>
              </w:rPr>
              <w:t>0.000926471</w:t>
            </w:r>
          </w:p>
        </w:tc>
      </w:tr>
      <w:tr w:rsidR="00590587" w:rsidRPr="00426116" w14:paraId="6EDFA00B" w14:textId="77777777" w:rsidTr="00590587">
        <w:trPr>
          <w:trHeight w:val="300"/>
          <w:jc w:val="center"/>
        </w:trPr>
        <w:tc>
          <w:tcPr>
            <w:tcW w:w="2430" w:type="dxa"/>
            <w:tcBorders>
              <w:top w:val="nil"/>
              <w:left w:val="single" w:sz="4" w:space="0" w:color="auto"/>
              <w:bottom w:val="nil"/>
              <w:right w:val="single" w:sz="4" w:space="0" w:color="auto"/>
            </w:tcBorders>
            <w:shd w:val="clear" w:color="auto" w:fill="auto"/>
            <w:noWrap/>
            <w:vAlign w:val="bottom"/>
            <w:hideMark/>
          </w:tcPr>
          <w:p w14:paraId="110D0ABD" w14:textId="77777777" w:rsidR="00426116" w:rsidRPr="00BA2A47" w:rsidRDefault="00426116" w:rsidP="00426116">
            <w:pPr>
              <w:rPr>
                <w:color w:val="000000"/>
              </w:rPr>
            </w:pPr>
            <w:r w:rsidRPr="00BA2A47">
              <w:rPr>
                <w:color w:val="000000"/>
              </w:rPr>
              <w:t>South SF and San Bruno</w:t>
            </w:r>
          </w:p>
        </w:tc>
        <w:tc>
          <w:tcPr>
            <w:tcW w:w="1620" w:type="dxa"/>
            <w:tcBorders>
              <w:top w:val="nil"/>
              <w:left w:val="nil"/>
              <w:bottom w:val="nil"/>
              <w:right w:val="single" w:sz="4" w:space="0" w:color="auto"/>
            </w:tcBorders>
            <w:shd w:val="clear" w:color="auto" w:fill="auto"/>
            <w:noWrap/>
            <w:vAlign w:val="bottom"/>
            <w:hideMark/>
          </w:tcPr>
          <w:p w14:paraId="3C61A643" w14:textId="77777777" w:rsidR="00426116" w:rsidRPr="00BA2A47" w:rsidRDefault="00426116" w:rsidP="00426116">
            <w:pPr>
              <w:jc w:val="right"/>
              <w:rPr>
                <w:color w:val="000000"/>
              </w:rPr>
            </w:pPr>
            <w:r w:rsidRPr="00BA2A47">
              <w:rPr>
                <w:color w:val="000000"/>
              </w:rPr>
              <w:t>0.00496287</w:t>
            </w:r>
          </w:p>
        </w:tc>
        <w:tc>
          <w:tcPr>
            <w:tcW w:w="1530" w:type="dxa"/>
            <w:tcBorders>
              <w:top w:val="nil"/>
              <w:left w:val="nil"/>
              <w:bottom w:val="nil"/>
              <w:right w:val="single" w:sz="4" w:space="0" w:color="auto"/>
            </w:tcBorders>
            <w:shd w:val="clear" w:color="auto" w:fill="auto"/>
            <w:noWrap/>
            <w:vAlign w:val="bottom"/>
            <w:hideMark/>
          </w:tcPr>
          <w:p w14:paraId="09343BA0" w14:textId="77777777" w:rsidR="00426116" w:rsidRPr="00BA2A47" w:rsidRDefault="00426116" w:rsidP="00426116">
            <w:pPr>
              <w:jc w:val="right"/>
              <w:rPr>
                <w:color w:val="000000"/>
              </w:rPr>
            </w:pPr>
            <w:r w:rsidRPr="00BA2A47">
              <w:rPr>
                <w:color w:val="000000"/>
              </w:rPr>
              <w:t>0.001494728</w:t>
            </w:r>
          </w:p>
        </w:tc>
        <w:tc>
          <w:tcPr>
            <w:tcW w:w="1530" w:type="dxa"/>
            <w:tcBorders>
              <w:top w:val="nil"/>
              <w:left w:val="nil"/>
              <w:bottom w:val="nil"/>
              <w:right w:val="single" w:sz="4" w:space="0" w:color="auto"/>
            </w:tcBorders>
            <w:shd w:val="clear" w:color="auto" w:fill="auto"/>
            <w:noWrap/>
            <w:vAlign w:val="bottom"/>
            <w:hideMark/>
          </w:tcPr>
          <w:p w14:paraId="33E01017" w14:textId="77777777" w:rsidR="00426116" w:rsidRPr="00BA2A47" w:rsidRDefault="00426116" w:rsidP="00426116">
            <w:pPr>
              <w:jc w:val="right"/>
              <w:rPr>
                <w:color w:val="000000"/>
              </w:rPr>
            </w:pPr>
            <w:r w:rsidRPr="00BA2A47">
              <w:rPr>
                <w:color w:val="000000"/>
              </w:rPr>
              <w:t>0.001109731</w:t>
            </w:r>
          </w:p>
        </w:tc>
        <w:tc>
          <w:tcPr>
            <w:tcW w:w="1530" w:type="dxa"/>
            <w:tcBorders>
              <w:top w:val="nil"/>
              <w:left w:val="nil"/>
              <w:bottom w:val="nil"/>
              <w:right w:val="single" w:sz="4" w:space="0" w:color="auto"/>
            </w:tcBorders>
            <w:shd w:val="clear" w:color="auto" w:fill="auto"/>
            <w:noWrap/>
            <w:vAlign w:val="bottom"/>
            <w:hideMark/>
          </w:tcPr>
          <w:p w14:paraId="35D60737" w14:textId="77777777" w:rsidR="00426116" w:rsidRPr="00BA2A47" w:rsidRDefault="00426116" w:rsidP="00426116">
            <w:pPr>
              <w:jc w:val="right"/>
              <w:rPr>
                <w:color w:val="000000"/>
              </w:rPr>
            </w:pPr>
            <w:r w:rsidRPr="00BA2A47">
              <w:rPr>
                <w:color w:val="000000"/>
              </w:rPr>
              <w:t>0.002337297</w:t>
            </w:r>
          </w:p>
        </w:tc>
      </w:tr>
      <w:tr w:rsidR="00590587" w:rsidRPr="00426116" w14:paraId="5FAFA068" w14:textId="77777777" w:rsidTr="00590587">
        <w:trPr>
          <w:trHeight w:val="30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14:paraId="140BC8C0" w14:textId="77777777" w:rsidR="00426116" w:rsidRPr="00BA2A47" w:rsidRDefault="00426116" w:rsidP="00426116">
            <w:pPr>
              <w:rPr>
                <w:color w:val="000000"/>
              </w:rPr>
            </w:pPr>
            <w:r w:rsidRPr="00BA2A47">
              <w:rPr>
                <w:color w:val="000000"/>
              </w:rPr>
              <w:t>South SF and San Bruno</w:t>
            </w:r>
          </w:p>
        </w:tc>
        <w:tc>
          <w:tcPr>
            <w:tcW w:w="1620" w:type="dxa"/>
            <w:tcBorders>
              <w:top w:val="nil"/>
              <w:left w:val="nil"/>
              <w:bottom w:val="single" w:sz="4" w:space="0" w:color="auto"/>
              <w:right w:val="single" w:sz="4" w:space="0" w:color="auto"/>
            </w:tcBorders>
            <w:shd w:val="clear" w:color="auto" w:fill="auto"/>
            <w:noWrap/>
            <w:vAlign w:val="bottom"/>
            <w:hideMark/>
          </w:tcPr>
          <w:p w14:paraId="23211FE1" w14:textId="77777777" w:rsidR="00426116" w:rsidRPr="00BA2A47" w:rsidRDefault="00426116" w:rsidP="00426116">
            <w:pPr>
              <w:jc w:val="right"/>
              <w:rPr>
                <w:color w:val="000000"/>
              </w:rPr>
            </w:pPr>
            <w:r w:rsidRPr="00BA2A47">
              <w:rPr>
                <w:color w:val="000000"/>
              </w:rPr>
              <w:t>0.005457058</w:t>
            </w:r>
          </w:p>
        </w:tc>
        <w:tc>
          <w:tcPr>
            <w:tcW w:w="1530" w:type="dxa"/>
            <w:tcBorders>
              <w:top w:val="nil"/>
              <w:left w:val="nil"/>
              <w:bottom w:val="single" w:sz="4" w:space="0" w:color="auto"/>
              <w:right w:val="single" w:sz="4" w:space="0" w:color="auto"/>
            </w:tcBorders>
            <w:shd w:val="clear" w:color="auto" w:fill="auto"/>
            <w:noWrap/>
            <w:vAlign w:val="bottom"/>
            <w:hideMark/>
          </w:tcPr>
          <w:p w14:paraId="48D0C212" w14:textId="77777777" w:rsidR="00426116" w:rsidRPr="00BA2A47" w:rsidRDefault="00426116" w:rsidP="00426116">
            <w:pPr>
              <w:jc w:val="right"/>
              <w:rPr>
                <w:color w:val="000000"/>
              </w:rPr>
            </w:pPr>
            <w:r w:rsidRPr="00BA2A47">
              <w:rPr>
                <w:color w:val="000000"/>
              </w:rPr>
              <w:t>0.002179173</w:t>
            </w:r>
          </w:p>
        </w:tc>
        <w:tc>
          <w:tcPr>
            <w:tcW w:w="1530" w:type="dxa"/>
            <w:tcBorders>
              <w:top w:val="nil"/>
              <w:left w:val="nil"/>
              <w:bottom w:val="single" w:sz="4" w:space="0" w:color="auto"/>
              <w:right w:val="single" w:sz="4" w:space="0" w:color="auto"/>
            </w:tcBorders>
            <w:shd w:val="clear" w:color="auto" w:fill="auto"/>
            <w:noWrap/>
            <w:vAlign w:val="bottom"/>
            <w:hideMark/>
          </w:tcPr>
          <w:p w14:paraId="0BB20362" w14:textId="77777777" w:rsidR="00426116" w:rsidRPr="00BA2A47" w:rsidRDefault="00426116" w:rsidP="00426116">
            <w:pPr>
              <w:jc w:val="right"/>
              <w:rPr>
                <w:color w:val="000000"/>
              </w:rPr>
            </w:pPr>
            <w:r w:rsidRPr="00BA2A47">
              <w:rPr>
                <w:color w:val="000000"/>
              </w:rPr>
              <w:t>0.001329856</w:t>
            </w:r>
          </w:p>
        </w:tc>
        <w:tc>
          <w:tcPr>
            <w:tcW w:w="1530" w:type="dxa"/>
            <w:tcBorders>
              <w:top w:val="nil"/>
              <w:left w:val="nil"/>
              <w:bottom w:val="single" w:sz="4" w:space="0" w:color="auto"/>
              <w:right w:val="single" w:sz="4" w:space="0" w:color="auto"/>
            </w:tcBorders>
            <w:shd w:val="clear" w:color="auto" w:fill="auto"/>
            <w:noWrap/>
            <w:vAlign w:val="bottom"/>
            <w:hideMark/>
          </w:tcPr>
          <w:p w14:paraId="47388E15" w14:textId="77777777" w:rsidR="00426116" w:rsidRPr="00BA2A47" w:rsidRDefault="00426116" w:rsidP="00426116">
            <w:pPr>
              <w:jc w:val="right"/>
              <w:rPr>
                <w:color w:val="000000"/>
              </w:rPr>
            </w:pPr>
            <w:r w:rsidRPr="00BA2A47">
              <w:rPr>
                <w:color w:val="000000"/>
              </w:rPr>
              <w:t>0.001733714</w:t>
            </w:r>
          </w:p>
        </w:tc>
      </w:tr>
      <w:tr w:rsidR="00590587" w:rsidRPr="00426116" w14:paraId="29E407B8" w14:textId="77777777" w:rsidTr="00590587">
        <w:trPr>
          <w:trHeight w:val="300"/>
          <w:jc w:val="center"/>
        </w:trPr>
        <w:tc>
          <w:tcPr>
            <w:tcW w:w="2430" w:type="dxa"/>
            <w:tcBorders>
              <w:top w:val="nil"/>
              <w:left w:val="single" w:sz="4" w:space="0" w:color="auto"/>
              <w:bottom w:val="nil"/>
              <w:right w:val="single" w:sz="4" w:space="0" w:color="auto"/>
            </w:tcBorders>
            <w:shd w:val="clear" w:color="auto" w:fill="auto"/>
            <w:noWrap/>
            <w:vAlign w:val="bottom"/>
            <w:hideMark/>
          </w:tcPr>
          <w:p w14:paraId="6FA99B62" w14:textId="77777777" w:rsidR="00426116" w:rsidRPr="00BA2A47" w:rsidRDefault="00426116" w:rsidP="00426116">
            <w:pPr>
              <w:rPr>
                <w:color w:val="000000"/>
              </w:rPr>
            </w:pPr>
            <w:r w:rsidRPr="00BA2A47">
              <w:rPr>
                <w:color w:val="000000"/>
              </w:rPr>
              <w:t>Treasure Island</w:t>
            </w:r>
          </w:p>
        </w:tc>
        <w:tc>
          <w:tcPr>
            <w:tcW w:w="1620" w:type="dxa"/>
            <w:tcBorders>
              <w:top w:val="nil"/>
              <w:left w:val="nil"/>
              <w:bottom w:val="nil"/>
              <w:right w:val="single" w:sz="4" w:space="0" w:color="auto"/>
            </w:tcBorders>
            <w:shd w:val="clear" w:color="auto" w:fill="auto"/>
            <w:noWrap/>
            <w:vAlign w:val="bottom"/>
            <w:hideMark/>
          </w:tcPr>
          <w:p w14:paraId="58BAE421" w14:textId="77777777" w:rsidR="00426116" w:rsidRPr="00BA2A47" w:rsidRDefault="00426116" w:rsidP="00426116">
            <w:pPr>
              <w:jc w:val="right"/>
              <w:rPr>
                <w:color w:val="000000"/>
              </w:rPr>
            </w:pPr>
            <w:r w:rsidRPr="00BA2A47">
              <w:rPr>
                <w:color w:val="000000"/>
              </w:rPr>
              <w:t>0.001747733</w:t>
            </w:r>
          </w:p>
        </w:tc>
        <w:tc>
          <w:tcPr>
            <w:tcW w:w="1530" w:type="dxa"/>
            <w:tcBorders>
              <w:top w:val="nil"/>
              <w:left w:val="nil"/>
              <w:bottom w:val="nil"/>
              <w:right w:val="single" w:sz="4" w:space="0" w:color="auto"/>
            </w:tcBorders>
            <w:shd w:val="clear" w:color="auto" w:fill="auto"/>
            <w:noWrap/>
            <w:vAlign w:val="bottom"/>
            <w:hideMark/>
          </w:tcPr>
          <w:p w14:paraId="14CEA4A0" w14:textId="77777777" w:rsidR="00426116" w:rsidRPr="00BA2A47" w:rsidRDefault="00426116" w:rsidP="00426116">
            <w:pPr>
              <w:jc w:val="right"/>
              <w:rPr>
                <w:color w:val="000000"/>
              </w:rPr>
            </w:pPr>
            <w:r w:rsidRPr="00BA2A47">
              <w:rPr>
                <w:color w:val="000000"/>
              </w:rPr>
              <w:t>0.004870548</w:t>
            </w:r>
          </w:p>
        </w:tc>
        <w:tc>
          <w:tcPr>
            <w:tcW w:w="1530" w:type="dxa"/>
            <w:tcBorders>
              <w:top w:val="nil"/>
              <w:left w:val="nil"/>
              <w:bottom w:val="nil"/>
              <w:right w:val="single" w:sz="4" w:space="0" w:color="auto"/>
            </w:tcBorders>
            <w:shd w:val="clear" w:color="auto" w:fill="auto"/>
            <w:noWrap/>
            <w:vAlign w:val="bottom"/>
            <w:hideMark/>
          </w:tcPr>
          <w:p w14:paraId="568E5169" w14:textId="77777777" w:rsidR="00426116" w:rsidRPr="00BA2A47" w:rsidRDefault="00426116" w:rsidP="00426116">
            <w:pPr>
              <w:jc w:val="right"/>
              <w:rPr>
                <w:color w:val="000000"/>
              </w:rPr>
            </w:pPr>
            <w:r w:rsidRPr="00BA2A47">
              <w:rPr>
                <w:color w:val="000000"/>
              </w:rPr>
              <w:t>0.004315642</w:t>
            </w:r>
          </w:p>
        </w:tc>
        <w:tc>
          <w:tcPr>
            <w:tcW w:w="1530" w:type="dxa"/>
            <w:tcBorders>
              <w:top w:val="nil"/>
              <w:left w:val="nil"/>
              <w:bottom w:val="nil"/>
              <w:right w:val="single" w:sz="4" w:space="0" w:color="auto"/>
            </w:tcBorders>
            <w:shd w:val="clear" w:color="auto" w:fill="auto"/>
            <w:noWrap/>
            <w:vAlign w:val="bottom"/>
            <w:hideMark/>
          </w:tcPr>
          <w:p w14:paraId="2CD60755" w14:textId="77777777" w:rsidR="00426116" w:rsidRPr="00BA2A47" w:rsidRDefault="00426116" w:rsidP="00426116">
            <w:pPr>
              <w:jc w:val="right"/>
              <w:rPr>
                <w:color w:val="000000"/>
              </w:rPr>
            </w:pPr>
            <w:r w:rsidRPr="00BA2A47">
              <w:rPr>
                <w:color w:val="000000"/>
              </w:rPr>
              <w:t>0.002300291</w:t>
            </w:r>
          </w:p>
        </w:tc>
      </w:tr>
      <w:tr w:rsidR="00590587" w:rsidRPr="00426116" w14:paraId="5C3DC782" w14:textId="77777777" w:rsidTr="00590587">
        <w:trPr>
          <w:trHeight w:val="30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14:paraId="2C08EE65" w14:textId="77777777" w:rsidR="00426116" w:rsidRPr="00BA2A47" w:rsidRDefault="00426116" w:rsidP="00426116">
            <w:pPr>
              <w:rPr>
                <w:color w:val="000000"/>
              </w:rPr>
            </w:pPr>
            <w:r w:rsidRPr="00BA2A47">
              <w:rPr>
                <w:color w:val="000000"/>
              </w:rPr>
              <w:t>Treasure Island</w:t>
            </w:r>
          </w:p>
        </w:tc>
        <w:tc>
          <w:tcPr>
            <w:tcW w:w="1620" w:type="dxa"/>
            <w:tcBorders>
              <w:top w:val="nil"/>
              <w:left w:val="nil"/>
              <w:bottom w:val="single" w:sz="4" w:space="0" w:color="auto"/>
              <w:right w:val="single" w:sz="4" w:space="0" w:color="auto"/>
            </w:tcBorders>
            <w:shd w:val="clear" w:color="auto" w:fill="auto"/>
            <w:noWrap/>
            <w:vAlign w:val="bottom"/>
            <w:hideMark/>
          </w:tcPr>
          <w:p w14:paraId="6DAE5648" w14:textId="77777777" w:rsidR="00426116" w:rsidRPr="00BA2A47" w:rsidRDefault="00426116" w:rsidP="00426116">
            <w:pPr>
              <w:jc w:val="right"/>
              <w:rPr>
                <w:color w:val="000000"/>
              </w:rPr>
            </w:pPr>
            <w:r w:rsidRPr="00BA2A47">
              <w:rPr>
                <w:color w:val="000000"/>
              </w:rPr>
              <w:t>0.004249545</w:t>
            </w:r>
          </w:p>
        </w:tc>
        <w:tc>
          <w:tcPr>
            <w:tcW w:w="1530" w:type="dxa"/>
            <w:tcBorders>
              <w:top w:val="nil"/>
              <w:left w:val="nil"/>
              <w:bottom w:val="single" w:sz="4" w:space="0" w:color="auto"/>
              <w:right w:val="single" w:sz="4" w:space="0" w:color="auto"/>
            </w:tcBorders>
            <w:shd w:val="clear" w:color="auto" w:fill="auto"/>
            <w:noWrap/>
            <w:vAlign w:val="bottom"/>
            <w:hideMark/>
          </w:tcPr>
          <w:p w14:paraId="5430EDD5" w14:textId="77777777" w:rsidR="00426116" w:rsidRPr="00BA2A47" w:rsidRDefault="00426116" w:rsidP="00426116">
            <w:pPr>
              <w:jc w:val="right"/>
              <w:rPr>
                <w:color w:val="000000"/>
              </w:rPr>
            </w:pPr>
            <w:r w:rsidRPr="00BA2A47">
              <w:rPr>
                <w:color w:val="000000"/>
              </w:rPr>
              <w:t>0.00406025</w:t>
            </w:r>
          </w:p>
        </w:tc>
        <w:tc>
          <w:tcPr>
            <w:tcW w:w="1530" w:type="dxa"/>
            <w:tcBorders>
              <w:top w:val="nil"/>
              <w:left w:val="nil"/>
              <w:bottom w:val="single" w:sz="4" w:space="0" w:color="auto"/>
              <w:right w:val="single" w:sz="4" w:space="0" w:color="auto"/>
            </w:tcBorders>
            <w:shd w:val="clear" w:color="auto" w:fill="auto"/>
            <w:noWrap/>
            <w:vAlign w:val="bottom"/>
            <w:hideMark/>
          </w:tcPr>
          <w:p w14:paraId="7420F0F2" w14:textId="77777777" w:rsidR="00426116" w:rsidRPr="00BA2A47" w:rsidRDefault="00426116" w:rsidP="00426116">
            <w:pPr>
              <w:jc w:val="right"/>
              <w:rPr>
                <w:color w:val="000000"/>
              </w:rPr>
            </w:pPr>
            <w:r w:rsidRPr="00BA2A47">
              <w:rPr>
                <w:color w:val="000000"/>
              </w:rPr>
              <w:t>0.002893406</w:t>
            </w:r>
          </w:p>
        </w:tc>
        <w:tc>
          <w:tcPr>
            <w:tcW w:w="1530" w:type="dxa"/>
            <w:tcBorders>
              <w:top w:val="nil"/>
              <w:left w:val="nil"/>
              <w:bottom w:val="single" w:sz="4" w:space="0" w:color="auto"/>
              <w:right w:val="single" w:sz="4" w:space="0" w:color="auto"/>
            </w:tcBorders>
            <w:shd w:val="clear" w:color="auto" w:fill="auto"/>
            <w:noWrap/>
            <w:vAlign w:val="bottom"/>
            <w:hideMark/>
          </w:tcPr>
          <w:p w14:paraId="2EC87BAF" w14:textId="77777777" w:rsidR="00426116" w:rsidRPr="00BA2A47" w:rsidRDefault="00426116" w:rsidP="00426116">
            <w:pPr>
              <w:jc w:val="right"/>
              <w:rPr>
                <w:color w:val="000000"/>
              </w:rPr>
            </w:pPr>
            <w:r w:rsidRPr="00BA2A47">
              <w:rPr>
                <w:color w:val="000000"/>
              </w:rPr>
              <w:t>0.006282947</w:t>
            </w:r>
          </w:p>
        </w:tc>
      </w:tr>
      <w:tr w:rsidR="00590587" w:rsidRPr="00426116" w14:paraId="06690F0D" w14:textId="77777777" w:rsidTr="00590587">
        <w:trPr>
          <w:trHeight w:val="300"/>
          <w:jc w:val="center"/>
        </w:trPr>
        <w:tc>
          <w:tcPr>
            <w:tcW w:w="2430" w:type="dxa"/>
            <w:tcBorders>
              <w:top w:val="nil"/>
              <w:left w:val="single" w:sz="4" w:space="0" w:color="auto"/>
              <w:bottom w:val="nil"/>
              <w:right w:val="single" w:sz="4" w:space="0" w:color="auto"/>
            </w:tcBorders>
            <w:shd w:val="clear" w:color="auto" w:fill="auto"/>
            <w:noWrap/>
            <w:vAlign w:val="bottom"/>
            <w:hideMark/>
          </w:tcPr>
          <w:p w14:paraId="491BA563" w14:textId="77777777" w:rsidR="00426116" w:rsidRPr="00BA2A47" w:rsidRDefault="00426116" w:rsidP="00426116">
            <w:pPr>
              <w:rPr>
                <w:color w:val="000000"/>
              </w:rPr>
            </w:pPr>
            <w:r w:rsidRPr="00BA2A47">
              <w:rPr>
                <w:color w:val="000000"/>
              </w:rPr>
              <w:t>Vallejo</w:t>
            </w:r>
          </w:p>
        </w:tc>
        <w:tc>
          <w:tcPr>
            <w:tcW w:w="1620" w:type="dxa"/>
            <w:tcBorders>
              <w:top w:val="nil"/>
              <w:left w:val="nil"/>
              <w:bottom w:val="nil"/>
              <w:right w:val="single" w:sz="4" w:space="0" w:color="auto"/>
            </w:tcBorders>
            <w:shd w:val="clear" w:color="auto" w:fill="auto"/>
            <w:noWrap/>
            <w:vAlign w:val="bottom"/>
            <w:hideMark/>
          </w:tcPr>
          <w:p w14:paraId="44A494AA" w14:textId="77777777" w:rsidR="00426116" w:rsidRPr="00BA2A47" w:rsidRDefault="00426116" w:rsidP="00426116">
            <w:pPr>
              <w:jc w:val="right"/>
              <w:rPr>
                <w:color w:val="000000"/>
              </w:rPr>
            </w:pPr>
            <w:r w:rsidRPr="00BA2A47">
              <w:rPr>
                <w:color w:val="000000"/>
              </w:rPr>
              <w:t>0.001716043</w:t>
            </w:r>
          </w:p>
        </w:tc>
        <w:tc>
          <w:tcPr>
            <w:tcW w:w="1530" w:type="dxa"/>
            <w:tcBorders>
              <w:top w:val="nil"/>
              <w:left w:val="nil"/>
              <w:bottom w:val="nil"/>
              <w:right w:val="single" w:sz="4" w:space="0" w:color="auto"/>
            </w:tcBorders>
            <w:shd w:val="clear" w:color="auto" w:fill="auto"/>
            <w:noWrap/>
            <w:vAlign w:val="bottom"/>
            <w:hideMark/>
          </w:tcPr>
          <w:p w14:paraId="78E82575" w14:textId="77777777" w:rsidR="00426116" w:rsidRPr="00BA2A47" w:rsidRDefault="00426116" w:rsidP="00426116">
            <w:pPr>
              <w:jc w:val="right"/>
              <w:rPr>
                <w:color w:val="000000"/>
              </w:rPr>
            </w:pPr>
            <w:r w:rsidRPr="00BA2A47">
              <w:rPr>
                <w:color w:val="000000"/>
              </w:rPr>
              <w:t>0.005148906</w:t>
            </w:r>
          </w:p>
        </w:tc>
        <w:tc>
          <w:tcPr>
            <w:tcW w:w="1530" w:type="dxa"/>
            <w:tcBorders>
              <w:top w:val="nil"/>
              <w:left w:val="nil"/>
              <w:bottom w:val="nil"/>
              <w:right w:val="single" w:sz="4" w:space="0" w:color="auto"/>
            </w:tcBorders>
            <w:shd w:val="clear" w:color="auto" w:fill="auto"/>
            <w:noWrap/>
            <w:vAlign w:val="bottom"/>
            <w:hideMark/>
          </w:tcPr>
          <w:p w14:paraId="7CF1E253" w14:textId="77777777" w:rsidR="00426116" w:rsidRPr="00BA2A47" w:rsidRDefault="00426116" w:rsidP="00426116">
            <w:pPr>
              <w:jc w:val="right"/>
              <w:rPr>
                <w:color w:val="000000"/>
              </w:rPr>
            </w:pPr>
            <w:r w:rsidRPr="00BA2A47">
              <w:rPr>
                <w:color w:val="000000"/>
              </w:rPr>
              <w:t>0.008790509</w:t>
            </w:r>
          </w:p>
        </w:tc>
        <w:tc>
          <w:tcPr>
            <w:tcW w:w="1530" w:type="dxa"/>
            <w:tcBorders>
              <w:top w:val="nil"/>
              <w:left w:val="nil"/>
              <w:bottom w:val="nil"/>
              <w:right w:val="single" w:sz="4" w:space="0" w:color="auto"/>
            </w:tcBorders>
            <w:shd w:val="clear" w:color="auto" w:fill="auto"/>
            <w:noWrap/>
            <w:vAlign w:val="bottom"/>
            <w:hideMark/>
          </w:tcPr>
          <w:p w14:paraId="66848ED9" w14:textId="77777777" w:rsidR="00426116" w:rsidRPr="00BA2A47" w:rsidRDefault="00426116" w:rsidP="00426116">
            <w:pPr>
              <w:jc w:val="right"/>
              <w:rPr>
                <w:color w:val="000000"/>
              </w:rPr>
            </w:pPr>
            <w:r w:rsidRPr="00BA2A47">
              <w:rPr>
                <w:color w:val="000000"/>
              </w:rPr>
              <w:t>0.02676705</w:t>
            </w:r>
          </w:p>
        </w:tc>
      </w:tr>
      <w:tr w:rsidR="00590587" w:rsidRPr="00426116" w14:paraId="7CC2E368" w14:textId="77777777" w:rsidTr="00590587">
        <w:trPr>
          <w:trHeight w:val="300"/>
          <w:jc w:val="center"/>
        </w:trPr>
        <w:tc>
          <w:tcPr>
            <w:tcW w:w="2430" w:type="dxa"/>
            <w:tcBorders>
              <w:top w:val="nil"/>
              <w:left w:val="single" w:sz="4" w:space="0" w:color="auto"/>
              <w:bottom w:val="nil"/>
              <w:right w:val="single" w:sz="4" w:space="0" w:color="auto"/>
            </w:tcBorders>
            <w:shd w:val="clear" w:color="auto" w:fill="auto"/>
            <w:noWrap/>
            <w:vAlign w:val="bottom"/>
            <w:hideMark/>
          </w:tcPr>
          <w:p w14:paraId="07730EA3" w14:textId="77777777" w:rsidR="00426116" w:rsidRPr="00BA2A47" w:rsidRDefault="00426116" w:rsidP="00426116">
            <w:pPr>
              <w:rPr>
                <w:color w:val="000000"/>
              </w:rPr>
            </w:pPr>
            <w:r w:rsidRPr="00BA2A47">
              <w:rPr>
                <w:color w:val="000000"/>
              </w:rPr>
              <w:t>Vallejo</w:t>
            </w:r>
          </w:p>
        </w:tc>
        <w:tc>
          <w:tcPr>
            <w:tcW w:w="1620" w:type="dxa"/>
            <w:tcBorders>
              <w:top w:val="nil"/>
              <w:left w:val="nil"/>
              <w:bottom w:val="nil"/>
              <w:right w:val="single" w:sz="4" w:space="0" w:color="auto"/>
            </w:tcBorders>
            <w:shd w:val="clear" w:color="auto" w:fill="auto"/>
            <w:noWrap/>
            <w:vAlign w:val="bottom"/>
            <w:hideMark/>
          </w:tcPr>
          <w:p w14:paraId="64053D6F" w14:textId="77777777" w:rsidR="00426116" w:rsidRPr="00BA2A47" w:rsidRDefault="00426116" w:rsidP="00426116">
            <w:pPr>
              <w:jc w:val="right"/>
              <w:rPr>
                <w:color w:val="000000"/>
              </w:rPr>
            </w:pPr>
            <w:r w:rsidRPr="00BA2A47">
              <w:rPr>
                <w:color w:val="000000"/>
              </w:rPr>
              <w:t>0.002755984</w:t>
            </w:r>
          </w:p>
        </w:tc>
        <w:tc>
          <w:tcPr>
            <w:tcW w:w="1530" w:type="dxa"/>
            <w:tcBorders>
              <w:top w:val="nil"/>
              <w:left w:val="nil"/>
              <w:bottom w:val="nil"/>
              <w:right w:val="single" w:sz="4" w:space="0" w:color="auto"/>
            </w:tcBorders>
            <w:shd w:val="clear" w:color="auto" w:fill="auto"/>
            <w:noWrap/>
            <w:vAlign w:val="bottom"/>
            <w:hideMark/>
          </w:tcPr>
          <w:p w14:paraId="3812AA56" w14:textId="77777777" w:rsidR="00426116" w:rsidRPr="00BA2A47" w:rsidRDefault="00426116" w:rsidP="00426116">
            <w:pPr>
              <w:jc w:val="right"/>
              <w:rPr>
                <w:color w:val="000000"/>
              </w:rPr>
            </w:pPr>
            <w:r w:rsidRPr="00BA2A47">
              <w:rPr>
                <w:color w:val="000000"/>
              </w:rPr>
              <w:t>0.00640477</w:t>
            </w:r>
          </w:p>
        </w:tc>
        <w:tc>
          <w:tcPr>
            <w:tcW w:w="1530" w:type="dxa"/>
            <w:tcBorders>
              <w:top w:val="nil"/>
              <w:left w:val="nil"/>
              <w:bottom w:val="nil"/>
              <w:right w:val="single" w:sz="4" w:space="0" w:color="auto"/>
            </w:tcBorders>
            <w:shd w:val="clear" w:color="auto" w:fill="auto"/>
            <w:noWrap/>
            <w:vAlign w:val="bottom"/>
            <w:hideMark/>
          </w:tcPr>
          <w:p w14:paraId="3F1D6502" w14:textId="77777777" w:rsidR="00426116" w:rsidRPr="00BA2A47" w:rsidRDefault="00426116" w:rsidP="00426116">
            <w:pPr>
              <w:jc w:val="right"/>
              <w:rPr>
                <w:color w:val="000000"/>
              </w:rPr>
            </w:pPr>
            <w:r w:rsidRPr="00BA2A47">
              <w:rPr>
                <w:color w:val="000000"/>
              </w:rPr>
              <w:t>0.006212837</w:t>
            </w:r>
          </w:p>
        </w:tc>
        <w:tc>
          <w:tcPr>
            <w:tcW w:w="1530" w:type="dxa"/>
            <w:tcBorders>
              <w:top w:val="nil"/>
              <w:left w:val="nil"/>
              <w:bottom w:val="nil"/>
              <w:right w:val="single" w:sz="4" w:space="0" w:color="auto"/>
            </w:tcBorders>
            <w:shd w:val="clear" w:color="auto" w:fill="auto"/>
            <w:noWrap/>
            <w:vAlign w:val="bottom"/>
            <w:hideMark/>
          </w:tcPr>
          <w:p w14:paraId="65B8C74E" w14:textId="77777777" w:rsidR="00426116" w:rsidRPr="00BA2A47" w:rsidRDefault="00426116" w:rsidP="00426116">
            <w:pPr>
              <w:jc w:val="right"/>
              <w:rPr>
                <w:color w:val="000000"/>
              </w:rPr>
            </w:pPr>
            <w:r w:rsidRPr="00BA2A47">
              <w:rPr>
                <w:color w:val="000000"/>
              </w:rPr>
              <w:t>0.00639365</w:t>
            </w:r>
          </w:p>
        </w:tc>
      </w:tr>
      <w:tr w:rsidR="00590587" w:rsidRPr="00426116" w14:paraId="1DD606FD" w14:textId="77777777" w:rsidTr="00590587">
        <w:trPr>
          <w:trHeight w:val="300"/>
          <w:jc w:val="center"/>
        </w:trPr>
        <w:tc>
          <w:tcPr>
            <w:tcW w:w="2430" w:type="dxa"/>
            <w:tcBorders>
              <w:top w:val="nil"/>
              <w:left w:val="single" w:sz="4" w:space="0" w:color="auto"/>
              <w:bottom w:val="nil"/>
              <w:right w:val="single" w:sz="4" w:space="0" w:color="auto"/>
            </w:tcBorders>
            <w:shd w:val="clear" w:color="auto" w:fill="auto"/>
            <w:noWrap/>
            <w:vAlign w:val="bottom"/>
            <w:hideMark/>
          </w:tcPr>
          <w:p w14:paraId="5B9B1872" w14:textId="77777777" w:rsidR="00426116" w:rsidRPr="00BA2A47" w:rsidRDefault="00426116" w:rsidP="00426116">
            <w:pPr>
              <w:rPr>
                <w:color w:val="000000"/>
              </w:rPr>
            </w:pPr>
            <w:r w:rsidRPr="00BA2A47">
              <w:rPr>
                <w:color w:val="000000"/>
              </w:rPr>
              <w:t>Vallejo</w:t>
            </w:r>
          </w:p>
        </w:tc>
        <w:tc>
          <w:tcPr>
            <w:tcW w:w="1620" w:type="dxa"/>
            <w:tcBorders>
              <w:top w:val="nil"/>
              <w:left w:val="nil"/>
              <w:bottom w:val="nil"/>
              <w:right w:val="single" w:sz="4" w:space="0" w:color="auto"/>
            </w:tcBorders>
            <w:shd w:val="clear" w:color="auto" w:fill="auto"/>
            <w:noWrap/>
            <w:vAlign w:val="bottom"/>
            <w:hideMark/>
          </w:tcPr>
          <w:p w14:paraId="6805BD6E" w14:textId="77777777" w:rsidR="00426116" w:rsidRPr="00BA2A47" w:rsidRDefault="00426116" w:rsidP="00426116">
            <w:pPr>
              <w:jc w:val="right"/>
              <w:rPr>
                <w:color w:val="000000"/>
              </w:rPr>
            </w:pPr>
            <w:r w:rsidRPr="00BA2A47">
              <w:rPr>
                <w:color w:val="000000"/>
              </w:rPr>
              <w:t>0.00192151</w:t>
            </w:r>
          </w:p>
        </w:tc>
        <w:tc>
          <w:tcPr>
            <w:tcW w:w="1530" w:type="dxa"/>
            <w:tcBorders>
              <w:top w:val="nil"/>
              <w:left w:val="nil"/>
              <w:bottom w:val="nil"/>
              <w:right w:val="single" w:sz="4" w:space="0" w:color="auto"/>
            </w:tcBorders>
            <w:shd w:val="clear" w:color="auto" w:fill="auto"/>
            <w:noWrap/>
            <w:vAlign w:val="bottom"/>
            <w:hideMark/>
          </w:tcPr>
          <w:p w14:paraId="3F411401" w14:textId="77777777" w:rsidR="00426116" w:rsidRPr="00BA2A47" w:rsidRDefault="00426116" w:rsidP="00426116">
            <w:pPr>
              <w:jc w:val="right"/>
              <w:rPr>
                <w:color w:val="000000"/>
              </w:rPr>
            </w:pPr>
            <w:r w:rsidRPr="00BA2A47">
              <w:rPr>
                <w:color w:val="000000"/>
              </w:rPr>
              <w:t>0.00722804</w:t>
            </w:r>
          </w:p>
        </w:tc>
        <w:tc>
          <w:tcPr>
            <w:tcW w:w="1530" w:type="dxa"/>
            <w:tcBorders>
              <w:top w:val="nil"/>
              <w:left w:val="nil"/>
              <w:bottom w:val="nil"/>
              <w:right w:val="single" w:sz="4" w:space="0" w:color="auto"/>
            </w:tcBorders>
            <w:shd w:val="clear" w:color="auto" w:fill="auto"/>
            <w:noWrap/>
            <w:vAlign w:val="bottom"/>
            <w:hideMark/>
          </w:tcPr>
          <w:p w14:paraId="3EA94B8C" w14:textId="77777777" w:rsidR="00426116" w:rsidRPr="00BA2A47" w:rsidRDefault="00426116" w:rsidP="00426116">
            <w:pPr>
              <w:jc w:val="right"/>
              <w:rPr>
                <w:color w:val="000000"/>
              </w:rPr>
            </w:pPr>
            <w:r w:rsidRPr="00BA2A47">
              <w:rPr>
                <w:color w:val="000000"/>
              </w:rPr>
              <w:t>0.007025443</w:t>
            </w:r>
          </w:p>
        </w:tc>
        <w:tc>
          <w:tcPr>
            <w:tcW w:w="1530" w:type="dxa"/>
            <w:tcBorders>
              <w:top w:val="nil"/>
              <w:left w:val="nil"/>
              <w:bottom w:val="nil"/>
              <w:right w:val="single" w:sz="4" w:space="0" w:color="auto"/>
            </w:tcBorders>
            <w:shd w:val="clear" w:color="auto" w:fill="auto"/>
            <w:noWrap/>
            <w:vAlign w:val="bottom"/>
            <w:hideMark/>
          </w:tcPr>
          <w:p w14:paraId="7FC403E3" w14:textId="77777777" w:rsidR="00426116" w:rsidRPr="00BA2A47" w:rsidRDefault="00426116" w:rsidP="00426116">
            <w:pPr>
              <w:jc w:val="right"/>
              <w:rPr>
                <w:color w:val="000000"/>
              </w:rPr>
            </w:pPr>
            <w:r w:rsidRPr="00BA2A47">
              <w:rPr>
                <w:color w:val="000000"/>
              </w:rPr>
              <w:t>0.005516793</w:t>
            </w:r>
          </w:p>
        </w:tc>
      </w:tr>
      <w:tr w:rsidR="00590587" w:rsidRPr="00426116" w14:paraId="345B2E1D" w14:textId="77777777" w:rsidTr="00590587">
        <w:trPr>
          <w:trHeight w:val="30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14:paraId="36D6E490" w14:textId="77777777" w:rsidR="00426116" w:rsidRPr="00BA2A47" w:rsidRDefault="00426116" w:rsidP="00426116">
            <w:pPr>
              <w:rPr>
                <w:color w:val="000000"/>
              </w:rPr>
            </w:pPr>
            <w:r w:rsidRPr="00BA2A47">
              <w:rPr>
                <w:color w:val="000000"/>
              </w:rPr>
              <w:t>Vallejo</w:t>
            </w:r>
          </w:p>
        </w:tc>
        <w:tc>
          <w:tcPr>
            <w:tcW w:w="1620" w:type="dxa"/>
            <w:tcBorders>
              <w:top w:val="nil"/>
              <w:left w:val="nil"/>
              <w:bottom w:val="single" w:sz="4" w:space="0" w:color="auto"/>
              <w:right w:val="single" w:sz="4" w:space="0" w:color="auto"/>
            </w:tcBorders>
            <w:shd w:val="clear" w:color="auto" w:fill="auto"/>
            <w:noWrap/>
            <w:vAlign w:val="bottom"/>
            <w:hideMark/>
          </w:tcPr>
          <w:p w14:paraId="6D0B3B2E" w14:textId="77777777" w:rsidR="00426116" w:rsidRPr="00BA2A47" w:rsidRDefault="00426116" w:rsidP="00426116">
            <w:pPr>
              <w:jc w:val="right"/>
              <w:rPr>
                <w:color w:val="000000"/>
              </w:rPr>
            </w:pPr>
            <w:r w:rsidRPr="00BA2A47">
              <w:rPr>
                <w:color w:val="000000"/>
              </w:rPr>
              <w:t>0.004372058</w:t>
            </w:r>
          </w:p>
        </w:tc>
        <w:tc>
          <w:tcPr>
            <w:tcW w:w="1530" w:type="dxa"/>
            <w:tcBorders>
              <w:top w:val="nil"/>
              <w:left w:val="nil"/>
              <w:bottom w:val="single" w:sz="4" w:space="0" w:color="auto"/>
              <w:right w:val="single" w:sz="4" w:space="0" w:color="auto"/>
            </w:tcBorders>
            <w:shd w:val="clear" w:color="auto" w:fill="auto"/>
            <w:noWrap/>
            <w:vAlign w:val="bottom"/>
            <w:hideMark/>
          </w:tcPr>
          <w:p w14:paraId="62EA4FDE" w14:textId="77777777" w:rsidR="00426116" w:rsidRPr="00BA2A47" w:rsidRDefault="00426116" w:rsidP="00426116">
            <w:pPr>
              <w:jc w:val="right"/>
              <w:rPr>
                <w:color w:val="000000"/>
              </w:rPr>
            </w:pPr>
            <w:r w:rsidRPr="00BA2A47">
              <w:rPr>
                <w:color w:val="000000"/>
              </w:rPr>
              <w:t>0.006308582</w:t>
            </w:r>
          </w:p>
        </w:tc>
        <w:tc>
          <w:tcPr>
            <w:tcW w:w="1530" w:type="dxa"/>
            <w:tcBorders>
              <w:top w:val="nil"/>
              <w:left w:val="nil"/>
              <w:bottom w:val="single" w:sz="4" w:space="0" w:color="auto"/>
              <w:right w:val="single" w:sz="4" w:space="0" w:color="auto"/>
            </w:tcBorders>
            <w:shd w:val="clear" w:color="auto" w:fill="auto"/>
            <w:noWrap/>
            <w:vAlign w:val="bottom"/>
            <w:hideMark/>
          </w:tcPr>
          <w:p w14:paraId="5206D0BD" w14:textId="77777777" w:rsidR="00426116" w:rsidRPr="00BA2A47" w:rsidRDefault="00426116" w:rsidP="00426116">
            <w:pPr>
              <w:jc w:val="right"/>
              <w:rPr>
                <w:color w:val="000000"/>
              </w:rPr>
            </w:pPr>
            <w:r w:rsidRPr="00BA2A47">
              <w:rPr>
                <w:color w:val="000000"/>
              </w:rPr>
              <w:t>0.006572656</w:t>
            </w:r>
          </w:p>
        </w:tc>
        <w:tc>
          <w:tcPr>
            <w:tcW w:w="1530" w:type="dxa"/>
            <w:tcBorders>
              <w:top w:val="nil"/>
              <w:left w:val="nil"/>
              <w:bottom w:val="single" w:sz="4" w:space="0" w:color="auto"/>
              <w:right w:val="single" w:sz="4" w:space="0" w:color="auto"/>
            </w:tcBorders>
            <w:shd w:val="clear" w:color="auto" w:fill="auto"/>
            <w:noWrap/>
            <w:vAlign w:val="bottom"/>
            <w:hideMark/>
          </w:tcPr>
          <w:p w14:paraId="6A82BB5F" w14:textId="77777777" w:rsidR="00426116" w:rsidRPr="00BA2A47" w:rsidRDefault="00426116" w:rsidP="00426116">
            <w:pPr>
              <w:jc w:val="right"/>
              <w:rPr>
                <w:color w:val="000000"/>
              </w:rPr>
            </w:pPr>
            <w:r w:rsidRPr="00BA2A47">
              <w:rPr>
                <w:color w:val="000000"/>
              </w:rPr>
              <w:t>0.00664987</w:t>
            </w:r>
          </w:p>
        </w:tc>
      </w:tr>
      <w:tr w:rsidR="00590587" w:rsidRPr="00426116" w14:paraId="48EA020F" w14:textId="77777777" w:rsidTr="00590587">
        <w:trPr>
          <w:trHeight w:val="300"/>
          <w:jc w:val="center"/>
        </w:trPr>
        <w:tc>
          <w:tcPr>
            <w:tcW w:w="2430" w:type="dxa"/>
            <w:tcBorders>
              <w:top w:val="nil"/>
              <w:left w:val="single" w:sz="4" w:space="0" w:color="auto"/>
              <w:bottom w:val="nil"/>
              <w:right w:val="single" w:sz="4" w:space="0" w:color="auto"/>
            </w:tcBorders>
            <w:shd w:val="clear" w:color="auto" w:fill="auto"/>
            <w:noWrap/>
            <w:vAlign w:val="bottom"/>
            <w:hideMark/>
          </w:tcPr>
          <w:p w14:paraId="2904D904" w14:textId="77777777" w:rsidR="00426116" w:rsidRPr="00BA2A47" w:rsidRDefault="00426116" w:rsidP="00426116">
            <w:pPr>
              <w:rPr>
                <w:color w:val="000000"/>
              </w:rPr>
            </w:pPr>
            <w:r w:rsidRPr="00BA2A47">
              <w:rPr>
                <w:color w:val="000000"/>
              </w:rPr>
              <w:t>West County Agency</w:t>
            </w:r>
          </w:p>
        </w:tc>
        <w:tc>
          <w:tcPr>
            <w:tcW w:w="1620" w:type="dxa"/>
            <w:tcBorders>
              <w:top w:val="nil"/>
              <w:left w:val="nil"/>
              <w:bottom w:val="nil"/>
              <w:right w:val="single" w:sz="4" w:space="0" w:color="auto"/>
            </w:tcBorders>
            <w:shd w:val="clear" w:color="auto" w:fill="auto"/>
            <w:noWrap/>
            <w:vAlign w:val="bottom"/>
            <w:hideMark/>
          </w:tcPr>
          <w:p w14:paraId="3A06370F" w14:textId="77777777" w:rsidR="00426116" w:rsidRPr="00BA2A47" w:rsidRDefault="00426116" w:rsidP="00426116">
            <w:pPr>
              <w:jc w:val="right"/>
              <w:rPr>
                <w:color w:val="000000"/>
              </w:rPr>
            </w:pPr>
            <w:r w:rsidRPr="00BA2A47">
              <w:rPr>
                <w:color w:val="000000"/>
              </w:rPr>
              <w:t>0.002229805</w:t>
            </w:r>
          </w:p>
        </w:tc>
        <w:tc>
          <w:tcPr>
            <w:tcW w:w="1530" w:type="dxa"/>
            <w:tcBorders>
              <w:top w:val="nil"/>
              <w:left w:val="nil"/>
              <w:bottom w:val="nil"/>
              <w:right w:val="single" w:sz="4" w:space="0" w:color="auto"/>
            </w:tcBorders>
            <w:shd w:val="clear" w:color="auto" w:fill="auto"/>
            <w:noWrap/>
            <w:vAlign w:val="bottom"/>
            <w:hideMark/>
          </w:tcPr>
          <w:p w14:paraId="1B7B14AA" w14:textId="77777777" w:rsidR="00426116" w:rsidRPr="00BA2A47" w:rsidRDefault="00426116" w:rsidP="00426116">
            <w:pPr>
              <w:jc w:val="right"/>
              <w:rPr>
                <w:color w:val="000000"/>
              </w:rPr>
            </w:pPr>
            <w:r w:rsidRPr="00BA2A47">
              <w:rPr>
                <w:color w:val="000000"/>
              </w:rPr>
              <w:t>0.019487494</w:t>
            </w:r>
          </w:p>
        </w:tc>
        <w:tc>
          <w:tcPr>
            <w:tcW w:w="1530" w:type="dxa"/>
            <w:tcBorders>
              <w:top w:val="nil"/>
              <w:left w:val="nil"/>
              <w:bottom w:val="nil"/>
              <w:right w:val="single" w:sz="4" w:space="0" w:color="auto"/>
            </w:tcBorders>
            <w:shd w:val="clear" w:color="auto" w:fill="auto"/>
            <w:noWrap/>
            <w:vAlign w:val="bottom"/>
            <w:hideMark/>
          </w:tcPr>
          <w:p w14:paraId="5BD48BE8" w14:textId="77777777" w:rsidR="00426116" w:rsidRPr="00BA2A47" w:rsidRDefault="00426116" w:rsidP="00426116">
            <w:pPr>
              <w:jc w:val="right"/>
              <w:rPr>
                <w:color w:val="000000"/>
              </w:rPr>
            </w:pPr>
            <w:r w:rsidRPr="00BA2A47">
              <w:rPr>
                <w:color w:val="000000"/>
              </w:rPr>
              <w:t>0.004256061</w:t>
            </w:r>
          </w:p>
        </w:tc>
        <w:tc>
          <w:tcPr>
            <w:tcW w:w="1530" w:type="dxa"/>
            <w:tcBorders>
              <w:top w:val="nil"/>
              <w:left w:val="nil"/>
              <w:bottom w:val="nil"/>
              <w:right w:val="single" w:sz="4" w:space="0" w:color="auto"/>
            </w:tcBorders>
            <w:shd w:val="clear" w:color="auto" w:fill="auto"/>
            <w:noWrap/>
            <w:vAlign w:val="bottom"/>
            <w:hideMark/>
          </w:tcPr>
          <w:p w14:paraId="04082E6F" w14:textId="77777777" w:rsidR="00426116" w:rsidRPr="00BA2A47" w:rsidRDefault="00426116" w:rsidP="00426116">
            <w:pPr>
              <w:jc w:val="right"/>
              <w:rPr>
                <w:color w:val="000000"/>
              </w:rPr>
            </w:pPr>
            <w:r w:rsidRPr="00BA2A47">
              <w:rPr>
                <w:color w:val="000000"/>
              </w:rPr>
              <w:t>0.002960736</w:t>
            </w:r>
          </w:p>
        </w:tc>
      </w:tr>
      <w:tr w:rsidR="00590587" w:rsidRPr="00426116" w14:paraId="713C2B2F" w14:textId="77777777" w:rsidTr="00590587">
        <w:trPr>
          <w:trHeight w:val="300"/>
          <w:jc w:val="center"/>
        </w:trPr>
        <w:tc>
          <w:tcPr>
            <w:tcW w:w="2430" w:type="dxa"/>
            <w:tcBorders>
              <w:top w:val="nil"/>
              <w:left w:val="single" w:sz="4" w:space="0" w:color="auto"/>
              <w:bottom w:val="nil"/>
              <w:right w:val="single" w:sz="4" w:space="0" w:color="auto"/>
            </w:tcBorders>
            <w:shd w:val="clear" w:color="auto" w:fill="auto"/>
            <w:noWrap/>
            <w:vAlign w:val="bottom"/>
            <w:hideMark/>
          </w:tcPr>
          <w:p w14:paraId="545DD9F5" w14:textId="77777777" w:rsidR="00426116" w:rsidRPr="00BA2A47" w:rsidRDefault="00426116" w:rsidP="00426116">
            <w:pPr>
              <w:rPr>
                <w:color w:val="000000"/>
              </w:rPr>
            </w:pPr>
            <w:r w:rsidRPr="00BA2A47">
              <w:rPr>
                <w:color w:val="000000"/>
              </w:rPr>
              <w:t>West County Agency</w:t>
            </w:r>
          </w:p>
        </w:tc>
        <w:tc>
          <w:tcPr>
            <w:tcW w:w="1620" w:type="dxa"/>
            <w:tcBorders>
              <w:top w:val="nil"/>
              <w:left w:val="nil"/>
              <w:bottom w:val="nil"/>
              <w:right w:val="single" w:sz="4" w:space="0" w:color="auto"/>
            </w:tcBorders>
            <w:shd w:val="clear" w:color="auto" w:fill="auto"/>
            <w:noWrap/>
            <w:vAlign w:val="bottom"/>
            <w:hideMark/>
          </w:tcPr>
          <w:p w14:paraId="2F7F640C" w14:textId="77777777" w:rsidR="00426116" w:rsidRPr="00BA2A47" w:rsidRDefault="00426116" w:rsidP="00426116">
            <w:pPr>
              <w:jc w:val="right"/>
              <w:rPr>
                <w:color w:val="000000"/>
              </w:rPr>
            </w:pPr>
            <w:r w:rsidRPr="00BA2A47">
              <w:rPr>
                <w:color w:val="000000"/>
              </w:rPr>
              <w:t>0.002478752</w:t>
            </w:r>
          </w:p>
        </w:tc>
        <w:tc>
          <w:tcPr>
            <w:tcW w:w="1530" w:type="dxa"/>
            <w:tcBorders>
              <w:top w:val="nil"/>
              <w:left w:val="nil"/>
              <w:bottom w:val="nil"/>
              <w:right w:val="single" w:sz="4" w:space="0" w:color="auto"/>
            </w:tcBorders>
            <w:shd w:val="clear" w:color="auto" w:fill="auto"/>
            <w:noWrap/>
            <w:vAlign w:val="bottom"/>
            <w:hideMark/>
          </w:tcPr>
          <w:p w14:paraId="452DE43F" w14:textId="77777777" w:rsidR="00426116" w:rsidRPr="00BA2A47" w:rsidRDefault="00426116" w:rsidP="00426116">
            <w:pPr>
              <w:jc w:val="right"/>
              <w:rPr>
                <w:color w:val="000000"/>
              </w:rPr>
            </w:pPr>
            <w:r w:rsidRPr="00BA2A47">
              <w:rPr>
                <w:color w:val="000000"/>
              </w:rPr>
              <w:t>0.003803865</w:t>
            </w:r>
          </w:p>
        </w:tc>
        <w:tc>
          <w:tcPr>
            <w:tcW w:w="1530" w:type="dxa"/>
            <w:tcBorders>
              <w:top w:val="nil"/>
              <w:left w:val="nil"/>
              <w:bottom w:val="nil"/>
              <w:right w:val="single" w:sz="4" w:space="0" w:color="auto"/>
            </w:tcBorders>
            <w:shd w:val="clear" w:color="auto" w:fill="auto"/>
            <w:noWrap/>
            <w:vAlign w:val="bottom"/>
            <w:hideMark/>
          </w:tcPr>
          <w:p w14:paraId="0C9A0E18" w14:textId="77777777" w:rsidR="00426116" w:rsidRPr="00BA2A47" w:rsidRDefault="00426116" w:rsidP="00426116">
            <w:pPr>
              <w:jc w:val="right"/>
              <w:rPr>
                <w:color w:val="000000"/>
              </w:rPr>
            </w:pPr>
            <w:r w:rsidRPr="00BA2A47">
              <w:rPr>
                <w:color w:val="000000"/>
              </w:rPr>
              <w:t>0.000569599</w:t>
            </w:r>
          </w:p>
        </w:tc>
        <w:tc>
          <w:tcPr>
            <w:tcW w:w="1530" w:type="dxa"/>
            <w:tcBorders>
              <w:top w:val="nil"/>
              <w:left w:val="nil"/>
              <w:bottom w:val="nil"/>
              <w:right w:val="single" w:sz="4" w:space="0" w:color="auto"/>
            </w:tcBorders>
            <w:shd w:val="clear" w:color="auto" w:fill="auto"/>
            <w:noWrap/>
            <w:vAlign w:val="bottom"/>
            <w:hideMark/>
          </w:tcPr>
          <w:p w14:paraId="0D1B73F5" w14:textId="77777777" w:rsidR="00426116" w:rsidRPr="00BA2A47" w:rsidRDefault="00426116" w:rsidP="00426116">
            <w:pPr>
              <w:jc w:val="right"/>
              <w:rPr>
                <w:color w:val="000000"/>
              </w:rPr>
            </w:pPr>
            <w:r w:rsidRPr="00BA2A47">
              <w:rPr>
                <w:color w:val="000000"/>
              </w:rPr>
              <w:t>0.003804654</w:t>
            </w:r>
          </w:p>
        </w:tc>
      </w:tr>
      <w:tr w:rsidR="00590587" w:rsidRPr="00426116" w14:paraId="06416F06" w14:textId="77777777" w:rsidTr="00590587">
        <w:trPr>
          <w:trHeight w:val="300"/>
          <w:jc w:val="center"/>
        </w:trPr>
        <w:tc>
          <w:tcPr>
            <w:tcW w:w="2430" w:type="dxa"/>
            <w:tcBorders>
              <w:top w:val="nil"/>
              <w:left w:val="single" w:sz="4" w:space="0" w:color="auto"/>
              <w:bottom w:val="nil"/>
              <w:right w:val="single" w:sz="4" w:space="0" w:color="auto"/>
            </w:tcBorders>
            <w:shd w:val="clear" w:color="auto" w:fill="auto"/>
            <w:noWrap/>
            <w:vAlign w:val="bottom"/>
            <w:hideMark/>
          </w:tcPr>
          <w:p w14:paraId="2C519838" w14:textId="77777777" w:rsidR="00426116" w:rsidRPr="00BA2A47" w:rsidRDefault="00426116" w:rsidP="00426116">
            <w:pPr>
              <w:rPr>
                <w:color w:val="000000"/>
              </w:rPr>
            </w:pPr>
            <w:r w:rsidRPr="00BA2A47">
              <w:rPr>
                <w:color w:val="000000"/>
              </w:rPr>
              <w:t>West County Agency</w:t>
            </w:r>
          </w:p>
        </w:tc>
        <w:tc>
          <w:tcPr>
            <w:tcW w:w="1620" w:type="dxa"/>
            <w:tcBorders>
              <w:top w:val="nil"/>
              <w:left w:val="nil"/>
              <w:bottom w:val="nil"/>
              <w:right w:val="single" w:sz="4" w:space="0" w:color="auto"/>
            </w:tcBorders>
            <w:shd w:val="clear" w:color="auto" w:fill="auto"/>
            <w:noWrap/>
            <w:vAlign w:val="bottom"/>
            <w:hideMark/>
          </w:tcPr>
          <w:p w14:paraId="514976C8" w14:textId="77777777" w:rsidR="00426116" w:rsidRPr="00BA2A47" w:rsidRDefault="00426116" w:rsidP="00426116">
            <w:pPr>
              <w:jc w:val="right"/>
              <w:rPr>
                <w:color w:val="000000"/>
              </w:rPr>
            </w:pPr>
            <w:r w:rsidRPr="00BA2A47">
              <w:rPr>
                <w:color w:val="000000"/>
              </w:rPr>
              <w:t>0.003510146</w:t>
            </w:r>
          </w:p>
        </w:tc>
        <w:tc>
          <w:tcPr>
            <w:tcW w:w="1530" w:type="dxa"/>
            <w:tcBorders>
              <w:top w:val="nil"/>
              <w:left w:val="nil"/>
              <w:bottom w:val="nil"/>
              <w:right w:val="single" w:sz="4" w:space="0" w:color="auto"/>
            </w:tcBorders>
            <w:shd w:val="clear" w:color="auto" w:fill="auto"/>
            <w:noWrap/>
            <w:vAlign w:val="bottom"/>
            <w:hideMark/>
          </w:tcPr>
          <w:p w14:paraId="0A5EB9B7" w14:textId="77777777" w:rsidR="00426116" w:rsidRPr="00BA2A47" w:rsidRDefault="00426116" w:rsidP="00426116">
            <w:pPr>
              <w:jc w:val="right"/>
              <w:rPr>
                <w:color w:val="000000"/>
              </w:rPr>
            </w:pPr>
            <w:r w:rsidRPr="00BA2A47">
              <w:rPr>
                <w:color w:val="000000"/>
              </w:rPr>
              <w:t>0.001874279</w:t>
            </w:r>
          </w:p>
        </w:tc>
        <w:tc>
          <w:tcPr>
            <w:tcW w:w="1530" w:type="dxa"/>
            <w:tcBorders>
              <w:top w:val="nil"/>
              <w:left w:val="nil"/>
              <w:bottom w:val="nil"/>
              <w:right w:val="single" w:sz="4" w:space="0" w:color="auto"/>
            </w:tcBorders>
            <w:shd w:val="clear" w:color="auto" w:fill="auto"/>
            <w:noWrap/>
            <w:vAlign w:val="bottom"/>
            <w:hideMark/>
          </w:tcPr>
          <w:p w14:paraId="6F0759E6" w14:textId="77777777" w:rsidR="00426116" w:rsidRPr="00BA2A47" w:rsidRDefault="00426116" w:rsidP="00426116">
            <w:pPr>
              <w:jc w:val="right"/>
              <w:rPr>
                <w:color w:val="000000"/>
              </w:rPr>
            </w:pPr>
            <w:r w:rsidRPr="00BA2A47">
              <w:rPr>
                <w:color w:val="000000"/>
              </w:rPr>
              <w:t>0.003403962</w:t>
            </w:r>
          </w:p>
        </w:tc>
        <w:tc>
          <w:tcPr>
            <w:tcW w:w="1530" w:type="dxa"/>
            <w:tcBorders>
              <w:top w:val="nil"/>
              <w:left w:val="nil"/>
              <w:bottom w:val="nil"/>
              <w:right w:val="single" w:sz="4" w:space="0" w:color="auto"/>
            </w:tcBorders>
            <w:shd w:val="clear" w:color="auto" w:fill="auto"/>
            <w:noWrap/>
            <w:vAlign w:val="bottom"/>
            <w:hideMark/>
          </w:tcPr>
          <w:p w14:paraId="0810C425" w14:textId="77777777" w:rsidR="00426116" w:rsidRPr="00BA2A47" w:rsidRDefault="00426116" w:rsidP="00426116">
            <w:pPr>
              <w:jc w:val="right"/>
              <w:rPr>
                <w:color w:val="000000"/>
              </w:rPr>
            </w:pPr>
            <w:r w:rsidRPr="00BA2A47">
              <w:rPr>
                <w:color w:val="000000"/>
              </w:rPr>
              <w:t>0.003694124</w:t>
            </w:r>
          </w:p>
        </w:tc>
      </w:tr>
      <w:tr w:rsidR="00590587" w:rsidRPr="00426116" w14:paraId="6D762929" w14:textId="77777777" w:rsidTr="00590587">
        <w:trPr>
          <w:trHeight w:val="30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14:paraId="174CF9C5" w14:textId="77777777" w:rsidR="00426116" w:rsidRPr="00BA2A47" w:rsidRDefault="00426116" w:rsidP="00426116">
            <w:pPr>
              <w:rPr>
                <w:color w:val="000000"/>
              </w:rPr>
            </w:pPr>
            <w:r w:rsidRPr="00BA2A47">
              <w:rPr>
                <w:color w:val="000000"/>
              </w:rPr>
              <w:lastRenderedPageBreak/>
              <w:t>West County Agency</w:t>
            </w:r>
          </w:p>
        </w:tc>
        <w:tc>
          <w:tcPr>
            <w:tcW w:w="1620" w:type="dxa"/>
            <w:tcBorders>
              <w:top w:val="nil"/>
              <w:left w:val="nil"/>
              <w:bottom w:val="single" w:sz="4" w:space="0" w:color="auto"/>
              <w:right w:val="single" w:sz="4" w:space="0" w:color="auto"/>
            </w:tcBorders>
            <w:shd w:val="clear" w:color="auto" w:fill="auto"/>
            <w:noWrap/>
            <w:vAlign w:val="bottom"/>
            <w:hideMark/>
          </w:tcPr>
          <w:p w14:paraId="7F16C411" w14:textId="77777777" w:rsidR="00426116" w:rsidRPr="00BA2A47" w:rsidRDefault="00426116" w:rsidP="00426116">
            <w:pPr>
              <w:jc w:val="right"/>
              <w:rPr>
                <w:color w:val="000000"/>
              </w:rPr>
            </w:pPr>
            <w:r w:rsidRPr="00BA2A47">
              <w:rPr>
                <w:color w:val="000000"/>
              </w:rPr>
              <w:t>0.002888309</w:t>
            </w:r>
          </w:p>
        </w:tc>
        <w:tc>
          <w:tcPr>
            <w:tcW w:w="1530" w:type="dxa"/>
            <w:tcBorders>
              <w:top w:val="nil"/>
              <w:left w:val="nil"/>
              <w:bottom w:val="single" w:sz="4" w:space="0" w:color="auto"/>
              <w:right w:val="single" w:sz="4" w:space="0" w:color="auto"/>
            </w:tcBorders>
            <w:shd w:val="clear" w:color="auto" w:fill="auto"/>
            <w:noWrap/>
            <w:vAlign w:val="bottom"/>
            <w:hideMark/>
          </w:tcPr>
          <w:p w14:paraId="276CC7A6" w14:textId="77777777" w:rsidR="00426116" w:rsidRPr="00BA2A47" w:rsidRDefault="00426116" w:rsidP="00426116">
            <w:pPr>
              <w:jc w:val="right"/>
              <w:rPr>
                <w:color w:val="000000"/>
              </w:rPr>
            </w:pPr>
            <w:r w:rsidRPr="00BA2A47">
              <w:rPr>
                <w:color w:val="000000"/>
              </w:rPr>
              <w:t>0.003053117</w:t>
            </w:r>
          </w:p>
        </w:tc>
        <w:tc>
          <w:tcPr>
            <w:tcW w:w="1530" w:type="dxa"/>
            <w:tcBorders>
              <w:top w:val="nil"/>
              <w:left w:val="nil"/>
              <w:bottom w:val="single" w:sz="4" w:space="0" w:color="auto"/>
              <w:right w:val="single" w:sz="4" w:space="0" w:color="auto"/>
            </w:tcBorders>
            <w:shd w:val="clear" w:color="auto" w:fill="auto"/>
            <w:noWrap/>
            <w:vAlign w:val="bottom"/>
            <w:hideMark/>
          </w:tcPr>
          <w:p w14:paraId="1333EE5E" w14:textId="77777777" w:rsidR="00426116" w:rsidRPr="00BA2A47" w:rsidRDefault="00426116" w:rsidP="00426116">
            <w:pPr>
              <w:jc w:val="right"/>
              <w:rPr>
                <w:color w:val="000000"/>
              </w:rPr>
            </w:pPr>
            <w:r w:rsidRPr="00BA2A47">
              <w:rPr>
                <w:color w:val="000000"/>
              </w:rPr>
              <w:t>0.002981216</w:t>
            </w:r>
          </w:p>
        </w:tc>
        <w:tc>
          <w:tcPr>
            <w:tcW w:w="1530" w:type="dxa"/>
            <w:tcBorders>
              <w:top w:val="nil"/>
              <w:left w:val="nil"/>
              <w:bottom w:val="single" w:sz="4" w:space="0" w:color="auto"/>
              <w:right w:val="single" w:sz="4" w:space="0" w:color="auto"/>
            </w:tcBorders>
            <w:shd w:val="clear" w:color="auto" w:fill="auto"/>
            <w:noWrap/>
            <w:vAlign w:val="bottom"/>
            <w:hideMark/>
          </w:tcPr>
          <w:p w14:paraId="4A4C556E" w14:textId="77777777" w:rsidR="00426116" w:rsidRPr="00BA2A47" w:rsidRDefault="00426116" w:rsidP="00426116">
            <w:pPr>
              <w:jc w:val="right"/>
              <w:rPr>
                <w:color w:val="000000"/>
              </w:rPr>
            </w:pPr>
            <w:r w:rsidRPr="00BA2A47">
              <w:rPr>
                <w:color w:val="000000"/>
              </w:rPr>
              <w:t>0.018929139</w:t>
            </w:r>
          </w:p>
        </w:tc>
      </w:tr>
      <w:tr w:rsidR="00590587" w:rsidRPr="00426116" w14:paraId="3CA55628" w14:textId="77777777" w:rsidTr="00590587">
        <w:trPr>
          <w:trHeight w:val="30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14:paraId="6915FFAE" w14:textId="77777777" w:rsidR="00426116" w:rsidRPr="00BA2A47" w:rsidRDefault="00426116" w:rsidP="00426116">
            <w:pPr>
              <w:rPr>
                <w:color w:val="000000"/>
              </w:rPr>
            </w:pPr>
            <w:r w:rsidRPr="00BA2A47">
              <w:rPr>
                <w:color w:val="000000"/>
              </w:rPr>
              <w:t>Yountville</w:t>
            </w:r>
          </w:p>
        </w:tc>
        <w:tc>
          <w:tcPr>
            <w:tcW w:w="1620" w:type="dxa"/>
            <w:tcBorders>
              <w:top w:val="nil"/>
              <w:left w:val="nil"/>
              <w:bottom w:val="single" w:sz="4" w:space="0" w:color="auto"/>
              <w:right w:val="single" w:sz="4" w:space="0" w:color="auto"/>
            </w:tcBorders>
            <w:shd w:val="clear" w:color="auto" w:fill="auto"/>
            <w:noWrap/>
            <w:vAlign w:val="bottom"/>
            <w:hideMark/>
          </w:tcPr>
          <w:p w14:paraId="0BFEA4BC" w14:textId="77777777" w:rsidR="00426116" w:rsidRPr="00BA2A47" w:rsidRDefault="00426116" w:rsidP="00426116">
            <w:pPr>
              <w:jc w:val="right"/>
              <w:rPr>
                <w:color w:val="000000"/>
              </w:rPr>
            </w:pPr>
            <w:r w:rsidRPr="00BA2A47">
              <w:rPr>
                <w:color w:val="000000"/>
              </w:rPr>
              <w:t>0.000428631</w:t>
            </w:r>
          </w:p>
        </w:tc>
        <w:tc>
          <w:tcPr>
            <w:tcW w:w="1530" w:type="dxa"/>
            <w:tcBorders>
              <w:top w:val="nil"/>
              <w:left w:val="nil"/>
              <w:bottom w:val="single" w:sz="4" w:space="0" w:color="auto"/>
              <w:right w:val="single" w:sz="4" w:space="0" w:color="auto"/>
            </w:tcBorders>
            <w:shd w:val="clear" w:color="auto" w:fill="auto"/>
            <w:noWrap/>
            <w:vAlign w:val="bottom"/>
            <w:hideMark/>
          </w:tcPr>
          <w:p w14:paraId="430270B3" w14:textId="77777777" w:rsidR="00426116" w:rsidRPr="00BA2A47" w:rsidRDefault="00426116" w:rsidP="00426116">
            <w:pPr>
              <w:jc w:val="right"/>
              <w:rPr>
                <w:color w:val="000000"/>
              </w:rPr>
            </w:pPr>
            <w:r w:rsidRPr="00BA2A47">
              <w:rPr>
                <w:color w:val="000000"/>
              </w:rPr>
              <w:t>6.02942E-05</w:t>
            </w:r>
          </w:p>
        </w:tc>
        <w:tc>
          <w:tcPr>
            <w:tcW w:w="1530" w:type="dxa"/>
            <w:tcBorders>
              <w:top w:val="nil"/>
              <w:left w:val="nil"/>
              <w:bottom w:val="single" w:sz="4" w:space="0" w:color="auto"/>
              <w:right w:val="single" w:sz="4" w:space="0" w:color="auto"/>
            </w:tcBorders>
            <w:shd w:val="clear" w:color="auto" w:fill="auto"/>
            <w:noWrap/>
            <w:vAlign w:val="bottom"/>
            <w:hideMark/>
          </w:tcPr>
          <w:p w14:paraId="4FAA69E7" w14:textId="77777777" w:rsidR="00426116" w:rsidRPr="00BA2A47" w:rsidRDefault="00426116" w:rsidP="00426116">
            <w:pPr>
              <w:jc w:val="right"/>
              <w:rPr>
                <w:color w:val="000000"/>
              </w:rPr>
            </w:pPr>
            <w:r w:rsidRPr="00BA2A47">
              <w:rPr>
                <w:color w:val="000000"/>
              </w:rPr>
              <w:t>3.42156E-05</w:t>
            </w:r>
          </w:p>
        </w:tc>
        <w:tc>
          <w:tcPr>
            <w:tcW w:w="1530" w:type="dxa"/>
            <w:tcBorders>
              <w:top w:val="nil"/>
              <w:left w:val="nil"/>
              <w:bottom w:val="single" w:sz="4" w:space="0" w:color="auto"/>
              <w:right w:val="single" w:sz="4" w:space="0" w:color="auto"/>
            </w:tcBorders>
            <w:shd w:val="clear" w:color="auto" w:fill="auto"/>
            <w:noWrap/>
            <w:vAlign w:val="bottom"/>
            <w:hideMark/>
          </w:tcPr>
          <w:p w14:paraId="57ADABD1" w14:textId="77777777" w:rsidR="00426116" w:rsidRPr="00BA2A47" w:rsidRDefault="00426116" w:rsidP="00426116">
            <w:pPr>
              <w:jc w:val="right"/>
              <w:rPr>
                <w:color w:val="000000"/>
              </w:rPr>
            </w:pPr>
            <w:r w:rsidRPr="00BA2A47">
              <w:rPr>
                <w:color w:val="000000"/>
              </w:rPr>
              <w:t>6.00723E-05</w:t>
            </w:r>
          </w:p>
        </w:tc>
      </w:tr>
      <w:tr w:rsidR="00590587" w:rsidRPr="00426116" w14:paraId="00DF8CBD" w14:textId="77777777" w:rsidTr="00590587">
        <w:trPr>
          <w:trHeight w:val="30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14:paraId="2DE6FF38" w14:textId="77777777" w:rsidR="00426116" w:rsidRPr="00BA2A47" w:rsidRDefault="00426116" w:rsidP="00426116">
            <w:pPr>
              <w:rPr>
                <w:b/>
                <w:bCs/>
                <w:color w:val="000000"/>
              </w:rPr>
            </w:pPr>
            <w:r w:rsidRPr="00BA2A47">
              <w:rPr>
                <w:b/>
                <w:bCs/>
                <w:color w:val="000000"/>
              </w:rPr>
              <w:t>Total</w:t>
            </w:r>
          </w:p>
        </w:tc>
        <w:tc>
          <w:tcPr>
            <w:tcW w:w="1620" w:type="dxa"/>
            <w:tcBorders>
              <w:top w:val="nil"/>
              <w:left w:val="nil"/>
              <w:bottom w:val="single" w:sz="4" w:space="0" w:color="auto"/>
              <w:right w:val="single" w:sz="4" w:space="0" w:color="auto"/>
            </w:tcBorders>
            <w:shd w:val="clear" w:color="auto" w:fill="auto"/>
            <w:noWrap/>
            <w:vAlign w:val="bottom"/>
            <w:hideMark/>
          </w:tcPr>
          <w:p w14:paraId="11D9D426" w14:textId="77777777" w:rsidR="00426116" w:rsidRPr="00BA2A47" w:rsidRDefault="00426116" w:rsidP="00426116">
            <w:pPr>
              <w:jc w:val="right"/>
              <w:rPr>
                <w:b/>
                <w:bCs/>
                <w:color w:val="000000"/>
              </w:rPr>
            </w:pPr>
            <w:r w:rsidRPr="00BA2A47">
              <w:rPr>
                <w:b/>
                <w:bCs/>
                <w:color w:val="000000"/>
              </w:rPr>
              <w:t>0.351381261</w:t>
            </w:r>
          </w:p>
        </w:tc>
        <w:tc>
          <w:tcPr>
            <w:tcW w:w="1530" w:type="dxa"/>
            <w:tcBorders>
              <w:top w:val="nil"/>
              <w:left w:val="nil"/>
              <w:bottom w:val="single" w:sz="4" w:space="0" w:color="auto"/>
              <w:right w:val="single" w:sz="4" w:space="0" w:color="auto"/>
            </w:tcBorders>
            <w:shd w:val="clear" w:color="auto" w:fill="auto"/>
            <w:noWrap/>
            <w:vAlign w:val="bottom"/>
            <w:hideMark/>
          </w:tcPr>
          <w:p w14:paraId="6CAC703F" w14:textId="77777777" w:rsidR="00426116" w:rsidRPr="00BA2A47" w:rsidRDefault="00426116" w:rsidP="00426116">
            <w:pPr>
              <w:jc w:val="right"/>
              <w:rPr>
                <w:b/>
                <w:bCs/>
                <w:color w:val="000000"/>
              </w:rPr>
            </w:pPr>
            <w:r w:rsidRPr="00BA2A47">
              <w:rPr>
                <w:b/>
                <w:bCs/>
                <w:color w:val="000000"/>
              </w:rPr>
              <w:t>0.7250749</w:t>
            </w:r>
          </w:p>
        </w:tc>
        <w:tc>
          <w:tcPr>
            <w:tcW w:w="1530" w:type="dxa"/>
            <w:tcBorders>
              <w:top w:val="nil"/>
              <w:left w:val="nil"/>
              <w:bottom w:val="single" w:sz="4" w:space="0" w:color="auto"/>
              <w:right w:val="single" w:sz="4" w:space="0" w:color="auto"/>
            </w:tcBorders>
            <w:shd w:val="clear" w:color="auto" w:fill="auto"/>
            <w:noWrap/>
            <w:vAlign w:val="bottom"/>
            <w:hideMark/>
          </w:tcPr>
          <w:p w14:paraId="2E5B14CD" w14:textId="77777777" w:rsidR="00426116" w:rsidRPr="00BA2A47" w:rsidRDefault="00426116" w:rsidP="00426116">
            <w:pPr>
              <w:jc w:val="right"/>
              <w:rPr>
                <w:b/>
                <w:bCs/>
                <w:color w:val="000000"/>
              </w:rPr>
            </w:pPr>
            <w:r w:rsidRPr="00BA2A47">
              <w:rPr>
                <w:b/>
                <w:bCs/>
                <w:color w:val="000000"/>
              </w:rPr>
              <w:t>0.61152833</w:t>
            </w:r>
          </w:p>
        </w:tc>
        <w:tc>
          <w:tcPr>
            <w:tcW w:w="1530" w:type="dxa"/>
            <w:tcBorders>
              <w:top w:val="nil"/>
              <w:left w:val="nil"/>
              <w:bottom w:val="single" w:sz="4" w:space="0" w:color="auto"/>
              <w:right w:val="single" w:sz="4" w:space="0" w:color="auto"/>
            </w:tcBorders>
            <w:shd w:val="clear" w:color="auto" w:fill="auto"/>
            <w:noWrap/>
            <w:vAlign w:val="bottom"/>
            <w:hideMark/>
          </w:tcPr>
          <w:p w14:paraId="7739D64F" w14:textId="77777777" w:rsidR="00426116" w:rsidRPr="00BA2A47" w:rsidRDefault="00426116" w:rsidP="00426116">
            <w:pPr>
              <w:jc w:val="right"/>
              <w:rPr>
                <w:b/>
                <w:bCs/>
                <w:color w:val="000000"/>
              </w:rPr>
            </w:pPr>
            <w:r w:rsidRPr="00BA2A47">
              <w:rPr>
                <w:b/>
                <w:bCs/>
                <w:color w:val="000000"/>
              </w:rPr>
              <w:t>0.639421925</w:t>
            </w:r>
          </w:p>
        </w:tc>
      </w:tr>
    </w:tbl>
    <w:p w14:paraId="65FB0812" w14:textId="38FDE882" w:rsidR="00363BE1" w:rsidRDefault="00363BE1" w:rsidP="00A23670">
      <w:pPr>
        <w:rPr>
          <w:sz w:val="24"/>
          <w:szCs w:val="24"/>
        </w:rPr>
      </w:pPr>
    </w:p>
    <w:p w14:paraId="7FCD96EB" w14:textId="5357BA71" w:rsidR="00590587" w:rsidRPr="00BC6118" w:rsidRDefault="00BC6118" w:rsidP="00BC6118">
      <w:pPr>
        <w:autoSpaceDE w:val="0"/>
        <w:autoSpaceDN w:val="0"/>
        <w:adjustRightInd w:val="0"/>
        <w:jc w:val="center"/>
        <w:rPr>
          <w:b/>
          <w:bCs/>
          <w:sz w:val="24"/>
        </w:rPr>
      </w:pPr>
      <w:r>
        <w:rPr>
          <w:b/>
          <w:bCs/>
          <w:sz w:val="24"/>
        </w:rPr>
        <w:t>Table 2. PCBs Loads from Municipal Dischargers (Advanced Secondary Treatment)</w:t>
      </w:r>
    </w:p>
    <w:tbl>
      <w:tblPr>
        <w:tblW w:w="8220" w:type="dxa"/>
        <w:jc w:val="center"/>
        <w:tblLook w:val="04A0" w:firstRow="1" w:lastRow="0" w:firstColumn="1" w:lastColumn="0" w:noHBand="0" w:noVBand="1"/>
      </w:tblPr>
      <w:tblGrid>
        <w:gridCol w:w="2680"/>
        <w:gridCol w:w="1360"/>
        <w:gridCol w:w="1360"/>
        <w:gridCol w:w="1340"/>
        <w:gridCol w:w="1480"/>
      </w:tblGrid>
      <w:tr w:rsidR="00590587" w:rsidRPr="00590587" w14:paraId="43CFB8FF" w14:textId="77777777" w:rsidTr="00590587">
        <w:trPr>
          <w:trHeight w:val="300"/>
          <w:jc w:val="center"/>
        </w:trPr>
        <w:tc>
          <w:tcPr>
            <w:tcW w:w="268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74274685" w14:textId="77777777" w:rsidR="00590587" w:rsidRPr="00BA2A47" w:rsidRDefault="00590587" w:rsidP="00590587">
            <w:pPr>
              <w:jc w:val="center"/>
              <w:rPr>
                <w:b/>
                <w:bCs/>
                <w:color w:val="000000"/>
              </w:rPr>
            </w:pPr>
            <w:r w:rsidRPr="00BA2A47">
              <w:rPr>
                <w:b/>
                <w:bCs/>
                <w:color w:val="000000"/>
              </w:rPr>
              <w:t>Discharger</w:t>
            </w:r>
          </w:p>
        </w:tc>
        <w:tc>
          <w:tcPr>
            <w:tcW w:w="5540" w:type="dxa"/>
            <w:gridSpan w:val="4"/>
            <w:tcBorders>
              <w:top w:val="single" w:sz="4" w:space="0" w:color="auto"/>
              <w:left w:val="nil"/>
              <w:bottom w:val="single" w:sz="4" w:space="0" w:color="auto"/>
              <w:right w:val="single" w:sz="4" w:space="0" w:color="auto"/>
            </w:tcBorders>
            <w:shd w:val="clear" w:color="000000" w:fill="FFFFFF"/>
            <w:vAlign w:val="center"/>
            <w:hideMark/>
          </w:tcPr>
          <w:p w14:paraId="21C95507" w14:textId="77777777" w:rsidR="00590587" w:rsidRPr="00BA2A47" w:rsidRDefault="00590587" w:rsidP="00590587">
            <w:pPr>
              <w:jc w:val="center"/>
              <w:rPr>
                <w:b/>
                <w:bCs/>
                <w:color w:val="000000"/>
              </w:rPr>
            </w:pPr>
            <w:r w:rsidRPr="00BA2A47">
              <w:rPr>
                <w:b/>
                <w:bCs/>
                <w:color w:val="000000"/>
              </w:rPr>
              <w:t>PCBs Loads (kg/yr)</w:t>
            </w:r>
            <w:r w:rsidRPr="00BA2A47">
              <w:rPr>
                <w:b/>
                <w:bCs/>
                <w:color w:val="000000"/>
              </w:rPr>
              <w:br/>
              <w:t>Normalized</w:t>
            </w:r>
          </w:p>
        </w:tc>
      </w:tr>
      <w:tr w:rsidR="00590587" w:rsidRPr="00590587" w14:paraId="718A8995" w14:textId="77777777" w:rsidTr="00590587">
        <w:trPr>
          <w:trHeight w:val="300"/>
          <w:jc w:val="center"/>
        </w:trPr>
        <w:tc>
          <w:tcPr>
            <w:tcW w:w="2680" w:type="dxa"/>
            <w:vMerge/>
            <w:tcBorders>
              <w:top w:val="single" w:sz="4" w:space="0" w:color="auto"/>
              <w:left w:val="single" w:sz="4" w:space="0" w:color="auto"/>
              <w:bottom w:val="single" w:sz="4" w:space="0" w:color="000000"/>
              <w:right w:val="single" w:sz="4" w:space="0" w:color="auto"/>
            </w:tcBorders>
            <w:vAlign w:val="center"/>
            <w:hideMark/>
          </w:tcPr>
          <w:p w14:paraId="12F8E51B" w14:textId="77777777" w:rsidR="00590587" w:rsidRPr="00BA2A47" w:rsidRDefault="00590587" w:rsidP="00590587">
            <w:pPr>
              <w:rPr>
                <w:b/>
                <w:bCs/>
                <w:color w:val="000000"/>
              </w:rPr>
            </w:pPr>
          </w:p>
        </w:tc>
        <w:tc>
          <w:tcPr>
            <w:tcW w:w="5540" w:type="dxa"/>
            <w:gridSpan w:val="4"/>
            <w:tcBorders>
              <w:top w:val="single" w:sz="4" w:space="0" w:color="auto"/>
              <w:left w:val="nil"/>
              <w:bottom w:val="single" w:sz="4" w:space="0" w:color="auto"/>
              <w:right w:val="single" w:sz="4" w:space="0" w:color="auto"/>
            </w:tcBorders>
            <w:shd w:val="clear" w:color="000000" w:fill="D9D9D9"/>
            <w:vAlign w:val="center"/>
            <w:hideMark/>
          </w:tcPr>
          <w:p w14:paraId="717A07CF" w14:textId="77777777" w:rsidR="00590587" w:rsidRPr="00BA2A47" w:rsidRDefault="00590587" w:rsidP="00590587">
            <w:pPr>
              <w:jc w:val="center"/>
              <w:rPr>
                <w:b/>
                <w:bCs/>
                <w:color w:val="000000"/>
              </w:rPr>
            </w:pPr>
            <w:r w:rsidRPr="00BA2A47">
              <w:rPr>
                <w:b/>
                <w:bCs/>
                <w:color w:val="000000"/>
              </w:rPr>
              <w:t>Year</w:t>
            </w:r>
          </w:p>
        </w:tc>
      </w:tr>
      <w:tr w:rsidR="00590587" w:rsidRPr="00590587" w14:paraId="3AC46B90" w14:textId="77777777" w:rsidTr="00590587">
        <w:trPr>
          <w:trHeight w:val="300"/>
          <w:jc w:val="center"/>
        </w:trPr>
        <w:tc>
          <w:tcPr>
            <w:tcW w:w="2680" w:type="dxa"/>
            <w:vMerge/>
            <w:tcBorders>
              <w:top w:val="single" w:sz="4" w:space="0" w:color="auto"/>
              <w:left w:val="single" w:sz="4" w:space="0" w:color="auto"/>
              <w:bottom w:val="single" w:sz="4" w:space="0" w:color="000000"/>
              <w:right w:val="single" w:sz="4" w:space="0" w:color="auto"/>
            </w:tcBorders>
            <w:vAlign w:val="center"/>
            <w:hideMark/>
          </w:tcPr>
          <w:p w14:paraId="6ACCFCDB" w14:textId="77777777" w:rsidR="00590587" w:rsidRPr="00BA2A47" w:rsidRDefault="00590587" w:rsidP="00590587">
            <w:pPr>
              <w:rPr>
                <w:b/>
                <w:bCs/>
                <w:color w:val="000000"/>
              </w:rPr>
            </w:pPr>
          </w:p>
        </w:tc>
        <w:tc>
          <w:tcPr>
            <w:tcW w:w="1360" w:type="dxa"/>
            <w:tcBorders>
              <w:top w:val="nil"/>
              <w:left w:val="nil"/>
              <w:bottom w:val="single" w:sz="4" w:space="0" w:color="auto"/>
              <w:right w:val="single" w:sz="4" w:space="0" w:color="auto"/>
            </w:tcBorders>
            <w:shd w:val="clear" w:color="auto" w:fill="auto"/>
            <w:vAlign w:val="center"/>
            <w:hideMark/>
          </w:tcPr>
          <w:p w14:paraId="550D54C5" w14:textId="77777777" w:rsidR="00590587" w:rsidRPr="00BA2A47" w:rsidRDefault="00590587" w:rsidP="00590587">
            <w:pPr>
              <w:jc w:val="center"/>
              <w:rPr>
                <w:b/>
                <w:bCs/>
                <w:color w:val="000000"/>
              </w:rPr>
            </w:pPr>
            <w:r w:rsidRPr="00BA2A47">
              <w:rPr>
                <w:b/>
                <w:bCs/>
                <w:color w:val="000000"/>
              </w:rPr>
              <w:t>2013</w:t>
            </w:r>
          </w:p>
        </w:tc>
        <w:tc>
          <w:tcPr>
            <w:tcW w:w="1360" w:type="dxa"/>
            <w:tcBorders>
              <w:top w:val="nil"/>
              <w:left w:val="nil"/>
              <w:bottom w:val="single" w:sz="4" w:space="0" w:color="auto"/>
              <w:right w:val="single" w:sz="4" w:space="0" w:color="auto"/>
            </w:tcBorders>
            <w:shd w:val="clear" w:color="auto" w:fill="auto"/>
            <w:vAlign w:val="center"/>
            <w:hideMark/>
          </w:tcPr>
          <w:p w14:paraId="7B79E31A" w14:textId="77777777" w:rsidR="00590587" w:rsidRPr="00BA2A47" w:rsidRDefault="00590587" w:rsidP="00590587">
            <w:pPr>
              <w:jc w:val="center"/>
              <w:rPr>
                <w:b/>
                <w:bCs/>
                <w:color w:val="000000"/>
              </w:rPr>
            </w:pPr>
            <w:r w:rsidRPr="00BA2A47">
              <w:rPr>
                <w:b/>
                <w:bCs/>
                <w:color w:val="000000"/>
              </w:rPr>
              <w:t>2014</w:t>
            </w:r>
          </w:p>
        </w:tc>
        <w:tc>
          <w:tcPr>
            <w:tcW w:w="1340" w:type="dxa"/>
            <w:tcBorders>
              <w:top w:val="nil"/>
              <w:left w:val="nil"/>
              <w:bottom w:val="single" w:sz="4" w:space="0" w:color="auto"/>
              <w:right w:val="single" w:sz="4" w:space="0" w:color="auto"/>
            </w:tcBorders>
            <w:shd w:val="clear" w:color="auto" w:fill="auto"/>
            <w:vAlign w:val="center"/>
            <w:hideMark/>
          </w:tcPr>
          <w:p w14:paraId="0E0A5EF9" w14:textId="77777777" w:rsidR="00590587" w:rsidRPr="00BA2A47" w:rsidRDefault="00590587" w:rsidP="00590587">
            <w:pPr>
              <w:jc w:val="center"/>
              <w:rPr>
                <w:b/>
                <w:bCs/>
                <w:color w:val="000000"/>
              </w:rPr>
            </w:pPr>
            <w:r w:rsidRPr="00BA2A47">
              <w:rPr>
                <w:b/>
                <w:bCs/>
                <w:color w:val="000000"/>
              </w:rPr>
              <w:t>2015</w:t>
            </w:r>
          </w:p>
        </w:tc>
        <w:tc>
          <w:tcPr>
            <w:tcW w:w="1480" w:type="dxa"/>
            <w:tcBorders>
              <w:top w:val="nil"/>
              <w:left w:val="nil"/>
              <w:bottom w:val="single" w:sz="4" w:space="0" w:color="auto"/>
              <w:right w:val="single" w:sz="4" w:space="0" w:color="auto"/>
            </w:tcBorders>
            <w:shd w:val="clear" w:color="auto" w:fill="auto"/>
            <w:vAlign w:val="center"/>
            <w:hideMark/>
          </w:tcPr>
          <w:p w14:paraId="3EEA3A1E" w14:textId="77777777" w:rsidR="00590587" w:rsidRPr="00BA2A47" w:rsidRDefault="00590587" w:rsidP="00590587">
            <w:pPr>
              <w:jc w:val="center"/>
              <w:rPr>
                <w:b/>
                <w:bCs/>
                <w:color w:val="000000"/>
              </w:rPr>
            </w:pPr>
            <w:r w:rsidRPr="00BA2A47">
              <w:rPr>
                <w:b/>
                <w:bCs/>
                <w:color w:val="000000"/>
              </w:rPr>
              <w:t>2016</w:t>
            </w:r>
          </w:p>
        </w:tc>
      </w:tr>
      <w:tr w:rsidR="00590587" w:rsidRPr="00590587" w14:paraId="59D04666" w14:textId="77777777" w:rsidTr="00590587">
        <w:trPr>
          <w:trHeight w:val="300"/>
          <w:jc w:val="center"/>
        </w:trPr>
        <w:tc>
          <w:tcPr>
            <w:tcW w:w="2680" w:type="dxa"/>
            <w:tcBorders>
              <w:top w:val="nil"/>
              <w:left w:val="single" w:sz="4" w:space="0" w:color="auto"/>
              <w:bottom w:val="nil"/>
              <w:right w:val="single" w:sz="4" w:space="0" w:color="auto"/>
            </w:tcBorders>
            <w:shd w:val="clear" w:color="auto" w:fill="auto"/>
            <w:noWrap/>
            <w:vAlign w:val="bottom"/>
            <w:hideMark/>
          </w:tcPr>
          <w:p w14:paraId="1C5F44E9" w14:textId="77777777" w:rsidR="00590587" w:rsidRPr="00BA2A47" w:rsidRDefault="00590587" w:rsidP="00590587">
            <w:pPr>
              <w:rPr>
                <w:color w:val="000000"/>
              </w:rPr>
            </w:pPr>
            <w:r w:rsidRPr="00BA2A47">
              <w:rPr>
                <w:color w:val="000000"/>
              </w:rPr>
              <w:t>American Canyon</w:t>
            </w:r>
          </w:p>
        </w:tc>
        <w:tc>
          <w:tcPr>
            <w:tcW w:w="1360" w:type="dxa"/>
            <w:tcBorders>
              <w:top w:val="nil"/>
              <w:left w:val="nil"/>
              <w:bottom w:val="nil"/>
              <w:right w:val="single" w:sz="4" w:space="0" w:color="auto"/>
            </w:tcBorders>
            <w:shd w:val="clear" w:color="auto" w:fill="auto"/>
            <w:noWrap/>
            <w:vAlign w:val="bottom"/>
            <w:hideMark/>
          </w:tcPr>
          <w:p w14:paraId="0DE37112" w14:textId="77777777" w:rsidR="00590587" w:rsidRPr="00BA2A47" w:rsidRDefault="00590587" w:rsidP="00590587">
            <w:pPr>
              <w:jc w:val="right"/>
              <w:rPr>
                <w:color w:val="000000"/>
              </w:rPr>
            </w:pPr>
            <w:r w:rsidRPr="00BA2A47">
              <w:rPr>
                <w:color w:val="000000"/>
              </w:rPr>
              <w:t>1.2443E-05</w:t>
            </w:r>
          </w:p>
        </w:tc>
        <w:tc>
          <w:tcPr>
            <w:tcW w:w="1360" w:type="dxa"/>
            <w:tcBorders>
              <w:top w:val="nil"/>
              <w:left w:val="nil"/>
              <w:bottom w:val="nil"/>
              <w:right w:val="single" w:sz="4" w:space="0" w:color="auto"/>
            </w:tcBorders>
            <w:shd w:val="clear" w:color="auto" w:fill="auto"/>
            <w:noWrap/>
            <w:vAlign w:val="bottom"/>
            <w:hideMark/>
          </w:tcPr>
          <w:p w14:paraId="69756B85" w14:textId="77777777" w:rsidR="00590587" w:rsidRPr="00BA2A47" w:rsidRDefault="00590587" w:rsidP="00590587">
            <w:pPr>
              <w:jc w:val="right"/>
              <w:rPr>
                <w:color w:val="000000"/>
              </w:rPr>
            </w:pPr>
            <w:r w:rsidRPr="00BA2A47">
              <w:rPr>
                <w:color w:val="000000"/>
              </w:rPr>
              <w:t>2.19831E-05</w:t>
            </w:r>
          </w:p>
        </w:tc>
        <w:tc>
          <w:tcPr>
            <w:tcW w:w="1340" w:type="dxa"/>
            <w:tcBorders>
              <w:top w:val="nil"/>
              <w:left w:val="nil"/>
              <w:bottom w:val="nil"/>
              <w:right w:val="single" w:sz="4" w:space="0" w:color="auto"/>
            </w:tcBorders>
            <w:shd w:val="clear" w:color="auto" w:fill="auto"/>
            <w:noWrap/>
            <w:vAlign w:val="bottom"/>
            <w:hideMark/>
          </w:tcPr>
          <w:p w14:paraId="58AABF0E" w14:textId="77777777" w:rsidR="00590587" w:rsidRPr="00BA2A47" w:rsidRDefault="00590587" w:rsidP="00590587">
            <w:pPr>
              <w:jc w:val="right"/>
              <w:rPr>
                <w:color w:val="000000"/>
              </w:rPr>
            </w:pPr>
            <w:r w:rsidRPr="00BA2A47">
              <w:rPr>
                <w:color w:val="000000"/>
              </w:rPr>
              <w:t>3.10612E-05</w:t>
            </w:r>
          </w:p>
        </w:tc>
        <w:tc>
          <w:tcPr>
            <w:tcW w:w="1480" w:type="dxa"/>
            <w:tcBorders>
              <w:top w:val="nil"/>
              <w:left w:val="nil"/>
              <w:bottom w:val="nil"/>
              <w:right w:val="single" w:sz="4" w:space="0" w:color="auto"/>
            </w:tcBorders>
            <w:shd w:val="clear" w:color="auto" w:fill="auto"/>
            <w:noWrap/>
            <w:vAlign w:val="bottom"/>
            <w:hideMark/>
          </w:tcPr>
          <w:p w14:paraId="297071F3" w14:textId="77777777" w:rsidR="00590587" w:rsidRPr="00BA2A47" w:rsidRDefault="00590587" w:rsidP="00590587">
            <w:pPr>
              <w:jc w:val="right"/>
              <w:rPr>
                <w:color w:val="000000"/>
              </w:rPr>
            </w:pPr>
            <w:r w:rsidRPr="00BA2A47">
              <w:rPr>
                <w:color w:val="000000"/>
              </w:rPr>
              <w:t>2.12206E-05</w:t>
            </w:r>
          </w:p>
        </w:tc>
      </w:tr>
      <w:tr w:rsidR="00590587" w:rsidRPr="00590587" w14:paraId="7F11FE16" w14:textId="77777777" w:rsidTr="00590587">
        <w:trPr>
          <w:trHeight w:val="300"/>
          <w:jc w:val="center"/>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14:paraId="2629B011" w14:textId="77777777" w:rsidR="00590587" w:rsidRPr="00BA2A47" w:rsidRDefault="00590587" w:rsidP="00590587">
            <w:pPr>
              <w:rPr>
                <w:color w:val="000000"/>
              </w:rPr>
            </w:pPr>
            <w:r w:rsidRPr="00BA2A47">
              <w:rPr>
                <w:color w:val="000000"/>
              </w:rPr>
              <w:t>American Canyon</w:t>
            </w:r>
          </w:p>
        </w:tc>
        <w:tc>
          <w:tcPr>
            <w:tcW w:w="1360" w:type="dxa"/>
            <w:tcBorders>
              <w:top w:val="nil"/>
              <w:left w:val="nil"/>
              <w:bottom w:val="single" w:sz="4" w:space="0" w:color="auto"/>
              <w:right w:val="single" w:sz="4" w:space="0" w:color="auto"/>
            </w:tcBorders>
            <w:shd w:val="clear" w:color="auto" w:fill="auto"/>
            <w:noWrap/>
            <w:vAlign w:val="bottom"/>
            <w:hideMark/>
          </w:tcPr>
          <w:p w14:paraId="28543D11" w14:textId="77777777" w:rsidR="00590587" w:rsidRPr="00BA2A47" w:rsidRDefault="00590587" w:rsidP="00590587">
            <w:pPr>
              <w:jc w:val="right"/>
              <w:rPr>
                <w:color w:val="000000"/>
              </w:rPr>
            </w:pPr>
            <w:r w:rsidRPr="00BA2A47">
              <w:rPr>
                <w:color w:val="000000"/>
              </w:rPr>
              <w:t>3.85216E-05</w:t>
            </w:r>
          </w:p>
        </w:tc>
        <w:tc>
          <w:tcPr>
            <w:tcW w:w="1360" w:type="dxa"/>
            <w:tcBorders>
              <w:top w:val="nil"/>
              <w:left w:val="nil"/>
              <w:bottom w:val="single" w:sz="4" w:space="0" w:color="auto"/>
              <w:right w:val="single" w:sz="4" w:space="0" w:color="auto"/>
            </w:tcBorders>
            <w:shd w:val="clear" w:color="auto" w:fill="auto"/>
            <w:noWrap/>
            <w:vAlign w:val="bottom"/>
            <w:hideMark/>
          </w:tcPr>
          <w:p w14:paraId="42B77431" w14:textId="77777777" w:rsidR="00590587" w:rsidRPr="00BA2A47" w:rsidRDefault="00590587" w:rsidP="00590587">
            <w:pPr>
              <w:jc w:val="right"/>
              <w:rPr>
                <w:color w:val="000000"/>
              </w:rPr>
            </w:pPr>
            <w:r w:rsidRPr="00BA2A47">
              <w:rPr>
                <w:color w:val="000000"/>
              </w:rPr>
              <w:t>2.98458E-05</w:t>
            </w:r>
          </w:p>
        </w:tc>
        <w:tc>
          <w:tcPr>
            <w:tcW w:w="1340" w:type="dxa"/>
            <w:tcBorders>
              <w:top w:val="nil"/>
              <w:left w:val="nil"/>
              <w:bottom w:val="single" w:sz="4" w:space="0" w:color="auto"/>
              <w:right w:val="single" w:sz="4" w:space="0" w:color="auto"/>
            </w:tcBorders>
            <w:shd w:val="clear" w:color="auto" w:fill="auto"/>
            <w:noWrap/>
            <w:vAlign w:val="bottom"/>
            <w:hideMark/>
          </w:tcPr>
          <w:p w14:paraId="12F14C6D" w14:textId="77777777" w:rsidR="00590587" w:rsidRPr="00BA2A47" w:rsidRDefault="00590587" w:rsidP="00590587">
            <w:pPr>
              <w:jc w:val="right"/>
              <w:rPr>
                <w:color w:val="000000"/>
              </w:rPr>
            </w:pPr>
            <w:r w:rsidRPr="00BA2A47">
              <w:rPr>
                <w:color w:val="000000"/>
              </w:rPr>
              <w:t>2.23113E-05</w:t>
            </w:r>
          </w:p>
        </w:tc>
        <w:tc>
          <w:tcPr>
            <w:tcW w:w="1480" w:type="dxa"/>
            <w:tcBorders>
              <w:top w:val="nil"/>
              <w:left w:val="nil"/>
              <w:bottom w:val="single" w:sz="4" w:space="0" w:color="auto"/>
              <w:right w:val="single" w:sz="4" w:space="0" w:color="auto"/>
            </w:tcBorders>
            <w:shd w:val="clear" w:color="auto" w:fill="auto"/>
            <w:noWrap/>
            <w:vAlign w:val="bottom"/>
            <w:hideMark/>
          </w:tcPr>
          <w:p w14:paraId="4E0DB628" w14:textId="77777777" w:rsidR="00590587" w:rsidRPr="00BA2A47" w:rsidRDefault="00590587" w:rsidP="00590587">
            <w:pPr>
              <w:jc w:val="right"/>
              <w:rPr>
                <w:color w:val="000000"/>
              </w:rPr>
            </w:pPr>
            <w:r w:rsidRPr="00BA2A47">
              <w:rPr>
                <w:color w:val="000000"/>
              </w:rPr>
              <w:t>5.76749E-06</w:t>
            </w:r>
          </w:p>
        </w:tc>
      </w:tr>
      <w:tr w:rsidR="00590587" w:rsidRPr="00590587" w14:paraId="6F62BF00" w14:textId="77777777" w:rsidTr="00590587">
        <w:trPr>
          <w:trHeight w:val="300"/>
          <w:jc w:val="center"/>
        </w:trPr>
        <w:tc>
          <w:tcPr>
            <w:tcW w:w="2680" w:type="dxa"/>
            <w:tcBorders>
              <w:top w:val="nil"/>
              <w:left w:val="single" w:sz="4" w:space="0" w:color="auto"/>
              <w:bottom w:val="nil"/>
              <w:right w:val="single" w:sz="4" w:space="0" w:color="auto"/>
            </w:tcBorders>
            <w:shd w:val="clear" w:color="auto" w:fill="auto"/>
            <w:noWrap/>
            <w:vAlign w:val="bottom"/>
            <w:hideMark/>
          </w:tcPr>
          <w:p w14:paraId="704D7EDC" w14:textId="77777777" w:rsidR="00590587" w:rsidRPr="00BA2A47" w:rsidRDefault="00590587" w:rsidP="00590587">
            <w:pPr>
              <w:rPr>
                <w:color w:val="000000"/>
              </w:rPr>
            </w:pPr>
            <w:r w:rsidRPr="00BA2A47">
              <w:rPr>
                <w:color w:val="000000"/>
              </w:rPr>
              <w:t>Fairfield</w:t>
            </w:r>
          </w:p>
        </w:tc>
        <w:tc>
          <w:tcPr>
            <w:tcW w:w="1360" w:type="dxa"/>
            <w:tcBorders>
              <w:top w:val="nil"/>
              <w:left w:val="nil"/>
              <w:bottom w:val="nil"/>
              <w:right w:val="single" w:sz="4" w:space="0" w:color="auto"/>
            </w:tcBorders>
            <w:shd w:val="clear" w:color="auto" w:fill="auto"/>
            <w:noWrap/>
            <w:vAlign w:val="bottom"/>
            <w:hideMark/>
          </w:tcPr>
          <w:p w14:paraId="6808BB46" w14:textId="77777777" w:rsidR="00590587" w:rsidRPr="00BA2A47" w:rsidRDefault="00590587" w:rsidP="00590587">
            <w:pPr>
              <w:jc w:val="right"/>
              <w:rPr>
                <w:color w:val="000000"/>
              </w:rPr>
            </w:pPr>
            <w:r w:rsidRPr="00BA2A47">
              <w:rPr>
                <w:color w:val="000000"/>
              </w:rPr>
              <w:t>6.40732E-05</w:t>
            </w:r>
          </w:p>
        </w:tc>
        <w:tc>
          <w:tcPr>
            <w:tcW w:w="1360" w:type="dxa"/>
            <w:tcBorders>
              <w:top w:val="nil"/>
              <w:left w:val="nil"/>
              <w:bottom w:val="nil"/>
              <w:right w:val="single" w:sz="4" w:space="0" w:color="auto"/>
            </w:tcBorders>
            <w:shd w:val="clear" w:color="auto" w:fill="auto"/>
            <w:noWrap/>
            <w:vAlign w:val="bottom"/>
            <w:hideMark/>
          </w:tcPr>
          <w:p w14:paraId="3205684A" w14:textId="77777777" w:rsidR="00590587" w:rsidRPr="00BA2A47" w:rsidRDefault="00590587" w:rsidP="00590587">
            <w:pPr>
              <w:jc w:val="right"/>
              <w:rPr>
                <w:color w:val="000000"/>
              </w:rPr>
            </w:pPr>
            <w:r w:rsidRPr="00BA2A47">
              <w:rPr>
                <w:color w:val="000000"/>
              </w:rPr>
              <w:t>0.000124309</w:t>
            </w:r>
          </w:p>
        </w:tc>
        <w:tc>
          <w:tcPr>
            <w:tcW w:w="1340" w:type="dxa"/>
            <w:tcBorders>
              <w:top w:val="nil"/>
              <w:left w:val="nil"/>
              <w:bottom w:val="nil"/>
              <w:right w:val="single" w:sz="4" w:space="0" w:color="auto"/>
            </w:tcBorders>
            <w:shd w:val="clear" w:color="auto" w:fill="auto"/>
            <w:noWrap/>
            <w:vAlign w:val="bottom"/>
            <w:hideMark/>
          </w:tcPr>
          <w:p w14:paraId="147E9C07" w14:textId="77777777" w:rsidR="00590587" w:rsidRPr="00BA2A47" w:rsidRDefault="00590587" w:rsidP="00590587">
            <w:pPr>
              <w:jc w:val="right"/>
              <w:rPr>
                <w:color w:val="000000"/>
              </w:rPr>
            </w:pPr>
            <w:r w:rsidRPr="00BA2A47">
              <w:rPr>
                <w:color w:val="000000"/>
              </w:rPr>
              <w:t>0.004808032</w:t>
            </w:r>
          </w:p>
        </w:tc>
        <w:tc>
          <w:tcPr>
            <w:tcW w:w="1480" w:type="dxa"/>
            <w:tcBorders>
              <w:top w:val="nil"/>
              <w:left w:val="nil"/>
              <w:bottom w:val="nil"/>
              <w:right w:val="single" w:sz="4" w:space="0" w:color="auto"/>
            </w:tcBorders>
            <w:shd w:val="clear" w:color="auto" w:fill="auto"/>
            <w:noWrap/>
            <w:vAlign w:val="bottom"/>
            <w:hideMark/>
          </w:tcPr>
          <w:p w14:paraId="58347469" w14:textId="77777777" w:rsidR="00590587" w:rsidRPr="00BA2A47" w:rsidRDefault="00590587" w:rsidP="00590587">
            <w:pPr>
              <w:jc w:val="right"/>
              <w:rPr>
                <w:color w:val="000000"/>
              </w:rPr>
            </w:pPr>
            <w:r w:rsidRPr="00BA2A47">
              <w:rPr>
                <w:color w:val="000000"/>
              </w:rPr>
              <w:t>0.003827038</w:t>
            </w:r>
          </w:p>
        </w:tc>
      </w:tr>
      <w:tr w:rsidR="00590587" w:rsidRPr="00590587" w14:paraId="708F1392" w14:textId="77777777" w:rsidTr="00590587">
        <w:trPr>
          <w:trHeight w:val="300"/>
          <w:jc w:val="center"/>
        </w:trPr>
        <w:tc>
          <w:tcPr>
            <w:tcW w:w="2680" w:type="dxa"/>
            <w:tcBorders>
              <w:top w:val="nil"/>
              <w:left w:val="single" w:sz="4" w:space="0" w:color="auto"/>
              <w:bottom w:val="nil"/>
              <w:right w:val="single" w:sz="4" w:space="0" w:color="auto"/>
            </w:tcBorders>
            <w:shd w:val="clear" w:color="auto" w:fill="auto"/>
            <w:noWrap/>
            <w:vAlign w:val="bottom"/>
            <w:hideMark/>
          </w:tcPr>
          <w:p w14:paraId="3A46618E" w14:textId="77777777" w:rsidR="00590587" w:rsidRPr="00BA2A47" w:rsidRDefault="00590587" w:rsidP="00590587">
            <w:pPr>
              <w:rPr>
                <w:color w:val="000000"/>
              </w:rPr>
            </w:pPr>
            <w:r w:rsidRPr="00BA2A47">
              <w:rPr>
                <w:color w:val="000000"/>
              </w:rPr>
              <w:t>Fairfield</w:t>
            </w:r>
          </w:p>
        </w:tc>
        <w:tc>
          <w:tcPr>
            <w:tcW w:w="1360" w:type="dxa"/>
            <w:tcBorders>
              <w:top w:val="nil"/>
              <w:left w:val="nil"/>
              <w:bottom w:val="nil"/>
              <w:right w:val="single" w:sz="4" w:space="0" w:color="auto"/>
            </w:tcBorders>
            <w:shd w:val="clear" w:color="auto" w:fill="auto"/>
            <w:noWrap/>
            <w:vAlign w:val="bottom"/>
            <w:hideMark/>
          </w:tcPr>
          <w:p w14:paraId="3919567C" w14:textId="77777777" w:rsidR="00590587" w:rsidRPr="00BA2A47" w:rsidRDefault="00590587" w:rsidP="00590587">
            <w:pPr>
              <w:jc w:val="right"/>
              <w:rPr>
                <w:color w:val="000000"/>
              </w:rPr>
            </w:pPr>
            <w:r w:rsidRPr="00BA2A47">
              <w:rPr>
                <w:color w:val="000000"/>
              </w:rPr>
              <w:t>0.002464056</w:t>
            </w:r>
          </w:p>
        </w:tc>
        <w:tc>
          <w:tcPr>
            <w:tcW w:w="1360" w:type="dxa"/>
            <w:tcBorders>
              <w:top w:val="nil"/>
              <w:left w:val="nil"/>
              <w:bottom w:val="nil"/>
              <w:right w:val="single" w:sz="4" w:space="0" w:color="auto"/>
            </w:tcBorders>
            <w:shd w:val="clear" w:color="auto" w:fill="auto"/>
            <w:noWrap/>
            <w:vAlign w:val="bottom"/>
            <w:hideMark/>
          </w:tcPr>
          <w:p w14:paraId="1C179AFB" w14:textId="77777777" w:rsidR="00590587" w:rsidRPr="00BA2A47" w:rsidRDefault="00590587" w:rsidP="00590587">
            <w:pPr>
              <w:jc w:val="right"/>
              <w:rPr>
                <w:color w:val="000000"/>
              </w:rPr>
            </w:pPr>
            <w:r w:rsidRPr="00BA2A47">
              <w:rPr>
                <w:color w:val="000000"/>
              </w:rPr>
              <w:t>0.003985308</w:t>
            </w:r>
          </w:p>
        </w:tc>
        <w:tc>
          <w:tcPr>
            <w:tcW w:w="1340" w:type="dxa"/>
            <w:tcBorders>
              <w:top w:val="nil"/>
              <w:left w:val="nil"/>
              <w:bottom w:val="nil"/>
              <w:right w:val="single" w:sz="4" w:space="0" w:color="auto"/>
            </w:tcBorders>
            <w:shd w:val="clear" w:color="auto" w:fill="auto"/>
            <w:noWrap/>
            <w:vAlign w:val="bottom"/>
            <w:hideMark/>
          </w:tcPr>
          <w:p w14:paraId="50A1510B" w14:textId="77777777" w:rsidR="00590587" w:rsidRPr="00BA2A47" w:rsidRDefault="00590587" w:rsidP="00590587">
            <w:pPr>
              <w:jc w:val="right"/>
              <w:rPr>
                <w:color w:val="000000"/>
              </w:rPr>
            </w:pPr>
            <w:r w:rsidRPr="00BA2A47">
              <w:rPr>
                <w:color w:val="000000"/>
              </w:rPr>
              <w:t>2.23113E-05</w:t>
            </w:r>
          </w:p>
        </w:tc>
        <w:tc>
          <w:tcPr>
            <w:tcW w:w="1480" w:type="dxa"/>
            <w:tcBorders>
              <w:top w:val="nil"/>
              <w:left w:val="nil"/>
              <w:bottom w:val="nil"/>
              <w:right w:val="single" w:sz="4" w:space="0" w:color="auto"/>
            </w:tcBorders>
            <w:shd w:val="clear" w:color="auto" w:fill="auto"/>
            <w:noWrap/>
            <w:vAlign w:val="bottom"/>
            <w:hideMark/>
          </w:tcPr>
          <w:p w14:paraId="57AF063C" w14:textId="77777777" w:rsidR="00590587" w:rsidRPr="00BA2A47" w:rsidRDefault="00590587" w:rsidP="00590587">
            <w:pPr>
              <w:jc w:val="right"/>
              <w:rPr>
                <w:color w:val="000000"/>
              </w:rPr>
            </w:pPr>
            <w:r w:rsidRPr="00BA2A47">
              <w:rPr>
                <w:color w:val="000000"/>
              </w:rPr>
              <w:t>0.000525541</w:t>
            </w:r>
          </w:p>
        </w:tc>
      </w:tr>
      <w:tr w:rsidR="00590587" w:rsidRPr="00590587" w14:paraId="1D2481C4" w14:textId="77777777" w:rsidTr="00590587">
        <w:trPr>
          <w:trHeight w:val="300"/>
          <w:jc w:val="center"/>
        </w:trPr>
        <w:tc>
          <w:tcPr>
            <w:tcW w:w="2680" w:type="dxa"/>
            <w:tcBorders>
              <w:top w:val="nil"/>
              <w:left w:val="single" w:sz="4" w:space="0" w:color="auto"/>
              <w:bottom w:val="nil"/>
              <w:right w:val="single" w:sz="4" w:space="0" w:color="auto"/>
            </w:tcBorders>
            <w:shd w:val="clear" w:color="auto" w:fill="auto"/>
            <w:noWrap/>
            <w:vAlign w:val="bottom"/>
            <w:hideMark/>
          </w:tcPr>
          <w:p w14:paraId="3BEEB7D5" w14:textId="77777777" w:rsidR="00590587" w:rsidRPr="00BA2A47" w:rsidRDefault="00590587" w:rsidP="00590587">
            <w:pPr>
              <w:rPr>
                <w:color w:val="000000"/>
              </w:rPr>
            </w:pPr>
            <w:r w:rsidRPr="00BA2A47">
              <w:rPr>
                <w:color w:val="000000"/>
              </w:rPr>
              <w:t>Fairfield</w:t>
            </w:r>
          </w:p>
        </w:tc>
        <w:tc>
          <w:tcPr>
            <w:tcW w:w="1360" w:type="dxa"/>
            <w:tcBorders>
              <w:top w:val="nil"/>
              <w:left w:val="nil"/>
              <w:bottom w:val="nil"/>
              <w:right w:val="single" w:sz="4" w:space="0" w:color="auto"/>
            </w:tcBorders>
            <w:shd w:val="clear" w:color="auto" w:fill="auto"/>
            <w:noWrap/>
            <w:vAlign w:val="bottom"/>
            <w:hideMark/>
          </w:tcPr>
          <w:p w14:paraId="500F4084" w14:textId="77777777" w:rsidR="00590587" w:rsidRPr="00BA2A47" w:rsidRDefault="00590587" w:rsidP="00590587">
            <w:pPr>
              <w:jc w:val="right"/>
              <w:rPr>
                <w:color w:val="000000"/>
              </w:rPr>
            </w:pPr>
            <w:r w:rsidRPr="00BA2A47">
              <w:rPr>
                <w:color w:val="000000"/>
              </w:rPr>
              <w:t>0.000444199</w:t>
            </w:r>
          </w:p>
        </w:tc>
        <w:tc>
          <w:tcPr>
            <w:tcW w:w="1360" w:type="dxa"/>
            <w:tcBorders>
              <w:top w:val="nil"/>
              <w:left w:val="nil"/>
              <w:bottom w:val="nil"/>
              <w:right w:val="single" w:sz="4" w:space="0" w:color="auto"/>
            </w:tcBorders>
            <w:shd w:val="clear" w:color="auto" w:fill="auto"/>
            <w:noWrap/>
            <w:vAlign w:val="bottom"/>
            <w:hideMark/>
          </w:tcPr>
          <w:p w14:paraId="742AF57F" w14:textId="77777777" w:rsidR="00590587" w:rsidRPr="00BA2A47" w:rsidRDefault="00590587" w:rsidP="00590587">
            <w:pPr>
              <w:jc w:val="right"/>
              <w:rPr>
                <w:color w:val="000000"/>
              </w:rPr>
            </w:pPr>
            <w:r w:rsidRPr="00BA2A47">
              <w:rPr>
                <w:color w:val="000000"/>
              </w:rPr>
              <w:t>0.002023944</w:t>
            </w:r>
          </w:p>
        </w:tc>
        <w:tc>
          <w:tcPr>
            <w:tcW w:w="1340" w:type="dxa"/>
            <w:tcBorders>
              <w:top w:val="nil"/>
              <w:left w:val="nil"/>
              <w:bottom w:val="nil"/>
              <w:right w:val="single" w:sz="4" w:space="0" w:color="auto"/>
            </w:tcBorders>
            <w:shd w:val="clear" w:color="auto" w:fill="auto"/>
            <w:noWrap/>
            <w:vAlign w:val="bottom"/>
            <w:hideMark/>
          </w:tcPr>
          <w:p w14:paraId="2F18F868" w14:textId="77777777" w:rsidR="00590587" w:rsidRPr="00BA2A47" w:rsidRDefault="00590587" w:rsidP="00590587">
            <w:pPr>
              <w:jc w:val="right"/>
              <w:rPr>
                <w:color w:val="000000"/>
              </w:rPr>
            </w:pPr>
            <w:r w:rsidRPr="00BA2A47">
              <w:rPr>
                <w:color w:val="000000"/>
              </w:rPr>
              <w:t>0.004808032</w:t>
            </w:r>
          </w:p>
        </w:tc>
        <w:tc>
          <w:tcPr>
            <w:tcW w:w="1480" w:type="dxa"/>
            <w:tcBorders>
              <w:top w:val="nil"/>
              <w:left w:val="nil"/>
              <w:bottom w:val="nil"/>
              <w:right w:val="single" w:sz="4" w:space="0" w:color="auto"/>
            </w:tcBorders>
            <w:shd w:val="clear" w:color="auto" w:fill="auto"/>
            <w:noWrap/>
            <w:vAlign w:val="bottom"/>
            <w:hideMark/>
          </w:tcPr>
          <w:p w14:paraId="6BFE7D94" w14:textId="77777777" w:rsidR="00590587" w:rsidRPr="00BA2A47" w:rsidRDefault="00590587" w:rsidP="00590587">
            <w:pPr>
              <w:jc w:val="right"/>
              <w:rPr>
                <w:color w:val="000000"/>
              </w:rPr>
            </w:pPr>
            <w:r w:rsidRPr="00BA2A47">
              <w:rPr>
                <w:color w:val="000000"/>
              </w:rPr>
              <w:t>0.003827038</w:t>
            </w:r>
          </w:p>
        </w:tc>
      </w:tr>
      <w:tr w:rsidR="00590587" w:rsidRPr="00590587" w14:paraId="3DF6DAD4" w14:textId="77777777" w:rsidTr="00590587">
        <w:trPr>
          <w:trHeight w:val="300"/>
          <w:jc w:val="center"/>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14:paraId="1C92FE5E" w14:textId="77777777" w:rsidR="00590587" w:rsidRPr="00BA2A47" w:rsidRDefault="00590587" w:rsidP="00590587">
            <w:pPr>
              <w:rPr>
                <w:color w:val="000000"/>
              </w:rPr>
            </w:pPr>
            <w:r w:rsidRPr="00BA2A47">
              <w:rPr>
                <w:color w:val="000000"/>
              </w:rPr>
              <w:t>Fairfield</w:t>
            </w:r>
          </w:p>
        </w:tc>
        <w:tc>
          <w:tcPr>
            <w:tcW w:w="1360" w:type="dxa"/>
            <w:tcBorders>
              <w:top w:val="nil"/>
              <w:left w:val="nil"/>
              <w:bottom w:val="single" w:sz="4" w:space="0" w:color="auto"/>
              <w:right w:val="single" w:sz="4" w:space="0" w:color="auto"/>
            </w:tcBorders>
            <w:shd w:val="clear" w:color="auto" w:fill="auto"/>
            <w:noWrap/>
            <w:vAlign w:val="bottom"/>
            <w:hideMark/>
          </w:tcPr>
          <w:p w14:paraId="4E351E89" w14:textId="77777777" w:rsidR="00590587" w:rsidRPr="00BA2A47" w:rsidRDefault="00590587" w:rsidP="00590587">
            <w:pPr>
              <w:jc w:val="right"/>
              <w:rPr>
                <w:color w:val="000000"/>
              </w:rPr>
            </w:pPr>
            <w:r w:rsidRPr="00BA2A47">
              <w:rPr>
                <w:color w:val="000000"/>
              </w:rPr>
              <w:t>0.002387212</w:t>
            </w:r>
          </w:p>
        </w:tc>
        <w:tc>
          <w:tcPr>
            <w:tcW w:w="1360" w:type="dxa"/>
            <w:tcBorders>
              <w:top w:val="nil"/>
              <w:left w:val="nil"/>
              <w:bottom w:val="single" w:sz="4" w:space="0" w:color="auto"/>
              <w:right w:val="single" w:sz="4" w:space="0" w:color="auto"/>
            </w:tcBorders>
            <w:shd w:val="clear" w:color="auto" w:fill="auto"/>
            <w:noWrap/>
            <w:vAlign w:val="bottom"/>
            <w:hideMark/>
          </w:tcPr>
          <w:p w14:paraId="66E1450F" w14:textId="77777777" w:rsidR="00590587" w:rsidRPr="00BA2A47" w:rsidRDefault="00590587" w:rsidP="00590587">
            <w:pPr>
              <w:jc w:val="right"/>
              <w:rPr>
                <w:color w:val="000000"/>
              </w:rPr>
            </w:pPr>
            <w:r w:rsidRPr="00BA2A47">
              <w:rPr>
                <w:color w:val="000000"/>
              </w:rPr>
              <w:t>0.00244248</w:t>
            </w:r>
          </w:p>
        </w:tc>
        <w:tc>
          <w:tcPr>
            <w:tcW w:w="1340" w:type="dxa"/>
            <w:tcBorders>
              <w:top w:val="nil"/>
              <w:left w:val="nil"/>
              <w:bottom w:val="single" w:sz="4" w:space="0" w:color="auto"/>
              <w:right w:val="single" w:sz="4" w:space="0" w:color="auto"/>
            </w:tcBorders>
            <w:shd w:val="clear" w:color="auto" w:fill="auto"/>
            <w:noWrap/>
            <w:vAlign w:val="bottom"/>
            <w:hideMark/>
          </w:tcPr>
          <w:p w14:paraId="6B2341BD" w14:textId="77777777" w:rsidR="00590587" w:rsidRPr="00BA2A47" w:rsidRDefault="00590587" w:rsidP="00590587">
            <w:pPr>
              <w:jc w:val="right"/>
              <w:rPr>
                <w:color w:val="000000"/>
              </w:rPr>
            </w:pPr>
            <w:r w:rsidRPr="00BA2A47">
              <w:rPr>
                <w:color w:val="000000"/>
              </w:rPr>
              <w:t>0.003454068</w:t>
            </w:r>
          </w:p>
        </w:tc>
        <w:tc>
          <w:tcPr>
            <w:tcW w:w="1480" w:type="dxa"/>
            <w:tcBorders>
              <w:top w:val="nil"/>
              <w:left w:val="nil"/>
              <w:bottom w:val="single" w:sz="4" w:space="0" w:color="auto"/>
              <w:right w:val="single" w:sz="4" w:space="0" w:color="auto"/>
            </w:tcBorders>
            <w:shd w:val="clear" w:color="auto" w:fill="auto"/>
            <w:noWrap/>
            <w:vAlign w:val="bottom"/>
            <w:hideMark/>
          </w:tcPr>
          <w:p w14:paraId="429DE213" w14:textId="77777777" w:rsidR="00590587" w:rsidRPr="00BA2A47" w:rsidRDefault="00590587" w:rsidP="00590587">
            <w:pPr>
              <w:jc w:val="right"/>
              <w:rPr>
                <w:color w:val="000000"/>
              </w:rPr>
            </w:pPr>
            <w:r w:rsidRPr="00BA2A47">
              <w:rPr>
                <w:color w:val="000000"/>
              </w:rPr>
              <w:t>0.000525541</w:t>
            </w:r>
          </w:p>
        </w:tc>
      </w:tr>
      <w:tr w:rsidR="00590587" w:rsidRPr="00590587" w14:paraId="693D63B5" w14:textId="77777777" w:rsidTr="00590587">
        <w:trPr>
          <w:trHeight w:val="300"/>
          <w:jc w:val="center"/>
        </w:trPr>
        <w:tc>
          <w:tcPr>
            <w:tcW w:w="2680" w:type="dxa"/>
            <w:tcBorders>
              <w:top w:val="nil"/>
              <w:left w:val="single" w:sz="4" w:space="0" w:color="auto"/>
              <w:bottom w:val="nil"/>
              <w:right w:val="single" w:sz="4" w:space="0" w:color="auto"/>
            </w:tcBorders>
            <w:shd w:val="clear" w:color="auto" w:fill="auto"/>
            <w:noWrap/>
            <w:vAlign w:val="bottom"/>
            <w:hideMark/>
          </w:tcPr>
          <w:p w14:paraId="4235CE62" w14:textId="77777777" w:rsidR="00590587" w:rsidRPr="00BA2A47" w:rsidRDefault="00590587" w:rsidP="00590587">
            <w:pPr>
              <w:rPr>
                <w:color w:val="000000"/>
              </w:rPr>
            </w:pPr>
            <w:r w:rsidRPr="00BA2A47">
              <w:rPr>
                <w:color w:val="000000"/>
              </w:rPr>
              <w:t xml:space="preserve">Mt. View </w:t>
            </w:r>
          </w:p>
        </w:tc>
        <w:tc>
          <w:tcPr>
            <w:tcW w:w="1360" w:type="dxa"/>
            <w:tcBorders>
              <w:top w:val="nil"/>
              <w:left w:val="nil"/>
              <w:bottom w:val="nil"/>
              <w:right w:val="single" w:sz="4" w:space="0" w:color="auto"/>
            </w:tcBorders>
            <w:shd w:val="clear" w:color="auto" w:fill="auto"/>
            <w:noWrap/>
            <w:vAlign w:val="bottom"/>
            <w:hideMark/>
          </w:tcPr>
          <w:p w14:paraId="253B5780" w14:textId="77777777" w:rsidR="00590587" w:rsidRPr="00BA2A47" w:rsidRDefault="00590587" w:rsidP="00590587">
            <w:pPr>
              <w:jc w:val="right"/>
              <w:rPr>
                <w:color w:val="000000"/>
              </w:rPr>
            </w:pPr>
            <w:r w:rsidRPr="00BA2A47">
              <w:rPr>
                <w:color w:val="000000"/>
              </w:rPr>
              <w:t>0.000380578</w:t>
            </w:r>
          </w:p>
        </w:tc>
        <w:tc>
          <w:tcPr>
            <w:tcW w:w="1360" w:type="dxa"/>
            <w:tcBorders>
              <w:top w:val="nil"/>
              <w:left w:val="nil"/>
              <w:bottom w:val="nil"/>
              <w:right w:val="single" w:sz="4" w:space="0" w:color="auto"/>
            </w:tcBorders>
            <w:shd w:val="clear" w:color="auto" w:fill="auto"/>
            <w:noWrap/>
            <w:vAlign w:val="bottom"/>
            <w:hideMark/>
          </w:tcPr>
          <w:p w14:paraId="7098916E" w14:textId="77777777" w:rsidR="00590587" w:rsidRPr="00BA2A47" w:rsidRDefault="00590587" w:rsidP="00590587">
            <w:pPr>
              <w:jc w:val="right"/>
              <w:rPr>
                <w:color w:val="000000"/>
              </w:rPr>
            </w:pPr>
            <w:r w:rsidRPr="00BA2A47">
              <w:rPr>
                <w:color w:val="000000"/>
              </w:rPr>
              <w:t>0.000431779</w:t>
            </w:r>
          </w:p>
        </w:tc>
        <w:tc>
          <w:tcPr>
            <w:tcW w:w="1340" w:type="dxa"/>
            <w:tcBorders>
              <w:top w:val="nil"/>
              <w:left w:val="nil"/>
              <w:bottom w:val="nil"/>
              <w:right w:val="single" w:sz="4" w:space="0" w:color="auto"/>
            </w:tcBorders>
            <w:shd w:val="clear" w:color="auto" w:fill="auto"/>
            <w:noWrap/>
            <w:vAlign w:val="bottom"/>
            <w:hideMark/>
          </w:tcPr>
          <w:p w14:paraId="28101130" w14:textId="77777777" w:rsidR="00590587" w:rsidRPr="00BA2A47" w:rsidRDefault="00590587" w:rsidP="00590587">
            <w:pPr>
              <w:jc w:val="right"/>
              <w:rPr>
                <w:color w:val="000000"/>
              </w:rPr>
            </w:pPr>
            <w:r w:rsidRPr="00BA2A47">
              <w:rPr>
                <w:color w:val="000000"/>
              </w:rPr>
              <w:t>0.000251154</w:t>
            </w:r>
          </w:p>
        </w:tc>
        <w:tc>
          <w:tcPr>
            <w:tcW w:w="1480" w:type="dxa"/>
            <w:tcBorders>
              <w:top w:val="nil"/>
              <w:left w:val="nil"/>
              <w:bottom w:val="nil"/>
              <w:right w:val="single" w:sz="4" w:space="0" w:color="auto"/>
            </w:tcBorders>
            <w:shd w:val="clear" w:color="auto" w:fill="auto"/>
            <w:noWrap/>
            <w:vAlign w:val="bottom"/>
            <w:hideMark/>
          </w:tcPr>
          <w:p w14:paraId="0B702B64" w14:textId="77777777" w:rsidR="00590587" w:rsidRPr="00BA2A47" w:rsidRDefault="00590587" w:rsidP="00590587">
            <w:pPr>
              <w:jc w:val="right"/>
              <w:rPr>
                <w:color w:val="000000"/>
              </w:rPr>
            </w:pPr>
            <w:r w:rsidRPr="00BA2A47">
              <w:rPr>
                <w:color w:val="000000"/>
              </w:rPr>
              <w:t>0.000444951</w:t>
            </w:r>
          </w:p>
        </w:tc>
      </w:tr>
      <w:tr w:rsidR="00590587" w:rsidRPr="00590587" w14:paraId="7F804532" w14:textId="77777777" w:rsidTr="00590587">
        <w:trPr>
          <w:trHeight w:val="300"/>
          <w:jc w:val="center"/>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14:paraId="7327026C" w14:textId="77777777" w:rsidR="00590587" w:rsidRPr="00BA2A47" w:rsidRDefault="00590587" w:rsidP="00590587">
            <w:pPr>
              <w:rPr>
                <w:color w:val="000000"/>
              </w:rPr>
            </w:pPr>
            <w:r w:rsidRPr="00BA2A47">
              <w:rPr>
                <w:color w:val="000000"/>
              </w:rPr>
              <w:t xml:space="preserve">Mt. View </w:t>
            </w:r>
          </w:p>
        </w:tc>
        <w:tc>
          <w:tcPr>
            <w:tcW w:w="1360" w:type="dxa"/>
            <w:tcBorders>
              <w:top w:val="nil"/>
              <w:left w:val="nil"/>
              <w:bottom w:val="single" w:sz="4" w:space="0" w:color="auto"/>
              <w:right w:val="single" w:sz="4" w:space="0" w:color="auto"/>
            </w:tcBorders>
            <w:shd w:val="clear" w:color="auto" w:fill="auto"/>
            <w:noWrap/>
            <w:vAlign w:val="bottom"/>
            <w:hideMark/>
          </w:tcPr>
          <w:p w14:paraId="3A94EA1D" w14:textId="77777777" w:rsidR="00590587" w:rsidRPr="00BA2A47" w:rsidRDefault="00590587" w:rsidP="00590587">
            <w:pPr>
              <w:jc w:val="right"/>
              <w:rPr>
                <w:color w:val="000000"/>
              </w:rPr>
            </w:pPr>
            <w:r w:rsidRPr="00BA2A47">
              <w:rPr>
                <w:color w:val="000000"/>
              </w:rPr>
              <w:t>0.00051271</w:t>
            </w:r>
          </w:p>
        </w:tc>
        <w:tc>
          <w:tcPr>
            <w:tcW w:w="1360" w:type="dxa"/>
            <w:tcBorders>
              <w:top w:val="nil"/>
              <w:left w:val="nil"/>
              <w:bottom w:val="single" w:sz="4" w:space="0" w:color="auto"/>
              <w:right w:val="single" w:sz="4" w:space="0" w:color="auto"/>
            </w:tcBorders>
            <w:shd w:val="clear" w:color="auto" w:fill="auto"/>
            <w:noWrap/>
            <w:vAlign w:val="bottom"/>
            <w:hideMark/>
          </w:tcPr>
          <w:p w14:paraId="7DE61E31" w14:textId="77777777" w:rsidR="00590587" w:rsidRPr="00BA2A47" w:rsidRDefault="00590587" w:rsidP="00590587">
            <w:pPr>
              <w:jc w:val="right"/>
              <w:rPr>
                <w:color w:val="000000"/>
              </w:rPr>
            </w:pPr>
            <w:r w:rsidRPr="00BA2A47">
              <w:rPr>
                <w:color w:val="000000"/>
              </w:rPr>
              <w:t>0.000644994</w:t>
            </w:r>
          </w:p>
        </w:tc>
        <w:tc>
          <w:tcPr>
            <w:tcW w:w="1340" w:type="dxa"/>
            <w:tcBorders>
              <w:top w:val="nil"/>
              <w:left w:val="nil"/>
              <w:bottom w:val="single" w:sz="4" w:space="0" w:color="auto"/>
              <w:right w:val="single" w:sz="4" w:space="0" w:color="auto"/>
            </w:tcBorders>
            <w:shd w:val="clear" w:color="auto" w:fill="auto"/>
            <w:noWrap/>
            <w:vAlign w:val="bottom"/>
            <w:hideMark/>
          </w:tcPr>
          <w:p w14:paraId="00213ED5" w14:textId="77777777" w:rsidR="00590587" w:rsidRPr="00BA2A47" w:rsidRDefault="00590587" w:rsidP="00590587">
            <w:pPr>
              <w:jc w:val="right"/>
              <w:rPr>
                <w:color w:val="000000"/>
              </w:rPr>
            </w:pPr>
            <w:r w:rsidRPr="00BA2A47">
              <w:rPr>
                <w:color w:val="000000"/>
              </w:rPr>
              <w:t>0.00039511</w:t>
            </w:r>
          </w:p>
        </w:tc>
        <w:tc>
          <w:tcPr>
            <w:tcW w:w="1480" w:type="dxa"/>
            <w:tcBorders>
              <w:top w:val="nil"/>
              <w:left w:val="nil"/>
              <w:bottom w:val="single" w:sz="4" w:space="0" w:color="auto"/>
              <w:right w:val="single" w:sz="4" w:space="0" w:color="auto"/>
            </w:tcBorders>
            <w:shd w:val="clear" w:color="auto" w:fill="auto"/>
            <w:noWrap/>
            <w:vAlign w:val="bottom"/>
            <w:hideMark/>
          </w:tcPr>
          <w:p w14:paraId="16741CC4" w14:textId="77777777" w:rsidR="00590587" w:rsidRPr="00BA2A47" w:rsidRDefault="00590587" w:rsidP="00590587">
            <w:pPr>
              <w:jc w:val="right"/>
              <w:rPr>
                <w:color w:val="000000"/>
              </w:rPr>
            </w:pPr>
            <w:r w:rsidRPr="00BA2A47">
              <w:rPr>
                <w:color w:val="000000"/>
              </w:rPr>
              <w:t>0.000551976</w:t>
            </w:r>
          </w:p>
        </w:tc>
      </w:tr>
      <w:tr w:rsidR="00590587" w:rsidRPr="00590587" w14:paraId="1E46F809" w14:textId="77777777" w:rsidTr="00590587">
        <w:trPr>
          <w:trHeight w:val="300"/>
          <w:jc w:val="center"/>
        </w:trPr>
        <w:tc>
          <w:tcPr>
            <w:tcW w:w="2680" w:type="dxa"/>
            <w:tcBorders>
              <w:top w:val="nil"/>
              <w:left w:val="single" w:sz="4" w:space="0" w:color="auto"/>
              <w:bottom w:val="nil"/>
              <w:right w:val="single" w:sz="4" w:space="0" w:color="auto"/>
            </w:tcBorders>
            <w:shd w:val="clear" w:color="auto" w:fill="auto"/>
            <w:noWrap/>
            <w:vAlign w:val="bottom"/>
            <w:hideMark/>
          </w:tcPr>
          <w:p w14:paraId="76EB8DFF" w14:textId="77777777" w:rsidR="00590587" w:rsidRPr="00BA2A47" w:rsidRDefault="00590587" w:rsidP="00590587">
            <w:pPr>
              <w:rPr>
                <w:color w:val="000000"/>
              </w:rPr>
            </w:pPr>
            <w:r w:rsidRPr="00BA2A47">
              <w:rPr>
                <w:color w:val="000000"/>
              </w:rPr>
              <w:t>Palo Alto</w:t>
            </w:r>
          </w:p>
        </w:tc>
        <w:tc>
          <w:tcPr>
            <w:tcW w:w="1360" w:type="dxa"/>
            <w:tcBorders>
              <w:top w:val="nil"/>
              <w:left w:val="nil"/>
              <w:bottom w:val="nil"/>
              <w:right w:val="single" w:sz="4" w:space="0" w:color="auto"/>
            </w:tcBorders>
            <w:shd w:val="clear" w:color="auto" w:fill="auto"/>
            <w:noWrap/>
            <w:vAlign w:val="bottom"/>
            <w:hideMark/>
          </w:tcPr>
          <w:p w14:paraId="45B36533" w14:textId="77777777" w:rsidR="00590587" w:rsidRPr="00BA2A47" w:rsidRDefault="00590587" w:rsidP="00590587">
            <w:pPr>
              <w:jc w:val="right"/>
              <w:rPr>
                <w:color w:val="000000"/>
              </w:rPr>
            </w:pPr>
            <w:r w:rsidRPr="00BA2A47">
              <w:rPr>
                <w:color w:val="000000"/>
              </w:rPr>
              <w:t>0.001500471</w:t>
            </w:r>
          </w:p>
        </w:tc>
        <w:tc>
          <w:tcPr>
            <w:tcW w:w="1360" w:type="dxa"/>
            <w:tcBorders>
              <w:top w:val="nil"/>
              <w:left w:val="nil"/>
              <w:bottom w:val="nil"/>
              <w:right w:val="single" w:sz="4" w:space="0" w:color="auto"/>
            </w:tcBorders>
            <w:shd w:val="clear" w:color="auto" w:fill="auto"/>
            <w:noWrap/>
            <w:vAlign w:val="bottom"/>
            <w:hideMark/>
          </w:tcPr>
          <w:p w14:paraId="0E3E2F38" w14:textId="77777777" w:rsidR="00590587" w:rsidRPr="00BA2A47" w:rsidRDefault="00590587" w:rsidP="00590587">
            <w:pPr>
              <w:jc w:val="right"/>
              <w:rPr>
                <w:color w:val="000000"/>
              </w:rPr>
            </w:pPr>
            <w:r w:rsidRPr="00BA2A47">
              <w:rPr>
                <w:color w:val="000000"/>
              </w:rPr>
              <w:t>0.011737367</w:t>
            </w:r>
          </w:p>
        </w:tc>
        <w:tc>
          <w:tcPr>
            <w:tcW w:w="1340" w:type="dxa"/>
            <w:tcBorders>
              <w:top w:val="nil"/>
              <w:left w:val="nil"/>
              <w:bottom w:val="nil"/>
              <w:right w:val="single" w:sz="4" w:space="0" w:color="auto"/>
            </w:tcBorders>
            <w:shd w:val="clear" w:color="auto" w:fill="auto"/>
            <w:noWrap/>
            <w:vAlign w:val="bottom"/>
            <w:hideMark/>
          </w:tcPr>
          <w:p w14:paraId="02A63B15" w14:textId="77777777" w:rsidR="00590587" w:rsidRPr="00BA2A47" w:rsidRDefault="00590587" w:rsidP="00590587">
            <w:pPr>
              <w:jc w:val="right"/>
              <w:rPr>
                <w:color w:val="000000"/>
              </w:rPr>
            </w:pPr>
            <w:r w:rsidRPr="00BA2A47">
              <w:rPr>
                <w:color w:val="000000"/>
              </w:rPr>
              <w:t>0.003781006</w:t>
            </w:r>
          </w:p>
        </w:tc>
        <w:tc>
          <w:tcPr>
            <w:tcW w:w="1480" w:type="dxa"/>
            <w:tcBorders>
              <w:top w:val="nil"/>
              <w:left w:val="nil"/>
              <w:bottom w:val="nil"/>
              <w:right w:val="single" w:sz="4" w:space="0" w:color="auto"/>
            </w:tcBorders>
            <w:shd w:val="clear" w:color="auto" w:fill="auto"/>
            <w:noWrap/>
            <w:vAlign w:val="bottom"/>
            <w:hideMark/>
          </w:tcPr>
          <w:p w14:paraId="3E354FE6" w14:textId="77777777" w:rsidR="00590587" w:rsidRPr="00BA2A47" w:rsidRDefault="00590587" w:rsidP="00590587">
            <w:pPr>
              <w:jc w:val="right"/>
              <w:rPr>
                <w:color w:val="000000"/>
              </w:rPr>
            </w:pPr>
            <w:r w:rsidRPr="00BA2A47">
              <w:rPr>
                <w:color w:val="000000"/>
              </w:rPr>
              <w:t>0.010828444</w:t>
            </w:r>
          </w:p>
        </w:tc>
      </w:tr>
      <w:tr w:rsidR="00590587" w:rsidRPr="00590587" w14:paraId="170FE8E7" w14:textId="77777777" w:rsidTr="00590587">
        <w:trPr>
          <w:trHeight w:val="300"/>
          <w:jc w:val="center"/>
        </w:trPr>
        <w:tc>
          <w:tcPr>
            <w:tcW w:w="2680" w:type="dxa"/>
            <w:tcBorders>
              <w:top w:val="nil"/>
              <w:left w:val="single" w:sz="4" w:space="0" w:color="auto"/>
              <w:bottom w:val="nil"/>
              <w:right w:val="single" w:sz="4" w:space="0" w:color="auto"/>
            </w:tcBorders>
            <w:shd w:val="clear" w:color="auto" w:fill="auto"/>
            <w:noWrap/>
            <w:vAlign w:val="bottom"/>
            <w:hideMark/>
          </w:tcPr>
          <w:p w14:paraId="23A634B5" w14:textId="77777777" w:rsidR="00590587" w:rsidRPr="00BA2A47" w:rsidRDefault="00590587" w:rsidP="00590587">
            <w:pPr>
              <w:rPr>
                <w:color w:val="000000"/>
              </w:rPr>
            </w:pPr>
            <w:r w:rsidRPr="00BA2A47">
              <w:rPr>
                <w:color w:val="000000"/>
              </w:rPr>
              <w:t>Palo Alto</w:t>
            </w:r>
          </w:p>
        </w:tc>
        <w:tc>
          <w:tcPr>
            <w:tcW w:w="1360" w:type="dxa"/>
            <w:tcBorders>
              <w:top w:val="nil"/>
              <w:left w:val="nil"/>
              <w:bottom w:val="nil"/>
              <w:right w:val="single" w:sz="4" w:space="0" w:color="auto"/>
            </w:tcBorders>
            <w:shd w:val="clear" w:color="auto" w:fill="auto"/>
            <w:noWrap/>
            <w:vAlign w:val="bottom"/>
            <w:hideMark/>
          </w:tcPr>
          <w:p w14:paraId="3A40C983" w14:textId="77777777" w:rsidR="00590587" w:rsidRPr="00BA2A47" w:rsidRDefault="00590587" w:rsidP="00590587">
            <w:pPr>
              <w:jc w:val="right"/>
              <w:rPr>
                <w:color w:val="000000"/>
              </w:rPr>
            </w:pPr>
            <w:r w:rsidRPr="00BA2A47">
              <w:rPr>
                <w:color w:val="000000"/>
              </w:rPr>
              <w:t>0.002212234</w:t>
            </w:r>
          </w:p>
        </w:tc>
        <w:tc>
          <w:tcPr>
            <w:tcW w:w="1360" w:type="dxa"/>
            <w:tcBorders>
              <w:top w:val="nil"/>
              <w:left w:val="nil"/>
              <w:bottom w:val="nil"/>
              <w:right w:val="single" w:sz="4" w:space="0" w:color="auto"/>
            </w:tcBorders>
            <w:shd w:val="clear" w:color="auto" w:fill="auto"/>
            <w:noWrap/>
            <w:vAlign w:val="bottom"/>
            <w:hideMark/>
          </w:tcPr>
          <w:p w14:paraId="627F848C" w14:textId="77777777" w:rsidR="00590587" w:rsidRPr="00BA2A47" w:rsidRDefault="00590587" w:rsidP="00590587">
            <w:pPr>
              <w:jc w:val="right"/>
              <w:rPr>
                <w:color w:val="000000"/>
              </w:rPr>
            </w:pPr>
            <w:r w:rsidRPr="00BA2A47">
              <w:rPr>
                <w:color w:val="000000"/>
              </w:rPr>
              <w:t>0.004885093</w:t>
            </w:r>
          </w:p>
        </w:tc>
        <w:tc>
          <w:tcPr>
            <w:tcW w:w="1340" w:type="dxa"/>
            <w:tcBorders>
              <w:top w:val="nil"/>
              <w:left w:val="nil"/>
              <w:bottom w:val="nil"/>
              <w:right w:val="single" w:sz="4" w:space="0" w:color="auto"/>
            </w:tcBorders>
            <w:shd w:val="clear" w:color="auto" w:fill="auto"/>
            <w:noWrap/>
            <w:vAlign w:val="bottom"/>
            <w:hideMark/>
          </w:tcPr>
          <w:p w14:paraId="510CE685" w14:textId="77777777" w:rsidR="00590587" w:rsidRPr="00BA2A47" w:rsidRDefault="00590587" w:rsidP="00590587">
            <w:pPr>
              <w:jc w:val="right"/>
              <w:rPr>
                <w:color w:val="000000"/>
              </w:rPr>
            </w:pPr>
            <w:r w:rsidRPr="00BA2A47">
              <w:rPr>
                <w:color w:val="000000"/>
              </w:rPr>
              <w:t>0.008983983</w:t>
            </w:r>
          </w:p>
        </w:tc>
        <w:tc>
          <w:tcPr>
            <w:tcW w:w="1480" w:type="dxa"/>
            <w:tcBorders>
              <w:top w:val="nil"/>
              <w:left w:val="nil"/>
              <w:bottom w:val="nil"/>
              <w:right w:val="single" w:sz="4" w:space="0" w:color="auto"/>
            </w:tcBorders>
            <w:shd w:val="clear" w:color="auto" w:fill="auto"/>
            <w:noWrap/>
            <w:vAlign w:val="bottom"/>
            <w:hideMark/>
          </w:tcPr>
          <w:p w14:paraId="76F45939" w14:textId="77777777" w:rsidR="00590587" w:rsidRPr="00BA2A47" w:rsidRDefault="00590587" w:rsidP="00590587">
            <w:pPr>
              <w:jc w:val="right"/>
              <w:rPr>
                <w:color w:val="000000"/>
              </w:rPr>
            </w:pPr>
            <w:r w:rsidRPr="00BA2A47">
              <w:rPr>
                <w:color w:val="000000"/>
              </w:rPr>
              <w:t>0.005599664</w:t>
            </w:r>
          </w:p>
        </w:tc>
      </w:tr>
      <w:tr w:rsidR="00590587" w:rsidRPr="00590587" w14:paraId="3AC0F555" w14:textId="77777777" w:rsidTr="00590587">
        <w:trPr>
          <w:trHeight w:val="300"/>
          <w:jc w:val="center"/>
        </w:trPr>
        <w:tc>
          <w:tcPr>
            <w:tcW w:w="2680" w:type="dxa"/>
            <w:tcBorders>
              <w:top w:val="nil"/>
              <w:left w:val="single" w:sz="4" w:space="0" w:color="auto"/>
              <w:bottom w:val="nil"/>
              <w:right w:val="single" w:sz="4" w:space="0" w:color="auto"/>
            </w:tcBorders>
            <w:shd w:val="clear" w:color="auto" w:fill="auto"/>
            <w:noWrap/>
            <w:vAlign w:val="bottom"/>
            <w:hideMark/>
          </w:tcPr>
          <w:p w14:paraId="5866AFDF" w14:textId="77777777" w:rsidR="00590587" w:rsidRPr="00BA2A47" w:rsidRDefault="00590587" w:rsidP="00590587">
            <w:pPr>
              <w:rPr>
                <w:color w:val="000000"/>
              </w:rPr>
            </w:pPr>
            <w:r w:rsidRPr="00BA2A47">
              <w:rPr>
                <w:color w:val="000000"/>
              </w:rPr>
              <w:t>Palo Alto</w:t>
            </w:r>
          </w:p>
        </w:tc>
        <w:tc>
          <w:tcPr>
            <w:tcW w:w="1360" w:type="dxa"/>
            <w:tcBorders>
              <w:top w:val="nil"/>
              <w:left w:val="nil"/>
              <w:bottom w:val="nil"/>
              <w:right w:val="single" w:sz="4" w:space="0" w:color="auto"/>
            </w:tcBorders>
            <w:shd w:val="clear" w:color="auto" w:fill="auto"/>
            <w:noWrap/>
            <w:vAlign w:val="bottom"/>
            <w:hideMark/>
          </w:tcPr>
          <w:p w14:paraId="7675E290" w14:textId="77777777" w:rsidR="00590587" w:rsidRPr="00BA2A47" w:rsidRDefault="00590587" w:rsidP="00590587">
            <w:pPr>
              <w:jc w:val="right"/>
              <w:rPr>
                <w:color w:val="000000"/>
              </w:rPr>
            </w:pPr>
            <w:r w:rsidRPr="00BA2A47">
              <w:rPr>
                <w:color w:val="000000"/>
              </w:rPr>
              <w:t>0.00121759</w:t>
            </w:r>
          </w:p>
        </w:tc>
        <w:tc>
          <w:tcPr>
            <w:tcW w:w="1360" w:type="dxa"/>
            <w:tcBorders>
              <w:top w:val="nil"/>
              <w:left w:val="nil"/>
              <w:bottom w:val="nil"/>
              <w:right w:val="single" w:sz="4" w:space="0" w:color="auto"/>
            </w:tcBorders>
            <w:shd w:val="clear" w:color="auto" w:fill="auto"/>
            <w:noWrap/>
            <w:vAlign w:val="bottom"/>
            <w:hideMark/>
          </w:tcPr>
          <w:p w14:paraId="2381A560" w14:textId="77777777" w:rsidR="00590587" w:rsidRPr="00BA2A47" w:rsidRDefault="00590587" w:rsidP="00590587">
            <w:pPr>
              <w:jc w:val="right"/>
              <w:rPr>
                <w:color w:val="000000"/>
              </w:rPr>
            </w:pPr>
            <w:r w:rsidRPr="00BA2A47">
              <w:rPr>
                <w:color w:val="000000"/>
              </w:rPr>
              <w:t>0.004168968</w:t>
            </w:r>
          </w:p>
        </w:tc>
        <w:tc>
          <w:tcPr>
            <w:tcW w:w="1340" w:type="dxa"/>
            <w:tcBorders>
              <w:top w:val="nil"/>
              <w:left w:val="nil"/>
              <w:bottom w:val="nil"/>
              <w:right w:val="single" w:sz="4" w:space="0" w:color="auto"/>
            </w:tcBorders>
            <w:shd w:val="clear" w:color="auto" w:fill="auto"/>
            <w:noWrap/>
            <w:vAlign w:val="bottom"/>
            <w:hideMark/>
          </w:tcPr>
          <w:p w14:paraId="3FB21F7A" w14:textId="77777777" w:rsidR="00590587" w:rsidRPr="00BA2A47" w:rsidRDefault="00590587" w:rsidP="00590587">
            <w:pPr>
              <w:jc w:val="right"/>
              <w:rPr>
                <w:color w:val="000000"/>
              </w:rPr>
            </w:pPr>
            <w:r w:rsidRPr="00BA2A47">
              <w:rPr>
                <w:color w:val="000000"/>
              </w:rPr>
              <w:t>0.008707744</w:t>
            </w:r>
          </w:p>
        </w:tc>
        <w:tc>
          <w:tcPr>
            <w:tcW w:w="1480" w:type="dxa"/>
            <w:tcBorders>
              <w:top w:val="nil"/>
              <w:left w:val="nil"/>
              <w:bottom w:val="nil"/>
              <w:right w:val="single" w:sz="4" w:space="0" w:color="auto"/>
            </w:tcBorders>
            <w:shd w:val="clear" w:color="auto" w:fill="auto"/>
            <w:noWrap/>
            <w:vAlign w:val="bottom"/>
            <w:hideMark/>
          </w:tcPr>
          <w:p w14:paraId="2F6E6FBA" w14:textId="77777777" w:rsidR="00590587" w:rsidRPr="00BA2A47" w:rsidRDefault="00590587" w:rsidP="00590587">
            <w:pPr>
              <w:jc w:val="right"/>
              <w:rPr>
                <w:color w:val="000000"/>
              </w:rPr>
            </w:pPr>
            <w:r w:rsidRPr="00BA2A47">
              <w:rPr>
                <w:color w:val="000000"/>
              </w:rPr>
              <w:t>0.007144422</w:t>
            </w:r>
          </w:p>
        </w:tc>
      </w:tr>
      <w:tr w:rsidR="00590587" w:rsidRPr="00590587" w14:paraId="4C5B3ECC" w14:textId="77777777" w:rsidTr="00590587">
        <w:trPr>
          <w:trHeight w:val="300"/>
          <w:jc w:val="center"/>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14:paraId="179091A7" w14:textId="77777777" w:rsidR="00590587" w:rsidRPr="00BA2A47" w:rsidRDefault="00590587" w:rsidP="00590587">
            <w:pPr>
              <w:rPr>
                <w:color w:val="000000"/>
              </w:rPr>
            </w:pPr>
            <w:r w:rsidRPr="00BA2A47">
              <w:rPr>
                <w:color w:val="000000"/>
              </w:rPr>
              <w:t>Palo Alto</w:t>
            </w:r>
          </w:p>
        </w:tc>
        <w:tc>
          <w:tcPr>
            <w:tcW w:w="1360" w:type="dxa"/>
            <w:tcBorders>
              <w:top w:val="nil"/>
              <w:left w:val="nil"/>
              <w:bottom w:val="single" w:sz="4" w:space="0" w:color="auto"/>
              <w:right w:val="single" w:sz="4" w:space="0" w:color="auto"/>
            </w:tcBorders>
            <w:shd w:val="clear" w:color="auto" w:fill="auto"/>
            <w:noWrap/>
            <w:vAlign w:val="bottom"/>
            <w:hideMark/>
          </w:tcPr>
          <w:p w14:paraId="203069FE" w14:textId="77777777" w:rsidR="00590587" w:rsidRPr="00BA2A47" w:rsidRDefault="00590587" w:rsidP="00590587">
            <w:pPr>
              <w:jc w:val="right"/>
              <w:rPr>
                <w:color w:val="000000"/>
              </w:rPr>
            </w:pPr>
            <w:r w:rsidRPr="00BA2A47">
              <w:rPr>
                <w:color w:val="000000"/>
              </w:rPr>
              <w:t>0.001908616</w:t>
            </w:r>
          </w:p>
        </w:tc>
        <w:tc>
          <w:tcPr>
            <w:tcW w:w="1360" w:type="dxa"/>
            <w:tcBorders>
              <w:top w:val="nil"/>
              <w:left w:val="nil"/>
              <w:bottom w:val="single" w:sz="4" w:space="0" w:color="auto"/>
              <w:right w:val="single" w:sz="4" w:space="0" w:color="auto"/>
            </w:tcBorders>
            <w:shd w:val="clear" w:color="auto" w:fill="auto"/>
            <w:noWrap/>
            <w:vAlign w:val="bottom"/>
            <w:hideMark/>
          </w:tcPr>
          <w:p w14:paraId="7C5F0332" w14:textId="77777777" w:rsidR="00590587" w:rsidRPr="00BA2A47" w:rsidRDefault="00590587" w:rsidP="00590587">
            <w:pPr>
              <w:jc w:val="right"/>
              <w:rPr>
                <w:color w:val="000000"/>
              </w:rPr>
            </w:pPr>
            <w:r w:rsidRPr="00BA2A47">
              <w:rPr>
                <w:color w:val="000000"/>
              </w:rPr>
              <w:t>0.009915734</w:t>
            </w:r>
          </w:p>
        </w:tc>
        <w:tc>
          <w:tcPr>
            <w:tcW w:w="1340" w:type="dxa"/>
            <w:tcBorders>
              <w:top w:val="nil"/>
              <w:left w:val="nil"/>
              <w:bottom w:val="single" w:sz="4" w:space="0" w:color="auto"/>
              <w:right w:val="single" w:sz="4" w:space="0" w:color="auto"/>
            </w:tcBorders>
            <w:shd w:val="clear" w:color="auto" w:fill="auto"/>
            <w:noWrap/>
            <w:vAlign w:val="bottom"/>
            <w:hideMark/>
          </w:tcPr>
          <w:p w14:paraId="640A91C5" w14:textId="77777777" w:rsidR="00590587" w:rsidRPr="00BA2A47" w:rsidRDefault="00590587" w:rsidP="00590587">
            <w:pPr>
              <w:jc w:val="right"/>
              <w:rPr>
                <w:color w:val="000000"/>
              </w:rPr>
            </w:pPr>
            <w:r w:rsidRPr="00BA2A47">
              <w:rPr>
                <w:color w:val="000000"/>
              </w:rPr>
              <w:t>0.007325264</w:t>
            </w:r>
          </w:p>
        </w:tc>
        <w:tc>
          <w:tcPr>
            <w:tcW w:w="1480" w:type="dxa"/>
            <w:tcBorders>
              <w:top w:val="nil"/>
              <w:left w:val="nil"/>
              <w:bottom w:val="single" w:sz="4" w:space="0" w:color="auto"/>
              <w:right w:val="single" w:sz="4" w:space="0" w:color="auto"/>
            </w:tcBorders>
            <w:shd w:val="clear" w:color="auto" w:fill="auto"/>
            <w:noWrap/>
            <w:vAlign w:val="bottom"/>
            <w:hideMark/>
          </w:tcPr>
          <w:p w14:paraId="04870F1B" w14:textId="77777777" w:rsidR="00590587" w:rsidRPr="00BA2A47" w:rsidRDefault="00590587" w:rsidP="00590587">
            <w:pPr>
              <w:jc w:val="right"/>
              <w:rPr>
                <w:color w:val="000000"/>
              </w:rPr>
            </w:pPr>
            <w:r w:rsidRPr="00BA2A47">
              <w:rPr>
                <w:color w:val="000000"/>
              </w:rPr>
              <w:t>0.006102645</w:t>
            </w:r>
          </w:p>
        </w:tc>
      </w:tr>
      <w:tr w:rsidR="00590587" w:rsidRPr="00590587" w14:paraId="3E53050F" w14:textId="77777777" w:rsidTr="00590587">
        <w:trPr>
          <w:trHeight w:val="300"/>
          <w:jc w:val="center"/>
        </w:trPr>
        <w:tc>
          <w:tcPr>
            <w:tcW w:w="2680" w:type="dxa"/>
            <w:tcBorders>
              <w:top w:val="nil"/>
              <w:left w:val="single" w:sz="4" w:space="0" w:color="auto"/>
              <w:bottom w:val="nil"/>
              <w:right w:val="single" w:sz="4" w:space="0" w:color="auto"/>
            </w:tcBorders>
            <w:shd w:val="clear" w:color="auto" w:fill="auto"/>
            <w:noWrap/>
            <w:vAlign w:val="bottom"/>
            <w:hideMark/>
          </w:tcPr>
          <w:p w14:paraId="6384F698" w14:textId="77777777" w:rsidR="00590587" w:rsidRPr="00BA2A47" w:rsidRDefault="00590587" w:rsidP="00590587">
            <w:pPr>
              <w:rPr>
                <w:color w:val="000000"/>
              </w:rPr>
            </w:pPr>
            <w:r w:rsidRPr="00BA2A47">
              <w:rPr>
                <w:color w:val="000000"/>
              </w:rPr>
              <w:t>San Jose</w:t>
            </w:r>
          </w:p>
        </w:tc>
        <w:tc>
          <w:tcPr>
            <w:tcW w:w="1360" w:type="dxa"/>
            <w:tcBorders>
              <w:top w:val="nil"/>
              <w:left w:val="nil"/>
              <w:bottom w:val="nil"/>
              <w:right w:val="single" w:sz="4" w:space="0" w:color="auto"/>
            </w:tcBorders>
            <w:shd w:val="clear" w:color="auto" w:fill="auto"/>
            <w:noWrap/>
            <w:vAlign w:val="bottom"/>
            <w:hideMark/>
          </w:tcPr>
          <w:p w14:paraId="7EF500ED" w14:textId="77777777" w:rsidR="00590587" w:rsidRPr="00BA2A47" w:rsidRDefault="00590587" w:rsidP="00590587">
            <w:pPr>
              <w:jc w:val="right"/>
              <w:rPr>
                <w:color w:val="000000"/>
              </w:rPr>
            </w:pPr>
            <w:r w:rsidRPr="00BA2A47">
              <w:rPr>
                <w:color w:val="000000"/>
              </w:rPr>
              <w:t>0.012930405</w:t>
            </w:r>
          </w:p>
        </w:tc>
        <w:tc>
          <w:tcPr>
            <w:tcW w:w="1360" w:type="dxa"/>
            <w:tcBorders>
              <w:top w:val="nil"/>
              <w:left w:val="nil"/>
              <w:bottom w:val="nil"/>
              <w:right w:val="single" w:sz="4" w:space="0" w:color="auto"/>
            </w:tcBorders>
            <w:shd w:val="clear" w:color="auto" w:fill="auto"/>
            <w:noWrap/>
            <w:vAlign w:val="bottom"/>
            <w:hideMark/>
          </w:tcPr>
          <w:p w14:paraId="183190E4" w14:textId="77777777" w:rsidR="00590587" w:rsidRPr="00BA2A47" w:rsidRDefault="00590587" w:rsidP="00590587">
            <w:pPr>
              <w:jc w:val="right"/>
              <w:rPr>
                <w:color w:val="000000"/>
              </w:rPr>
            </w:pPr>
            <w:r w:rsidRPr="00BA2A47">
              <w:rPr>
                <w:color w:val="000000"/>
              </w:rPr>
              <w:t>0.006865736</w:t>
            </w:r>
          </w:p>
        </w:tc>
        <w:tc>
          <w:tcPr>
            <w:tcW w:w="1340" w:type="dxa"/>
            <w:tcBorders>
              <w:top w:val="nil"/>
              <w:left w:val="nil"/>
              <w:bottom w:val="nil"/>
              <w:right w:val="single" w:sz="4" w:space="0" w:color="auto"/>
            </w:tcBorders>
            <w:shd w:val="clear" w:color="auto" w:fill="auto"/>
            <w:noWrap/>
            <w:vAlign w:val="bottom"/>
            <w:hideMark/>
          </w:tcPr>
          <w:p w14:paraId="409039FE" w14:textId="77777777" w:rsidR="00590587" w:rsidRPr="00BA2A47" w:rsidRDefault="00590587" w:rsidP="00590587">
            <w:pPr>
              <w:jc w:val="right"/>
              <w:rPr>
                <w:color w:val="000000"/>
              </w:rPr>
            </w:pPr>
            <w:r w:rsidRPr="00BA2A47">
              <w:rPr>
                <w:color w:val="000000"/>
              </w:rPr>
              <w:t>0.007628329</w:t>
            </w:r>
          </w:p>
        </w:tc>
        <w:tc>
          <w:tcPr>
            <w:tcW w:w="1480" w:type="dxa"/>
            <w:tcBorders>
              <w:top w:val="nil"/>
              <w:left w:val="nil"/>
              <w:bottom w:val="nil"/>
              <w:right w:val="single" w:sz="4" w:space="0" w:color="auto"/>
            </w:tcBorders>
            <w:shd w:val="clear" w:color="auto" w:fill="auto"/>
            <w:noWrap/>
            <w:vAlign w:val="bottom"/>
            <w:hideMark/>
          </w:tcPr>
          <w:p w14:paraId="780DA3D4" w14:textId="77777777" w:rsidR="00590587" w:rsidRPr="00BA2A47" w:rsidRDefault="00590587" w:rsidP="00590587">
            <w:pPr>
              <w:jc w:val="right"/>
              <w:rPr>
                <w:color w:val="000000"/>
              </w:rPr>
            </w:pPr>
            <w:r w:rsidRPr="00BA2A47">
              <w:rPr>
                <w:color w:val="000000"/>
              </w:rPr>
              <w:t>0.006405388</w:t>
            </w:r>
          </w:p>
        </w:tc>
      </w:tr>
      <w:tr w:rsidR="00590587" w:rsidRPr="00590587" w14:paraId="5BE9FED8" w14:textId="77777777" w:rsidTr="00590587">
        <w:trPr>
          <w:trHeight w:val="300"/>
          <w:jc w:val="center"/>
        </w:trPr>
        <w:tc>
          <w:tcPr>
            <w:tcW w:w="2680" w:type="dxa"/>
            <w:tcBorders>
              <w:top w:val="nil"/>
              <w:left w:val="single" w:sz="4" w:space="0" w:color="auto"/>
              <w:bottom w:val="nil"/>
              <w:right w:val="single" w:sz="4" w:space="0" w:color="auto"/>
            </w:tcBorders>
            <w:shd w:val="clear" w:color="auto" w:fill="auto"/>
            <w:noWrap/>
            <w:vAlign w:val="bottom"/>
            <w:hideMark/>
          </w:tcPr>
          <w:p w14:paraId="11F5F2D5" w14:textId="77777777" w:rsidR="00590587" w:rsidRPr="00BA2A47" w:rsidRDefault="00590587" w:rsidP="00590587">
            <w:pPr>
              <w:rPr>
                <w:color w:val="000000"/>
              </w:rPr>
            </w:pPr>
            <w:r w:rsidRPr="00BA2A47">
              <w:rPr>
                <w:color w:val="000000"/>
              </w:rPr>
              <w:t>San Jose</w:t>
            </w:r>
          </w:p>
        </w:tc>
        <w:tc>
          <w:tcPr>
            <w:tcW w:w="1360" w:type="dxa"/>
            <w:tcBorders>
              <w:top w:val="nil"/>
              <w:left w:val="nil"/>
              <w:bottom w:val="nil"/>
              <w:right w:val="single" w:sz="4" w:space="0" w:color="auto"/>
            </w:tcBorders>
            <w:shd w:val="clear" w:color="auto" w:fill="auto"/>
            <w:noWrap/>
            <w:vAlign w:val="bottom"/>
            <w:hideMark/>
          </w:tcPr>
          <w:p w14:paraId="23719BD0" w14:textId="77777777" w:rsidR="00590587" w:rsidRPr="00BA2A47" w:rsidRDefault="00590587" w:rsidP="00590587">
            <w:pPr>
              <w:jc w:val="right"/>
              <w:rPr>
                <w:color w:val="000000"/>
              </w:rPr>
            </w:pPr>
            <w:r w:rsidRPr="00BA2A47">
              <w:rPr>
                <w:color w:val="000000"/>
              </w:rPr>
              <w:t>0.005241254</w:t>
            </w:r>
          </w:p>
        </w:tc>
        <w:tc>
          <w:tcPr>
            <w:tcW w:w="1360" w:type="dxa"/>
            <w:tcBorders>
              <w:top w:val="nil"/>
              <w:left w:val="nil"/>
              <w:bottom w:val="nil"/>
              <w:right w:val="single" w:sz="4" w:space="0" w:color="auto"/>
            </w:tcBorders>
            <w:shd w:val="clear" w:color="auto" w:fill="auto"/>
            <w:noWrap/>
            <w:vAlign w:val="bottom"/>
            <w:hideMark/>
          </w:tcPr>
          <w:p w14:paraId="58734A83" w14:textId="77777777" w:rsidR="00590587" w:rsidRPr="00BA2A47" w:rsidRDefault="00590587" w:rsidP="00590587">
            <w:pPr>
              <w:jc w:val="right"/>
              <w:rPr>
                <w:color w:val="000000"/>
              </w:rPr>
            </w:pPr>
            <w:r w:rsidRPr="00BA2A47">
              <w:rPr>
                <w:color w:val="000000"/>
              </w:rPr>
              <w:t>0.011837227</w:t>
            </w:r>
          </w:p>
        </w:tc>
        <w:tc>
          <w:tcPr>
            <w:tcW w:w="1340" w:type="dxa"/>
            <w:tcBorders>
              <w:top w:val="nil"/>
              <w:left w:val="nil"/>
              <w:bottom w:val="nil"/>
              <w:right w:val="single" w:sz="4" w:space="0" w:color="auto"/>
            </w:tcBorders>
            <w:shd w:val="clear" w:color="auto" w:fill="auto"/>
            <w:noWrap/>
            <w:vAlign w:val="bottom"/>
            <w:hideMark/>
          </w:tcPr>
          <w:p w14:paraId="59FE5629" w14:textId="77777777" w:rsidR="00590587" w:rsidRPr="00BA2A47" w:rsidRDefault="00590587" w:rsidP="00590587">
            <w:pPr>
              <w:jc w:val="right"/>
              <w:rPr>
                <w:color w:val="000000"/>
              </w:rPr>
            </w:pPr>
            <w:r w:rsidRPr="00BA2A47">
              <w:rPr>
                <w:color w:val="000000"/>
              </w:rPr>
              <w:t>0.006466247</w:t>
            </w:r>
          </w:p>
        </w:tc>
        <w:tc>
          <w:tcPr>
            <w:tcW w:w="1480" w:type="dxa"/>
            <w:tcBorders>
              <w:top w:val="nil"/>
              <w:left w:val="nil"/>
              <w:bottom w:val="nil"/>
              <w:right w:val="single" w:sz="4" w:space="0" w:color="auto"/>
            </w:tcBorders>
            <w:shd w:val="clear" w:color="auto" w:fill="auto"/>
            <w:noWrap/>
            <w:vAlign w:val="bottom"/>
            <w:hideMark/>
          </w:tcPr>
          <w:p w14:paraId="0D3C432E" w14:textId="77777777" w:rsidR="00590587" w:rsidRPr="00BA2A47" w:rsidRDefault="00590587" w:rsidP="00590587">
            <w:pPr>
              <w:jc w:val="right"/>
              <w:rPr>
                <w:color w:val="000000"/>
              </w:rPr>
            </w:pPr>
            <w:r w:rsidRPr="00BA2A47">
              <w:rPr>
                <w:color w:val="000000"/>
              </w:rPr>
              <w:t>0.006778259</w:t>
            </w:r>
          </w:p>
        </w:tc>
      </w:tr>
      <w:tr w:rsidR="00590587" w:rsidRPr="00590587" w14:paraId="37E34437" w14:textId="77777777" w:rsidTr="00590587">
        <w:trPr>
          <w:trHeight w:val="300"/>
          <w:jc w:val="center"/>
        </w:trPr>
        <w:tc>
          <w:tcPr>
            <w:tcW w:w="2680" w:type="dxa"/>
            <w:tcBorders>
              <w:top w:val="nil"/>
              <w:left w:val="single" w:sz="4" w:space="0" w:color="auto"/>
              <w:bottom w:val="nil"/>
              <w:right w:val="single" w:sz="4" w:space="0" w:color="auto"/>
            </w:tcBorders>
            <w:shd w:val="clear" w:color="auto" w:fill="auto"/>
            <w:noWrap/>
            <w:vAlign w:val="bottom"/>
            <w:hideMark/>
          </w:tcPr>
          <w:p w14:paraId="3AE29B15" w14:textId="77777777" w:rsidR="00590587" w:rsidRPr="00BA2A47" w:rsidRDefault="00590587" w:rsidP="00590587">
            <w:pPr>
              <w:rPr>
                <w:color w:val="000000"/>
              </w:rPr>
            </w:pPr>
            <w:r w:rsidRPr="00BA2A47">
              <w:rPr>
                <w:color w:val="000000"/>
              </w:rPr>
              <w:t>San Jose</w:t>
            </w:r>
          </w:p>
        </w:tc>
        <w:tc>
          <w:tcPr>
            <w:tcW w:w="1360" w:type="dxa"/>
            <w:tcBorders>
              <w:top w:val="nil"/>
              <w:left w:val="nil"/>
              <w:bottom w:val="nil"/>
              <w:right w:val="single" w:sz="4" w:space="0" w:color="auto"/>
            </w:tcBorders>
            <w:shd w:val="clear" w:color="auto" w:fill="auto"/>
            <w:noWrap/>
            <w:vAlign w:val="bottom"/>
            <w:hideMark/>
          </w:tcPr>
          <w:p w14:paraId="22643CB6" w14:textId="77777777" w:rsidR="00590587" w:rsidRPr="00BA2A47" w:rsidRDefault="00590587" w:rsidP="00590587">
            <w:pPr>
              <w:jc w:val="right"/>
              <w:rPr>
                <w:color w:val="000000"/>
              </w:rPr>
            </w:pPr>
            <w:r w:rsidRPr="00BA2A47">
              <w:rPr>
                <w:color w:val="000000"/>
              </w:rPr>
              <w:t>0.005114915</w:t>
            </w:r>
          </w:p>
        </w:tc>
        <w:tc>
          <w:tcPr>
            <w:tcW w:w="1360" w:type="dxa"/>
            <w:tcBorders>
              <w:top w:val="nil"/>
              <w:left w:val="nil"/>
              <w:bottom w:val="nil"/>
              <w:right w:val="single" w:sz="4" w:space="0" w:color="auto"/>
            </w:tcBorders>
            <w:shd w:val="clear" w:color="auto" w:fill="auto"/>
            <w:noWrap/>
            <w:vAlign w:val="bottom"/>
            <w:hideMark/>
          </w:tcPr>
          <w:p w14:paraId="7A79E1EA" w14:textId="77777777" w:rsidR="00590587" w:rsidRPr="00BA2A47" w:rsidRDefault="00590587" w:rsidP="00590587">
            <w:pPr>
              <w:jc w:val="right"/>
              <w:rPr>
                <w:color w:val="000000"/>
              </w:rPr>
            </w:pPr>
            <w:r w:rsidRPr="00BA2A47">
              <w:rPr>
                <w:color w:val="000000"/>
              </w:rPr>
              <w:t>0.005955494</w:t>
            </w:r>
          </w:p>
        </w:tc>
        <w:tc>
          <w:tcPr>
            <w:tcW w:w="1340" w:type="dxa"/>
            <w:tcBorders>
              <w:top w:val="nil"/>
              <w:left w:val="nil"/>
              <w:bottom w:val="nil"/>
              <w:right w:val="single" w:sz="4" w:space="0" w:color="auto"/>
            </w:tcBorders>
            <w:shd w:val="clear" w:color="auto" w:fill="auto"/>
            <w:noWrap/>
            <w:vAlign w:val="bottom"/>
            <w:hideMark/>
          </w:tcPr>
          <w:p w14:paraId="30DCB902" w14:textId="77777777" w:rsidR="00590587" w:rsidRPr="00BA2A47" w:rsidRDefault="00590587" w:rsidP="00590587">
            <w:pPr>
              <w:jc w:val="right"/>
              <w:rPr>
                <w:color w:val="000000"/>
              </w:rPr>
            </w:pPr>
            <w:r w:rsidRPr="00BA2A47">
              <w:rPr>
                <w:color w:val="000000"/>
              </w:rPr>
              <w:t>0.004720837</w:t>
            </w:r>
          </w:p>
        </w:tc>
        <w:tc>
          <w:tcPr>
            <w:tcW w:w="1480" w:type="dxa"/>
            <w:tcBorders>
              <w:top w:val="nil"/>
              <w:left w:val="nil"/>
              <w:bottom w:val="nil"/>
              <w:right w:val="single" w:sz="4" w:space="0" w:color="auto"/>
            </w:tcBorders>
            <w:shd w:val="clear" w:color="auto" w:fill="auto"/>
            <w:noWrap/>
            <w:vAlign w:val="bottom"/>
            <w:hideMark/>
          </w:tcPr>
          <w:p w14:paraId="1EB243E4" w14:textId="77777777" w:rsidR="00590587" w:rsidRPr="00BA2A47" w:rsidRDefault="00590587" w:rsidP="00590587">
            <w:pPr>
              <w:jc w:val="right"/>
              <w:rPr>
                <w:color w:val="000000"/>
              </w:rPr>
            </w:pPr>
            <w:r w:rsidRPr="00BA2A47">
              <w:rPr>
                <w:color w:val="000000"/>
              </w:rPr>
              <w:t>0.006053584</w:t>
            </w:r>
          </w:p>
        </w:tc>
      </w:tr>
      <w:tr w:rsidR="00590587" w:rsidRPr="00590587" w14:paraId="314065A4" w14:textId="77777777" w:rsidTr="00590587">
        <w:trPr>
          <w:trHeight w:val="300"/>
          <w:jc w:val="center"/>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14:paraId="24BCC946" w14:textId="77777777" w:rsidR="00590587" w:rsidRPr="00BA2A47" w:rsidRDefault="00590587" w:rsidP="00590587">
            <w:pPr>
              <w:rPr>
                <w:color w:val="000000"/>
              </w:rPr>
            </w:pPr>
            <w:r w:rsidRPr="00BA2A47">
              <w:rPr>
                <w:color w:val="000000"/>
              </w:rPr>
              <w:t>San Jose</w:t>
            </w:r>
          </w:p>
        </w:tc>
        <w:tc>
          <w:tcPr>
            <w:tcW w:w="1360" w:type="dxa"/>
            <w:tcBorders>
              <w:top w:val="nil"/>
              <w:left w:val="nil"/>
              <w:bottom w:val="single" w:sz="4" w:space="0" w:color="auto"/>
              <w:right w:val="single" w:sz="4" w:space="0" w:color="auto"/>
            </w:tcBorders>
            <w:shd w:val="clear" w:color="auto" w:fill="auto"/>
            <w:noWrap/>
            <w:vAlign w:val="bottom"/>
            <w:hideMark/>
          </w:tcPr>
          <w:p w14:paraId="79824D5B" w14:textId="77777777" w:rsidR="00590587" w:rsidRPr="00BA2A47" w:rsidRDefault="00590587" w:rsidP="00590587">
            <w:pPr>
              <w:jc w:val="right"/>
              <w:rPr>
                <w:color w:val="000000"/>
              </w:rPr>
            </w:pPr>
            <w:r w:rsidRPr="00BA2A47">
              <w:rPr>
                <w:color w:val="000000"/>
              </w:rPr>
              <w:t>0.004747444</w:t>
            </w:r>
          </w:p>
        </w:tc>
        <w:tc>
          <w:tcPr>
            <w:tcW w:w="1360" w:type="dxa"/>
            <w:tcBorders>
              <w:top w:val="nil"/>
              <w:left w:val="nil"/>
              <w:bottom w:val="single" w:sz="4" w:space="0" w:color="auto"/>
              <w:right w:val="single" w:sz="4" w:space="0" w:color="auto"/>
            </w:tcBorders>
            <w:shd w:val="clear" w:color="auto" w:fill="auto"/>
            <w:noWrap/>
            <w:vAlign w:val="bottom"/>
            <w:hideMark/>
          </w:tcPr>
          <w:p w14:paraId="16DE8E7A" w14:textId="77777777" w:rsidR="00590587" w:rsidRPr="00BA2A47" w:rsidRDefault="00590587" w:rsidP="00590587">
            <w:pPr>
              <w:jc w:val="right"/>
              <w:rPr>
                <w:color w:val="000000"/>
              </w:rPr>
            </w:pPr>
            <w:r w:rsidRPr="00BA2A47">
              <w:rPr>
                <w:color w:val="000000"/>
              </w:rPr>
              <w:t>0.010491396</w:t>
            </w:r>
          </w:p>
        </w:tc>
        <w:tc>
          <w:tcPr>
            <w:tcW w:w="1340" w:type="dxa"/>
            <w:tcBorders>
              <w:top w:val="nil"/>
              <w:left w:val="nil"/>
              <w:bottom w:val="single" w:sz="4" w:space="0" w:color="auto"/>
              <w:right w:val="single" w:sz="4" w:space="0" w:color="auto"/>
            </w:tcBorders>
            <w:shd w:val="clear" w:color="auto" w:fill="auto"/>
            <w:noWrap/>
            <w:vAlign w:val="bottom"/>
            <w:hideMark/>
          </w:tcPr>
          <w:p w14:paraId="730C9FE1" w14:textId="77777777" w:rsidR="00590587" w:rsidRPr="00BA2A47" w:rsidRDefault="00590587" w:rsidP="00590587">
            <w:pPr>
              <w:jc w:val="right"/>
              <w:rPr>
                <w:color w:val="000000"/>
              </w:rPr>
            </w:pPr>
            <w:r w:rsidRPr="00BA2A47">
              <w:rPr>
                <w:color w:val="000000"/>
              </w:rPr>
              <w:t>0.005558841</w:t>
            </w:r>
          </w:p>
        </w:tc>
        <w:tc>
          <w:tcPr>
            <w:tcW w:w="1480" w:type="dxa"/>
            <w:tcBorders>
              <w:top w:val="nil"/>
              <w:left w:val="nil"/>
              <w:bottom w:val="single" w:sz="4" w:space="0" w:color="auto"/>
              <w:right w:val="single" w:sz="4" w:space="0" w:color="auto"/>
            </w:tcBorders>
            <w:shd w:val="clear" w:color="auto" w:fill="auto"/>
            <w:noWrap/>
            <w:vAlign w:val="bottom"/>
            <w:hideMark/>
          </w:tcPr>
          <w:p w14:paraId="465E7878" w14:textId="77777777" w:rsidR="00590587" w:rsidRPr="00BA2A47" w:rsidRDefault="00590587" w:rsidP="00590587">
            <w:pPr>
              <w:jc w:val="right"/>
              <w:rPr>
                <w:color w:val="000000"/>
              </w:rPr>
            </w:pPr>
            <w:r w:rsidRPr="00BA2A47">
              <w:rPr>
                <w:color w:val="000000"/>
              </w:rPr>
              <w:t>0.006191107</w:t>
            </w:r>
          </w:p>
        </w:tc>
      </w:tr>
      <w:tr w:rsidR="00590587" w:rsidRPr="00590587" w14:paraId="2244D806" w14:textId="77777777" w:rsidTr="00590587">
        <w:trPr>
          <w:trHeight w:val="300"/>
          <w:jc w:val="center"/>
        </w:trPr>
        <w:tc>
          <w:tcPr>
            <w:tcW w:w="2680" w:type="dxa"/>
            <w:tcBorders>
              <w:top w:val="nil"/>
              <w:left w:val="single" w:sz="4" w:space="0" w:color="auto"/>
              <w:bottom w:val="nil"/>
              <w:right w:val="single" w:sz="4" w:space="0" w:color="auto"/>
            </w:tcBorders>
            <w:shd w:val="clear" w:color="auto" w:fill="auto"/>
            <w:noWrap/>
            <w:vAlign w:val="bottom"/>
            <w:hideMark/>
          </w:tcPr>
          <w:p w14:paraId="0E881A73" w14:textId="77777777" w:rsidR="00590587" w:rsidRPr="00BA2A47" w:rsidRDefault="00590587" w:rsidP="00590587">
            <w:pPr>
              <w:rPr>
                <w:color w:val="000000"/>
              </w:rPr>
            </w:pPr>
            <w:r w:rsidRPr="00BA2A47">
              <w:rPr>
                <w:color w:val="000000"/>
              </w:rPr>
              <w:t>Sunnyvale</w:t>
            </w:r>
          </w:p>
        </w:tc>
        <w:tc>
          <w:tcPr>
            <w:tcW w:w="1360" w:type="dxa"/>
            <w:tcBorders>
              <w:top w:val="nil"/>
              <w:left w:val="nil"/>
              <w:bottom w:val="nil"/>
              <w:right w:val="single" w:sz="4" w:space="0" w:color="auto"/>
            </w:tcBorders>
            <w:shd w:val="clear" w:color="auto" w:fill="auto"/>
            <w:noWrap/>
            <w:vAlign w:val="bottom"/>
            <w:hideMark/>
          </w:tcPr>
          <w:p w14:paraId="166B6766" w14:textId="77777777" w:rsidR="00590587" w:rsidRPr="00BA2A47" w:rsidRDefault="00590587" w:rsidP="00590587">
            <w:pPr>
              <w:jc w:val="right"/>
              <w:rPr>
                <w:color w:val="000000"/>
              </w:rPr>
            </w:pPr>
            <w:r w:rsidRPr="00BA2A47">
              <w:rPr>
                <w:color w:val="000000"/>
              </w:rPr>
              <w:t>0.010757959</w:t>
            </w:r>
          </w:p>
        </w:tc>
        <w:tc>
          <w:tcPr>
            <w:tcW w:w="1360" w:type="dxa"/>
            <w:tcBorders>
              <w:top w:val="nil"/>
              <w:left w:val="nil"/>
              <w:bottom w:val="nil"/>
              <w:right w:val="single" w:sz="4" w:space="0" w:color="auto"/>
            </w:tcBorders>
            <w:shd w:val="clear" w:color="auto" w:fill="auto"/>
            <w:noWrap/>
            <w:vAlign w:val="bottom"/>
            <w:hideMark/>
          </w:tcPr>
          <w:p w14:paraId="316A81AE" w14:textId="77777777" w:rsidR="00590587" w:rsidRPr="00BA2A47" w:rsidRDefault="00590587" w:rsidP="00590587">
            <w:pPr>
              <w:jc w:val="right"/>
              <w:rPr>
                <w:color w:val="000000"/>
              </w:rPr>
            </w:pPr>
            <w:r w:rsidRPr="00BA2A47">
              <w:rPr>
                <w:color w:val="000000"/>
              </w:rPr>
              <w:t>0.006953892</w:t>
            </w:r>
          </w:p>
        </w:tc>
        <w:tc>
          <w:tcPr>
            <w:tcW w:w="1340" w:type="dxa"/>
            <w:tcBorders>
              <w:top w:val="nil"/>
              <w:left w:val="nil"/>
              <w:bottom w:val="nil"/>
              <w:right w:val="single" w:sz="4" w:space="0" w:color="auto"/>
            </w:tcBorders>
            <w:shd w:val="clear" w:color="auto" w:fill="auto"/>
            <w:noWrap/>
            <w:vAlign w:val="bottom"/>
            <w:hideMark/>
          </w:tcPr>
          <w:p w14:paraId="5DFDD0F1" w14:textId="77777777" w:rsidR="00590587" w:rsidRPr="00BA2A47" w:rsidRDefault="00590587" w:rsidP="00590587">
            <w:pPr>
              <w:jc w:val="right"/>
              <w:rPr>
                <w:color w:val="000000"/>
              </w:rPr>
            </w:pPr>
            <w:r w:rsidRPr="00BA2A47">
              <w:rPr>
                <w:color w:val="000000"/>
              </w:rPr>
              <w:t>0.019647826</w:t>
            </w:r>
          </w:p>
        </w:tc>
        <w:tc>
          <w:tcPr>
            <w:tcW w:w="1480" w:type="dxa"/>
            <w:tcBorders>
              <w:top w:val="nil"/>
              <w:left w:val="nil"/>
              <w:bottom w:val="nil"/>
              <w:right w:val="single" w:sz="4" w:space="0" w:color="auto"/>
            </w:tcBorders>
            <w:shd w:val="clear" w:color="auto" w:fill="auto"/>
            <w:noWrap/>
            <w:vAlign w:val="bottom"/>
            <w:hideMark/>
          </w:tcPr>
          <w:p w14:paraId="6D459A7E" w14:textId="77777777" w:rsidR="00590587" w:rsidRPr="00BA2A47" w:rsidRDefault="00590587" w:rsidP="00590587">
            <w:pPr>
              <w:jc w:val="right"/>
              <w:rPr>
                <w:color w:val="000000"/>
              </w:rPr>
            </w:pPr>
            <w:r w:rsidRPr="00BA2A47">
              <w:rPr>
                <w:color w:val="000000"/>
              </w:rPr>
              <w:t>0.007845579</w:t>
            </w:r>
          </w:p>
        </w:tc>
      </w:tr>
      <w:tr w:rsidR="00590587" w:rsidRPr="00590587" w14:paraId="086FA6E9" w14:textId="77777777" w:rsidTr="00590587">
        <w:trPr>
          <w:trHeight w:val="300"/>
          <w:jc w:val="center"/>
        </w:trPr>
        <w:tc>
          <w:tcPr>
            <w:tcW w:w="2680" w:type="dxa"/>
            <w:tcBorders>
              <w:top w:val="nil"/>
              <w:left w:val="single" w:sz="4" w:space="0" w:color="auto"/>
              <w:bottom w:val="nil"/>
              <w:right w:val="single" w:sz="4" w:space="0" w:color="auto"/>
            </w:tcBorders>
            <w:shd w:val="clear" w:color="auto" w:fill="auto"/>
            <w:noWrap/>
            <w:vAlign w:val="bottom"/>
            <w:hideMark/>
          </w:tcPr>
          <w:p w14:paraId="46202895" w14:textId="77777777" w:rsidR="00590587" w:rsidRPr="00BA2A47" w:rsidRDefault="00590587" w:rsidP="00590587">
            <w:pPr>
              <w:rPr>
                <w:color w:val="000000"/>
              </w:rPr>
            </w:pPr>
            <w:r w:rsidRPr="00BA2A47">
              <w:rPr>
                <w:color w:val="000000"/>
              </w:rPr>
              <w:t>Sunnyvale</w:t>
            </w:r>
          </w:p>
        </w:tc>
        <w:tc>
          <w:tcPr>
            <w:tcW w:w="1360" w:type="dxa"/>
            <w:tcBorders>
              <w:top w:val="nil"/>
              <w:left w:val="nil"/>
              <w:bottom w:val="nil"/>
              <w:right w:val="single" w:sz="4" w:space="0" w:color="auto"/>
            </w:tcBorders>
            <w:shd w:val="clear" w:color="auto" w:fill="auto"/>
            <w:noWrap/>
            <w:vAlign w:val="bottom"/>
            <w:hideMark/>
          </w:tcPr>
          <w:p w14:paraId="5AC1C421" w14:textId="77777777" w:rsidR="00590587" w:rsidRPr="00BA2A47" w:rsidRDefault="00590587" w:rsidP="00590587">
            <w:pPr>
              <w:jc w:val="right"/>
              <w:rPr>
                <w:color w:val="000000"/>
              </w:rPr>
            </w:pPr>
            <w:r w:rsidRPr="00BA2A47">
              <w:rPr>
                <w:color w:val="000000"/>
              </w:rPr>
              <w:t>0.001445272</w:t>
            </w:r>
          </w:p>
        </w:tc>
        <w:tc>
          <w:tcPr>
            <w:tcW w:w="1360" w:type="dxa"/>
            <w:tcBorders>
              <w:top w:val="nil"/>
              <w:left w:val="nil"/>
              <w:bottom w:val="nil"/>
              <w:right w:val="single" w:sz="4" w:space="0" w:color="auto"/>
            </w:tcBorders>
            <w:shd w:val="clear" w:color="auto" w:fill="auto"/>
            <w:noWrap/>
            <w:vAlign w:val="bottom"/>
            <w:hideMark/>
          </w:tcPr>
          <w:p w14:paraId="568E0452" w14:textId="77777777" w:rsidR="00590587" w:rsidRPr="00BA2A47" w:rsidRDefault="00590587" w:rsidP="00590587">
            <w:pPr>
              <w:jc w:val="right"/>
              <w:rPr>
                <w:color w:val="000000"/>
              </w:rPr>
            </w:pPr>
            <w:r w:rsidRPr="00BA2A47">
              <w:rPr>
                <w:color w:val="000000"/>
              </w:rPr>
              <w:t>0.00192814</w:t>
            </w:r>
          </w:p>
        </w:tc>
        <w:tc>
          <w:tcPr>
            <w:tcW w:w="1340" w:type="dxa"/>
            <w:tcBorders>
              <w:top w:val="nil"/>
              <w:left w:val="nil"/>
              <w:bottom w:val="nil"/>
              <w:right w:val="single" w:sz="4" w:space="0" w:color="auto"/>
            </w:tcBorders>
            <w:shd w:val="clear" w:color="auto" w:fill="auto"/>
            <w:noWrap/>
            <w:vAlign w:val="bottom"/>
            <w:hideMark/>
          </w:tcPr>
          <w:p w14:paraId="2148B1EE" w14:textId="77777777" w:rsidR="00590587" w:rsidRPr="00BA2A47" w:rsidRDefault="00590587" w:rsidP="00590587">
            <w:pPr>
              <w:jc w:val="right"/>
              <w:rPr>
                <w:color w:val="000000"/>
              </w:rPr>
            </w:pPr>
            <w:r w:rsidRPr="00BA2A47">
              <w:rPr>
                <w:color w:val="000000"/>
              </w:rPr>
              <w:t>0.001944189</w:t>
            </w:r>
          </w:p>
        </w:tc>
        <w:tc>
          <w:tcPr>
            <w:tcW w:w="1480" w:type="dxa"/>
            <w:tcBorders>
              <w:top w:val="nil"/>
              <w:left w:val="nil"/>
              <w:bottom w:val="nil"/>
              <w:right w:val="single" w:sz="4" w:space="0" w:color="auto"/>
            </w:tcBorders>
            <w:shd w:val="clear" w:color="auto" w:fill="auto"/>
            <w:noWrap/>
            <w:vAlign w:val="bottom"/>
            <w:hideMark/>
          </w:tcPr>
          <w:p w14:paraId="7CDEBFC3" w14:textId="77777777" w:rsidR="00590587" w:rsidRPr="00BA2A47" w:rsidRDefault="00590587" w:rsidP="00590587">
            <w:pPr>
              <w:jc w:val="right"/>
              <w:rPr>
                <w:color w:val="000000"/>
              </w:rPr>
            </w:pPr>
            <w:r w:rsidRPr="00BA2A47">
              <w:rPr>
                <w:color w:val="000000"/>
              </w:rPr>
              <w:t>0.001934008</w:t>
            </w:r>
          </w:p>
        </w:tc>
      </w:tr>
      <w:tr w:rsidR="00590587" w:rsidRPr="00590587" w14:paraId="2840759C" w14:textId="77777777" w:rsidTr="00590587">
        <w:trPr>
          <w:trHeight w:val="300"/>
          <w:jc w:val="center"/>
        </w:trPr>
        <w:tc>
          <w:tcPr>
            <w:tcW w:w="2680" w:type="dxa"/>
            <w:tcBorders>
              <w:top w:val="nil"/>
              <w:left w:val="single" w:sz="4" w:space="0" w:color="auto"/>
              <w:bottom w:val="nil"/>
              <w:right w:val="single" w:sz="4" w:space="0" w:color="auto"/>
            </w:tcBorders>
            <w:shd w:val="clear" w:color="auto" w:fill="auto"/>
            <w:noWrap/>
            <w:vAlign w:val="bottom"/>
            <w:hideMark/>
          </w:tcPr>
          <w:p w14:paraId="3E62F0EB" w14:textId="77777777" w:rsidR="00590587" w:rsidRPr="00BA2A47" w:rsidRDefault="00590587" w:rsidP="00590587">
            <w:pPr>
              <w:rPr>
                <w:color w:val="000000"/>
              </w:rPr>
            </w:pPr>
            <w:r w:rsidRPr="00BA2A47">
              <w:rPr>
                <w:color w:val="000000"/>
              </w:rPr>
              <w:t>Sunnyvale</w:t>
            </w:r>
          </w:p>
        </w:tc>
        <w:tc>
          <w:tcPr>
            <w:tcW w:w="1360" w:type="dxa"/>
            <w:tcBorders>
              <w:top w:val="nil"/>
              <w:left w:val="nil"/>
              <w:bottom w:val="nil"/>
              <w:right w:val="single" w:sz="4" w:space="0" w:color="auto"/>
            </w:tcBorders>
            <w:shd w:val="clear" w:color="auto" w:fill="auto"/>
            <w:noWrap/>
            <w:vAlign w:val="bottom"/>
            <w:hideMark/>
          </w:tcPr>
          <w:p w14:paraId="74C12AA7" w14:textId="77777777" w:rsidR="00590587" w:rsidRPr="00BA2A47" w:rsidRDefault="00590587" w:rsidP="00590587">
            <w:pPr>
              <w:jc w:val="right"/>
              <w:rPr>
                <w:color w:val="000000"/>
              </w:rPr>
            </w:pPr>
            <w:r w:rsidRPr="00BA2A47">
              <w:rPr>
                <w:color w:val="000000"/>
              </w:rPr>
              <w:t>0.003550054</w:t>
            </w:r>
          </w:p>
        </w:tc>
        <w:tc>
          <w:tcPr>
            <w:tcW w:w="1360" w:type="dxa"/>
            <w:tcBorders>
              <w:top w:val="nil"/>
              <w:left w:val="nil"/>
              <w:bottom w:val="nil"/>
              <w:right w:val="single" w:sz="4" w:space="0" w:color="auto"/>
            </w:tcBorders>
            <w:shd w:val="clear" w:color="auto" w:fill="auto"/>
            <w:noWrap/>
            <w:vAlign w:val="bottom"/>
            <w:hideMark/>
          </w:tcPr>
          <w:p w14:paraId="318E4D38" w14:textId="77777777" w:rsidR="00590587" w:rsidRPr="00BA2A47" w:rsidRDefault="00590587" w:rsidP="00590587">
            <w:pPr>
              <w:jc w:val="right"/>
              <w:rPr>
                <w:color w:val="000000"/>
              </w:rPr>
            </w:pPr>
            <w:r w:rsidRPr="00BA2A47">
              <w:rPr>
                <w:color w:val="000000"/>
              </w:rPr>
              <w:t>0.005343286</w:t>
            </w:r>
          </w:p>
        </w:tc>
        <w:tc>
          <w:tcPr>
            <w:tcW w:w="1340" w:type="dxa"/>
            <w:tcBorders>
              <w:top w:val="nil"/>
              <w:left w:val="nil"/>
              <w:bottom w:val="nil"/>
              <w:right w:val="single" w:sz="4" w:space="0" w:color="auto"/>
            </w:tcBorders>
            <w:shd w:val="clear" w:color="auto" w:fill="auto"/>
            <w:noWrap/>
            <w:vAlign w:val="bottom"/>
            <w:hideMark/>
          </w:tcPr>
          <w:p w14:paraId="3B351D42" w14:textId="77777777" w:rsidR="00590587" w:rsidRPr="00BA2A47" w:rsidRDefault="00590587" w:rsidP="00590587">
            <w:pPr>
              <w:jc w:val="right"/>
              <w:rPr>
                <w:color w:val="000000"/>
              </w:rPr>
            </w:pPr>
            <w:r w:rsidRPr="00BA2A47">
              <w:rPr>
                <w:color w:val="000000"/>
              </w:rPr>
              <w:t>0.002960746</w:t>
            </w:r>
          </w:p>
        </w:tc>
        <w:tc>
          <w:tcPr>
            <w:tcW w:w="1480" w:type="dxa"/>
            <w:tcBorders>
              <w:top w:val="nil"/>
              <w:left w:val="nil"/>
              <w:bottom w:val="nil"/>
              <w:right w:val="single" w:sz="4" w:space="0" w:color="auto"/>
            </w:tcBorders>
            <w:shd w:val="clear" w:color="auto" w:fill="auto"/>
            <w:noWrap/>
            <w:vAlign w:val="bottom"/>
            <w:hideMark/>
          </w:tcPr>
          <w:p w14:paraId="7FB0447D" w14:textId="77777777" w:rsidR="00590587" w:rsidRPr="00BA2A47" w:rsidRDefault="00590587" w:rsidP="00590587">
            <w:pPr>
              <w:jc w:val="right"/>
              <w:rPr>
                <w:color w:val="000000"/>
              </w:rPr>
            </w:pPr>
            <w:r w:rsidRPr="00BA2A47">
              <w:rPr>
                <w:color w:val="000000"/>
              </w:rPr>
              <w:t>0.000362331</w:t>
            </w:r>
          </w:p>
        </w:tc>
      </w:tr>
      <w:tr w:rsidR="00590587" w:rsidRPr="00590587" w14:paraId="4C40CDEA" w14:textId="77777777" w:rsidTr="00590587">
        <w:trPr>
          <w:trHeight w:val="300"/>
          <w:jc w:val="center"/>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14:paraId="4BECA16F" w14:textId="77777777" w:rsidR="00590587" w:rsidRPr="00BA2A47" w:rsidRDefault="00590587" w:rsidP="00590587">
            <w:pPr>
              <w:rPr>
                <w:color w:val="000000"/>
              </w:rPr>
            </w:pPr>
            <w:r w:rsidRPr="00BA2A47">
              <w:rPr>
                <w:color w:val="000000"/>
              </w:rPr>
              <w:t>Sunnyvale</w:t>
            </w:r>
          </w:p>
        </w:tc>
        <w:tc>
          <w:tcPr>
            <w:tcW w:w="1360" w:type="dxa"/>
            <w:tcBorders>
              <w:top w:val="nil"/>
              <w:left w:val="nil"/>
              <w:bottom w:val="single" w:sz="4" w:space="0" w:color="auto"/>
              <w:right w:val="single" w:sz="4" w:space="0" w:color="auto"/>
            </w:tcBorders>
            <w:shd w:val="clear" w:color="auto" w:fill="auto"/>
            <w:noWrap/>
            <w:vAlign w:val="bottom"/>
            <w:hideMark/>
          </w:tcPr>
          <w:p w14:paraId="4FFA0F44" w14:textId="77777777" w:rsidR="00590587" w:rsidRPr="00BA2A47" w:rsidRDefault="00590587" w:rsidP="00590587">
            <w:pPr>
              <w:jc w:val="right"/>
              <w:rPr>
                <w:color w:val="000000"/>
              </w:rPr>
            </w:pPr>
            <w:r w:rsidRPr="00BA2A47">
              <w:rPr>
                <w:color w:val="000000"/>
              </w:rPr>
              <w:t>0.005139162</w:t>
            </w:r>
          </w:p>
        </w:tc>
        <w:tc>
          <w:tcPr>
            <w:tcW w:w="1360" w:type="dxa"/>
            <w:tcBorders>
              <w:top w:val="nil"/>
              <w:left w:val="nil"/>
              <w:bottom w:val="single" w:sz="4" w:space="0" w:color="auto"/>
              <w:right w:val="single" w:sz="4" w:space="0" w:color="auto"/>
            </w:tcBorders>
            <w:shd w:val="clear" w:color="auto" w:fill="auto"/>
            <w:noWrap/>
            <w:vAlign w:val="bottom"/>
            <w:hideMark/>
          </w:tcPr>
          <w:p w14:paraId="47288BC7" w14:textId="77777777" w:rsidR="00590587" w:rsidRPr="00BA2A47" w:rsidRDefault="00590587" w:rsidP="00590587">
            <w:pPr>
              <w:jc w:val="right"/>
              <w:rPr>
                <w:color w:val="000000"/>
              </w:rPr>
            </w:pPr>
            <w:r w:rsidRPr="00BA2A47">
              <w:rPr>
                <w:color w:val="000000"/>
              </w:rPr>
              <w:t>0.002722424</w:t>
            </w:r>
          </w:p>
        </w:tc>
        <w:tc>
          <w:tcPr>
            <w:tcW w:w="1340" w:type="dxa"/>
            <w:tcBorders>
              <w:top w:val="nil"/>
              <w:left w:val="nil"/>
              <w:bottom w:val="single" w:sz="4" w:space="0" w:color="auto"/>
              <w:right w:val="single" w:sz="4" w:space="0" w:color="auto"/>
            </w:tcBorders>
            <w:shd w:val="clear" w:color="auto" w:fill="auto"/>
            <w:noWrap/>
            <w:vAlign w:val="bottom"/>
            <w:hideMark/>
          </w:tcPr>
          <w:p w14:paraId="79873698" w14:textId="77777777" w:rsidR="00590587" w:rsidRPr="00BA2A47" w:rsidRDefault="00590587" w:rsidP="00590587">
            <w:pPr>
              <w:jc w:val="right"/>
              <w:rPr>
                <w:color w:val="000000"/>
              </w:rPr>
            </w:pPr>
            <w:r w:rsidRPr="00BA2A47">
              <w:rPr>
                <w:color w:val="000000"/>
              </w:rPr>
              <w:t>0.005309606</w:t>
            </w:r>
          </w:p>
        </w:tc>
        <w:tc>
          <w:tcPr>
            <w:tcW w:w="1480" w:type="dxa"/>
            <w:tcBorders>
              <w:top w:val="nil"/>
              <w:left w:val="nil"/>
              <w:bottom w:val="single" w:sz="4" w:space="0" w:color="auto"/>
              <w:right w:val="single" w:sz="4" w:space="0" w:color="auto"/>
            </w:tcBorders>
            <w:shd w:val="clear" w:color="auto" w:fill="auto"/>
            <w:noWrap/>
            <w:vAlign w:val="bottom"/>
            <w:hideMark/>
          </w:tcPr>
          <w:p w14:paraId="5346553C" w14:textId="77777777" w:rsidR="00590587" w:rsidRPr="00BA2A47" w:rsidRDefault="00590587" w:rsidP="00590587">
            <w:pPr>
              <w:jc w:val="right"/>
              <w:rPr>
                <w:color w:val="000000"/>
              </w:rPr>
            </w:pPr>
            <w:r w:rsidRPr="00BA2A47">
              <w:rPr>
                <w:color w:val="000000"/>
              </w:rPr>
              <w:t>0.003968065</w:t>
            </w:r>
          </w:p>
        </w:tc>
      </w:tr>
      <w:tr w:rsidR="00590587" w:rsidRPr="00590587" w14:paraId="1329FC4F" w14:textId="77777777" w:rsidTr="00590587">
        <w:trPr>
          <w:trHeight w:val="300"/>
          <w:jc w:val="center"/>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14:paraId="6D287228" w14:textId="77777777" w:rsidR="00590587" w:rsidRPr="00BA2A47" w:rsidRDefault="00590587" w:rsidP="00590587">
            <w:pPr>
              <w:rPr>
                <w:b/>
                <w:bCs/>
                <w:color w:val="000000"/>
              </w:rPr>
            </w:pPr>
            <w:r w:rsidRPr="00BA2A47">
              <w:rPr>
                <w:b/>
                <w:bCs/>
                <w:color w:val="000000"/>
              </w:rPr>
              <w:t>Total</w:t>
            </w:r>
          </w:p>
        </w:tc>
        <w:tc>
          <w:tcPr>
            <w:tcW w:w="1360" w:type="dxa"/>
            <w:tcBorders>
              <w:top w:val="nil"/>
              <w:left w:val="nil"/>
              <w:bottom w:val="single" w:sz="4" w:space="0" w:color="auto"/>
              <w:right w:val="single" w:sz="4" w:space="0" w:color="auto"/>
            </w:tcBorders>
            <w:shd w:val="clear" w:color="auto" w:fill="auto"/>
            <w:noWrap/>
            <w:vAlign w:val="bottom"/>
            <w:hideMark/>
          </w:tcPr>
          <w:p w14:paraId="43B054CE" w14:textId="77777777" w:rsidR="00590587" w:rsidRPr="00BA2A47" w:rsidRDefault="00590587" w:rsidP="00590587">
            <w:pPr>
              <w:jc w:val="right"/>
              <w:rPr>
                <w:b/>
                <w:bCs/>
                <w:color w:val="000000"/>
              </w:rPr>
            </w:pPr>
            <w:r w:rsidRPr="00BA2A47">
              <w:rPr>
                <w:b/>
                <w:bCs/>
                <w:color w:val="000000"/>
              </w:rPr>
              <w:t>0.062069169</w:t>
            </w:r>
          </w:p>
        </w:tc>
        <w:tc>
          <w:tcPr>
            <w:tcW w:w="1360" w:type="dxa"/>
            <w:tcBorders>
              <w:top w:val="nil"/>
              <w:left w:val="nil"/>
              <w:bottom w:val="single" w:sz="4" w:space="0" w:color="auto"/>
              <w:right w:val="single" w:sz="4" w:space="0" w:color="auto"/>
            </w:tcBorders>
            <w:shd w:val="clear" w:color="auto" w:fill="auto"/>
            <w:noWrap/>
            <w:vAlign w:val="bottom"/>
            <w:hideMark/>
          </w:tcPr>
          <w:p w14:paraId="5EB22871" w14:textId="77777777" w:rsidR="00590587" w:rsidRPr="00BA2A47" w:rsidRDefault="00590587" w:rsidP="00590587">
            <w:pPr>
              <w:jc w:val="right"/>
              <w:rPr>
                <w:b/>
                <w:bCs/>
                <w:color w:val="000000"/>
              </w:rPr>
            </w:pPr>
            <w:r w:rsidRPr="00BA2A47">
              <w:rPr>
                <w:b/>
                <w:bCs/>
                <w:color w:val="000000"/>
              </w:rPr>
              <w:t>0.092509399</w:t>
            </w:r>
          </w:p>
        </w:tc>
        <w:tc>
          <w:tcPr>
            <w:tcW w:w="1340" w:type="dxa"/>
            <w:tcBorders>
              <w:top w:val="nil"/>
              <w:left w:val="nil"/>
              <w:bottom w:val="single" w:sz="4" w:space="0" w:color="auto"/>
              <w:right w:val="single" w:sz="4" w:space="0" w:color="auto"/>
            </w:tcBorders>
            <w:shd w:val="clear" w:color="auto" w:fill="auto"/>
            <w:noWrap/>
            <w:vAlign w:val="bottom"/>
            <w:hideMark/>
          </w:tcPr>
          <w:p w14:paraId="73C66D6F" w14:textId="77777777" w:rsidR="00590587" w:rsidRPr="00BA2A47" w:rsidRDefault="00590587" w:rsidP="00590587">
            <w:pPr>
              <w:jc w:val="right"/>
              <w:rPr>
                <w:b/>
                <w:bCs/>
                <w:color w:val="000000"/>
              </w:rPr>
            </w:pPr>
            <w:r w:rsidRPr="00BA2A47">
              <w:rPr>
                <w:b/>
                <w:bCs/>
                <w:color w:val="000000"/>
              </w:rPr>
              <w:t>0.096826697</w:t>
            </w:r>
          </w:p>
        </w:tc>
        <w:tc>
          <w:tcPr>
            <w:tcW w:w="1480" w:type="dxa"/>
            <w:tcBorders>
              <w:top w:val="nil"/>
              <w:left w:val="nil"/>
              <w:bottom w:val="single" w:sz="4" w:space="0" w:color="auto"/>
              <w:right w:val="single" w:sz="4" w:space="0" w:color="auto"/>
            </w:tcBorders>
            <w:shd w:val="clear" w:color="auto" w:fill="auto"/>
            <w:noWrap/>
            <w:vAlign w:val="bottom"/>
            <w:hideMark/>
          </w:tcPr>
          <w:p w14:paraId="1E613B3B" w14:textId="77777777" w:rsidR="00590587" w:rsidRPr="00BA2A47" w:rsidRDefault="00590587" w:rsidP="00590587">
            <w:pPr>
              <w:jc w:val="right"/>
              <w:rPr>
                <w:b/>
                <w:bCs/>
                <w:color w:val="000000"/>
              </w:rPr>
            </w:pPr>
            <w:r w:rsidRPr="00BA2A47">
              <w:rPr>
                <w:b/>
                <w:bCs/>
                <w:color w:val="000000"/>
              </w:rPr>
              <w:t>0.078942567</w:t>
            </w:r>
          </w:p>
        </w:tc>
      </w:tr>
    </w:tbl>
    <w:p w14:paraId="17DD8BE5" w14:textId="77777777" w:rsidR="00590587" w:rsidRDefault="00590587" w:rsidP="00A23670">
      <w:pPr>
        <w:rPr>
          <w:sz w:val="24"/>
          <w:szCs w:val="24"/>
        </w:rPr>
      </w:pPr>
    </w:p>
    <w:p w14:paraId="4350C625" w14:textId="5621D12F" w:rsidR="00A23670" w:rsidRPr="00BC6118" w:rsidRDefault="00BC6118" w:rsidP="00BC6118">
      <w:pPr>
        <w:autoSpaceDE w:val="0"/>
        <w:autoSpaceDN w:val="0"/>
        <w:adjustRightInd w:val="0"/>
        <w:jc w:val="center"/>
        <w:rPr>
          <w:b/>
          <w:bCs/>
          <w:sz w:val="24"/>
        </w:rPr>
      </w:pPr>
      <w:r>
        <w:rPr>
          <w:b/>
          <w:bCs/>
          <w:sz w:val="24"/>
        </w:rPr>
        <w:t>Table 3. PCBs Loads from Petroleum Refineries</w:t>
      </w:r>
    </w:p>
    <w:tbl>
      <w:tblPr>
        <w:tblW w:w="7820" w:type="dxa"/>
        <w:jc w:val="center"/>
        <w:tblLook w:val="04A0" w:firstRow="1" w:lastRow="0" w:firstColumn="1" w:lastColumn="0" w:noHBand="0" w:noVBand="1"/>
      </w:tblPr>
      <w:tblGrid>
        <w:gridCol w:w="1780"/>
        <w:gridCol w:w="1560"/>
        <w:gridCol w:w="1520"/>
        <w:gridCol w:w="1480"/>
        <w:gridCol w:w="1480"/>
      </w:tblGrid>
      <w:tr w:rsidR="00207CF4" w:rsidRPr="00207CF4" w14:paraId="1F1457C9" w14:textId="77777777" w:rsidTr="00207CF4">
        <w:trPr>
          <w:trHeight w:val="300"/>
          <w:jc w:val="center"/>
        </w:trPr>
        <w:tc>
          <w:tcPr>
            <w:tcW w:w="1780" w:type="dxa"/>
            <w:vMerge w:val="restart"/>
            <w:tcBorders>
              <w:top w:val="single" w:sz="4" w:space="0" w:color="auto"/>
              <w:left w:val="single" w:sz="4" w:space="0" w:color="auto"/>
              <w:bottom w:val="nil"/>
              <w:right w:val="single" w:sz="4" w:space="0" w:color="auto"/>
            </w:tcBorders>
            <w:shd w:val="clear" w:color="000000" w:fill="FFFFFF"/>
            <w:noWrap/>
            <w:vAlign w:val="center"/>
            <w:hideMark/>
          </w:tcPr>
          <w:p w14:paraId="5F8A710B" w14:textId="77777777" w:rsidR="00207CF4" w:rsidRPr="00BA2A47" w:rsidRDefault="00207CF4" w:rsidP="00207CF4">
            <w:pPr>
              <w:jc w:val="center"/>
              <w:rPr>
                <w:b/>
                <w:bCs/>
                <w:color w:val="000000"/>
              </w:rPr>
            </w:pPr>
            <w:r w:rsidRPr="00BA2A47">
              <w:rPr>
                <w:b/>
                <w:bCs/>
                <w:color w:val="000000"/>
              </w:rPr>
              <w:t>Discharger</w:t>
            </w:r>
          </w:p>
        </w:tc>
        <w:tc>
          <w:tcPr>
            <w:tcW w:w="6040" w:type="dxa"/>
            <w:gridSpan w:val="4"/>
            <w:tcBorders>
              <w:top w:val="single" w:sz="4" w:space="0" w:color="auto"/>
              <w:left w:val="nil"/>
              <w:bottom w:val="single" w:sz="4" w:space="0" w:color="auto"/>
              <w:right w:val="single" w:sz="4" w:space="0" w:color="auto"/>
            </w:tcBorders>
            <w:shd w:val="clear" w:color="000000" w:fill="FFFFFF"/>
            <w:vAlign w:val="center"/>
            <w:hideMark/>
          </w:tcPr>
          <w:p w14:paraId="5D1F9141" w14:textId="77777777" w:rsidR="00207CF4" w:rsidRPr="00BA2A47" w:rsidRDefault="00207CF4" w:rsidP="00207CF4">
            <w:pPr>
              <w:jc w:val="center"/>
              <w:rPr>
                <w:b/>
                <w:bCs/>
                <w:color w:val="000000"/>
              </w:rPr>
            </w:pPr>
            <w:r w:rsidRPr="00BA2A47">
              <w:rPr>
                <w:b/>
                <w:bCs/>
                <w:color w:val="000000"/>
              </w:rPr>
              <w:t>PCBs Loads (kg/yr)</w:t>
            </w:r>
            <w:r w:rsidRPr="00BA2A47">
              <w:rPr>
                <w:b/>
                <w:bCs/>
                <w:color w:val="000000"/>
              </w:rPr>
              <w:br/>
              <w:t>Normalized</w:t>
            </w:r>
          </w:p>
        </w:tc>
      </w:tr>
      <w:tr w:rsidR="00207CF4" w:rsidRPr="00207CF4" w14:paraId="7592062D" w14:textId="77777777" w:rsidTr="00207CF4">
        <w:trPr>
          <w:trHeight w:val="300"/>
          <w:jc w:val="center"/>
        </w:trPr>
        <w:tc>
          <w:tcPr>
            <w:tcW w:w="1780" w:type="dxa"/>
            <w:vMerge/>
            <w:tcBorders>
              <w:top w:val="single" w:sz="4" w:space="0" w:color="auto"/>
              <w:left w:val="single" w:sz="4" w:space="0" w:color="auto"/>
              <w:bottom w:val="nil"/>
              <w:right w:val="single" w:sz="4" w:space="0" w:color="auto"/>
            </w:tcBorders>
            <w:vAlign w:val="center"/>
            <w:hideMark/>
          </w:tcPr>
          <w:p w14:paraId="6A788672" w14:textId="77777777" w:rsidR="00207CF4" w:rsidRPr="00BA2A47" w:rsidRDefault="00207CF4" w:rsidP="00207CF4">
            <w:pPr>
              <w:rPr>
                <w:b/>
                <w:bCs/>
                <w:color w:val="000000"/>
              </w:rPr>
            </w:pPr>
          </w:p>
        </w:tc>
        <w:tc>
          <w:tcPr>
            <w:tcW w:w="6040" w:type="dxa"/>
            <w:gridSpan w:val="4"/>
            <w:tcBorders>
              <w:top w:val="single" w:sz="4" w:space="0" w:color="auto"/>
              <w:left w:val="nil"/>
              <w:bottom w:val="single" w:sz="4" w:space="0" w:color="auto"/>
              <w:right w:val="single" w:sz="4" w:space="0" w:color="auto"/>
            </w:tcBorders>
            <w:shd w:val="clear" w:color="000000" w:fill="D9D9D9"/>
            <w:vAlign w:val="center"/>
            <w:hideMark/>
          </w:tcPr>
          <w:p w14:paraId="2CCAA7BF" w14:textId="77777777" w:rsidR="00207CF4" w:rsidRPr="00BA2A47" w:rsidRDefault="00207CF4" w:rsidP="00207CF4">
            <w:pPr>
              <w:jc w:val="center"/>
              <w:rPr>
                <w:b/>
                <w:bCs/>
                <w:color w:val="000000"/>
              </w:rPr>
            </w:pPr>
            <w:r w:rsidRPr="00BA2A47">
              <w:rPr>
                <w:b/>
                <w:bCs/>
                <w:color w:val="000000"/>
              </w:rPr>
              <w:t>Year</w:t>
            </w:r>
          </w:p>
        </w:tc>
      </w:tr>
      <w:tr w:rsidR="00207CF4" w:rsidRPr="00207CF4" w14:paraId="1B5C4570" w14:textId="77777777" w:rsidTr="00207CF4">
        <w:trPr>
          <w:trHeight w:val="300"/>
          <w:jc w:val="center"/>
        </w:trPr>
        <w:tc>
          <w:tcPr>
            <w:tcW w:w="1780" w:type="dxa"/>
            <w:vMerge/>
            <w:tcBorders>
              <w:top w:val="single" w:sz="4" w:space="0" w:color="auto"/>
              <w:left w:val="single" w:sz="4" w:space="0" w:color="auto"/>
              <w:bottom w:val="nil"/>
              <w:right w:val="single" w:sz="4" w:space="0" w:color="auto"/>
            </w:tcBorders>
            <w:vAlign w:val="center"/>
            <w:hideMark/>
          </w:tcPr>
          <w:p w14:paraId="7E03EA99" w14:textId="77777777" w:rsidR="00207CF4" w:rsidRPr="00BA2A47" w:rsidRDefault="00207CF4" w:rsidP="00207CF4">
            <w:pPr>
              <w:rPr>
                <w:b/>
                <w:bCs/>
                <w:color w:val="000000"/>
              </w:rPr>
            </w:pPr>
          </w:p>
        </w:tc>
        <w:tc>
          <w:tcPr>
            <w:tcW w:w="1560" w:type="dxa"/>
            <w:tcBorders>
              <w:top w:val="nil"/>
              <w:left w:val="nil"/>
              <w:bottom w:val="nil"/>
              <w:right w:val="single" w:sz="4" w:space="0" w:color="auto"/>
            </w:tcBorders>
            <w:shd w:val="clear" w:color="auto" w:fill="auto"/>
            <w:vAlign w:val="center"/>
            <w:hideMark/>
          </w:tcPr>
          <w:p w14:paraId="774BF254" w14:textId="77777777" w:rsidR="00207CF4" w:rsidRPr="00BA2A47" w:rsidRDefault="00207CF4" w:rsidP="00207CF4">
            <w:pPr>
              <w:jc w:val="center"/>
              <w:rPr>
                <w:b/>
                <w:bCs/>
                <w:color w:val="000000"/>
              </w:rPr>
            </w:pPr>
            <w:r w:rsidRPr="00BA2A47">
              <w:rPr>
                <w:b/>
                <w:bCs/>
                <w:color w:val="000000"/>
              </w:rPr>
              <w:t>2013</w:t>
            </w:r>
          </w:p>
        </w:tc>
        <w:tc>
          <w:tcPr>
            <w:tcW w:w="1520" w:type="dxa"/>
            <w:tcBorders>
              <w:top w:val="nil"/>
              <w:left w:val="nil"/>
              <w:bottom w:val="nil"/>
              <w:right w:val="single" w:sz="4" w:space="0" w:color="auto"/>
            </w:tcBorders>
            <w:shd w:val="clear" w:color="auto" w:fill="auto"/>
            <w:vAlign w:val="center"/>
            <w:hideMark/>
          </w:tcPr>
          <w:p w14:paraId="379C7F5F" w14:textId="77777777" w:rsidR="00207CF4" w:rsidRPr="00BA2A47" w:rsidRDefault="00207CF4" w:rsidP="00207CF4">
            <w:pPr>
              <w:jc w:val="center"/>
              <w:rPr>
                <w:b/>
                <w:bCs/>
                <w:color w:val="000000"/>
              </w:rPr>
            </w:pPr>
            <w:r w:rsidRPr="00BA2A47">
              <w:rPr>
                <w:b/>
                <w:bCs/>
                <w:color w:val="000000"/>
              </w:rPr>
              <w:t>2014</w:t>
            </w:r>
          </w:p>
        </w:tc>
        <w:tc>
          <w:tcPr>
            <w:tcW w:w="1480" w:type="dxa"/>
            <w:tcBorders>
              <w:top w:val="nil"/>
              <w:left w:val="nil"/>
              <w:bottom w:val="nil"/>
              <w:right w:val="single" w:sz="4" w:space="0" w:color="auto"/>
            </w:tcBorders>
            <w:shd w:val="clear" w:color="auto" w:fill="auto"/>
            <w:vAlign w:val="center"/>
            <w:hideMark/>
          </w:tcPr>
          <w:p w14:paraId="09CF26EC" w14:textId="77777777" w:rsidR="00207CF4" w:rsidRPr="00BA2A47" w:rsidRDefault="00207CF4" w:rsidP="00207CF4">
            <w:pPr>
              <w:jc w:val="center"/>
              <w:rPr>
                <w:b/>
                <w:bCs/>
                <w:color w:val="000000"/>
              </w:rPr>
            </w:pPr>
            <w:r w:rsidRPr="00BA2A47">
              <w:rPr>
                <w:b/>
                <w:bCs/>
                <w:color w:val="000000"/>
              </w:rPr>
              <w:t>2015</w:t>
            </w:r>
          </w:p>
        </w:tc>
        <w:tc>
          <w:tcPr>
            <w:tcW w:w="1480" w:type="dxa"/>
            <w:tcBorders>
              <w:top w:val="nil"/>
              <w:left w:val="nil"/>
              <w:bottom w:val="nil"/>
              <w:right w:val="single" w:sz="4" w:space="0" w:color="auto"/>
            </w:tcBorders>
            <w:shd w:val="clear" w:color="auto" w:fill="auto"/>
            <w:vAlign w:val="center"/>
            <w:hideMark/>
          </w:tcPr>
          <w:p w14:paraId="6B14E32E" w14:textId="77777777" w:rsidR="00207CF4" w:rsidRPr="00BA2A47" w:rsidRDefault="00207CF4" w:rsidP="00207CF4">
            <w:pPr>
              <w:jc w:val="center"/>
              <w:rPr>
                <w:b/>
                <w:bCs/>
                <w:color w:val="000000"/>
              </w:rPr>
            </w:pPr>
            <w:r w:rsidRPr="00BA2A47">
              <w:rPr>
                <w:b/>
                <w:bCs/>
                <w:color w:val="000000"/>
              </w:rPr>
              <w:t>2016</w:t>
            </w:r>
          </w:p>
        </w:tc>
      </w:tr>
      <w:tr w:rsidR="00207CF4" w:rsidRPr="00207CF4" w14:paraId="1573A08F" w14:textId="77777777" w:rsidTr="00207CF4">
        <w:trPr>
          <w:trHeight w:val="300"/>
          <w:jc w:val="center"/>
        </w:trPr>
        <w:tc>
          <w:tcPr>
            <w:tcW w:w="1780" w:type="dxa"/>
            <w:tcBorders>
              <w:top w:val="single" w:sz="4" w:space="0" w:color="auto"/>
              <w:left w:val="single" w:sz="4" w:space="0" w:color="auto"/>
              <w:bottom w:val="nil"/>
              <w:right w:val="single" w:sz="4" w:space="0" w:color="auto"/>
            </w:tcBorders>
            <w:shd w:val="clear" w:color="auto" w:fill="auto"/>
            <w:noWrap/>
            <w:vAlign w:val="bottom"/>
            <w:hideMark/>
          </w:tcPr>
          <w:p w14:paraId="3DE0988E" w14:textId="77777777" w:rsidR="00207CF4" w:rsidRPr="00BA2A47" w:rsidRDefault="00207CF4" w:rsidP="00207CF4">
            <w:pPr>
              <w:rPr>
                <w:color w:val="000000"/>
              </w:rPr>
            </w:pPr>
            <w:r w:rsidRPr="00BA2A47">
              <w:rPr>
                <w:color w:val="000000"/>
              </w:rPr>
              <w:t>Chevron</w:t>
            </w:r>
          </w:p>
        </w:tc>
        <w:tc>
          <w:tcPr>
            <w:tcW w:w="1560" w:type="dxa"/>
            <w:tcBorders>
              <w:top w:val="single" w:sz="4" w:space="0" w:color="auto"/>
              <w:left w:val="nil"/>
              <w:bottom w:val="nil"/>
              <w:right w:val="single" w:sz="4" w:space="0" w:color="auto"/>
            </w:tcBorders>
            <w:shd w:val="clear" w:color="auto" w:fill="auto"/>
            <w:noWrap/>
            <w:vAlign w:val="bottom"/>
            <w:hideMark/>
          </w:tcPr>
          <w:p w14:paraId="6C494245" w14:textId="77777777" w:rsidR="00207CF4" w:rsidRPr="00BA2A47" w:rsidRDefault="00207CF4" w:rsidP="00BA2A47">
            <w:pPr>
              <w:jc w:val="right"/>
              <w:rPr>
                <w:color w:val="000000"/>
              </w:rPr>
            </w:pPr>
            <w:r w:rsidRPr="00BA2A47">
              <w:rPr>
                <w:color w:val="000000"/>
              </w:rPr>
              <w:t>0.002441221</w:t>
            </w:r>
          </w:p>
        </w:tc>
        <w:tc>
          <w:tcPr>
            <w:tcW w:w="1520" w:type="dxa"/>
            <w:tcBorders>
              <w:top w:val="single" w:sz="4" w:space="0" w:color="auto"/>
              <w:left w:val="nil"/>
              <w:bottom w:val="nil"/>
              <w:right w:val="single" w:sz="4" w:space="0" w:color="auto"/>
            </w:tcBorders>
            <w:shd w:val="clear" w:color="auto" w:fill="auto"/>
            <w:noWrap/>
            <w:vAlign w:val="bottom"/>
            <w:hideMark/>
          </w:tcPr>
          <w:p w14:paraId="5180443B" w14:textId="77777777" w:rsidR="00207CF4" w:rsidRPr="00BA2A47" w:rsidRDefault="00207CF4" w:rsidP="00BA2A47">
            <w:pPr>
              <w:jc w:val="right"/>
              <w:rPr>
                <w:color w:val="000000"/>
              </w:rPr>
            </w:pPr>
            <w:r w:rsidRPr="00BA2A47">
              <w:rPr>
                <w:color w:val="000000"/>
              </w:rPr>
              <w:t>0.001204925</w:t>
            </w:r>
          </w:p>
        </w:tc>
        <w:tc>
          <w:tcPr>
            <w:tcW w:w="1480" w:type="dxa"/>
            <w:tcBorders>
              <w:top w:val="single" w:sz="4" w:space="0" w:color="auto"/>
              <w:left w:val="nil"/>
              <w:bottom w:val="nil"/>
              <w:right w:val="single" w:sz="4" w:space="0" w:color="auto"/>
            </w:tcBorders>
            <w:shd w:val="clear" w:color="auto" w:fill="auto"/>
            <w:noWrap/>
            <w:vAlign w:val="bottom"/>
            <w:hideMark/>
          </w:tcPr>
          <w:p w14:paraId="40C66C51" w14:textId="77777777" w:rsidR="00207CF4" w:rsidRPr="00BA2A47" w:rsidRDefault="00207CF4" w:rsidP="00BA2A47">
            <w:pPr>
              <w:jc w:val="right"/>
              <w:rPr>
                <w:color w:val="000000"/>
              </w:rPr>
            </w:pPr>
            <w:r w:rsidRPr="00BA2A47">
              <w:rPr>
                <w:color w:val="000000"/>
              </w:rPr>
              <w:t>0.001048217</w:t>
            </w:r>
          </w:p>
        </w:tc>
        <w:tc>
          <w:tcPr>
            <w:tcW w:w="1480" w:type="dxa"/>
            <w:tcBorders>
              <w:top w:val="single" w:sz="4" w:space="0" w:color="auto"/>
              <w:left w:val="nil"/>
              <w:bottom w:val="nil"/>
              <w:right w:val="single" w:sz="4" w:space="0" w:color="auto"/>
            </w:tcBorders>
            <w:shd w:val="clear" w:color="auto" w:fill="auto"/>
            <w:noWrap/>
            <w:vAlign w:val="bottom"/>
            <w:hideMark/>
          </w:tcPr>
          <w:p w14:paraId="173633F3" w14:textId="77777777" w:rsidR="00207CF4" w:rsidRPr="00BA2A47" w:rsidRDefault="00207CF4" w:rsidP="00BA2A47">
            <w:pPr>
              <w:jc w:val="right"/>
              <w:rPr>
                <w:color w:val="000000"/>
              </w:rPr>
            </w:pPr>
            <w:r w:rsidRPr="00BA2A47">
              <w:rPr>
                <w:color w:val="000000"/>
              </w:rPr>
              <w:t>0.001415608</w:t>
            </w:r>
          </w:p>
        </w:tc>
      </w:tr>
      <w:tr w:rsidR="00207CF4" w:rsidRPr="00207CF4" w14:paraId="31B5E672" w14:textId="77777777" w:rsidTr="00207CF4">
        <w:trPr>
          <w:trHeight w:val="300"/>
          <w:jc w:val="center"/>
        </w:trPr>
        <w:tc>
          <w:tcPr>
            <w:tcW w:w="1780" w:type="dxa"/>
            <w:tcBorders>
              <w:top w:val="nil"/>
              <w:left w:val="single" w:sz="4" w:space="0" w:color="auto"/>
              <w:bottom w:val="nil"/>
              <w:right w:val="single" w:sz="4" w:space="0" w:color="auto"/>
            </w:tcBorders>
            <w:shd w:val="clear" w:color="auto" w:fill="auto"/>
            <w:noWrap/>
            <w:vAlign w:val="bottom"/>
            <w:hideMark/>
          </w:tcPr>
          <w:p w14:paraId="0FE35908" w14:textId="77777777" w:rsidR="00207CF4" w:rsidRPr="00BA2A47" w:rsidRDefault="00207CF4" w:rsidP="00207CF4">
            <w:pPr>
              <w:rPr>
                <w:color w:val="000000"/>
              </w:rPr>
            </w:pPr>
            <w:r w:rsidRPr="00BA2A47">
              <w:rPr>
                <w:color w:val="000000"/>
              </w:rPr>
              <w:t>Chevron</w:t>
            </w:r>
          </w:p>
        </w:tc>
        <w:tc>
          <w:tcPr>
            <w:tcW w:w="1560" w:type="dxa"/>
            <w:tcBorders>
              <w:top w:val="nil"/>
              <w:left w:val="nil"/>
              <w:bottom w:val="nil"/>
              <w:right w:val="single" w:sz="4" w:space="0" w:color="auto"/>
            </w:tcBorders>
            <w:shd w:val="clear" w:color="auto" w:fill="auto"/>
            <w:noWrap/>
            <w:vAlign w:val="bottom"/>
            <w:hideMark/>
          </w:tcPr>
          <w:p w14:paraId="1FDB3B89" w14:textId="77777777" w:rsidR="00207CF4" w:rsidRPr="00BA2A47" w:rsidRDefault="00207CF4" w:rsidP="00BA2A47">
            <w:pPr>
              <w:jc w:val="right"/>
              <w:rPr>
                <w:color w:val="000000"/>
              </w:rPr>
            </w:pPr>
            <w:r w:rsidRPr="00BA2A47">
              <w:rPr>
                <w:color w:val="000000"/>
              </w:rPr>
              <w:t>0.004242096</w:t>
            </w:r>
          </w:p>
        </w:tc>
        <w:tc>
          <w:tcPr>
            <w:tcW w:w="1520" w:type="dxa"/>
            <w:tcBorders>
              <w:top w:val="nil"/>
              <w:left w:val="nil"/>
              <w:bottom w:val="nil"/>
              <w:right w:val="single" w:sz="4" w:space="0" w:color="auto"/>
            </w:tcBorders>
            <w:shd w:val="clear" w:color="auto" w:fill="auto"/>
            <w:noWrap/>
            <w:vAlign w:val="bottom"/>
            <w:hideMark/>
          </w:tcPr>
          <w:p w14:paraId="3887B004" w14:textId="77777777" w:rsidR="00207CF4" w:rsidRPr="00BA2A47" w:rsidRDefault="00207CF4" w:rsidP="00BA2A47">
            <w:pPr>
              <w:jc w:val="right"/>
              <w:rPr>
                <w:color w:val="000000"/>
              </w:rPr>
            </w:pPr>
            <w:r w:rsidRPr="00BA2A47">
              <w:rPr>
                <w:color w:val="000000"/>
              </w:rPr>
              <w:t>0.002501528</w:t>
            </w:r>
          </w:p>
        </w:tc>
        <w:tc>
          <w:tcPr>
            <w:tcW w:w="1480" w:type="dxa"/>
            <w:tcBorders>
              <w:top w:val="nil"/>
              <w:left w:val="nil"/>
              <w:bottom w:val="nil"/>
              <w:right w:val="single" w:sz="4" w:space="0" w:color="auto"/>
            </w:tcBorders>
            <w:shd w:val="clear" w:color="auto" w:fill="auto"/>
            <w:noWrap/>
            <w:vAlign w:val="bottom"/>
            <w:hideMark/>
          </w:tcPr>
          <w:p w14:paraId="48785A9A" w14:textId="77777777" w:rsidR="00207CF4" w:rsidRPr="00BA2A47" w:rsidRDefault="00207CF4" w:rsidP="00BA2A47">
            <w:pPr>
              <w:jc w:val="right"/>
              <w:rPr>
                <w:color w:val="000000"/>
              </w:rPr>
            </w:pPr>
            <w:r w:rsidRPr="00BA2A47">
              <w:rPr>
                <w:color w:val="000000"/>
              </w:rPr>
              <w:t>0.00092711</w:t>
            </w:r>
          </w:p>
        </w:tc>
        <w:tc>
          <w:tcPr>
            <w:tcW w:w="1480" w:type="dxa"/>
            <w:tcBorders>
              <w:top w:val="nil"/>
              <w:left w:val="nil"/>
              <w:bottom w:val="nil"/>
              <w:right w:val="single" w:sz="4" w:space="0" w:color="auto"/>
            </w:tcBorders>
            <w:shd w:val="clear" w:color="auto" w:fill="auto"/>
            <w:noWrap/>
            <w:vAlign w:val="bottom"/>
            <w:hideMark/>
          </w:tcPr>
          <w:p w14:paraId="4C3894EB" w14:textId="77777777" w:rsidR="00207CF4" w:rsidRPr="00BA2A47" w:rsidRDefault="00207CF4" w:rsidP="00BA2A47">
            <w:pPr>
              <w:jc w:val="right"/>
              <w:rPr>
                <w:color w:val="000000"/>
              </w:rPr>
            </w:pPr>
            <w:r w:rsidRPr="00BA2A47">
              <w:rPr>
                <w:color w:val="000000"/>
              </w:rPr>
              <w:t>0.000675529</w:t>
            </w:r>
          </w:p>
        </w:tc>
      </w:tr>
      <w:tr w:rsidR="00207CF4" w:rsidRPr="00207CF4" w14:paraId="25835E0C" w14:textId="77777777" w:rsidTr="00207CF4">
        <w:trPr>
          <w:trHeight w:val="300"/>
          <w:jc w:val="center"/>
        </w:trPr>
        <w:tc>
          <w:tcPr>
            <w:tcW w:w="1780" w:type="dxa"/>
            <w:tcBorders>
              <w:top w:val="nil"/>
              <w:left w:val="single" w:sz="4" w:space="0" w:color="auto"/>
              <w:bottom w:val="nil"/>
              <w:right w:val="single" w:sz="4" w:space="0" w:color="auto"/>
            </w:tcBorders>
            <w:shd w:val="clear" w:color="auto" w:fill="auto"/>
            <w:noWrap/>
            <w:vAlign w:val="bottom"/>
            <w:hideMark/>
          </w:tcPr>
          <w:p w14:paraId="2A566C8C" w14:textId="77777777" w:rsidR="00207CF4" w:rsidRPr="00BA2A47" w:rsidRDefault="00207CF4" w:rsidP="00207CF4">
            <w:pPr>
              <w:rPr>
                <w:color w:val="000000"/>
              </w:rPr>
            </w:pPr>
            <w:r w:rsidRPr="00BA2A47">
              <w:rPr>
                <w:color w:val="000000"/>
              </w:rPr>
              <w:t>Chevron</w:t>
            </w:r>
          </w:p>
        </w:tc>
        <w:tc>
          <w:tcPr>
            <w:tcW w:w="1560" w:type="dxa"/>
            <w:tcBorders>
              <w:top w:val="nil"/>
              <w:left w:val="nil"/>
              <w:bottom w:val="nil"/>
              <w:right w:val="single" w:sz="4" w:space="0" w:color="auto"/>
            </w:tcBorders>
            <w:shd w:val="clear" w:color="auto" w:fill="auto"/>
            <w:noWrap/>
            <w:vAlign w:val="bottom"/>
            <w:hideMark/>
          </w:tcPr>
          <w:p w14:paraId="508EF520" w14:textId="77777777" w:rsidR="00207CF4" w:rsidRPr="00BA2A47" w:rsidRDefault="00207CF4" w:rsidP="00BA2A47">
            <w:pPr>
              <w:jc w:val="right"/>
              <w:rPr>
                <w:color w:val="000000"/>
              </w:rPr>
            </w:pPr>
            <w:r w:rsidRPr="00BA2A47">
              <w:rPr>
                <w:color w:val="000000"/>
              </w:rPr>
              <w:t>0.002122772</w:t>
            </w:r>
          </w:p>
        </w:tc>
        <w:tc>
          <w:tcPr>
            <w:tcW w:w="1520" w:type="dxa"/>
            <w:tcBorders>
              <w:top w:val="nil"/>
              <w:left w:val="nil"/>
              <w:bottom w:val="nil"/>
              <w:right w:val="single" w:sz="4" w:space="0" w:color="auto"/>
            </w:tcBorders>
            <w:shd w:val="clear" w:color="auto" w:fill="auto"/>
            <w:noWrap/>
            <w:vAlign w:val="bottom"/>
            <w:hideMark/>
          </w:tcPr>
          <w:p w14:paraId="175EA44B" w14:textId="77777777" w:rsidR="00207CF4" w:rsidRPr="00BA2A47" w:rsidRDefault="00207CF4" w:rsidP="00BA2A47">
            <w:pPr>
              <w:jc w:val="right"/>
              <w:rPr>
                <w:color w:val="000000"/>
              </w:rPr>
            </w:pPr>
            <w:r w:rsidRPr="00BA2A47">
              <w:rPr>
                <w:color w:val="000000"/>
              </w:rPr>
              <w:t>0.001217467</w:t>
            </w:r>
          </w:p>
        </w:tc>
        <w:tc>
          <w:tcPr>
            <w:tcW w:w="1480" w:type="dxa"/>
            <w:tcBorders>
              <w:top w:val="nil"/>
              <w:left w:val="nil"/>
              <w:bottom w:val="nil"/>
              <w:right w:val="single" w:sz="4" w:space="0" w:color="auto"/>
            </w:tcBorders>
            <w:shd w:val="clear" w:color="auto" w:fill="auto"/>
            <w:noWrap/>
            <w:vAlign w:val="bottom"/>
            <w:hideMark/>
          </w:tcPr>
          <w:p w14:paraId="24D198A8" w14:textId="77777777" w:rsidR="00207CF4" w:rsidRPr="00BA2A47" w:rsidRDefault="00207CF4" w:rsidP="00BA2A47">
            <w:pPr>
              <w:jc w:val="right"/>
              <w:rPr>
                <w:color w:val="000000"/>
              </w:rPr>
            </w:pPr>
            <w:r w:rsidRPr="00BA2A47">
              <w:rPr>
                <w:color w:val="000000"/>
              </w:rPr>
              <w:t>0.000393442</w:t>
            </w:r>
          </w:p>
        </w:tc>
        <w:tc>
          <w:tcPr>
            <w:tcW w:w="1480" w:type="dxa"/>
            <w:tcBorders>
              <w:top w:val="nil"/>
              <w:left w:val="nil"/>
              <w:bottom w:val="nil"/>
              <w:right w:val="single" w:sz="4" w:space="0" w:color="auto"/>
            </w:tcBorders>
            <w:shd w:val="clear" w:color="auto" w:fill="auto"/>
            <w:noWrap/>
            <w:vAlign w:val="bottom"/>
            <w:hideMark/>
          </w:tcPr>
          <w:p w14:paraId="17DA1C7B" w14:textId="77777777" w:rsidR="00207CF4" w:rsidRPr="00BA2A47" w:rsidRDefault="00207CF4" w:rsidP="00BA2A47">
            <w:pPr>
              <w:jc w:val="right"/>
              <w:rPr>
                <w:color w:val="000000"/>
              </w:rPr>
            </w:pPr>
            <w:r w:rsidRPr="00BA2A47">
              <w:rPr>
                <w:color w:val="000000"/>
              </w:rPr>
              <w:t>0.000427429</w:t>
            </w:r>
          </w:p>
        </w:tc>
      </w:tr>
      <w:tr w:rsidR="00207CF4" w:rsidRPr="00207CF4" w14:paraId="39A31AFF" w14:textId="77777777" w:rsidTr="00207CF4">
        <w:trPr>
          <w:trHeight w:val="300"/>
          <w:jc w:val="center"/>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14:paraId="3BBBB126" w14:textId="77777777" w:rsidR="00207CF4" w:rsidRPr="00BA2A47" w:rsidRDefault="00207CF4" w:rsidP="00207CF4">
            <w:pPr>
              <w:rPr>
                <w:color w:val="000000"/>
              </w:rPr>
            </w:pPr>
            <w:r w:rsidRPr="00BA2A47">
              <w:rPr>
                <w:color w:val="000000"/>
              </w:rPr>
              <w:t>Chevron</w:t>
            </w:r>
          </w:p>
        </w:tc>
        <w:tc>
          <w:tcPr>
            <w:tcW w:w="1560" w:type="dxa"/>
            <w:tcBorders>
              <w:top w:val="nil"/>
              <w:left w:val="nil"/>
              <w:bottom w:val="single" w:sz="4" w:space="0" w:color="auto"/>
              <w:right w:val="single" w:sz="4" w:space="0" w:color="auto"/>
            </w:tcBorders>
            <w:shd w:val="clear" w:color="auto" w:fill="auto"/>
            <w:noWrap/>
            <w:vAlign w:val="bottom"/>
            <w:hideMark/>
          </w:tcPr>
          <w:p w14:paraId="2A87E0E3" w14:textId="77777777" w:rsidR="00207CF4" w:rsidRPr="00BA2A47" w:rsidRDefault="00207CF4" w:rsidP="00BA2A47">
            <w:pPr>
              <w:jc w:val="right"/>
              <w:rPr>
                <w:color w:val="000000"/>
              </w:rPr>
            </w:pPr>
            <w:r w:rsidRPr="00BA2A47">
              <w:rPr>
                <w:color w:val="000000"/>
              </w:rPr>
              <w:t>0.001157919</w:t>
            </w:r>
          </w:p>
        </w:tc>
        <w:tc>
          <w:tcPr>
            <w:tcW w:w="1520" w:type="dxa"/>
            <w:tcBorders>
              <w:top w:val="nil"/>
              <w:left w:val="nil"/>
              <w:bottom w:val="single" w:sz="4" w:space="0" w:color="auto"/>
              <w:right w:val="single" w:sz="4" w:space="0" w:color="auto"/>
            </w:tcBorders>
            <w:shd w:val="clear" w:color="auto" w:fill="auto"/>
            <w:noWrap/>
            <w:vAlign w:val="bottom"/>
            <w:hideMark/>
          </w:tcPr>
          <w:p w14:paraId="39CB3563" w14:textId="77777777" w:rsidR="00207CF4" w:rsidRPr="00BA2A47" w:rsidRDefault="00207CF4" w:rsidP="00BA2A47">
            <w:pPr>
              <w:jc w:val="right"/>
              <w:rPr>
                <w:color w:val="000000"/>
              </w:rPr>
            </w:pPr>
            <w:r w:rsidRPr="00BA2A47">
              <w:rPr>
                <w:color w:val="000000"/>
              </w:rPr>
              <w:t>0.000595771</w:t>
            </w:r>
          </w:p>
        </w:tc>
        <w:tc>
          <w:tcPr>
            <w:tcW w:w="1480" w:type="dxa"/>
            <w:tcBorders>
              <w:top w:val="nil"/>
              <w:left w:val="nil"/>
              <w:bottom w:val="single" w:sz="4" w:space="0" w:color="auto"/>
              <w:right w:val="single" w:sz="4" w:space="0" w:color="auto"/>
            </w:tcBorders>
            <w:shd w:val="clear" w:color="auto" w:fill="auto"/>
            <w:noWrap/>
            <w:vAlign w:val="bottom"/>
            <w:hideMark/>
          </w:tcPr>
          <w:p w14:paraId="43CBF766" w14:textId="77777777" w:rsidR="00207CF4" w:rsidRPr="00BA2A47" w:rsidRDefault="00207CF4" w:rsidP="00BA2A47">
            <w:pPr>
              <w:jc w:val="right"/>
              <w:rPr>
                <w:color w:val="000000"/>
              </w:rPr>
            </w:pPr>
            <w:r w:rsidRPr="00BA2A47">
              <w:rPr>
                <w:color w:val="000000"/>
              </w:rPr>
              <w:t>0.000592657</w:t>
            </w:r>
          </w:p>
        </w:tc>
        <w:tc>
          <w:tcPr>
            <w:tcW w:w="1480" w:type="dxa"/>
            <w:tcBorders>
              <w:top w:val="nil"/>
              <w:left w:val="nil"/>
              <w:bottom w:val="single" w:sz="4" w:space="0" w:color="auto"/>
              <w:right w:val="single" w:sz="4" w:space="0" w:color="auto"/>
            </w:tcBorders>
            <w:shd w:val="clear" w:color="auto" w:fill="auto"/>
            <w:noWrap/>
            <w:vAlign w:val="bottom"/>
            <w:hideMark/>
          </w:tcPr>
          <w:p w14:paraId="02DED522" w14:textId="77777777" w:rsidR="00207CF4" w:rsidRPr="00BA2A47" w:rsidRDefault="00207CF4" w:rsidP="00BA2A47">
            <w:pPr>
              <w:jc w:val="right"/>
              <w:rPr>
                <w:color w:val="000000"/>
              </w:rPr>
            </w:pPr>
            <w:r w:rsidRPr="00BA2A47">
              <w:rPr>
                <w:color w:val="000000"/>
              </w:rPr>
              <w:t>0.000451338</w:t>
            </w:r>
          </w:p>
        </w:tc>
      </w:tr>
      <w:tr w:rsidR="00207CF4" w:rsidRPr="00207CF4" w14:paraId="20EA4A79" w14:textId="77777777" w:rsidTr="00207CF4">
        <w:trPr>
          <w:trHeight w:val="300"/>
          <w:jc w:val="center"/>
        </w:trPr>
        <w:tc>
          <w:tcPr>
            <w:tcW w:w="1780" w:type="dxa"/>
            <w:tcBorders>
              <w:top w:val="nil"/>
              <w:left w:val="single" w:sz="4" w:space="0" w:color="auto"/>
              <w:bottom w:val="nil"/>
              <w:right w:val="single" w:sz="4" w:space="0" w:color="auto"/>
            </w:tcBorders>
            <w:shd w:val="clear" w:color="auto" w:fill="auto"/>
            <w:noWrap/>
            <w:vAlign w:val="bottom"/>
            <w:hideMark/>
          </w:tcPr>
          <w:p w14:paraId="414F7178" w14:textId="77777777" w:rsidR="00207CF4" w:rsidRPr="00BA2A47" w:rsidRDefault="00207CF4" w:rsidP="00207CF4">
            <w:pPr>
              <w:rPr>
                <w:color w:val="000000"/>
              </w:rPr>
            </w:pPr>
            <w:r w:rsidRPr="00BA2A47">
              <w:rPr>
                <w:color w:val="000000"/>
              </w:rPr>
              <w:t>Phillips 66</w:t>
            </w:r>
          </w:p>
        </w:tc>
        <w:tc>
          <w:tcPr>
            <w:tcW w:w="1560" w:type="dxa"/>
            <w:tcBorders>
              <w:top w:val="nil"/>
              <w:left w:val="nil"/>
              <w:bottom w:val="nil"/>
              <w:right w:val="single" w:sz="4" w:space="0" w:color="auto"/>
            </w:tcBorders>
            <w:shd w:val="clear" w:color="auto" w:fill="auto"/>
            <w:noWrap/>
            <w:vAlign w:val="bottom"/>
            <w:hideMark/>
          </w:tcPr>
          <w:p w14:paraId="1FC0E85B" w14:textId="77777777" w:rsidR="00207CF4" w:rsidRPr="00BA2A47" w:rsidRDefault="00207CF4" w:rsidP="00BA2A47">
            <w:pPr>
              <w:jc w:val="right"/>
              <w:rPr>
                <w:color w:val="000000"/>
              </w:rPr>
            </w:pPr>
            <w:r w:rsidRPr="00BA2A47">
              <w:rPr>
                <w:color w:val="000000"/>
              </w:rPr>
              <w:t>4.76663E-06</w:t>
            </w:r>
          </w:p>
        </w:tc>
        <w:tc>
          <w:tcPr>
            <w:tcW w:w="1520" w:type="dxa"/>
            <w:tcBorders>
              <w:top w:val="nil"/>
              <w:left w:val="nil"/>
              <w:bottom w:val="nil"/>
              <w:right w:val="single" w:sz="4" w:space="0" w:color="auto"/>
            </w:tcBorders>
            <w:shd w:val="clear" w:color="auto" w:fill="auto"/>
            <w:noWrap/>
            <w:vAlign w:val="bottom"/>
            <w:hideMark/>
          </w:tcPr>
          <w:p w14:paraId="469EA3C7" w14:textId="77777777" w:rsidR="00207CF4" w:rsidRPr="00BA2A47" w:rsidRDefault="00207CF4" w:rsidP="00BA2A47">
            <w:pPr>
              <w:jc w:val="right"/>
              <w:rPr>
                <w:color w:val="000000"/>
              </w:rPr>
            </w:pPr>
            <w:r w:rsidRPr="00BA2A47">
              <w:rPr>
                <w:color w:val="000000"/>
              </w:rPr>
              <w:t>0.000821772</w:t>
            </w:r>
          </w:p>
        </w:tc>
        <w:tc>
          <w:tcPr>
            <w:tcW w:w="1480" w:type="dxa"/>
            <w:tcBorders>
              <w:top w:val="nil"/>
              <w:left w:val="nil"/>
              <w:bottom w:val="nil"/>
              <w:right w:val="single" w:sz="4" w:space="0" w:color="auto"/>
            </w:tcBorders>
            <w:shd w:val="clear" w:color="auto" w:fill="auto"/>
            <w:noWrap/>
            <w:vAlign w:val="bottom"/>
            <w:hideMark/>
          </w:tcPr>
          <w:p w14:paraId="4EFDF663" w14:textId="77777777" w:rsidR="00207CF4" w:rsidRPr="00BA2A47" w:rsidRDefault="00207CF4" w:rsidP="00BA2A47">
            <w:pPr>
              <w:jc w:val="right"/>
              <w:rPr>
                <w:color w:val="000000"/>
              </w:rPr>
            </w:pPr>
            <w:r w:rsidRPr="00BA2A47">
              <w:rPr>
                <w:color w:val="000000"/>
              </w:rPr>
              <w:t>0.00206903</w:t>
            </w:r>
          </w:p>
        </w:tc>
        <w:tc>
          <w:tcPr>
            <w:tcW w:w="1480" w:type="dxa"/>
            <w:tcBorders>
              <w:top w:val="nil"/>
              <w:left w:val="nil"/>
              <w:bottom w:val="nil"/>
              <w:right w:val="single" w:sz="4" w:space="0" w:color="auto"/>
            </w:tcBorders>
            <w:shd w:val="clear" w:color="auto" w:fill="auto"/>
            <w:noWrap/>
            <w:vAlign w:val="bottom"/>
            <w:hideMark/>
          </w:tcPr>
          <w:p w14:paraId="7FE21FC8" w14:textId="77777777" w:rsidR="00207CF4" w:rsidRPr="00BA2A47" w:rsidRDefault="00207CF4" w:rsidP="00BA2A47">
            <w:pPr>
              <w:jc w:val="right"/>
              <w:rPr>
                <w:color w:val="000000"/>
              </w:rPr>
            </w:pPr>
            <w:r w:rsidRPr="00BA2A47">
              <w:rPr>
                <w:color w:val="000000"/>
              </w:rPr>
              <w:t>0.002063512</w:t>
            </w:r>
          </w:p>
        </w:tc>
      </w:tr>
      <w:tr w:rsidR="00207CF4" w:rsidRPr="00207CF4" w14:paraId="6E3C84A9" w14:textId="77777777" w:rsidTr="00207CF4">
        <w:trPr>
          <w:trHeight w:val="300"/>
          <w:jc w:val="center"/>
        </w:trPr>
        <w:tc>
          <w:tcPr>
            <w:tcW w:w="1780" w:type="dxa"/>
            <w:tcBorders>
              <w:top w:val="nil"/>
              <w:left w:val="single" w:sz="4" w:space="0" w:color="auto"/>
              <w:bottom w:val="nil"/>
              <w:right w:val="single" w:sz="4" w:space="0" w:color="auto"/>
            </w:tcBorders>
            <w:shd w:val="clear" w:color="auto" w:fill="auto"/>
            <w:noWrap/>
            <w:vAlign w:val="bottom"/>
            <w:hideMark/>
          </w:tcPr>
          <w:p w14:paraId="5737BF86" w14:textId="77777777" w:rsidR="00207CF4" w:rsidRPr="00BA2A47" w:rsidRDefault="00207CF4" w:rsidP="00207CF4">
            <w:pPr>
              <w:rPr>
                <w:color w:val="000000"/>
              </w:rPr>
            </w:pPr>
            <w:r w:rsidRPr="00BA2A47">
              <w:rPr>
                <w:color w:val="000000"/>
              </w:rPr>
              <w:t>Phillips 67</w:t>
            </w:r>
          </w:p>
        </w:tc>
        <w:tc>
          <w:tcPr>
            <w:tcW w:w="1560" w:type="dxa"/>
            <w:tcBorders>
              <w:top w:val="nil"/>
              <w:left w:val="nil"/>
              <w:bottom w:val="nil"/>
              <w:right w:val="single" w:sz="4" w:space="0" w:color="auto"/>
            </w:tcBorders>
            <w:shd w:val="clear" w:color="auto" w:fill="auto"/>
            <w:noWrap/>
            <w:vAlign w:val="bottom"/>
            <w:hideMark/>
          </w:tcPr>
          <w:p w14:paraId="10BB6108" w14:textId="77777777" w:rsidR="00207CF4" w:rsidRPr="00BA2A47" w:rsidRDefault="00207CF4" w:rsidP="00BA2A47">
            <w:pPr>
              <w:jc w:val="right"/>
              <w:rPr>
                <w:color w:val="000000"/>
              </w:rPr>
            </w:pPr>
            <w:r w:rsidRPr="00BA2A47">
              <w:rPr>
                <w:color w:val="000000"/>
              </w:rPr>
              <w:t>0</w:t>
            </w:r>
          </w:p>
        </w:tc>
        <w:tc>
          <w:tcPr>
            <w:tcW w:w="1520" w:type="dxa"/>
            <w:tcBorders>
              <w:top w:val="nil"/>
              <w:left w:val="nil"/>
              <w:bottom w:val="nil"/>
              <w:right w:val="single" w:sz="4" w:space="0" w:color="auto"/>
            </w:tcBorders>
            <w:shd w:val="clear" w:color="auto" w:fill="auto"/>
            <w:noWrap/>
            <w:vAlign w:val="bottom"/>
            <w:hideMark/>
          </w:tcPr>
          <w:p w14:paraId="7F863237" w14:textId="77777777" w:rsidR="00207CF4" w:rsidRPr="00BA2A47" w:rsidRDefault="00207CF4" w:rsidP="00BA2A47">
            <w:pPr>
              <w:jc w:val="right"/>
              <w:rPr>
                <w:color w:val="000000"/>
              </w:rPr>
            </w:pPr>
            <w:r w:rsidRPr="00BA2A47">
              <w:rPr>
                <w:color w:val="000000"/>
              </w:rPr>
              <w:t>0.000672565</w:t>
            </w:r>
          </w:p>
        </w:tc>
        <w:tc>
          <w:tcPr>
            <w:tcW w:w="1480" w:type="dxa"/>
            <w:tcBorders>
              <w:top w:val="nil"/>
              <w:left w:val="nil"/>
              <w:bottom w:val="nil"/>
              <w:right w:val="single" w:sz="4" w:space="0" w:color="auto"/>
            </w:tcBorders>
            <w:shd w:val="clear" w:color="auto" w:fill="auto"/>
            <w:noWrap/>
            <w:vAlign w:val="bottom"/>
            <w:hideMark/>
          </w:tcPr>
          <w:p w14:paraId="5A415EAA" w14:textId="77777777" w:rsidR="00207CF4" w:rsidRPr="00BA2A47" w:rsidRDefault="00207CF4" w:rsidP="00BA2A47">
            <w:pPr>
              <w:jc w:val="right"/>
              <w:rPr>
                <w:color w:val="000000"/>
              </w:rPr>
            </w:pPr>
            <w:r w:rsidRPr="00BA2A47">
              <w:rPr>
                <w:color w:val="000000"/>
              </w:rPr>
              <w:t>0.002020933</w:t>
            </w:r>
          </w:p>
        </w:tc>
        <w:tc>
          <w:tcPr>
            <w:tcW w:w="1480" w:type="dxa"/>
            <w:tcBorders>
              <w:top w:val="nil"/>
              <w:left w:val="nil"/>
              <w:bottom w:val="nil"/>
              <w:right w:val="single" w:sz="4" w:space="0" w:color="auto"/>
            </w:tcBorders>
            <w:shd w:val="clear" w:color="auto" w:fill="auto"/>
            <w:noWrap/>
            <w:vAlign w:val="bottom"/>
            <w:hideMark/>
          </w:tcPr>
          <w:p w14:paraId="18D9952C" w14:textId="77777777" w:rsidR="00207CF4" w:rsidRPr="00BA2A47" w:rsidRDefault="00207CF4" w:rsidP="00BA2A47">
            <w:pPr>
              <w:jc w:val="right"/>
              <w:rPr>
                <w:color w:val="000000"/>
              </w:rPr>
            </w:pPr>
            <w:r w:rsidRPr="00BA2A47">
              <w:rPr>
                <w:color w:val="000000"/>
              </w:rPr>
              <w:t>3.21561E-05</w:t>
            </w:r>
          </w:p>
        </w:tc>
      </w:tr>
      <w:tr w:rsidR="00207CF4" w:rsidRPr="00207CF4" w14:paraId="3AF6C907" w14:textId="77777777" w:rsidTr="00207CF4">
        <w:trPr>
          <w:trHeight w:val="300"/>
          <w:jc w:val="center"/>
        </w:trPr>
        <w:tc>
          <w:tcPr>
            <w:tcW w:w="1780" w:type="dxa"/>
            <w:tcBorders>
              <w:top w:val="nil"/>
              <w:left w:val="single" w:sz="4" w:space="0" w:color="auto"/>
              <w:bottom w:val="nil"/>
              <w:right w:val="single" w:sz="4" w:space="0" w:color="auto"/>
            </w:tcBorders>
            <w:shd w:val="clear" w:color="auto" w:fill="auto"/>
            <w:noWrap/>
            <w:vAlign w:val="bottom"/>
            <w:hideMark/>
          </w:tcPr>
          <w:p w14:paraId="22BA32C5" w14:textId="77777777" w:rsidR="00207CF4" w:rsidRPr="00BA2A47" w:rsidRDefault="00207CF4" w:rsidP="00207CF4">
            <w:pPr>
              <w:rPr>
                <w:color w:val="000000"/>
              </w:rPr>
            </w:pPr>
            <w:r w:rsidRPr="00BA2A47">
              <w:rPr>
                <w:color w:val="000000"/>
              </w:rPr>
              <w:t>Phillips 68</w:t>
            </w:r>
          </w:p>
        </w:tc>
        <w:tc>
          <w:tcPr>
            <w:tcW w:w="1560" w:type="dxa"/>
            <w:tcBorders>
              <w:top w:val="nil"/>
              <w:left w:val="nil"/>
              <w:bottom w:val="nil"/>
              <w:right w:val="single" w:sz="4" w:space="0" w:color="auto"/>
            </w:tcBorders>
            <w:shd w:val="clear" w:color="auto" w:fill="auto"/>
            <w:noWrap/>
            <w:vAlign w:val="bottom"/>
            <w:hideMark/>
          </w:tcPr>
          <w:p w14:paraId="5C3A6E48" w14:textId="77777777" w:rsidR="00207CF4" w:rsidRPr="00BA2A47" w:rsidRDefault="00207CF4" w:rsidP="00BA2A47">
            <w:pPr>
              <w:jc w:val="right"/>
              <w:rPr>
                <w:color w:val="000000"/>
              </w:rPr>
            </w:pPr>
            <w:r w:rsidRPr="00BA2A47">
              <w:rPr>
                <w:color w:val="000000"/>
              </w:rPr>
              <w:t>1.55848E-05</w:t>
            </w:r>
          </w:p>
        </w:tc>
        <w:tc>
          <w:tcPr>
            <w:tcW w:w="1520" w:type="dxa"/>
            <w:tcBorders>
              <w:top w:val="nil"/>
              <w:left w:val="nil"/>
              <w:bottom w:val="nil"/>
              <w:right w:val="single" w:sz="4" w:space="0" w:color="auto"/>
            </w:tcBorders>
            <w:shd w:val="clear" w:color="auto" w:fill="auto"/>
            <w:noWrap/>
            <w:vAlign w:val="bottom"/>
            <w:hideMark/>
          </w:tcPr>
          <w:p w14:paraId="48A59B45" w14:textId="77777777" w:rsidR="00207CF4" w:rsidRPr="00BA2A47" w:rsidRDefault="00207CF4" w:rsidP="00BA2A47">
            <w:pPr>
              <w:jc w:val="right"/>
              <w:rPr>
                <w:color w:val="000000"/>
              </w:rPr>
            </w:pPr>
            <w:r w:rsidRPr="00BA2A47">
              <w:rPr>
                <w:color w:val="000000"/>
              </w:rPr>
              <w:t>0</w:t>
            </w:r>
          </w:p>
        </w:tc>
        <w:tc>
          <w:tcPr>
            <w:tcW w:w="1480" w:type="dxa"/>
            <w:tcBorders>
              <w:top w:val="nil"/>
              <w:left w:val="nil"/>
              <w:bottom w:val="nil"/>
              <w:right w:val="single" w:sz="4" w:space="0" w:color="auto"/>
            </w:tcBorders>
            <w:shd w:val="clear" w:color="auto" w:fill="auto"/>
            <w:noWrap/>
            <w:vAlign w:val="bottom"/>
            <w:hideMark/>
          </w:tcPr>
          <w:p w14:paraId="14427B1D" w14:textId="77777777" w:rsidR="00207CF4" w:rsidRPr="00BA2A47" w:rsidRDefault="00207CF4" w:rsidP="00BA2A47">
            <w:pPr>
              <w:jc w:val="right"/>
              <w:rPr>
                <w:color w:val="000000"/>
              </w:rPr>
            </w:pPr>
            <w:r w:rsidRPr="00BA2A47">
              <w:rPr>
                <w:color w:val="000000"/>
              </w:rPr>
              <w:t>0.001062993</w:t>
            </w:r>
          </w:p>
        </w:tc>
        <w:tc>
          <w:tcPr>
            <w:tcW w:w="1480" w:type="dxa"/>
            <w:tcBorders>
              <w:top w:val="nil"/>
              <w:left w:val="nil"/>
              <w:bottom w:val="nil"/>
              <w:right w:val="single" w:sz="4" w:space="0" w:color="auto"/>
            </w:tcBorders>
            <w:shd w:val="clear" w:color="auto" w:fill="auto"/>
            <w:noWrap/>
            <w:vAlign w:val="bottom"/>
            <w:hideMark/>
          </w:tcPr>
          <w:p w14:paraId="5579C13B" w14:textId="77777777" w:rsidR="00207CF4" w:rsidRPr="00BA2A47" w:rsidRDefault="00207CF4" w:rsidP="00BA2A47">
            <w:pPr>
              <w:jc w:val="right"/>
              <w:rPr>
                <w:color w:val="000000"/>
              </w:rPr>
            </w:pPr>
            <w:r w:rsidRPr="00BA2A47">
              <w:rPr>
                <w:color w:val="000000"/>
              </w:rPr>
              <w:t>0</w:t>
            </w:r>
          </w:p>
        </w:tc>
      </w:tr>
      <w:tr w:rsidR="00207CF4" w:rsidRPr="00207CF4" w14:paraId="1CC4560E" w14:textId="77777777" w:rsidTr="00207CF4">
        <w:trPr>
          <w:trHeight w:val="300"/>
          <w:jc w:val="center"/>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14:paraId="288AEE28" w14:textId="77777777" w:rsidR="00207CF4" w:rsidRPr="00BA2A47" w:rsidRDefault="00207CF4" w:rsidP="00207CF4">
            <w:pPr>
              <w:rPr>
                <w:color w:val="000000"/>
              </w:rPr>
            </w:pPr>
            <w:r w:rsidRPr="00BA2A47">
              <w:rPr>
                <w:color w:val="000000"/>
              </w:rPr>
              <w:t>Phillips 69</w:t>
            </w:r>
          </w:p>
        </w:tc>
        <w:tc>
          <w:tcPr>
            <w:tcW w:w="1560" w:type="dxa"/>
            <w:tcBorders>
              <w:top w:val="nil"/>
              <w:left w:val="nil"/>
              <w:bottom w:val="single" w:sz="4" w:space="0" w:color="auto"/>
              <w:right w:val="single" w:sz="4" w:space="0" w:color="auto"/>
            </w:tcBorders>
            <w:shd w:val="clear" w:color="auto" w:fill="auto"/>
            <w:noWrap/>
            <w:vAlign w:val="bottom"/>
            <w:hideMark/>
          </w:tcPr>
          <w:p w14:paraId="74DF3B7C" w14:textId="77777777" w:rsidR="00207CF4" w:rsidRPr="00BA2A47" w:rsidRDefault="00207CF4" w:rsidP="00BA2A47">
            <w:pPr>
              <w:jc w:val="right"/>
              <w:rPr>
                <w:color w:val="000000"/>
              </w:rPr>
            </w:pPr>
            <w:r w:rsidRPr="00BA2A47">
              <w:rPr>
                <w:color w:val="000000"/>
              </w:rPr>
              <w:t>2.52666E-05</w:t>
            </w:r>
          </w:p>
        </w:tc>
        <w:tc>
          <w:tcPr>
            <w:tcW w:w="1520" w:type="dxa"/>
            <w:tcBorders>
              <w:top w:val="nil"/>
              <w:left w:val="nil"/>
              <w:bottom w:val="single" w:sz="4" w:space="0" w:color="auto"/>
              <w:right w:val="single" w:sz="4" w:space="0" w:color="auto"/>
            </w:tcBorders>
            <w:shd w:val="clear" w:color="auto" w:fill="auto"/>
            <w:noWrap/>
            <w:vAlign w:val="bottom"/>
            <w:hideMark/>
          </w:tcPr>
          <w:p w14:paraId="32FA04C6" w14:textId="77777777" w:rsidR="00207CF4" w:rsidRPr="00BA2A47" w:rsidRDefault="00207CF4" w:rsidP="00BA2A47">
            <w:pPr>
              <w:jc w:val="right"/>
              <w:rPr>
                <w:color w:val="000000"/>
              </w:rPr>
            </w:pPr>
            <w:r w:rsidRPr="00BA2A47">
              <w:rPr>
                <w:color w:val="000000"/>
              </w:rPr>
              <w:t>0</w:t>
            </w:r>
          </w:p>
        </w:tc>
        <w:tc>
          <w:tcPr>
            <w:tcW w:w="1480" w:type="dxa"/>
            <w:tcBorders>
              <w:top w:val="nil"/>
              <w:left w:val="nil"/>
              <w:bottom w:val="single" w:sz="4" w:space="0" w:color="auto"/>
              <w:right w:val="single" w:sz="4" w:space="0" w:color="auto"/>
            </w:tcBorders>
            <w:shd w:val="clear" w:color="auto" w:fill="auto"/>
            <w:noWrap/>
            <w:vAlign w:val="bottom"/>
            <w:hideMark/>
          </w:tcPr>
          <w:p w14:paraId="3C95FC2B" w14:textId="77777777" w:rsidR="00207CF4" w:rsidRPr="00BA2A47" w:rsidRDefault="00207CF4" w:rsidP="00BA2A47">
            <w:pPr>
              <w:jc w:val="right"/>
              <w:rPr>
                <w:color w:val="000000"/>
              </w:rPr>
            </w:pPr>
            <w:r w:rsidRPr="00BA2A47">
              <w:rPr>
                <w:color w:val="000000"/>
              </w:rPr>
              <w:t>0.000810313</w:t>
            </w:r>
          </w:p>
        </w:tc>
        <w:tc>
          <w:tcPr>
            <w:tcW w:w="1480" w:type="dxa"/>
            <w:tcBorders>
              <w:top w:val="nil"/>
              <w:left w:val="nil"/>
              <w:bottom w:val="single" w:sz="4" w:space="0" w:color="auto"/>
              <w:right w:val="single" w:sz="4" w:space="0" w:color="auto"/>
            </w:tcBorders>
            <w:shd w:val="clear" w:color="auto" w:fill="auto"/>
            <w:noWrap/>
            <w:vAlign w:val="bottom"/>
            <w:hideMark/>
          </w:tcPr>
          <w:p w14:paraId="60F7C819" w14:textId="77777777" w:rsidR="00207CF4" w:rsidRPr="00BA2A47" w:rsidRDefault="00207CF4" w:rsidP="00BA2A47">
            <w:pPr>
              <w:jc w:val="right"/>
              <w:rPr>
                <w:color w:val="000000"/>
              </w:rPr>
            </w:pPr>
            <w:r w:rsidRPr="00BA2A47">
              <w:rPr>
                <w:color w:val="000000"/>
              </w:rPr>
              <w:t>0</w:t>
            </w:r>
          </w:p>
        </w:tc>
      </w:tr>
      <w:tr w:rsidR="00207CF4" w:rsidRPr="00207CF4" w14:paraId="4F37AAB8" w14:textId="77777777" w:rsidTr="00207CF4">
        <w:trPr>
          <w:trHeight w:val="300"/>
          <w:jc w:val="center"/>
        </w:trPr>
        <w:tc>
          <w:tcPr>
            <w:tcW w:w="1780" w:type="dxa"/>
            <w:tcBorders>
              <w:top w:val="nil"/>
              <w:left w:val="single" w:sz="4" w:space="0" w:color="auto"/>
              <w:bottom w:val="nil"/>
              <w:right w:val="single" w:sz="4" w:space="0" w:color="auto"/>
            </w:tcBorders>
            <w:shd w:val="clear" w:color="auto" w:fill="auto"/>
            <w:noWrap/>
            <w:vAlign w:val="bottom"/>
            <w:hideMark/>
          </w:tcPr>
          <w:p w14:paraId="33260AF0" w14:textId="77777777" w:rsidR="00207CF4" w:rsidRPr="00BA2A47" w:rsidRDefault="00207CF4" w:rsidP="00207CF4">
            <w:pPr>
              <w:rPr>
                <w:color w:val="000000"/>
              </w:rPr>
            </w:pPr>
            <w:r w:rsidRPr="00BA2A47">
              <w:rPr>
                <w:color w:val="000000"/>
              </w:rPr>
              <w:t>Shell</w:t>
            </w:r>
          </w:p>
        </w:tc>
        <w:tc>
          <w:tcPr>
            <w:tcW w:w="1560" w:type="dxa"/>
            <w:tcBorders>
              <w:top w:val="nil"/>
              <w:left w:val="nil"/>
              <w:bottom w:val="nil"/>
              <w:right w:val="single" w:sz="4" w:space="0" w:color="auto"/>
            </w:tcBorders>
            <w:shd w:val="clear" w:color="auto" w:fill="auto"/>
            <w:noWrap/>
            <w:vAlign w:val="bottom"/>
            <w:hideMark/>
          </w:tcPr>
          <w:p w14:paraId="557E6756" w14:textId="77777777" w:rsidR="00207CF4" w:rsidRPr="00BA2A47" w:rsidRDefault="00207CF4" w:rsidP="00BA2A47">
            <w:pPr>
              <w:jc w:val="right"/>
              <w:rPr>
                <w:color w:val="000000"/>
              </w:rPr>
            </w:pPr>
            <w:r w:rsidRPr="00BA2A47">
              <w:rPr>
                <w:color w:val="000000"/>
              </w:rPr>
              <w:t>0.000286148</w:t>
            </w:r>
          </w:p>
        </w:tc>
        <w:tc>
          <w:tcPr>
            <w:tcW w:w="1520" w:type="dxa"/>
            <w:tcBorders>
              <w:top w:val="nil"/>
              <w:left w:val="nil"/>
              <w:bottom w:val="nil"/>
              <w:right w:val="single" w:sz="4" w:space="0" w:color="auto"/>
            </w:tcBorders>
            <w:shd w:val="clear" w:color="auto" w:fill="auto"/>
            <w:noWrap/>
            <w:vAlign w:val="bottom"/>
            <w:hideMark/>
          </w:tcPr>
          <w:p w14:paraId="6D4F3963" w14:textId="77777777" w:rsidR="00207CF4" w:rsidRPr="00BA2A47" w:rsidRDefault="00207CF4" w:rsidP="00BA2A47">
            <w:pPr>
              <w:jc w:val="right"/>
              <w:rPr>
                <w:color w:val="000000"/>
              </w:rPr>
            </w:pPr>
            <w:r w:rsidRPr="00BA2A47">
              <w:rPr>
                <w:color w:val="000000"/>
              </w:rPr>
              <w:t>0.000209112</w:t>
            </w:r>
          </w:p>
        </w:tc>
        <w:tc>
          <w:tcPr>
            <w:tcW w:w="1480" w:type="dxa"/>
            <w:tcBorders>
              <w:top w:val="nil"/>
              <w:left w:val="nil"/>
              <w:bottom w:val="nil"/>
              <w:right w:val="single" w:sz="4" w:space="0" w:color="auto"/>
            </w:tcBorders>
            <w:shd w:val="clear" w:color="auto" w:fill="auto"/>
            <w:noWrap/>
            <w:vAlign w:val="bottom"/>
            <w:hideMark/>
          </w:tcPr>
          <w:p w14:paraId="1359816E" w14:textId="77777777" w:rsidR="00207CF4" w:rsidRPr="00BA2A47" w:rsidRDefault="00207CF4" w:rsidP="00BA2A47">
            <w:pPr>
              <w:jc w:val="right"/>
              <w:rPr>
                <w:color w:val="000000"/>
              </w:rPr>
            </w:pPr>
            <w:r w:rsidRPr="00BA2A47">
              <w:rPr>
                <w:color w:val="000000"/>
              </w:rPr>
              <w:t>6.67773E-05</w:t>
            </w:r>
          </w:p>
        </w:tc>
        <w:tc>
          <w:tcPr>
            <w:tcW w:w="1480" w:type="dxa"/>
            <w:tcBorders>
              <w:top w:val="nil"/>
              <w:left w:val="nil"/>
              <w:bottom w:val="nil"/>
              <w:right w:val="single" w:sz="4" w:space="0" w:color="auto"/>
            </w:tcBorders>
            <w:shd w:val="clear" w:color="auto" w:fill="auto"/>
            <w:noWrap/>
            <w:vAlign w:val="bottom"/>
            <w:hideMark/>
          </w:tcPr>
          <w:p w14:paraId="6BC7132E" w14:textId="77777777" w:rsidR="00207CF4" w:rsidRPr="00BA2A47" w:rsidRDefault="00207CF4" w:rsidP="00BA2A47">
            <w:pPr>
              <w:jc w:val="right"/>
              <w:rPr>
                <w:color w:val="000000"/>
              </w:rPr>
            </w:pPr>
            <w:r w:rsidRPr="00BA2A47">
              <w:rPr>
                <w:color w:val="000000"/>
              </w:rPr>
              <w:t>0.001512766</w:t>
            </w:r>
          </w:p>
        </w:tc>
      </w:tr>
      <w:tr w:rsidR="00207CF4" w:rsidRPr="00207CF4" w14:paraId="299D8DAD" w14:textId="77777777" w:rsidTr="00207CF4">
        <w:trPr>
          <w:trHeight w:val="300"/>
          <w:jc w:val="center"/>
        </w:trPr>
        <w:tc>
          <w:tcPr>
            <w:tcW w:w="1780" w:type="dxa"/>
            <w:tcBorders>
              <w:top w:val="nil"/>
              <w:left w:val="single" w:sz="4" w:space="0" w:color="auto"/>
              <w:bottom w:val="nil"/>
              <w:right w:val="single" w:sz="4" w:space="0" w:color="auto"/>
            </w:tcBorders>
            <w:shd w:val="clear" w:color="auto" w:fill="auto"/>
            <w:noWrap/>
            <w:vAlign w:val="bottom"/>
            <w:hideMark/>
          </w:tcPr>
          <w:p w14:paraId="259D3AF9" w14:textId="77777777" w:rsidR="00207CF4" w:rsidRPr="00BA2A47" w:rsidRDefault="00207CF4" w:rsidP="00207CF4">
            <w:pPr>
              <w:rPr>
                <w:color w:val="000000"/>
              </w:rPr>
            </w:pPr>
            <w:r w:rsidRPr="00BA2A47">
              <w:rPr>
                <w:color w:val="000000"/>
              </w:rPr>
              <w:t>Shell</w:t>
            </w:r>
          </w:p>
        </w:tc>
        <w:tc>
          <w:tcPr>
            <w:tcW w:w="1560" w:type="dxa"/>
            <w:tcBorders>
              <w:top w:val="nil"/>
              <w:left w:val="nil"/>
              <w:bottom w:val="nil"/>
              <w:right w:val="single" w:sz="4" w:space="0" w:color="auto"/>
            </w:tcBorders>
            <w:shd w:val="clear" w:color="auto" w:fill="auto"/>
            <w:noWrap/>
            <w:vAlign w:val="bottom"/>
            <w:hideMark/>
          </w:tcPr>
          <w:p w14:paraId="1BEC2C0A" w14:textId="77777777" w:rsidR="00207CF4" w:rsidRPr="00BA2A47" w:rsidRDefault="00207CF4" w:rsidP="00BA2A47">
            <w:pPr>
              <w:jc w:val="right"/>
              <w:rPr>
                <w:color w:val="000000"/>
              </w:rPr>
            </w:pPr>
            <w:r w:rsidRPr="00BA2A47">
              <w:rPr>
                <w:color w:val="000000"/>
              </w:rPr>
              <w:t>0.000162484</w:t>
            </w:r>
          </w:p>
        </w:tc>
        <w:tc>
          <w:tcPr>
            <w:tcW w:w="1520" w:type="dxa"/>
            <w:tcBorders>
              <w:top w:val="nil"/>
              <w:left w:val="nil"/>
              <w:bottom w:val="nil"/>
              <w:right w:val="single" w:sz="4" w:space="0" w:color="auto"/>
            </w:tcBorders>
            <w:shd w:val="clear" w:color="auto" w:fill="auto"/>
            <w:noWrap/>
            <w:vAlign w:val="bottom"/>
            <w:hideMark/>
          </w:tcPr>
          <w:p w14:paraId="4E623D58" w14:textId="77777777" w:rsidR="00207CF4" w:rsidRPr="00BA2A47" w:rsidRDefault="00207CF4" w:rsidP="00BA2A47">
            <w:pPr>
              <w:jc w:val="right"/>
              <w:rPr>
                <w:color w:val="000000"/>
              </w:rPr>
            </w:pPr>
            <w:r w:rsidRPr="00BA2A47">
              <w:rPr>
                <w:color w:val="000000"/>
              </w:rPr>
              <w:t>0.000229259</w:t>
            </w:r>
          </w:p>
        </w:tc>
        <w:tc>
          <w:tcPr>
            <w:tcW w:w="1480" w:type="dxa"/>
            <w:tcBorders>
              <w:top w:val="nil"/>
              <w:left w:val="nil"/>
              <w:bottom w:val="nil"/>
              <w:right w:val="single" w:sz="4" w:space="0" w:color="auto"/>
            </w:tcBorders>
            <w:shd w:val="clear" w:color="auto" w:fill="auto"/>
            <w:noWrap/>
            <w:vAlign w:val="bottom"/>
            <w:hideMark/>
          </w:tcPr>
          <w:p w14:paraId="29D83E46" w14:textId="77777777" w:rsidR="00207CF4" w:rsidRPr="00BA2A47" w:rsidRDefault="00207CF4" w:rsidP="00BA2A47">
            <w:pPr>
              <w:jc w:val="right"/>
              <w:rPr>
                <w:color w:val="000000"/>
              </w:rPr>
            </w:pPr>
            <w:r w:rsidRPr="00BA2A47">
              <w:rPr>
                <w:color w:val="000000"/>
              </w:rPr>
              <w:t>3.5482E-05</w:t>
            </w:r>
          </w:p>
        </w:tc>
        <w:tc>
          <w:tcPr>
            <w:tcW w:w="1480" w:type="dxa"/>
            <w:tcBorders>
              <w:top w:val="nil"/>
              <w:left w:val="nil"/>
              <w:bottom w:val="nil"/>
              <w:right w:val="single" w:sz="4" w:space="0" w:color="auto"/>
            </w:tcBorders>
            <w:shd w:val="clear" w:color="auto" w:fill="auto"/>
            <w:noWrap/>
            <w:vAlign w:val="bottom"/>
            <w:hideMark/>
          </w:tcPr>
          <w:p w14:paraId="67D9CD15" w14:textId="77777777" w:rsidR="00207CF4" w:rsidRPr="00BA2A47" w:rsidRDefault="00207CF4" w:rsidP="00BA2A47">
            <w:pPr>
              <w:jc w:val="right"/>
              <w:rPr>
                <w:color w:val="000000"/>
              </w:rPr>
            </w:pPr>
            <w:r w:rsidRPr="00BA2A47">
              <w:rPr>
                <w:color w:val="000000"/>
              </w:rPr>
              <w:t>8.988E-05</w:t>
            </w:r>
          </w:p>
        </w:tc>
      </w:tr>
      <w:tr w:rsidR="00207CF4" w:rsidRPr="00207CF4" w14:paraId="745DB7AC" w14:textId="77777777" w:rsidTr="00207CF4">
        <w:trPr>
          <w:trHeight w:val="300"/>
          <w:jc w:val="center"/>
        </w:trPr>
        <w:tc>
          <w:tcPr>
            <w:tcW w:w="1780" w:type="dxa"/>
            <w:tcBorders>
              <w:top w:val="nil"/>
              <w:left w:val="single" w:sz="4" w:space="0" w:color="auto"/>
              <w:bottom w:val="nil"/>
              <w:right w:val="single" w:sz="4" w:space="0" w:color="auto"/>
            </w:tcBorders>
            <w:shd w:val="clear" w:color="auto" w:fill="auto"/>
            <w:noWrap/>
            <w:vAlign w:val="bottom"/>
            <w:hideMark/>
          </w:tcPr>
          <w:p w14:paraId="1C50E0AB" w14:textId="77777777" w:rsidR="00207CF4" w:rsidRPr="00BA2A47" w:rsidRDefault="00207CF4" w:rsidP="00207CF4">
            <w:pPr>
              <w:rPr>
                <w:color w:val="000000"/>
              </w:rPr>
            </w:pPr>
            <w:r w:rsidRPr="00BA2A47">
              <w:rPr>
                <w:color w:val="000000"/>
              </w:rPr>
              <w:lastRenderedPageBreak/>
              <w:t>Shell</w:t>
            </w:r>
          </w:p>
        </w:tc>
        <w:tc>
          <w:tcPr>
            <w:tcW w:w="1560" w:type="dxa"/>
            <w:tcBorders>
              <w:top w:val="nil"/>
              <w:left w:val="nil"/>
              <w:bottom w:val="nil"/>
              <w:right w:val="single" w:sz="4" w:space="0" w:color="auto"/>
            </w:tcBorders>
            <w:shd w:val="clear" w:color="auto" w:fill="auto"/>
            <w:noWrap/>
            <w:vAlign w:val="bottom"/>
            <w:hideMark/>
          </w:tcPr>
          <w:p w14:paraId="65C7CA26" w14:textId="77777777" w:rsidR="00207CF4" w:rsidRPr="00BA2A47" w:rsidRDefault="00207CF4" w:rsidP="00BA2A47">
            <w:pPr>
              <w:jc w:val="right"/>
              <w:rPr>
                <w:color w:val="000000"/>
              </w:rPr>
            </w:pPr>
            <w:r w:rsidRPr="00BA2A47">
              <w:rPr>
                <w:color w:val="000000"/>
              </w:rPr>
              <w:t>5.1977E-05</w:t>
            </w:r>
          </w:p>
        </w:tc>
        <w:tc>
          <w:tcPr>
            <w:tcW w:w="1520" w:type="dxa"/>
            <w:tcBorders>
              <w:top w:val="nil"/>
              <w:left w:val="nil"/>
              <w:bottom w:val="nil"/>
              <w:right w:val="single" w:sz="4" w:space="0" w:color="auto"/>
            </w:tcBorders>
            <w:shd w:val="clear" w:color="auto" w:fill="auto"/>
            <w:noWrap/>
            <w:vAlign w:val="bottom"/>
            <w:hideMark/>
          </w:tcPr>
          <w:p w14:paraId="3CA2FF54" w14:textId="77777777" w:rsidR="00207CF4" w:rsidRPr="00BA2A47" w:rsidRDefault="00207CF4" w:rsidP="00BA2A47">
            <w:pPr>
              <w:jc w:val="right"/>
              <w:rPr>
                <w:color w:val="000000"/>
              </w:rPr>
            </w:pPr>
            <w:r w:rsidRPr="00BA2A47">
              <w:rPr>
                <w:color w:val="000000"/>
              </w:rPr>
              <w:t>0.00035582</w:t>
            </w:r>
          </w:p>
        </w:tc>
        <w:tc>
          <w:tcPr>
            <w:tcW w:w="1480" w:type="dxa"/>
            <w:tcBorders>
              <w:top w:val="nil"/>
              <w:left w:val="nil"/>
              <w:bottom w:val="nil"/>
              <w:right w:val="single" w:sz="4" w:space="0" w:color="auto"/>
            </w:tcBorders>
            <w:shd w:val="clear" w:color="auto" w:fill="auto"/>
            <w:noWrap/>
            <w:vAlign w:val="bottom"/>
            <w:hideMark/>
          </w:tcPr>
          <w:p w14:paraId="542A0617" w14:textId="77777777" w:rsidR="00207CF4" w:rsidRPr="00BA2A47" w:rsidRDefault="00207CF4" w:rsidP="00BA2A47">
            <w:pPr>
              <w:jc w:val="right"/>
              <w:rPr>
                <w:color w:val="000000"/>
              </w:rPr>
            </w:pPr>
            <w:r w:rsidRPr="00BA2A47">
              <w:rPr>
                <w:color w:val="000000"/>
              </w:rPr>
              <w:t>7.10011E-05</w:t>
            </w:r>
          </w:p>
        </w:tc>
        <w:tc>
          <w:tcPr>
            <w:tcW w:w="1480" w:type="dxa"/>
            <w:tcBorders>
              <w:top w:val="nil"/>
              <w:left w:val="nil"/>
              <w:bottom w:val="nil"/>
              <w:right w:val="single" w:sz="4" w:space="0" w:color="auto"/>
            </w:tcBorders>
            <w:shd w:val="clear" w:color="auto" w:fill="auto"/>
            <w:noWrap/>
            <w:vAlign w:val="bottom"/>
            <w:hideMark/>
          </w:tcPr>
          <w:p w14:paraId="6B38929E" w14:textId="77777777" w:rsidR="00207CF4" w:rsidRPr="00BA2A47" w:rsidRDefault="00207CF4" w:rsidP="00BA2A47">
            <w:pPr>
              <w:jc w:val="right"/>
              <w:rPr>
                <w:color w:val="000000"/>
              </w:rPr>
            </w:pPr>
            <w:r w:rsidRPr="00BA2A47">
              <w:rPr>
                <w:color w:val="000000"/>
              </w:rPr>
              <w:t>4.81461E-05</w:t>
            </w:r>
          </w:p>
        </w:tc>
      </w:tr>
      <w:tr w:rsidR="00207CF4" w:rsidRPr="00207CF4" w14:paraId="4ADEADCF" w14:textId="77777777" w:rsidTr="00207CF4">
        <w:trPr>
          <w:trHeight w:val="300"/>
          <w:jc w:val="center"/>
        </w:trPr>
        <w:tc>
          <w:tcPr>
            <w:tcW w:w="1780" w:type="dxa"/>
            <w:tcBorders>
              <w:top w:val="nil"/>
              <w:left w:val="single" w:sz="4" w:space="0" w:color="auto"/>
              <w:bottom w:val="nil"/>
              <w:right w:val="single" w:sz="4" w:space="0" w:color="auto"/>
            </w:tcBorders>
            <w:shd w:val="clear" w:color="auto" w:fill="auto"/>
            <w:noWrap/>
            <w:vAlign w:val="bottom"/>
            <w:hideMark/>
          </w:tcPr>
          <w:p w14:paraId="4A5C407D" w14:textId="77777777" w:rsidR="00207CF4" w:rsidRPr="00BA2A47" w:rsidRDefault="00207CF4" w:rsidP="00207CF4">
            <w:pPr>
              <w:rPr>
                <w:color w:val="000000"/>
              </w:rPr>
            </w:pPr>
            <w:r w:rsidRPr="00BA2A47">
              <w:rPr>
                <w:color w:val="000000"/>
              </w:rPr>
              <w:t>Shell</w:t>
            </w:r>
          </w:p>
        </w:tc>
        <w:tc>
          <w:tcPr>
            <w:tcW w:w="1560" w:type="dxa"/>
            <w:tcBorders>
              <w:top w:val="nil"/>
              <w:left w:val="nil"/>
              <w:bottom w:val="nil"/>
              <w:right w:val="single" w:sz="4" w:space="0" w:color="auto"/>
            </w:tcBorders>
            <w:shd w:val="clear" w:color="auto" w:fill="auto"/>
            <w:noWrap/>
            <w:vAlign w:val="bottom"/>
            <w:hideMark/>
          </w:tcPr>
          <w:p w14:paraId="5022D0C1" w14:textId="77777777" w:rsidR="00207CF4" w:rsidRPr="00BA2A47" w:rsidRDefault="00207CF4" w:rsidP="00BA2A47">
            <w:pPr>
              <w:jc w:val="right"/>
              <w:rPr>
                <w:color w:val="000000"/>
              </w:rPr>
            </w:pPr>
            <w:r w:rsidRPr="00BA2A47">
              <w:rPr>
                <w:color w:val="000000"/>
              </w:rPr>
              <w:t>3.11282E-05</w:t>
            </w:r>
          </w:p>
        </w:tc>
        <w:tc>
          <w:tcPr>
            <w:tcW w:w="1520" w:type="dxa"/>
            <w:tcBorders>
              <w:top w:val="nil"/>
              <w:left w:val="nil"/>
              <w:bottom w:val="nil"/>
              <w:right w:val="single" w:sz="4" w:space="0" w:color="auto"/>
            </w:tcBorders>
            <w:shd w:val="clear" w:color="auto" w:fill="auto"/>
            <w:noWrap/>
            <w:vAlign w:val="bottom"/>
            <w:hideMark/>
          </w:tcPr>
          <w:p w14:paraId="62AF51AE" w14:textId="77777777" w:rsidR="00207CF4" w:rsidRPr="00BA2A47" w:rsidRDefault="00207CF4" w:rsidP="00BA2A47">
            <w:pPr>
              <w:jc w:val="right"/>
              <w:rPr>
                <w:color w:val="000000"/>
              </w:rPr>
            </w:pPr>
            <w:r w:rsidRPr="00BA2A47">
              <w:rPr>
                <w:color w:val="000000"/>
              </w:rPr>
              <w:t>6.84687E-05</w:t>
            </w:r>
          </w:p>
        </w:tc>
        <w:tc>
          <w:tcPr>
            <w:tcW w:w="1480" w:type="dxa"/>
            <w:tcBorders>
              <w:top w:val="nil"/>
              <w:left w:val="nil"/>
              <w:bottom w:val="nil"/>
              <w:right w:val="single" w:sz="4" w:space="0" w:color="auto"/>
            </w:tcBorders>
            <w:shd w:val="clear" w:color="auto" w:fill="auto"/>
            <w:noWrap/>
            <w:vAlign w:val="bottom"/>
            <w:hideMark/>
          </w:tcPr>
          <w:p w14:paraId="7ADD6AAE" w14:textId="77777777" w:rsidR="00207CF4" w:rsidRPr="00BA2A47" w:rsidRDefault="00207CF4" w:rsidP="00BA2A47">
            <w:pPr>
              <w:jc w:val="right"/>
              <w:rPr>
                <w:color w:val="000000"/>
              </w:rPr>
            </w:pPr>
            <w:r w:rsidRPr="00BA2A47">
              <w:rPr>
                <w:color w:val="000000"/>
              </w:rPr>
              <w:t>9.6932E-05</w:t>
            </w:r>
          </w:p>
        </w:tc>
        <w:tc>
          <w:tcPr>
            <w:tcW w:w="1480" w:type="dxa"/>
            <w:tcBorders>
              <w:top w:val="nil"/>
              <w:left w:val="nil"/>
              <w:bottom w:val="nil"/>
              <w:right w:val="single" w:sz="4" w:space="0" w:color="auto"/>
            </w:tcBorders>
            <w:shd w:val="clear" w:color="auto" w:fill="auto"/>
            <w:noWrap/>
            <w:vAlign w:val="bottom"/>
            <w:hideMark/>
          </w:tcPr>
          <w:p w14:paraId="1B5299B0" w14:textId="77777777" w:rsidR="00207CF4" w:rsidRPr="00BA2A47" w:rsidRDefault="00207CF4" w:rsidP="00BA2A47">
            <w:pPr>
              <w:jc w:val="right"/>
              <w:rPr>
                <w:color w:val="000000"/>
              </w:rPr>
            </w:pPr>
            <w:r w:rsidRPr="00BA2A47">
              <w:rPr>
                <w:color w:val="000000"/>
              </w:rPr>
              <w:t>0</w:t>
            </w:r>
          </w:p>
        </w:tc>
      </w:tr>
      <w:tr w:rsidR="00207CF4" w:rsidRPr="00207CF4" w14:paraId="79528596" w14:textId="77777777" w:rsidTr="00207CF4">
        <w:trPr>
          <w:trHeight w:val="300"/>
          <w:jc w:val="center"/>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14:paraId="5BBEB2DE" w14:textId="77777777" w:rsidR="00207CF4" w:rsidRPr="00BA2A47" w:rsidRDefault="00207CF4" w:rsidP="00207CF4">
            <w:pPr>
              <w:rPr>
                <w:color w:val="000000"/>
              </w:rPr>
            </w:pPr>
            <w:r w:rsidRPr="00BA2A47">
              <w:rPr>
                <w:color w:val="000000"/>
              </w:rPr>
              <w:t>Shell</w:t>
            </w:r>
          </w:p>
        </w:tc>
        <w:tc>
          <w:tcPr>
            <w:tcW w:w="1560" w:type="dxa"/>
            <w:tcBorders>
              <w:top w:val="nil"/>
              <w:left w:val="nil"/>
              <w:bottom w:val="single" w:sz="4" w:space="0" w:color="auto"/>
              <w:right w:val="single" w:sz="4" w:space="0" w:color="auto"/>
            </w:tcBorders>
            <w:shd w:val="clear" w:color="auto" w:fill="auto"/>
            <w:noWrap/>
            <w:vAlign w:val="bottom"/>
            <w:hideMark/>
          </w:tcPr>
          <w:p w14:paraId="3DE0D23B" w14:textId="77777777" w:rsidR="00207CF4" w:rsidRPr="00BA2A47" w:rsidRDefault="00207CF4" w:rsidP="00BA2A47">
            <w:pPr>
              <w:jc w:val="center"/>
              <w:rPr>
                <w:color w:val="000000"/>
              </w:rPr>
            </w:pPr>
            <w:r w:rsidRPr="00BA2A47">
              <w:rPr>
                <w:color w:val="000000"/>
              </w:rPr>
              <w:t>-</w:t>
            </w:r>
          </w:p>
        </w:tc>
        <w:tc>
          <w:tcPr>
            <w:tcW w:w="1520" w:type="dxa"/>
            <w:tcBorders>
              <w:top w:val="nil"/>
              <w:left w:val="nil"/>
              <w:bottom w:val="single" w:sz="4" w:space="0" w:color="auto"/>
              <w:right w:val="single" w:sz="4" w:space="0" w:color="auto"/>
            </w:tcBorders>
            <w:shd w:val="clear" w:color="auto" w:fill="auto"/>
            <w:noWrap/>
            <w:vAlign w:val="bottom"/>
            <w:hideMark/>
          </w:tcPr>
          <w:p w14:paraId="74EDE444" w14:textId="77777777" w:rsidR="00207CF4" w:rsidRPr="00BA2A47" w:rsidRDefault="00207CF4" w:rsidP="00BA2A47">
            <w:pPr>
              <w:jc w:val="center"/>
              <w:rPr>
                <w:color w:val="000000"/>
              </w:rPr>
            </w:pPr>
            <w:r w:rsidRPr="00BA2A47">
              <w:rPr>
                <w:color w:val="000000"/>
              </w:rPr>
              <w:t>-</w:t>
            </w:r>
          </w:p>
        </w:tc>
        <w:tc>
          <w:tcPr>
            <w:tcW w:w="1480" w:type="dxa"/>
            <w:tcBorders>
              <w:top w:val="nil"/>
              <w:left w:val="nil"/>
              <w:bottom w:val="single" w:sz="4" w:space="0" w:color="auto"/>
              <w:right w:val="single" w:sz="4" w:space="0" w:color="auto"/>
            </w:tcBorders>
            <w:shd w:val="clear" w:color="auto" w:fill="auto"/>
            <w:noWrap/>
            <w:vAlign w:val="bottom"/>
            <w:hideMark/>
          </w:tcPr>
          <w:p w14:paraId="655B05CD" w14:textId="77777777" w:rsidR="00207CF4" w:rsidRPr="00BA2A47" w:rsidRDefault="00207CF4" w:rsidP="00BA2A47">
            <w:pPr>
              <w:jc w:val="right"/>
              <w:rPr>
                <w:color w:val="000000"/>
              </w:rPr>
            </w:pPr>
            <w:r w:rsidRPr="00BA2A47">
              <w:rPr>
                <w:color w:val="000000"/>
              </w:rPr>
              <w:t>2.50889E-05</w:t>
            </w:r>
          </w:p>
        </w:tc>
        <w:tc>
          <w:tcPr>
            <w:tcW w:w="1480" w:type="dxa"/>
            <w:tcBorders>
              <w:top w:val="nil"/>
              <w:left w:val="nil"/>
              <w:bottom w:val="single" w:sz="4" w:space="0" w:color="auto"/>
              <w:right w:val="single" w:sz="4" w:space="0" w:color="auto"/>
            </w:tcBorders>
            <w:shd w:val="clear" w:color="auto" w:fill="auto"/>
            <w:noWrap/>
            <w:vAlign w:val="bottom"/>
            <w:hideMark/>
          </w:tcPr>
          <w:p w14:paraId="6FFA8879" w14:textId="77777777" w:rsidR="00207CF4" w:rsidRPr="00BA2A47" w:rsidRDefault="00207CF4" w:rsidP="00BA2A47">
            <w:pPr>
              <w:jc w:val="center"/>
              <w:rPr>
                <w:color w:val="000000"/>
              </w:rPr>
            </w:pPr>
            <w:r w:rsidRPr="00BA2A47">
              <w:rPr>
                <w:color w:val="000000"/>
              </w:rPr>
              <w:t>-</w:t>
            </w:r>
          </w:p>
        </w:tc>
      </w:tr>
      <w:tr w:rsidR="00207CF4" w:rsidRPr="00207CF4" w14:paraId="4F38BA49" w14:textId="77777777" w:rsidTr="00207CF4">
        <w:trPr>
          <w:trHeight w:val="300"/>
          <w:jc w:val="center"/>
        </w:trPr>
        <w:tc>
          <w:tcPr>
            <w:tcW w:w="1780" w:type="dxa"/>
            <w:tcBorders>
              <w:top w:val="nil"/>
              <w:left w:val="single" w:sz="4" w:space="0" w:color="auto"/>
              <w:bottom w:val="nil"/>
              <w:right w:val="single" w:sz="4" w:space="0" w:color="auto"/>
            </w:tcBorders>
            <w:shd w:val="clear" w:color="auto" w:fill="auto"/>
            <w:noWrap/>
            <w:vAlign w:val="bottom"/>
            <w:hideMark/>
          </w:tcPr>
          <w:p w14:paraId="6DDBC09A" w14:textId="77777777" w:rsidR="00207CF4" w:rsidRPr="00BA2A47" w:rsidRDefault="00207CF4" w:rsidP="00207CF4">
            <w:pPr>
              <w:rPr>
                <w:color w:val="000000"/>
              </w:rPr>
            </w:pPr>
            <w:r w:rsidRPr="00BA2A47">
              <w:rPr>
                <w:color w:val="000000"/>
              </w:rPr>
              <w:t>Tesoro</w:t>
            </w:r>
          </w:p>
        </w:tc>
        <w:tc>
          <w:tcPr>
            <w:tcW w:w="1560" w:type="dxa"/>
            <w:tcBorders>
              <w:top w:val="nil"/>
              <w:left w:val="nil"/>
              <w:bottom w:val="nil"/>
              <w:right w:val="single" w:sz="4" w:space="0" w:color="auto"/>
            </w:tcBorders>
            <w:shd w:val="clear" w:color="auto" w:fill="auto"/>
            <w:noWrap/>
            <w:vAlign w:val="bottom"/>
            <w:hideMark/>
          </w:tcPr>
          <w:p w14:paraId="2278D08E" w14:textId="77777777" w:rsidR="00207CF4" w:rsidRPr="00BA2A47" w:rsidRDefault="00207CF4" w:rsidP="00BA2A47">
            <w:pPr>
              <w:jc w:val="right"/>
              <w:rPr>
                <w:color w:val="000000"/>
              </w:rPr>
            </w:pPr>
            <w:r w:rsidRPr="00BA2A47">
              <w:rPr>
                <w:color w:val="000000"/>
              </w:rPr>
              <w:t>0</w:t>
            </w:r>
          </w:p>
        </w:tc>
        <w:tc>
          <w:tcPr>
            <w:tcW w:w="1520" w:type="dxa"/>
            <w:tcBorders>
              <w:top w:val="nil"/>
              <w:left w:val="nil"/>
              <w:bottom w:val="nil"/>
              <w:right w:val="single" w:sz="4" w:space="0" w:color="auto"/>
            </w:tcBorders>
            <w:shd w:val="clear" w:color="auto" w:fill="auto"/>
            <w:noWrap/>
            <w:vAlign w:val="bottom"/>
            <w:hideMark/>
          </w:tcPr>
          <w:p w14:paraId="0FE58DC3" w14:textId="77777777" w:rsidR="00207CF4" w:rsidRPr="00BA2A47" w:rsidRDefault="00207CF4" w:rsidP="00BA2A47">
            <w:pPr>
              <w:jc w:val="right"/>
              <w:rPr>
                <w:color w:val="000000"/>
              </w:rPr>
            </w:pPr>
            <w:r w:rsidRPr="00BA2A47">
              <w:rPr>
                <w:color w:val="000000"/>
              </w:rPr>
              <w:t>0.000108397</w:t>
            </w:r>
          </w:p>
        </w:tc>
        <w:tc>
          <w:tcPr>
            <w:tcW w:w="1480" w:type="dxa"/>
            <w:tcBorders>
              <w:top w:val="nil"/>
              <w:left w:val="nil"/>
              <w:bottom w:val="nil"/>
              <w:right w:val="single" w:sz="4" w:space="0" w:color="auto"/>
            </w:tcBorders>
            <w:shd w:val="clear" w:color="auto" w:fill="auto"/>
            <w:noWrap/>
            <w:vAlign w:val="bottom"/>
            <w:hideMark/>
          </w:tcPr>
          <w:p w14:paraId="747C31D3" w14:textId="77777777" w:rsidR="00207CF4" w:rsidRPr="00BA2A47" w:rsidRDefault="00207CF4" w:rsidP="00BA2A47">
            <w:pPr>
              <w:jc w:val="right"/>
              <w:rPr>
                <w:color w:val="000000"/>
              </w:rPr>
            </w:pPr>
            <w:r w:rsidRPr="00BA2A47">
              <w:rPr>
                <w:color w:val="000000"/>
              </w:rPr>
              <w:t>6.02659E-05</w:t>
            </w:r>
          </w:p>
        </w:tc>
        <w:tc>
          <w:tcPr>
            <w:tcW w:w="1480" w:type="dxa"/>
            <w:tcBorders>
              <w:top w:val="nil"/>
              <w:left w:val="nil"/>
              <w:bottom w:val="nil"/>
              <w:right w:val="single" w:sz="4" w:space="0" w:color="auto"/>
            </w:tcBorders>
            <w:shd w:val="clear" w:color="auto" w:fill="auto"/>
            <w:noWrap/>
            <w:vAlign w:val="bottom"/>
            <w:hideMark/>
          </w:tcPr>
          <w:p w14:paraId="5B907080" w14:textId="77777777" w:rsidR="00207CF4" w:rsidRPr="00BA2A47" w:rsidRDefault="00207CF4" w:rsidP="00BA2A47">
            <w:pPr>
              <w:jc w:val="right"/>
              <w:rPr>
                <w:color w:val="000000"/>
              </w:rPr>
            </w:pPr>
            <w:r w:rsidRPr="00BA2A47">
              <w:rPr>
                <w:color w:val="000000"/>
              </w:rPr>
              <w:t>6.545E-06</w:t>
            </w:r>
          </w:p>
        </w:tc>
      </w:tr>
      <w:tr w:rsidR="00207CF4" w:rsidRPr="00207CF4" w14:paraId="17723CC3" w14:textId="77777777" w:rsidTr="00207CF4">
        <w:trPr>
          <w:trHeight w:val="300"/>
          <w:jc w:val="center"/>
        </w:trPr>
        <w:tc>
          <w:tcPr>
            <w:tcW w:w="1780" w:type="dxa"/>
            <w:tcBorders>
              <w:top w:val="nil"/>
              <w:left w:val="single" w:sz="4" w:space="0" w:color="auto"/>
              <w:bottom w:val="nil"/>
              <w:right w:val="single" w:sz="4" w:space="0" w:color="auto"/>
            </w:tcBorders>
            <w:shd w:val="clear" w:color="auto" w:fill="auto"/>
            <w:noWrap/>
            <w:vAlign w:val="bottom"/>
            <w:hideMark/>
          </w:tcPr>
          <w:p w14:paraId="4E4F6FEA" w14:textId="77777777" w:rsidR="00207CF4" w:rsidRPr="00BA2A47" w:rsidRDefault="00207CF4" w:rsidP="00207CF4">
            <w:pPr>
              <w:rPr>
                <w:color w:val="000000"/>
              </w:rPr>
            </w:pPr>
            <w:r w:rsidRPr="00BA2A47">
              <w:rPr>
                <w:color w:val="000000"/>
              </w:rPr>
              <w:t>Tesoro</w:t>
            </w:r>
          </w:p>
        </w:tc>
        <w:tc>
          <w:tcPr>
            <w:tcW w:w="1560" w:type="dxa"/>
            <w:tcBorders>
              <w:top w:val="nil"/>
              <w:left w:val="nil"/>
              <w:bottom w:val="nil"/>
              <w:right w:val="single" w:sz="4" w:space="0" w:color="auto"/>
            </w:tcBorders>
            <w:shd w:val="clear" w:color="auto" w:fill="auto"/>
            <w:noWrap/>
            <w:vAlign w:val="bottom"/>
            <w:hideMark/>
          </w:tcPr>
          <w:p w14:paraId="58854557" w14:textId="77777777" w:rsidR="00207CF4" w:rsidRPr="00BA2A47" w:rsidRDefault="00207CF4" w:rsidP="00BA2A47">
            <w:pPr>
              <w:jc w:val="right"/>
              <w:rPr>
                <w:color w:val="000000"/>
              </w:rPr>
            </w:pPr>
            <w:r w:rsidRPr="00BA2A47">
              <w:rPr>
                <w:color w:val="000000"/>
              </w:rPr>
              <w:t>0.000102595</w:t>
            </w:r>
          </w:p>
        </w:tc>
        <w:tc>
          <w:tcPr>
            <w:tcW w:w="1520" w:type="dxa"/>
            <w:tcBorders>
              <w:top w:val="nil"/>
              <w:left w:val="nil"/>
              <w:bottom w:val="nil"/>
              <w:right w:val="single" w:sz="4" w:space="0" w:color="auto"/>
            </w:tcBorders>
            <w:shd w:val="clear" w:color="auto" w:fill="auto"/>
            <w:noWrap/>
            <w:vAlign w:val="bottom"/>
            <w:hideMark/>
          </w:tcPr>
          <w:p w14:paraId="0BC1F293" w14:textId="77777777" w:rsidR="00207CF4" w:rsidRPr="00BA2A47" w:rsidRDefault="00207CF4" w:rsidP="00BA2A47">
            <w:pPr>
              <w:jc w:val="right"/>
              <w:rPr>
                <w:color w:val="000000"/>
              </w:rPr>
            </w:pPr>
            <w:r w:rsidRPr="00BA2A47">
              <w:rPr>
                <w:color w:val="000000"/>
              </w:rPr>
              <w:t>0.000106865</w:t>
            </w:r>
          </w:p>
        </w:tc>
        <w:tc>
          <w:tcPr>
            <w:tcW w:w="1480" w:type="dxa"/>
            <w:tcBorders>
              <w:top w:val="nil"/>
              <w:left w:val="nil"/>
              <w:bottom w:val="nil"/>
              <w:right w:val="single" w:sz="4" w:space="0" w:color="auto"/>
            </w:tcBorders>
            <w:shd w:val="clear" w:color="auto" w:fill="auto"/>
            <w:noWrap/>
            <w:vAlign w:val="bottom"/>
            <w:hideMark/>
          </w:tcPr>
          <w:p w14:paraId="2A83AE52" w14:textId="77777777" w:rsidR="00207CF4" w:rsidRPr="00BA2A47" w:rsidRDefault="00207CF4" w:rsidP="00BA2A47">
            <w:pPr>
              <w:jc w:val="right"/>
              <w:rPr>
                <w:color w:val="000000"/>
              </w:rPr>
            </w:pPr>
            <w:r w:rsidRPr="00BA2A47">
              <w:rPr>
                <w:color w:val="000000"/>
              </w:rPr>
              <w:t>3.02851E-05</w:t>
            </w:r>
          </w:p>
        </w:tc>
        <w:tc>
          <w:tcPr>
            <w:tcW w:w="1480" w:type="dxa"/>
            <w:tcBorders>
              <w:top w:val="nil"/>
              <w:left w:val="nil"/>
              <w:bottom w:val="nil"/>
              <w:right w:val="single" w:sz="4" w:space="0" w:color="auto"/>
            </w:tcBorders>
            <w:shd w:val="clear" w:color="auto" w:fill="auto"/>
            <w:noWrap/>
            <w:vAlign w:val="bottom"/>
            <w:hideMark/>
          </w:tcPr>
          <w:p w14:paraId="18C34D1E" w14:textId="77777777" w:rsidR="00207CF4" w:rsidRPr="00BA2A47" w:rsidRDefault="00207CF4" w:rsidP="00BA2A47">
            <w:pPr>
              <w:jc w:val="right"/>
              <w:rPr>
                <w:color w:val="000000"/>
              </w:rPr>
            </w:pPr>
            <w:r w:rsidRPr="00BA2A47">
              <w:rPr>
                <w:color w:val="000000"/>
              </w:rPr>
              <w:t>1.26933E-05</w:t>
            </w:r>
          </w:p>
        </w:tc>
      </w:tr>
      <w:tr w:rsidR="00207CF4" w:rsidRPr="00207CF4" w14:paraId="4CE56874" w14:textId="77777777" w:rsidTr="00207CF4">
        <w:trPr>
          <w:trHeight w:val="300"/>
          <w:jc w:val="center"/>
        </w:trPr>
        <w:tc>
          <w:tcPr>
            <w:tcW w:w="1780" w:type="dxa"/>
            <w:tcBorders>
              <w:top w:val="nil"/>
              <w:left w:val="single" w:sz="4" w:space="0" w:color="auto"/>
              <w:bottom w:val="nil"/>
              <w:right w:val="single" w:sz="4" w:space="0" w:color="auto"/>
            </w:tcBorders>
            <w:shd w:val="clear" w:color="auto" w:fill="auto"/>
            <w:noWrap/>
            <w:vAlign w:val="bottom"/>
            <w:hideMark/>
          </w:tcPr>
          <w:p w14:paraId="1491B58C" w14:textId="77777777" w:rsidR="00207CF4" w:rsidRPr="00BA2A47" w:rsidRDefault="00207CF4" w:rsidP="00207CF4">
            <w:pPr>
              <w:rPr>
                <w:color w:val="000000"/>
              </w:rPr>
            </w:pPr>
            <w:r w:rsidRPr="00BA2A47">
              <w:rPr>
                <w:color w:val="000000"/>
              </w:rPr>
              <w:t>Tesoro</w:t>
            </w:r>
          </w:p>
        </w:tc>
        <w:tc>
          <w:tcPr>
            <w:tcW w:w="1560" w:type="dxa"/>
            <w:tcBorders>
              <w:top w:val="nil"/>
              <w:left w:val="nil"/>
              <w:bottom w:val="nil"/>
              <w:right w:val="single" w:sz="4" w:space="0" w:color="auto"/>
            </w:tcBorders>
            <w:shd w:val="clear" w:color="auto" w:fill="auto"/>
            <w:noWrap/>
            <w:vAlign w:val="bottom"/>
            <w:hideMark/>
          </w:tcPr>
          <w:p w14:paraId="34EE71E2" w14:textId="77777777" w:rsidR="00207CF4" w:rsidRPr="00BA2A47" w:rsidRDefault="00207CF4" w:rsidP="00BA2A47">
            <w:pPr>
              <w:jc w:val="right"/>
              <w:rPr>
                <w:color w:val="000000"/>
              </w:rPr>
            </w:pPr>
            <w:r w:rsidRPr="00BA2A47">
              <w:rPr>
                <w:color w:val="000000"/>
              </w:rPr>
              <w:t>5.16372E-05</w:t>
            </w:r>
          </w:p>
        </w:tc>
        <w:tc>
          <w:tcPr>
            <w:tcW w:w="1520" w:type="dxa"/>
            <w:tcBorders>
              <w:top w:val="nil"/>
              <w:left w:val="nil"/>
              <w:bottom w:val="nil"/>
              <w:right w:val="single" w:sz="4" w:space="0" w:color="auto"/>
            </w:tcBorders>
            <w:shd w:val="clear" w:color="auto" w:fill="auto"/>
            <w:noWrap/>
            <w:vAlign w:val="bottom"/>
            <w:hideMark/>
          </w:tcPr>
          <w:p w14:paraId="3A93C385" w14:textId="77777777" w:rsidR="00207CF4" w:rsidRPr="00BA2A47" w:rsidRDefault="00207CF4" w:rsidP="00BA2A47">
            <w:pPr>
              <w:jc w:val="right"/>
              <w:rPr>
                <w:color w:val="000000"/>
              </w:rPr>
            </w:pPr>
            <w:r w:rsidRPr="00BA2A47">
              <w:rPr>
                <w:color w:val="000000"/>
              </w:rPr>
              <w:t>9.58012E-05</w:t>
            </w:r>
          </w:p>
        </w:tc>
        <w:tc>
          <w:tcPr>
            <w:tcW w:w="1480" w:type="dxa"/>
            <w:tcBorders>
              <w:top w:val="nil"/>
              <w:left w:val="nil"/>
              <w:bottom w:val="nil"/>
              <w:right w:val="single" w:sz="4" w:space="0" w:color="auto"/>
            </w:tcBorders>
            <w:shd w:val="clear" w:color="auto" w:fill="auto"/>
            <w:noWrap/>
            <w:vAlign w:val="bottom"/>
            <w:hideMark/>
          </w:tcPr>
          <w:p w14:paraId="51C085AE" w14:textId="77777777" w:rsidR="00207CF4" w:rsidRPr="00BA2A47" w:rsidRDefault="00207CF4" w:rsidP="00BA2A47">
            <w:pPr>
              <w:jc w:val="right"/>
              <w:rPr>
                <w:color w:val="000000"/>
              </w:rPr>
            </w:pPr>
            <w:r w:rsidRPr="00BA2A47">
              <w:rPr>
                <w:color w:val="000000"/>
              </w:rPr>
              <w:t>4.37745E-05</w:t>
            </w:r>
          </w:p>
        </w:tc>
        <w:tc>
          <w:tcPr>
            <w:tcW w:w="1480" w:type="dxa"/>
            <w:tcBorders>
              <w:top w:val="nil"/>
              <w:left w:val="nil"/>
              <w:bottom w:val="nil"/>
              <w:right w:val="single" w:sz="4" w:space="0" w:color="auto"/>
            </w:tcBorders>
            <w:shd w:val="clear" w:color="auto" w:fill="auto"/>
            <w:noWrap/>
            <w:vAlign w:val="bottom"/>
            <w:hideMark/>
          </w:tcPr>
          <w:p w14:paraId="61D53F2C" w14:textId="77777777" w:rsidR="00207CF4" w:rsidRPr="00BA2A47" w:rsidRDefault="00207CF4" w:rsidP="00BA2A47">
            <w:pPr>
              <w:jc w:val="right"/>
              <w:rPr>
                <w:color w:val="000000"/>
              </w:rPr>
            </w:pPr>
            <w:r w:rsidRPr="00BA2A47">
              <w:rPr>
                <w:color w:val="000000"/>
              </w:rPr>
              <w:t>5.17775E-05</w:t>
            </w:r>
          </w:p>
        </w:tc>
      </w:tr>
      <w:tr w:rsidR="00207CF4" w:rsidRPr="00207CF4" w14:paraId="2FFF6952" w14:textId="77777777" w:rsidTr="00207CF4">
        <w:trPr>
          <w:trHeight w:val="300"/>
          <w:jc w:val="center"/>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14:paraId="17E51272" w14:textId="77777777" w:rsidR="00207CF4" w:rsidRPr="00BA2A47" w:rsidRDefault="00207CF4" w:rsidP="00207CF4">
            <w:pPr>
              <w:rPr>
                <w:color w:val="000000"/>
              </w:rPr>
            </w:pPr>
            <w:r w:rsidRPr="00BA2A47">
              <w:rPr>
                <w:color w:val="000000"/>
              </w:rPr>
              <w:t>Tesoro</w:t>
            </w:r>
          </w:p>
        </w:tc>
        <w:tc>
          <w:tcPr>
            <w:tcW w:w="1560" w:type="dxa"/>
            <w:tcBorders>
              <w:top w:val="nil"/>
              <w:left w:val="nil"/>
              <w:bottom w:val="single" w:sz="4" w:space="0" w:color="auto"/>
              <w:right w:val="single" w:sz="4" w:space="0" w:color="auto"/>
            </w:tcBorders>
            <w:shd w:val="clear" w:color="auto" w:fill="auto"/>
            <w:noWrap/>
            <w:vAlign w:val="bottom"/>
            <w:hideMark/>
          </w:tcPr>
          <w:p w14:paraId="4A014CE5" w14:textId="77777777" w:rsidR="00207CF4" w:rsidRPr="00BA2A47" w:rsidRDefault="00207CF4" w:rsidP="00BA2A47">
            <w:pPr>
              <w:jc w:val="right"/>
              <w:rPr>
                <w:color w:val="000000"/>
              </w:rPr>
            </w:pPr>
            <w:r w:rsidRPr="00BA2A47">
              <w:rPr>
                <w:color w:val="000000"/>
              </w:rPr>
              <w:t>0.000141868</w:t>
            </w:r>
          </w:p>
        </w:tc>
        <w:tc>
          <w:tcPr>
            <w:tcW w:w="1520" w:type="dxa"/>
            <w:tcBorders>
              <w:top w:val="nil"/>
              <w:left w:val="nil"/>
              <w:bottom w:val="single" w:sz="4" w:space="0" w:color="auto"/>
              <w:right w:val="single" w:sz="4" w:space="0" w:color="auto"/>
            </w:tcBorders>
            <w:shd w:val="clear" w:color="auto" w:fill="auto"/>
            <w:noWrap/>
            <w:vAlign w:val="bottom"/>
            <w:hideMark/>
          </w:tcPr>
          <w:p w14:paraId="2EEFD0D9" w14:textId="77777777" w:rsidR="00207CF4" w:rsidRPr="00BA2A47" w:rsidRDefault="00207CF4" w:rsidP="00BA2A47">
            <w:pPr>
              <w:jc w:val="right"/>
              <w:rPr>
                <w:color w:val="000000"/>
              </w:rPr>
            </w:pPr>
            <w:r w:rsidRPr="00BA2A47">
              <w:rPr>
                <w:color w:val="000000"/>
              </w:rPr>
              <w:t>9.19044E-06</w:t>
            </w:r>
          </w:p>
        </w:tc>
        <w:tc>
          <w:tcPr>
            <w:tcW w:w="1480" w:type="dxa"/>
            <w:tcBorders>
              <w:top w:val="nil"/>
              <w:left w:val="nil"/>
              <w:bottom w:val="single" w:sz="4" w:space="0" w:color="auto"/>
              <w:right w:val="single" w:sz="4" w:space="0" w:color="auto"/>
            </w:tcBorders>
            <w:shd w:val="clear" w:color="auto" w:fill="auto"/>
            <w:noWrap/>
            <w:vAlign w:val="bottom"/>
            <w:hideMark/>
          </w:tcPr>
          <w:p w14:paraId="412BDEA3" w14:textId="77777777" w:rsidR="00207CF4" w:rsidRPr="00BA2A47" w:rsidRDefault="00207CF4" w:rsidP="00BA2A47">
            <w:pPr>
              <w:jc w:val="right"/>
              <w:rPr>
                <w:color w:val="000000"/>
              </w:rPr>
            </w:pPr>
            <w:r w:rsidRPr="00BA2A47">
              <w:rPr>
                <w:color w:val="000000"/>
              </w:rPr>
              <w:t>4.31566E-05</w:t>
            </w:r>
          </w:p>
        </w:tc>
        <w:tc>
          <w:tcPr>
            <w:tcW w:w="1480" w:type="dxa"/>
            <w:tcBorders>
              <w:top w:val="nil"/>
              <w:left w:val="nil"/>
              <w:bottom w:val="single" w:sz="4" w:space="0" w:color="auto"/>
              <w:right w:val="single" w:sz="4" w:space="0" w:color="auto"/>
            </w:tcBorders>
            <w:shd w:val="clear" w:color="auto" w:fill="auto"/>
            <w:noWrap/>
            <w:vAlign w:val="bottom"/>
            <w:hideMark/>
          </w:tcPr>
          <w:p w14:paraId="4B08E9D5" w14:textId="77777777" w:rsidR="00207CF4" w:rsidRPr="00BA2A47" w:rsidRDefault="00207CF4" w:rsidP="00BA2A47">
            <w:pPr>
              <w:jc w:val="right"/>
              <w:rPr>
                <w:color w:val="000000"/>
              </w:rPr>
            </w:pPr>
            <w:r w:rsidRPr="00BA2A47">
              <w:rPr>
                <w:color w:val="000000"/>
              </w:rPr>
              <w:t>4.19221E-05</w:t>
            </w:r>
          </w:p>
        </w:tc>
      </w:tr>
      <w:tr w:rsidR="00207CF4" w:rsidRPr="00207CF4" w14:paraId="6F7D3610" w14:textId="77777777" w:rsidTr="00207CF4">
        <w:trPr>
          <w:trHeight w:val="300"/>
          <w:jc w:val="center"/>
        </w:trPr>
        <w:tc>
          <w:tcPr>
            <w:tcW w:w="1780" w:type="dxa"/>
            <w:tcBorders>
              <w:top w:val="nil"/>
              <w:left w:val="single" w:sz="4" w:space="0" w:color="auto"/>
              <w:bottom w:val="nil"/>
              <w:right w:val="single" w:sz="4" w:space="0" w:color="auto"/>
            </w:tcBorders>
            <w:shd w:val="clear" w:color="auto" w:fill="auto"/>
            <w:noWrap/>
            <w:vAlign w:val="bottom"/>
            <w:hideMark/>
          </w:tcPr>
          <w:p w14:paraId="74783991" w14:textId="77777777" w:rsidR="00207CF4" w:rsidRPr="00BA2A47" w:rsidRDefault="00207CF4" w:rsidP="00207CF4">
            <w:pPr>
              <w:rPr>
                <w:color w:val="000000"/>
              </w:rPr>
            </w:pPr>
            <w:r w:rsidRPr="00BA2A47">
              <w:rPr>
                <w:color w:val="000000"/>
              </w:rPr>
              <w:t>Valero</w:t>
            </w:r>
          </w:p>
        </w:tc>
        <w:tc>
          <w:tcPr>
            <w:tcW w:w="1560" w:type="dxa"/>
            <w:tcBorders>
              <w:top w:val="nil"/>
              <w:left w:val="nil"/>
              <w:bottom w:val="nil"/>
              <w:right w:val="single" w:sz="4" w:space="0" w:color="auto"/>
            </w:tcBorders>
            <w:shd w:val="clear" w:color="auto" w:fill="auto"/>
            <w:noWrap/>
            <w:vAlign w:val="bottom"/>
            <w:hideMark/>
          </w:tcPr>
          <w:p w14:paraId="43455428" w14:textId="77777777" w:rsidR="00207CF4" w:rsidRPr="00BA2A47" w:rsidRDefault="00207CF4" w:rsidP="00BA2A47">
            <w:pPr>
              <w:jc w:val="right"/>
              <w:rPr>
                <w:color w:val="000000"/>
              </w:rPr>
            </w:pPr>
            <w:r w:rsidRPr="00BA2A47">
              <w:rPr>
                <w:color w:val="000000"/>
              </w:rPr>
              <w:t>0</w:t>
            </w:r>
          </w:p>
        </w:tc>
        <w:tc>
          <w:tcPr>
            <w:tcW w:w="1520" w:type="dxa"/>
            <w:tcBorders>
              <w:top w:val="nil"/>
              <w:left w:val="nil"/>
              <w:bottom w:val="nil"/>
              <w:right w:val="single" w:sz="4" w:space="0" w:color="auto"/>
            </w:tcBorders>
            <w:shd w:val="clear" w:color="auto" w:fill="auto"/>
            <w:noWrap/>
            <w:vAlign w:val="bottom"/>
            <w:hideMark/>
          </w:tcPr>
          <w:p w14:paraId="55BA4C56" w14:textId="77777777" w:rsidR="00207CF4" w:rsidRPr="00BA2A47" w:rsidRDefault="00207CF4" w:rsidP="00BA2A47">
            <w:pPr>
              <w:jc w:val="right"/>
              <w:rPr>
                <w:color w:val="000000"/>
              </w:rPr>
            </w:pPr>
            <w:r w:rsidRPr="00BA2A47">
              <w:rPr>
                <w:color w:val="000000"/>
              </w:rPr>
              <w:t>1.0391E-05</w:t>
            </w:r>
          </w:p>
        </w:tc>
        <w:tc>
          <w:tcPr>
            <w:tcW w:w="1480" w:type="dxa"/>
            <w:tcBorders>
              <w:top w:val="nil"/>
              <w:left w:val="nil"/>
              <w:bottom w:val="nil"/>
              <w:right w:val="single" w:sz="4" w:space="0" w:color="auto"/>
            </w:tcBorders>
            <w:shd w:val="clear" w:color="auto" w:fill="auto"/>
            <w:noWrap/>
            <w:vAlign w:val="bottom"/>
            <w:hideMark/>
          </w:tcPr>
          <w:p w14:paraId="670F55DB" w14:textId="77777777" w:rsidR="00207CF4" w:rsidRPr="00BA2A47" w:rsidRDefault="00207CF4" w:rsidP="00BA2A47">
            <w:pPr>
              <w:jc w:val="right"/>
              <w:rPr>
                <w:color w:val="000000"/>
              </w:rPr>
            </w:pPr>
            <w:r w:rsidRPr="00BA2A47">
              <w:rPr>
                <w:color w:val="000000"/>
              </w:rPr>
              <w:t>1.38142E-05</w:t>
            </w:r>
          </w:p>
        </w:tc>
        <w:tc>
          <w:tcPr>
            <w:tcW w:w="1480" w:type="dxa"/>
            <w:tcBorders>
              <w:top w:val="nil"/>
              <w:left w:val="nil"/>
              <w:bottom w:val="nil"/>
              <w:right w:val="single" w:sz="4" w:space="0" w:color="auto"/>
            </w:tcBorders>
            <w:shd w:val="clear" w:color="auto" w:fill="auto"/>
            <w:noWrap/>
            <w:vAlign w:val="bottom"/>
            <w:hideMark/>
          </w:tcPr>
          <w:p w14:paraId="525DB1DC" w14:textId="77777777" w:rsidR="00207CF4" w:rsidRPr="00BA2A47" w:rsidRDefault="00207CF4" w:rsidP="00BA2A47">
            <w:pPr>
              <w:jc w:val="right"/>
              <w:rPr>
                <w:color w:val="000000"/>
              </w:rPr>
            </w:pPr>
            <w:r w:rsidRPr="00BA2A47">
              <w:rPr>
                <w:color w:val="000000"/>
              </w:rPr>
              <w:t>0</w:t>
            </w:r>
          </w:p>
        </w:tc>
      </w:tr>
      <w:tr w:rsidR="00207CF4" w:rsidRPr="00207CF4" w14:paraId="242EC0D8" w14:textId="77777777" w:rsidTr="00207CF4">
        <w:trPr>
          <w:trHeight w:val="300"/>
          <w:jc w:val="center"/>
        </w:trPr>
        <w:tc>
          <w:tcPr>
            <w:tcW w:w="1780" w:type="dxa"/>
            <w:tcBorders>
              <w:top w:val="nil"/>
              <w:left w:val="single" w:sz="4" w:space="0" w:color="auto"/>
              <w:bottom w:val="nil"/>
              <w:right w:val="single" w:sz="4" w:space="0" w:color="auto"/>
            </w:tcBorders>
            <w:shd w:val="clear" w:color="auto" w:fill="auto"/>
            <w:noWrap/>
            <w:vAlign w:val="bottom"/>
            <w:hideMark/>
          </w:tcPr>
          <w:p w14:paraId="318FE84B" w14:textId="77777777" w:rsidR="00207CF4" w:rsidRPr="00BA2A47" w:rsidRDefault="00207CF4" w:rsidP="00207CF4">
            <w:pPr>
              <w:rPr>
                <w:color w:val="000000"/>
              </w:rPr>
            </w:pPr>
            <w:r w:rsidRPr="00BA2A47">
              <w:rPr>
                <w:color w:val="000000"/>
              </w:rPr>
              <w:t>Valero</w:t>
            </w:r>
          </w:p>
        </w:tc>
        <w:tc>
          <w:tcPr>
            <w:tcW w:w="1560" w:type="dxa"/>
            <w:tcBorders>
              <w:top w:val="nil"/>
              <w:left w:val="nil"/>
              <w:bottom w:val="nil"/>
              <w:right w:val="single" w:sz="4" w:space="0" w:color="auto"/>
            </w:tcBorders>
            <w:shd w:val="clear" w:color="auto" w:fill="auto"/>
            <w:noWrap/>
            <w:vAlign w:val="bottom"/>
            <w:hideMark/>
          </w:tcPr>
          <w:p w14:paraId="78CF4F0C" w14:textId="77777777" w:rsidR="00207CF4" w:rsidRPr="00BA2A47" w:rsidRDefault="00207CF4" w:rsidP="00BA2A47">
            <w:pPr>
              <w:jc w:val="right"/>
              <w:rPr>
                <w:color w:val="000000"/>
              </w:rPr>
            </w:pPr>
            <w:r w:rsidRPr="00BA2A47">
              <w:rPr>
                <w:color w:val="000000"/>
              </w:rPr>
              <w:t>0</w:t>
            </w:r>
          </w:p>
        </w:tc>
        <w:tc>
          <w:tcPr>
            <w:tcW w:w="1520" w:type="dxa"/>
            <w:tcBorders>
              <w:top w:val="nil"/>
              <w:left w:val="nil"/>
              <w:bottom w:val="nil"/>
              <w:right w:val="single" w:sz="4" w:space="0" w:color="auto"/>
            </w:tcBorders>
            <w:shd w:val="clear" w:color="auto" w:fill="auto"/>
            <w:noWrap/>
            <w:vAlign w:val="bottom"/>
            <w:hideMark/>
          </w:tcPr>
          <w:p w14:paraId="44187C57" w14:textId="77777777" w:rsidR="00207CF4" w:rsidRPr="00BA2A47" w:rsidRDefault="00207CF4" w:rsidP="00BA2A47">
            <w:pPr>
              <w:jc w:val="center"/>
              <w:rPr>
                <w:color w:val="000000"/>
              </w:rPr>
            </w:pPr>
            <w:r w:rsidRPr="00BA2A47">
              <w:rPr>
                <w:color w:val="000000"/>
              </w:rPr>
              <w:t>-</w:t>
            </w:r>
          </w:p>
        </w:tc>
        <w:tc>
          <w:tcPr>
            <w:tcW w:w="1480" w:type="dxa"/>
            <w:tcBorders>
              <w:top w:val="nil"/>
              <w:left w:val="nil"/>
              <w:bottom w:val="nil"/>
              <w:right w:val="single" w:sz="4" w:space="0" w:color="auto"/>
            </w:tcBorders>
            <w:shd w:val="clear" w:color="auto" w:fill="auto"/>
            <w:noWrap/>
            <w:vAlign w:val="bottom"/>
            <w:hideMark/>
          </w:tcPr>
          <w:p w14:paraId="7A66EE8B" w14:textId="77777777" w:rsidR="00207CF4" w:rsidRPr="00BA2A47" w:rsidRDefault="00207CF4" w:rsidP="00BA2A47">
            <w:pPr>
              <w:jc w:val="right"/>
              <w:rPr>
                <w:color w:val="000000"/>
              </w:rPr>
            </w:pPr>
            <w:r w:rsidRPr="00BA2A47">
              <w:rPr>
                <w:color w:val="000000"/>
              </w:rPr>
              <w:t>0.000250494</w:t>
            </w:r>
          </w:p>
        </w:tc>
        <w:tc>
          <w:tcPr>
            <w:tcW w:w="1480" w:type="dxa"/>
            <w:tcBorders>
              <w:top w:val="nil"/>
              <w:left w:val="nil"/>
              <w:bottom w:val="nil"/>
              <w:right w:val="single" w:sz="4" w:space="0" w:color="auto"/>
            </w:tcBorders>
            <w:shd w:val="clear" w:color="auto" w:fill="auto"/>
            <w:noWrap/>
            <w:vAlign w:val="bottom"/>
            <w:hideMark/>
          </w:tcPr>
          <w:p w14:paraId="59DA3BA3" w14:textId="77777777" w:rsidR="00207CF4" w:rsidRPr="00BA2A47" w:rsidRDefault="00207CF4" w:rsidP="00BA2A47">
            <w:pPr>
              <w:jc w:val="right"/>
              <w:rPr>
                <w:color w:val="000000"/>
              </w:rPr>
            </w:pPr>
            <w:r w:rsidRPr="00BA2A47">
              <w:rPr>
                <w:color w:val="000000"/>
              </w:rPr>
              <w:t>3.46442E-05</w:t>
            </w:r>
          </w:p>
        </w:tc>
      </w:tr>
      <w:tr w:rsidR="00207CF4" w:rsidRPr="00207CF4" w14:paraId="214045DB" w14:textId="77777777" w:rsidTr="00207CF4">
        <w:trPr>
          <w:trHeight w:val="300"/>
          <w:jc w:val="center"/>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14:paraId="30A8F623" w14:textId="77777777" w:rsidR="00207CF4" w:rsidRPr="00BA2A47" w:rsidRDefault="00207CF4" w:rsidP="00207CF4">
            <w:pPr>
              <w:rPr>
                <w:color w:val="000000"/>
              </w:rPr>
            </w:pPr>
            <w:r w:rsidRPr="00BA2A47">
              <w:rPr>
                <w:color w:val="000000"/>
              </w:rPr>
              <w:t>Valero</w:t>
            </w:r>
          </w:p>
        </w:tc>
        <w:tc>
          <w:tcPr>
            <w:tcW w:w="1560" w:type="dxa"/>
            <w:tcBorders>
              <w:top w:val="nil"/>
              <w:left w:val="nil"/>
              <w:bottom w:val="single" w:sz="4" w:space="0" w:color="auto"/>
              <w:right w:val="single" w:sz="4" w:space="0" w:color="auto"/>
            </w:tcBorders>
            <w:shd w:val="clear" w:color="auto" w:fill="auto"/>
            <w:noWrap/>
            <w:vAlign w:val="bottom"/>
            <w:hideMark/>
          </w:tcPr>
          <w:p w14:paraId="5CF7641F" w14:textId="77777777" w:rsidR="00207CF4" w:rsidRPr="00BA2A47" w:rsidRDefault="00207CF4" w:rsidP="00BA2A47">
            <w:pPr>
              <w:jc w:val="center"/>
              <w:rPr>
                <w:color w:val="000000"/>
              </w:rPr>
            </w:pPr>
            <w:r w:rsidRPr="00BA2A47">
              <w:rPr>
                <w:color w:val="000000"/>
              </w:rPr>
              <w:t>-</w:t>
            </w:r>
          </w:p>
        </w:tc>
        <w:tc>
          <w:tcPr>
            <w:tcW w:w="1520" w:type="dxa"/>
            <w:tcBorders>
              <w:top w:val="nil"/>
              <w:left w:val="nil"/>
              <w:bottom w:val="single" w:sz="4" w:space="0" w:color="auto"/>
              <w:right w:val="single" w:sz="4" w:space="0" w:color="auto"/>
            </w:tcBorders>
            <w:shd w:val="clear" w:color="auto" w:fill="auto"/>
            <w:noWrap/>
            <w:vAlign w:val="bottom"/>
            <w:hideMark/>
          </w:tcPr>
          <w:p w14:paraId="19C8D713" w14:textId="77777777" w:rsidR="00207CF4" w:rsidRPr="00BA2A47" w:rsidRDefault="00207CF4" w:rsidP="00BA2A47">
            <w:pPr>
              <w:jc w:val="center"/>
              <w:rPr>
                <w:color w:val="000000"/>
              </w:rPr>
            </w:pPr>
            <w:r w:rsidRPr="00BA2A47">
              <w:rPr>
                <w:color w:val="000000"/>
              </w:rPr>
              <w:t>-</w:t>
            </w:r>
          </w:p>
        </w:tc>
        <w:tc>
          <w:tcPr>
            <w:tcW w:w="1480" w:type="dxa"/>
            <w:tcBorders>
              <w:top w:val="nil"/>
              <w:left w:val="nil"/>
              <w:bottom w:val="single" w:sz="4" w:space="0" w:color="auto"/>
              <w:right w:val="single" w:sz="4" w:space="0" w:color="auto"/>
            </w:tcBorders>
            <w:shd w:val="clear" w:color="auto" w:fill="auto"/>
            <w:noWrap/>
            <w:vAlign w:val="bottom"/>
            <w:hideMark/>
          </w:tcPr>
          <w:p w14:paraId="48EFB743" w14:textId="77777777" w:rsidR="00207CF4" w:rsidRPr="00BA2A47" w:rsidRDefault="00207CF4" w:rsidP="00BA2A47">
            <w:pPr>
              <w:jc w:val="right"/>
              <w:rPr>
                <w:color w:val="000000"/>
              </w:rPr>
            </w:pPr>
            <w:r w:rsidRPr="00BA2A47">
              <w:rPr>
                <w:color w:val="000000"/>
              </w:rPr>
              <w:t>5.9889E-06</w:t>
            </w:r>
          </w:p>
        </w:tc>
        <w:tc>
          <w:tcPr>
            <w:tcW w:w="1480" w:type="dxa"/>
            <w:tcBorders>
              <w:top w:val="nil"/>
              <w:left w:val="nil"/>
              <w:bottom w:val="single" w:sz="4" w:space="0" w:color="auto"/>
              <w:right w:val="single" w:sz="4" w:space="0" w:color="auto"/>
            </w:tcBorders>
            <w:shd w:val="clear" w:color="auto" w:fill="auto"/>
            <w:noWrap/>
            <w:vAlign w:val="bottom"/>
            <w:hideMark/>
          </w:tcPr>
          <w:p w14:paraId="2F566A7F" w14:textId="77777777" w:rsidR="00207CF4" w:rsidRPr="00BA2A47" w:rsidRDefault="00207CF4" w:rsidP="00BA2A47">
            <w:pPr>
              <w:jc w:val="right"/>
              <w:rPr>
                <w:color w:val="000000"/>
              </w:rPr>
            </w:pPr>
            <w:r w:rsidRPr="00BA2A47">
              <w:rPr>
                <w:color w:val="000000"/>
              </w:rPr>
              <w:t>0</w:t>
            </w:r>
          </w:p>
        </w:tc>
      </w:tr>
      <w:tr w:rsidR="00207CF4" w:rsidRPr="00207CF4" w14:paraId="1EA42D92" w14:textId="77777777" w:rsidTr="00207CF4">
        <w:trPr>
          <w:trHeight w:val="300"/>
          <w:jc w:val="center"/>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14:paraId="39C4B37B" w14:textId="77777777" w:rsidR="00207CF4" w:rsidRPr="00BA2A47" w:rsidRDefault="00207CF4" w:rsidP="00207CF4">
            <w:pPr>
              <w:rPr>
                <w:b/>
                <w:bCs/>
                <w:color w:val="000000"/>
              </w:rPr>
            </w:pPr>
            <w:r w:rsidRPr="00BA2A47">
              <w:rPr>
                <w:b/>
                <w:bCs/>
                <w:color w:val="000000"/>
              </w:rPr>
              <w:t>Total</w:t>
            </w:r>
          </w:p>
        </w:tc>
        <w:tc>
          <w:tcPr>
            <w:tcW w:w="1560" w:type="dxa"/>
            <w:tcBorders>
              <w:top w:val="nil"/>
              <w:left w:val="nil"/>
              <w:bottom w:val="single" w:sz="4" w:space="0" w:color="auto"/>
              <w:right w:val="single" w:sz="4" w:space="0" w:color="auto"/>
            </w:tcBorders>
            <w:shd w:val="clear" w:color="auto" w:fill="auto"/>
            <w:noWrap/>
            <w:vAlign w:val="bottom"/>
            <w:hideMark/>
          </w:tcPr>
          <w:p w14:paraId="4A26561E" w14:textId="77777777" w:rsidR="00207CF4" w:rsidRPr="00BA2A47" w:rsidRDefault="00207CF4" w:rsidP="00BA2A47">
            <w:pPr>
              <w:jc w:val="right"/>
              <w:rPr>
                <w:b/>
                <w:bCs/>
                <w:color w:val="000000"/>
              </w:rPr>
            </w:pPr>
            <w:r w:rsidRPr="00BA2A47">
              <w:rPr>
                <w:b/>
                <w:bCs/>
                <w:color w:val="000000"/>
              </w:rPr>
              <w:t>0.010837463</w:t>
            </w:r>
          </w:p>
        </w:tc>
        <w:tc>
          <w:tcPr>
            <w:tcW w:w="1520" w:type="dxa"/>
            <w:tcBorders>
              <w:top w:val="nil"/>
              <w:left w:val="nil"/>
              <w:bottom w:val="single" w:sz="4" w:space="0" w:color="auto"/>
              <w:right w:val="single" w:sz="4" w:space="0" w:color="auto"/>
            </w:tcBorders>
            <w:shd w:val="clear" w:color="auto" w:fill="auto"/>
            <w:noWrap/>
            <w:vAlign w:val="bottom"/>
            <w:hideMark/>
          </w:tcPr>
          <w:p w14:paraId="3BC28DF9" w14:textId="77777777" w:rsidR="00207CF4" w:rsidRPr="00BA2A47" w:rsidRDefault="00207CF4" w:rsidP="00BA2A47">
            <w:pPr>
              <w:jc w:val="right"/>
              <w:rPr>
                <w:b/>
                <w:bCs/>
                <w:color w:val="000000"/>
              </w:rPr>
            </w:pPr>
            <w:r w:rsidRPr="00BA2A47">
              <w:rPr>
                <w:b/>
                <w:bCs/>
                <w:color w:val="000000"/>
              </w:rPr>
              <w:t>0.008207332</w:t>
            </w:r>
          </w:p>
        </w:tc>
        <w:tc>
          <w:tcPr>
            <w:tcW w:w="1480" w:type="dxa"/>
            <w:tcBorders>
              <w:top w:val="nil"/>
              <w:left w:val="nil"/>
              <w:bottom w:val="single" w:sz="4" w:space="0" w:color="auto"/>
              <w:right w:val="single" w:sz="4" w:space="0" w:color="auto"/>
            </w:tcBorders>
            <w:shd w:val="clear" w:color="auto" w:fill="auto"/>
            <w:noWrap/>
            <w:vAlign w:val="bottom"/>
            <w:hideMark/>
          </w:tcPr>
          <w:p w14:paraId="31CD5177" w14:textId="77777777" w:rsidR="00207CF4" w:rsidRPr="00BA2A47" w:rsidRDefault="00207CF4" w:rsidP="00BA2A47">
            <w:pPr>
              <w:jc w:val="right"/>
              <w:rPr>
                <w:b/>
                <w:bCs/>
                <w:color w:val="000000"/>
              </w:rPr>
            </w:pPr>
            <w:r w:rsidRPr="00BA2A47">
              <w:rPr>
                <w:b/>
                <w:bCs/>
                <w:color w:val="000000"/>
              </w:rPr>
              <w:t>0.009667756</w:t>
            </w:r>
          </w:p>
        </w:tc>
        <w:tc>
          <w:tcPr>
            <w:tcW w:w="1480" w:type="dxa"/>
            <w:tcBorders>
              <w:top w:val="nil"/>
              <w:left w:val="nil"/>
              <w:bottom w:val="single" w:sz="4" w:space="0" w:color="auto"/>
              <w:right w:val="single" w:sz="4" w:space="0" w:color="auto"/>
            </w:tcBorders>
            <w:shd w:val="clear" w:color="auto" w:fill="auto"/>
            <w:noWrap/>
            <w:vAlign w:val="bottom"/>
            <w:hideMark/>
          </w:tcPr>
          <w:p w14:paraId="2CBB0B10" w14:textId="77777777" w:rsidR="00207CF4" w:rsidRPr="00BA2A47" w:rsidRDefault="00207CF4" w:rsidP="00BA2A47">
            <w:pPr>
              <w:jc w:val="right"/>
              <w:rPr>
                <w:b/>
                <w:bCs/>
                <w:color w:val="000000"/>
              </w:rPr>
            </w:pPr>
            <w:r w:rsidRPr="00BA2A47">
              <w:rPr>
                <w:b/>
                <w:bCs/>
                <w:color w:val="000000"/>
              </w:rPr>
              <w:t>0.006863947</w:t>
            </w:r>
          </w:p>
        </w:tc>
      </w:tr>
    </w:tbl>
    <w:p w14:paraId="304E5611" w14:textId="77777777" w:rsidR="00207CF4" w:rsidRPr="00A23670" w:rsidRDefault="00207CF4" w:rsidP="00A23670">
      <w:pPr>
        <w:rPr>
          <w:sz w:val="24"/>
          <w:szCs w:val="24"/>
        </w:rPr>
      </w:pPr>
    </w:p>
    <w:p w14:paraId="2BB64B33" w14:textId="77777777" w:rsidR="00207CF4" w:rsidRDefault="00207CF4" w:rsidP="000731A9">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2BCCBDD0" w14:textId="5414D01F" w:rsidR="00BA2A47" w:rsidRPr="00BC6118" w:rsidRDefault="00207CF4" w:rsidP="00BC6118">
      <w:pPr>
        <w:autoSpaceDE w:val="0"/>
        <w:autoSpaceDN w:val="0"/>
        <w:adjustRightInd w:val="0"/>
        <w:jc w:val="center"/>
        <w:rPr>
          <w:b/>
          <w:bCs/>
          <w:sz w:val="24"/>
        </w:rPr>
      </w:pPr>
      <w:r>
        <w:rPr>
          <w:rFonts w:cs="Arial"/>
        </w:rPr>
        <w:t xml:space="preserve"> </w:t>
      </w:r>
      <w:r w:rsidR="00BC6118">
        <w:rPr>
          <w:b/>
          <w:bCs/>
          <w:sz w:val="24"/>
        </w:rPr>
        <w:t>Table 4. PCBs Loads from Non-Petroleum Refineries</w:t>
      </w:r>
    </w:p>
    <w:tbl>
      <w:tblPr>
        <w:tblW w:w="8240" w:type="dxa"/>
        <w:jc w:val="center"/>
        <w:tblCellMar>
          <w:left w:w="0" w:type="dxa"/>
          <w:right w:w="0" w:type="dxa"/>
        </w:tblCellMar>
        <w:tblLook w:val="04A0" w:firstRow="1" w:lastRow="0" w:firstColumn="1" w:lastColumn="0" w:noHBand="0" w:noVBand="1"/>
      </w:tblPr>
      <w:tblGrid>
        <w:gridCol w:w="2120"/>
        <w:gridCol w:w="1500"/>
        <w:gridCol w:w="1660"/>
        <w:gridCol w:w="1480"/>
        <w:gridCol w:w="1480"/>
      </w:tblGrid>
      <w:tr w:rsidR="00BA2A47" w:rsidRPr="00BA2A47" w14:paraId="156A71E4" w14:textId="77777777" w:rsidTr="00BA2A47">
        <w:trPr>
          <w:trHeight w:val="300"/>
          <w:jc w:val="center"/>
        </w:trPr>
        <w:tc>
          <w:tcPr>
            <w:tcW w:w="2120" w:type="dxa"/>
            <w:vMerge w:val="restart"/>
            <w:tcBorders>
              <w:top w:val="single" w:sz="4" w:space="0" w:color="auto"/>
              <w:left w:val="single" w:sz="4" w:space="0" w:color="auto"/>
              <w:bottom w:val="nil"/>
              <w:right w:val="single" w:sz="4" w:space="0" w:color="auto"/>
            </w:tcBorders>
            <w:shd w:val="clear" w:color="000000" w:fill="FFFFFF"/>
            <w:noWrap/>
            <w:vAlign w:val="center"/>
            <w:hideMark/>
          </w:tcPr>
          <w:p w14:paraId="689A9393" w14:textId="77777777" w:rsidR="00BA2A47" w:rsidRPr="00BA2A47" w:rsidRDefault="00BA2A47" w:rsidP="00BA2A47">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rPr>
            </w:pPr>
            <w:r w:rsidRPr="00BA2A47">
              <w:rPr>
                <w:rFonts w:cs="Arial"/>
                <w:b/>
                <w:bCs/>
              </w:rPr>
              <w:t>Discharger</w:t>
            </w:r>
          </w:p>
        </w:tc>
        <w:tc>
          <w:tcPr>
            <w:tcW w:w="6120" w:type="dxa"/>
            <w:gridSpan w:val="4"/>
            <w:tcBorders>
              <w:top w:val="single" w:sz="4" w:space="0" w:color="auto"/>
              <w:left w:val="nil"/>
              <w:bottom w:val="single" w:sz="4" w:space="0" w:color="auto"/>
              <w:right w:val="single" w:sz="4" w:space="0" w:color="auto"/>
            </w:tcBorders>
            <w:shd w:val="clear" w:color="000000" w:fill="FFFFFF"/>
            <w:vAlign w:val="center"/>
            <w:hideMark/>
          </w:tcPr>
          <w:p w14:paraId="0D1C6564" w14:textId="77777777" w:rsidR="00BA2A47" w:rsidRPr="00BA2A47" w:rsidRDefault="00BA2A47" w:rsidP="00BA2A47">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rPr>
            </w:pPr>
            <w:r w:rsidRPr="00BA2A47">
              <w:rPr>
                <w:rFonts w:cs="Arial"/>
                <w:b/>
                <w:bCs/>
              </w:rPr>
              <w:t>PCBs Loads (kg/yr)</w:t>
            </w:r>
            <w:r w:rsidRPr="00BA2A47">
              <w:rPr>
                <w:rFonts w:cs="Arial"/>
                <w:b/>
                <w:bCs/>
              </w:rPr>
              <w:br/>
              <w:t>Normalized</w:t>
            </w:r>
          </w:p>
        </w:tc>
      </w:tr>
      <w:tr w:rsidR="00BA2A47" w:rsidRPr="00BA2A47" w14:paraId="3EA37DDB" w14:textId="77777777" w:rsidTr="00BA2A47">
        <w:trPr>
          <w:trHeight w:val="300"/>
          <w:jc w:val="center"/>
        </w:trPr>
        <w:tc>
          <w:tcPr>
            <w:tcW w:w="0" w:type="auto"/>
            <w:vMerge/>
            <w:tcBorders>
              <w:top w:val="single" w:sz="4" w:space="0" w:color="auto"/>
              <w:left w:val="single" w:sz="4" w:space="0" w:color="auto"/>
              <w:bottom w:val="nil"/>
              <w:right w:val="single" w:sz="4" w:space="0" w:color="auto"/>
            </w:tcBorders>
            <w:vAlign w:val="center"/>
            <w:hideMark/>
          </w:tcPr>
          <w:p w14:paraId="2F9FF306" w14:textId="77777777" w:rsidR="00BA2A47" w:rsidRPr="00BA2A47" w:rsidRDefault="00BA2A47" w:rsidP="00BA2A47">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rPr>
            </w:pPr>
          </w:p>
        </w:tc>
        <w:tc>
          <w:tcPr>
            <w:tcW w:w="6120" w:type="dxa"/>
            <w:gridSpan w:val="4"/>
            <w:tcBorders>
              <w:top w:val="single" w:sz="4" w:space="0" w:color="auto"/>
              <w:left w:val="nil"/>
              <w:bottom w:val="single" w:sz="4" w:space="0" w:color="auto"/>
              <w:right w:val="single" w:sz="4" w:space="0" w:color="auto"/>
            </w:tcBorders>
            <w:shd w:val="clear" w:color="000000" w:fill="D9D9D9"/>
            <w:vAlign w:val="center"/>
            <w:hideMark/>
          </w:tcPr>
          <w:p w14:paraId="263AF3B0" w14:textId="77777777" w:rsidR="00BA2A47" w:rsidRPr="00BA2A47" w:rsidRDefault="00BA2A47" w:rsidP="00BA2A47">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rPr>
            </w:pPr>
            <w:r w:rsidRPr="00BA2A47">
              <w:rPr>
                <w:rFonts w:cs="Arial"/>
                <w:b/>
                <w:bCs/>
              </w:rPr>
              <w:t>Year</w:t>
            </w:r>
          </w:p>
        </w:tc>
      </w:tr>
      <w:tr w:rsidR="00BA2A47" w:rsidRPr="00BA2A47" w14:paraId="5DA605A7" w14:textId="77777777" w:rsidTr="00BA2A47">
        <w:trPr>
          <w:trHeight w:val="300"/>
          <w:jc w:val="center"/>
        </w:trPr>
        <w:tc>
          <w:tcPr>
            <w:tcW w:w="0" w:type="auto"/>
            <w:vMerge/>
            <w:tcBorders>
              <w:top w:val="single" w:sz="4" w:space="0" w:color="auto"/>
              <w:left w:val="single" w:sz="4" w:space="0" w:color="auto"/>
              <w:bottom w:val="nil"/>
              <w:right w:val="single" w:sz="4" w:space="0" w:color="auto"/>
            </w:tcBorders>
            <w:vAlign w:val="center"/>
            <w:hideMark/>
          </w:tcPr>
          <w:p w14:paraId="21200903" w14:textId="77777777" w:rsidR="00BA2A47" w:rsidRPr="00BA2A47" w:rsidRDefault="00BA2A47" w:rsidP="00BA2A47">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rPr>
            </w:pPr>
          </w:p>
        </w:tc>
        <w:tc>
          <w:tcPr>
            <w:tcW w:w="1500" w:type="dxa"/>
            <w:tcBorders>
              <w:top w:val="nil"/>
              <w:left w:val="nil"/>
              <w:bottom w:val="nil"/>
              <w:right w:val="single" w:sz="4" w:space="0" w:color="auto"/>
            </w:tcBorders>
            <w:shd w:val="clear" w:color="auto" w:fill="auto"/>
            <w:vAlign w:val="center"/>
            <w:hideMark/>
          </w:tcPr>
          <w:p w14:paraId="65067262" w14:textId="77777777" w:rsidR="00BA2A47" w:rsidRPr="00BA2A47" w:rsidRDefault="00BA2A47" w:rsidP="00BA2A47">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rPr>
            </w:pPr>
            <w:r w:rsidRPr="00BA2A47">
              <w:rPr>
                <w:rFonts w:cs="Arial"/>
                <w:b/>
                <w:bCs/>
              </w:rPr>
              <w:t>2013</w:t>
            </w:r>
          </w:p>
        </w:tc>
        <w:tc>
          <w:tcPr>
            <w:tcW w:w="1660" w:type="dxa"/>
            <w:tcBorders>
              <w:top w:val="nil"/>
              <w:left w:val="nil"/>
              <w:bottom w:val="nil"/>
              <w:right w:val="single" w:sz="4" w:space="0" w:color="auto"/>
            </w:tcBorders>
            <w:shd w:val="clear" w:color="auto" w:fill="auto"/>
            <w:vAlign w:val="center"/>
            <w:hideMark/>
          </w:tcPr>
          <w:p w14:paraId="435EFF94" w14:textId="77777777" w:rsidR="00BA2A47" w:rsidRPr="00BA2A47" w:rsidRDefault="00BA2A47" w:rsidP="00BA2A47">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rPr>
            </w:pPr>
            <w:r w:rsidRPr="00BA2A47">
              <w:rPr>
                <w:rFonts w:cs="Arial"/>
                <w:b/>
                <w:bCs/>
              </w:rPr>
              <w:t>2014</w:t>
            </w:r>
          </w:p>
        </w:tc>
        <w:tc>
          <w:tcPr>
            <w:tcW w:w="1480" w:type="dxa"/>
            <w:tcBorders>
              <w:top w:val="nil"/>
              <w:left w:val="nil"/>
              <w:bottom w:val="nil"/>
              <w:right w:val="single" w:sz="4" w:space="0" w:color="auto"/>
            </w:tcBorders>
            <w:shd w:val="clear" w:color="auto" w:fill="auto"/>
            <w:vAlign w:val="center"/>
            <w:hideMark/>
          </w:tcPr>
          <w:p w14:paraId="2E7FB2C6" w14:textId="77777777" w:rsidR="00BA2A47" w:rsidRPr="00BA2A47" w:rsidRDefault="00BA2A47" w:rsidP="00BA2A47">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rPr>
            </w:pPr>
            <w:r w:rsidRPr="00BA2A47">
              <w:rPr>
                <w:rFonts w:cs="Arial"/>
                <w:b/>
                <w:bCs/>
              </w:rPr>
              <w:t>2015</w:t>
            </w:r>
          </w:p>
        </w:tc>
        <w:tc>
          <w:tcPr>
            <w:tcW w:w="1480" w:type="dxa"/>
            <w:tcBorders>
              <w:top w:val="nil"/>
              <w:left w:val="nil"/>
              <w:bottom w:val="nil"/>
              <w:right w:val="single" w:sz="4" w:space="0" w:color="auto"/>
            </w:tcBorders>
            <w:shd w:val="clear" w:color="auto" w:fill="auto"/>
            <w:vAlign w:val="center"/>
            <w:hideMark/>
          </w:tcPr>
          <w:p w14:paraId="73FA1FE2" w14:textId="77777777" w:rsidR="00BA2A47" w:rsidRPr="00BA2A47" w:rsidRDefault="00BA2A47" w:rsidP="00BA2A47">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rPr>
            </w:pPr>
            <w:r w:rsidRPr="00BA2A47">
              <w:rPr>
                <w:rFonts w:cs="Arial"/>
                <w:b/>
                <w:bCs/>
              </w:rPr>
              <w:t>2016</w:t>
            </w:r>
          </w:p>
        </w:tc>
      </w:tr>
      <w:tr w:rsidR="00BA2A47" w:rsidRPr="00BA2A47" w14:paraId="57CB9F92" w14:textId="77777777" w:rsidTr="00BA2A47">
        <w:trPr>
          <w:trHeight w:val="300"/>
          <w:jc w:val="center"/>
        </w:trPr>
        <w:tc>
          <w:tcPr>
            <w:tcW w:w="0" w:type="auto"/>
            <w:tcBorders>
              <w:top w:val="single" w:sz="4" w:space="0" w:color="auto"/>
              <w:left w:val="single" w:sz="4" w:space="0" w:color="auto"/>
              <w:bottom w:val="nil"/>
              <w:right w:val="single" w:sz="4" w:space="0" w:color="auto"/>
            </w:tcBorders>
            <w:shd w:val="clear" w:color="auto" w:fill="auto"/>
            <w:noWrap/>
            <w:vAlign w:val="bottom"/>
            <w:hideMark/>
          </w:tcPr>
          <w:p w14:paraId="4533CEE1" w14:textId="77777777" w:rsidR="00BA2A47" w:rsidRPr="00BA2A47" w:rsidRDefault="00BA2A47" w:rsidP="00BA2A47">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BA2A47">
              <w:rPr>
                <w:rFonts w:cs="Arial"/>
              </w:rPr>
              <w:t>C&amp;H Sugar</w:t>
            </w:r>
          </w:p>
        </w:tc>
        <w:tc>
          <w:tcPr>
            <w:tcW w:w="0" w:type="auto"/>
            <w:tcBorders>
              <w:top w:val="single" w:sz="4" w:space="0" w:color="auto"/>
              <w:left w:val="nil"/>
              <w:bottom w:val="nil"/>
              <w:right w:val="single" w:sz="4" w:space="0" w:color="auto"/>
            </w:tcBorders>
            <w:shd w:val="clear" w:color="auto" w:fill="auto"/>
            <w:noWrap/>
            <w:vAlign w:val="bottom"/>
            <w:hideMark/>
          </w:tcPr>
          <w:p w14:paraId="6F946733" w14:textId="77777777" w:rsidR="00BA2A47" w:rsidRPr="00BA2A47" w:rsidRDefault="00BA2A47" w:rsidP="00BA2A47">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rPr>
            </w:pPr>
            <w:r w:rsidRPr="00BA2A47">
              <w:rPr>
                <w:rFonts w:cs="Arial"/>
              </w:rPr>
              <w:t>0.001244311</w:t>
            </w:r>
          </w:p>
        </w:tc>
        <w:tc>
          <w:tcPr>
            <w:tcW w:w="0" w:type="auto"/>
            <w:tcBorders>
              <w:top w:val="single" w:sz="4" w:space="0" w:color="auto"/>
              <w:left w:val="nil"/>
              <w:bottom w:val="nil"/>
              <w:right w:val="single" w:sz="4" w:space="0" w:color="auto"/>
            </w:tcBorders>
            <w:shd w:val="clear" w:color="auto" w:fill="auto"/>
            <w:noWrap/>
            <w:vAlign w:val="bottom"/>
            <w:hideMark/>
          </w:tcPr>
          <w:p w14:paraId="2B480B16" w14:textId="77777777" w:rsidR="00BA2A47" w:rsidRPr="00BA2A47" w:rsidRDefault="00BA2A47" w:rsidP="00BA2A47">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rPr>
            </w:pPr>
            <w:r w:rsidRPr="00BA2A47">
              <w:rPr>
                <w:rFonts w:cs="Arial"/>
              </w:rPr>
              <w:t>0.00059048</w:t>
            </w:r>
          </w:p>
        </w:tc>
        <w:tc>
          <w:tcPr>
            <w:tcW w:w="0" w:type="auto"/>
            <w:tcBorders>
              <w:top w:val="single" w:sz="4" w:space="0" w:color="auto"/>
              <w:left w:val="nil"/>
              <w:bottom w:val="nil"/>
              <w:right w:val="single" w:sz="4" w:space="0" w:color="auto"/>
            </w:tcBorders>
            <w:shd w:val="clear" w:color="auto" w:fill="auto"/>
            <w:noWrap/>
            <w:vAlign w:val="bottom"/>
            <w:hideMark/>
          </w:tcPr>
          <w:p w14:paraId="05DE12B4" w14:textId="77777777" w:rsidR="00BA2A47" w:rsidRPr="00BA2A47" w:rsidRDefault="00BA2A47" w:rsidP="00BA2A47">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rPr>
            </w:pPr>
            <w:r w:rsidRPr="00BA2A47">
              <w:rPr>
                <w:rFonts w:cs="Arial"/>
              </w:rPr>
              <w:t>0.0001625</w:t>
            </w:r>
          </w:p>
        </w:tc>
        <w:tc>
          <w:tcPr>
            <w:tcW w:w="0" w:type="auto"/>
            <w:tcBorders>
              <w:top w:val="single" w:sz="4" w:space="0" w:color="auto"/>
              <w:left w:val="nil"/>
              <w:bottom w:val="nil"/>
              <w:right w:val="single" w:sz="4" w:space="0" w:color="auto"/>
            </w:tcBorders>
            <w:shd w:val="clear" w:color="auto" w:fill="auto"/>
            <w:noWrap/>
            <w:vAlign w:val="bottom"/>
            <w:hideMark/>
          </w:tcPr>
          <w:p w14:paraId="33803059" w14:textId="77777777" w:rsidR="00BA2A47" w:rsidRPr="00BA2A47" w:rsidRDefault="00BA2A47" w:rsidP="00BA2A47">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rPr>
            </w:pPr>
            <w:r w:rsidRPr="00BA2A47">
              <w:rPr>
                <w:rFonts w:cs="Arial"/>
              </w:rPr>
              <w:t>0.005711281</w:t>
            </w:r>
          </w:p>
        </w:tc>
      </w:tr>
      <w:tr w:rsidR="00BA2A47" w:rsidRPr="00BA2A47" w14:paraId="1F0F6B4F" w14:textId="77777777" w:rsidTr="00BA2A4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9B58AB1" w14:textId="77777777" w:rsidR="00BA2A47" w:rsidRPr="00BA2A47" w:rsidRDefault="00BA2A47" w:rsidP="00BA2A47">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BA2A47">
              <w:rPr>
                <w:rFonts w:cs="Arial"/>
              </w:rPr>
              <w:t>C&amp;H Sugar</w:t>
            </w:r>
          </w:p>
        </w:tc>
        <w:tc>
          <w:tcPr>
            <w:tcW w:w="0" w:type="auto"/>
            <w:tcBorders>
              <w:top w:val="nil"/>
              <w:left w:val="nil"/>
              <w:bottom w:val="single" w:sz="4" w:space="0" w:color="auto"/>
              <w:right w:val="single" w:sz="4" w:space="0" w:color="auto"/>
            </w:tcBorders>
            <w:shd w:val="clear" w:color="auto" w:fill="auto"/>
            <w:noWrap/>
            <w:vAlign w:val="bottom"/>
            <w:hideMark/>
          </w:tcPr>
          <w:p w14:paraId="04967C4D" w14:textId="77777777" w:rsidR="00BA2A47" w:rsidRPr="00BA2A47" w:rsidRDefault="00BA2A47" w:rsidP="00BA2A47">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rPr>
            </w:pPr>
            <w:r w:rsidRPr="00BA2A47">
              <w:rPr>
                <w:rFonts w:cs="Arial"/>
              </w:rPr>
              <w:t>-</w:t>
            </w:r>
          </w:p>
        </w:tc>
        <w:tc>
          <w:tcPr>
            <w:tcW w:w="0" w:type="auto"/>
            <w:tcBorders>
              <w:top w:val="nil"/>
              <w:left w:val="nil"/>
              <w:bottom w:val="single" w:sz="4" w:space="0" w:color="auto"/>
              <w:right w:val="single" w:sz="4" w:space="0" w:color="auto"/>
            </w:tcBorders>
            <w:shd w:val="clear" w:color="auto" w:fill="auto"/>
            <w:noWrap/>
            <w:vAlign w:val="bottom"/>
            <w:hideMark/>
          </w:tcPr>
          <w:p w14:paraId="1C2B3AD7" w14:textId="77777777" w:rsidR="00BA2A47" w:rsidRPr="00BA2A47" w:rsidRDefault="00BA2A47" w:rsidP="00BA2A47">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rPr>
            </w:pPr>
            <w:r w:rsidRPr="00BA2A47">
              <w:rPr>
                <w:rFonts w:cs="Arial"/>
              </w:rPr>
              <w:t>6.17967E-05</w:t>
            </w:r>
          </w:p>
        </w:tc>
        <w:tc>
          <w:tcPr>
            <w:tcW w:w="0" w:type="auto"/>
            <w:tcBorders>
              <w:top w:val="nil"/>
              <w:left w:val="nil"/>
              <w:bottom w:val="single" w:sz="4" w:space="0" w:color="auto"/>
              <w:right w:val="single" w:sz="4" w:space="0" w:color="auto"/>
            </w:tcBorders>
            <w:shd w:val="clear" w:color="auto" w:fill="auto"/>
            <w:noWrap/>
            <w:vAlign w:val="bottom"/>
            <w:hideMark/>
          </w:tcPr>
          <w:p w14:paraId="417D0BAB" w14:textId="77777777" w:rsidR="00BA2A47" w:rsidRPr="00BA2A47" w:rsidRDefault="00BA2A47" w:rsidP="00BA2A47">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rPr>
            </w:pPr>
            <w:r w:rsidRPr="00BA2A47">
              <w:rPr>
                <w:rFonts w:cs="Arial"/>
              </w:rPr>
              <w:t>0.000140038</w:t>
            </w:r>
          </w:p>
        </w:tc>
        <w:tc>
          <w:tcPr>
            <w:tcW w:w="0" w:type="auto"/>
            <w:tcBorders>
              <w:top w:val="nil"/>
              <w:left w:val="nil"/>
              <w:bottom w:val="single" w:sz="4" w:space="0" w:color="auto"/>
              <w:right w:val="single" w:sz="4" w:space="0" w:color="auto"/>
            </w:tcBorders>
            <w:shd w:val="clear" w:color="auto" w:fill="auto"/>
            <w:noWrap/>
            <w:vAlign w:val="bottom"/>
            <w:hideMark/>
          </w:tcPr>
          <w:p w14:paraId="7535767C" w14:textId="77777777" w:rsidR="00BA2A47" w:rsidRPr="00BA2A47" w:rsidRDefault="00BA2A47" w:rsidP="00BA2A47">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rPr>
            </w:pPr>
            <w:r w:rsidRPr="00BA2A47">
              <w:rPr>
                <w:rFonts w:cs="Arial"/>
              </w:rPr>
              <w:t>0.009294554</w:t>
            </w:r>
          </w:p>
        </w:tc>
      </w:tr>
      <w:tr w:rsidR="00BA2A47" w:rsidRPr="00BA2A47" w14:paraId="7407FC07" w14:textId="77777777" w:rsidTr="00BA2A4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D947DB5" w14:textId="77777777" w:rsidR="00BA2A47" w:rsidRPr="00BA2A47" w:rsidRDefault="00BA2A47" w:rsidP="00BA2A47">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BA2A47">
              <w:rPr>
                <w:rFonts w:cs="Arial"/>
              </w:rPr>
              <w:t>Crockett Cogen</w:t>
            </w:r>
          </w:p>
        </w:tc>
        <w:tc>
          <w:tcPr>
            <w:tcW w:w="0" w:type="auto"/>
            <w:tcBorders>
              <w:top w:val="nil"/>
              <w:left w:val="nil"/>
              <w:bottom w:val="single" w:sz="4" w:space="0" w:color="auto"/>
              <w:right w:val="single" w:sz="4" w:space="0" w:color="auto"/>
            </w:tcBorders>
            <w:shd w:val="clear" w:color="auto" w:fill="auto"/>
            <w:noWrap/>
            <w:vAlign w:val="bottom"/>
            <w:hideMark/>
          </w:tcPr>
          <w:p w14:paraId="34A75196" w14:textId="77777777" w:rsidR="00BA2A47" w:rsidRPr="00BA2A47" w:rsidRDefault="00BA2A47" w:rsidP="00BA2A47">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rPr>
            </w:pPr>
            <w:r w:rsidRPr="00BA2A47">
              <w:rPr>
                <w:rFonts w:cs="Arial"/>
              </w:rPr>
              <w:t>0.000337716</w:t>
            </w:r>
          </w:p>
        </w:tc>
        <w:tc>
          <w:tcPr>
            <w:tcW w:w="0" w:type="auto"/>
            <w:tcBorders>
              <w:top w:val="nil"/>
              <w:left w:val="nil"/>
              <w:bottom w:val="single" w:sz="4" w:space="0" w:color="auto"/>
              <w:right w:val="single" w:sz="4" w:space="0" w:color="auto"/>
            </w:tcBorders>
            <w:shd w:val="clear" w:color="auto" w:fill="auto"/>
            <w:noWrap/>
            <w:vAlign w:val="bottom"/>
            <w:hideMark/>
          </w:tcPr>
          <w:p w14:paraId="11F1B040" w14:textId="77777777" w:rsidR="00BA2A47" w:rsidRPr="00BA2A47" w:rsidRDefault="00BA2A47" w:rsidP="00BA2A47">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rPr>
            </w:pPr>
            <w:r w:rsidRPr="00BA2A47">
              <w:rPr>
                <w:rFonts w:cs="Arial"/>
              </w:rPr>
              <w:t>0.000158455</w:t>
            </w:r>
          </w:p>
        </w:tc>
        <w:tc>
          <w:tcPr>
            <w:tcW w:w="0" w:type="auto"/>
            <w:tcBorders>
              <w:top w:val="nil"/>
              <w:left w:val="nil"/>
              <w:bottom w:val="single" w:sz="4" w:space="0" w:color="auto"/>
              <w:right w:val="single" w:sz="4" w:space="0" w:color="auto"/>
            </w:tcBorders>
            <w:shd w:val="clear" w:color="auto" w:fill="auto"/>
            <w:noWrap/>
            <w:vAlign w:val="bottom"/>
            <w:hideMark/>
          </w:tcPr>
          <w:p w14:paraId="0003490B" w14:textId="77777777" w:rsidR="00BA2A47" w:rsidRPr="00BA2A47" w:rsidRDefault="00BA2A47" w:rsidP="00BA2A47">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rPr>
            </w:pPr>
            <w:r w:rsidRPr="00BA2A47">
              <w:rPr>
                <w:rFonts w:cs="Arial"/>
              </w:rPr>
              <w:t>0.000233529</w:t>
            </w:r>
          </w:p>
        </w:tc>
        <w:tc>
          <w:tcPr>
            <w:tcW w:w="0" w:type="auto"/>
            <w:tcBorders>
              <w:top w:val="nil"/>
              <w:left w:val="nil"/>
              <w:bottom w:val="single" w:sz="4" w:space="0" w:color="auto"/>
              <w:right w:val="single" w:sz="4" w:space="0" w:color="auto"/>
            </w:tcBorders>
            <w:shd w:val="clear" w:color="auto" w:fill="auto"/>
            <w:noWrap/>
            <w:vAlign w:val="bottom"/>
            <w:hideMark/>
          </w:tcPr>
          <w:p w14:paraId="1915CA8B" w14:textId="77777777" w:rsidR="00BA2A47" w:rsidRPr="00BA2A47" w:rsidRDefault="00BA2A47" w:rsidP="00BA2A47">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rPr>
            </w:pPr>
            <w:r w:rsidRPr="00BA2A47">
              <w:rPr>
                <w:rFonts w:cs="Arial"/>
              </w:rPr>
              <w:t>4.46202E-06</w:t>
            </w:r>
          </w:p>
        </w:tc>
      </w:tr>
      <w:tr w:rsidR="00BA2A47" w:rsidRPr="00BA2A47" w14:paraId="7BE90AE9" w14:textId="77777777" w:rsidTr="00BA2A47">
        <w:trPr>
          <w:trHeight w:val="300"/>
          <w:jc w:val="center"/>
        </w:trPr>
        <w:tc>
          <w:tcPr>
            <w:tcW w:w="0" w:type="auto"/>
            <w:tcBorders>
              <w:top w:val="nil"/>
              <w:left w:val="single" w:sz="4" w:space="0" w:color="auto"/>
              <w:bottom w:val="nil"/>
              <w:right w:val="single" w:sz="4" w:space="0" w:color="auto"/>
            </w:tcBorders>
            <w:shd w:val="clear" w:color="auto" w:fill="auto"/>
            <w:noWrap/>
            <w:vAlign w:val="bottom"/>
            <w:hideMark/>
          </w:tcPr>
          <w:p w14:paraId="715C95C8" w14:textId="77777777" w:rsidR="00BA2A47" w:rsidRPr="00BA2A47" w:rsidRDefault="00BA2A47" w:rsidP="00BA2A47">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BA2A47">
              <w:rPr>
                <w:rFonts w:cs="Arial"/>
              </w:rPr>
              <w:t>Eco Services</w:t>
            </w:r>
          </w:p>
        </w:tc>
        <w:tc>
          <w:tcPr>
            <w:tcW w:w="0" w:type="auto"/>
            <w:tcBorders>
              <w:top w:val="nil"/>
              <w:left w:val="nil"/>
              <w:bottom w:val="nil"/>
              <w:right w:val="single" w:sz="4" w:space="0" w:color="auto"/>
            </w:tcBorders>
            <w:shd w:val="clear" w:color="auto" w:fill="auto"/>
            <w:noWrap/>
            <w:vAlign w:val="bottom"/>
            <w:hideMark/>
          </w:tcPr>
          <w:p w14:paraId="07EB1E35" w14:textId="77777777" w:rsidR="00BA2A47" w:rsidRPr="00BA2A47" w:rsidRDefault="00BA2A47" w:rsidP="00BA2A47">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rPr>
            </w:pPr>
            <w:r w:rsidRPr="00BA2A47">
              <w:rPr>
                <w:rFonts w:cs="Arial"/>
              </w:rPr>
              <w:t>1.53568E-05</w:t>
            </w:r>
          </w:p>
        </w:tc>
        <w:tc>
          <w:tcPr>
            <w:tcW w:w="0" w:type="auto"/>
            <w:tcBorders>
              <w:top w:val="nil"/>
              <w:left w:val="nil"/>
              <w:bottom w:val="nil"/>
              <w:right w:val="single" w:sz="4" w:space="0" w:color="auto"/>
            </w:tcBorders>
            <w:shd w:val="clear" w:color="auto" w:fill="auto"/>
            <w:noWrap/>
            <w:vAlign w:val="bottom"/>
            <w:hideMark/>
          </w:tcPr>
          <w:p w14:paraId="61F2972A" w14:textId="77777777" w:rsidR="00BA2A47" w:rsidRPr="00BA2A47" w:rsidRDefault="00BA2A47" w:rsidP="00BA2A47">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rPr>
            </w:pPr>
            <w:r w:rsidRPr="00BA2A47">
              <w:rPr>
                <w:rFonts w:cs="Arial"/>
              </w:rPr>
              <w:t>2.77183E-05</w:t>
            </w:r>
          </w:p>
        </w:tc>
        <w:tc>
          <w:tcPr>
            <w:tcW w:w="0" w:type="auto"/>
            <w:tcBorders>
              <w:top w:val="nil"/>
              <w:left w:val="nil"/>
              <w:bottom w:val="nil"/>
              <w:right w:val="single" w:sz="4" w:space="0" w:color="auto"/>
            </w:tcBorders>
            <w:shd w:val="clear" w:color="auto" w:fill="auto"/>
            <w:noWrap/>
            <w:vAlign w:val="bottom"/>
            <w:hideMark/>
          </w:tcPr>
          <w:p w14:paraId="329E2423" w14:textId="77777777" w:rsidR="00BA2A47" w:rsidRPr="00BA2A47" w:rsidRDefault="00BA2A47" w:rsidP="00BA2A47">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rPr>
            </w:pPr>
            <w:r w:rsidRPr="00BA2A47">
              <w:rPr>
                <w:rFonts w:cs="Arial"/>
              </w:rPr>
              <w:t>3.32238E-05</w:t>
            </w:r>
          </w:p>
        </w:tc>
        <w:tc>
          <w:tcPr>
            <w:tcW w:w="0" w:type="auto"/>
            <w:tcBorders>
              <w:top w:val="nil"/>
              <w:left w:val="nil"/>
              <w:bottom w:val="nil"/>
              <w:right w:val="single" w:sz="4" w:space="0" w:color="auto"/>
            </w:tcBorders>
            <w:shd w:val="clear" w:color="auto" w:fill="auto"/>
            <w:noWrap/>
            <w:vAlign w:val="bottom"/>
            <w:hideMark/>
          </w:tcPr>
          <w:p w14:paraId="77DD328C" w14:textId="77777777" w:rsidR="00BA2A47" w:rsidRPr="00BA2A47" w:rsidRDefault="00BA2A47" w:rsidP="00BA2A47">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rPr>
            </w:pPr>
            <w:r w:rsidRPr="00BA2A47">
              <w:rPr>
                <w:rFonts w:cs="Arial"/>
              </w:rPr>
              <w:t>4.1714E-05</w:t>
            </w:r>
          </w:p>
        </w:tc>
      </w:tr>
      <w:tr w:rsidR="00BA2A47" w:rsidRPr="00BA2A47" w14:paraId="01280E17" w14:textId="77777777" w:rsidTr="00BA2A4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65475C5" w14:textId="77777777" w:rsidR="00BA2A47" w:rsidRPr="00BA2A47" w:rsidRDefault="00BA2A47" w:rsidP="00BA2A47">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BA2A47">
              <w:rPr>
                <w:rFonts w:cs="Arial"/>
              </w:rPr>
              <w:t>Eco Services</w:t>
            </w:r>
          </w:p>
        </w:tc>
        <w:tc>
          <w:tcPr>
            <w:tcW w:w="0" w:type="auto"/>
            <w:tcBorders>
              <w:top w:val="nil"/>
              <w:left w:val="nil"/>
              <w:bottom w:val="single" w:sz="4" w:space="0" w:color="auto"/>
              <w:right w:val="single" w:sz="4" w:space="0" w:color="auto"/>
            </w:tcBorders>
            <w:shd w:val="clear" w:color="auto" w:fill="auto"/>
            <w:noWrap/>
            <w:vAlign w:val="bottom"/>
            <w:hideMark/>
          </w:tcPr>
          <w:p w14:paraId="6136DA69" w14:textId="77777777" w:rsidR="00BA2A47" w:rsidRPr="00BA2A47" w:rsidRDefault="00BA2A47" w:rsidP="00BA2A47">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rPr>
            </w:pPr>
            <w:r w:rsidRPr="00BA2A47">
              <w:rPr>
                <w:rFonts w:cs="Arial"/>
              </w:rPr>
              <w:t>1.10109E-05</w:t>
            </w:r>
          </w:p>
        </w:tc>
        <w:tc>
          <w:tcPr>
            <w:tcW w:w="0" w:type="auto"/>
            <w:tcBorders>
              <w:top w:val="nil"/>
              <w:left w:val="nil"/>
              <w:bottom w:val="single" w:sz="4" w:space="0" w:color="auto"/>
              <w:right w:val="single" w:sz="4" w:space="0" w:color="auto"/>
            </w:tcBorders>
            <w:shd w:val="clear" w:color="auto" w:fill="auto"/>
            <w:noWrap/>
            <w:vAlign w:val="bottom"/>
            <w:hideMark/>
          </w:tcPr>
          <w:p w14:paraId="1065D1CD" w14:textId="77777777" w:rsidR="00BA2A47" w:rsidRPr="00BA2A47" w:rsidRDefault="00BA2A47" w:rsidP="00BA2A47">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rPr>
            </w:pPr>
            <w:r w:rsidRPr="00BA2A47">
              <w:rPr>
                <w:rFonts w:cs="Arial"/>
              </w:rPr>
              <w:t>8.55755E-06</w:t>
            </w:r>
          </w:p>
        </w:tc>
        <w:tc>
          <w:tcPr>
            <w:tcW w:w="0" w:type="auto"/>
            <w:tcBorders>
              <w:top w:val="nil"/>
              <w:left w:val="nil"/>
              <w:bottom w:val="single" w:sz="4" w:space="0" w:color="auto"/>
              <w:right w:val="single" w:sz="4" w:space="0" w:color="auto"/>
            </w:tcBorders>
            <w:shd w:val="clear" w:color="auto" w:fill="auto"/>
            <w:noWrap/>
            <w:vAlign w:val="bottom"/>
            <w:hideMark/>
          </w:tcPr>
          <w:p w14:paraId="2D2E6F47" w14:textId="77777777" w:rsidR="00BA2A47" w:rsidRPr="00BA2A47" w:rsidRDefault="00BA2A47" w:rsidP="00BA2A47">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rPr>
            </w:pPr>
            <w:r w:rsidRPr="00BA2A47">
              <w:rPr>
                <w:rFonts w:cs="Arial"/>
              </w:rPr>
              <w:t>3.61856E-05</w:t>
            </w:r>
          </w:p>
        </w:tc>
        <w:tc>
          <w:tcPr>
            <w:tcW w:w="0" w:type="auto"/>
            <w:tcBorders>
              <w:top w:val="nil"/>
              <w:left w:val="nil"/>
              <w:bottom w:val="single" w:sz="4" w:space="0" w:color="auto"/>
              <w:right w:val="single" w:sz="4" w:space="0" w:color="auto"/>
            </w:tcBorders>
            <w:shd w:val="clear" w:color="auto" w:fill="auto"/>
            <w:noWrap/>
            <w:vAlign w:val="bottom"/>
            <w:hideMark/>
          </w:tcPr>
          <w:p w14:paraId="696FCD68" w14:textId="77777777" w:rsidR="00BA2A47" w:rsidRPr="00BA2A47" w:rsidRDefault="00BA2A47" w:rsidP="00BA2A47">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rPr>
            </w:pPr>
            <w:r w:rsidRPr="00BA2A47">
              <w:rPr>
                <w:rFonts w:cs="Arial"/>
              </w:rPr>
              <w:t>4.92778E-05</w:t>
            </w:r>
          </w:p>
        </w:tc>
      </w:tr>
      <w:tr w:rsidR="00BA2A47" w:rsidRPr="00BA2A47" w14:paraId="2810CC6F" w14:textId="77777777" w:rsidTr="00BA2A47">
        <w:trPr>
          <w:trHeight w:val="300"/>
          <w:jc w:val="center"/>
        </w:trPr>
        <w:tc>
          <w:tcPr>
            <w:tcW w:w="0" w:type="auto"/>
            <w:tcBorders>
              <w:top w:val="nil"/>
              <w:left w:val="single" w:sz="4" w:space="0" w:color="auto"/>
              <w:bottom w:val="nil"/>
              <w:right w:val="single" w:sz="4" w:space="0" w:color="auto"/>
            </w:tcBorders>
            <w:shd w:val="clear" w:color="auto" w:fill="auto"/>
            <w:noWrap/>
            <w:vAlign w:val="bottom"/>
            <w:hideMark/>
          </w:tcPr>
          <w:p w14:paraId="78B12CC4" w14:textId="77777777" w:rsidR="00BA2A47" w:rsidRPr="00BA2A47" w:rsidRDefault="00BA2A47" w:rsidP="00BA2A47">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BA2A47">
              <w:rPr>
                <w:rFonts w:cs="Arial"/>
              </w:rPr>
              <w:t>USS Posco</w:t>
            </w:r>
          </w:p>
        </w:tc>
        <w:tc>
          <w:tcPr>
            <w:tcW w:w="0" w:type="auto"/>
            <w:tcBorders>
              <w:top w:val="nil"/>
              <w:left w:val="nil"/>
              <w:bottom w:val="nil"/>
              <w:right w:val="single" w:sz="4" w:space="0" w:color="auto"/>
            </w:tcBorders>
            <w:shd w:val="clear" w:color="auto" w:fill="auto"/>
            <w:noWrap/>
            <w:vAlign w:val="bottom"/>
            <w:hideMark/>
          </w:tcPr>
          <w:p w14:paraId="400F660C" w14:textId="77777777" w:rsidR="00BA2A47" w:rsidRPr="00BA2A47" w:rsidRDefault="00BA2A47" w:rsidP="00BC6118">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rPr>
            </w:pPr>
            <w:r w:rsidRPr="00BA2A47">
              <w:rPr>
                <w:rFonts w:cs="Arial"/>
              </w:rPr>
              <w:t>0.000486777</w:t>
            </w:r>
          </w:p>
        </w:tc>
        <w:tc>
          <w:tcPr>
            <w:tcW w:w="0" w:type="auto"/>
            <w:tcBorders>
              <w:top w:val="nil"/>
              <w:left w:val="nil"/>
              <w:bottom w:val="nil"/>
              <w:right w:val="single" w:sz="4" w:space="0" w:color="auto"/>
            </w:tcBorders>
            <w:shd w:val="clear" w:color="auto" w:fill="auto"/>
            <w:noWrap/>
            <w:vAlign w:val="bottom"/>
            <w:hideMark/>
          </w:tcPr>
          <w:p w14:paraId="29CAAFB4" w14:textId="77777777" w:rsidR="00BA2A47" w:rsidRPr="00BA2A47" w:rsidRDefault="00BA2A47" w:rsidP="00BC6118">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rPr>
            </w:pPr>
            <w:r w:rsidRPr="00BA2A47">
              <w:rPr>
                <w:rFonts w:cs="Arial"/>
              </w:rPr>
              <w:t>0.000889019</w:t>
            </w:r>
          </w:p>
        </w:tc>
        <w:tc>
          <w:tcPr>
            <w:tcW w:w="0" w:type="auto"/>
            <w:tcBorders>
              <w:top w:val="nil"/>
              <w:left w:val="nil"/>
              <w:bottom w:val="nil"/>
              <w:right w:val="single" w:sz="4" w:space="0" w:color="auto"/>
            </w:tcBorders>
            <w:shd w:val="clear" w:color="auto" w:fill="auto"/>
            <w:noWrap/>
            <w:vAlign w:val="bottom"/>
            <w:hideMark/>
          </w:tcPr>
          <w:p w14:paraId="5FC361F5" w14:textId="77777777" w:rsidR="00BA2A47" w:rsidRPr="00BA2A47" w:rsidRDefault="00BA2A47" w:rsidP="00BC6118">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rPr>
            </w:pPr>
            <w:r w:rsidRPr="00BA2A47">
              <w:rPr>
                <w:rFonts w:cs="Arial"/>
              </w:rPr>
              <w:t>0.001916503</w:t>
            </w:r>
          </w:p>
        </w:tc>
        <w:tc>
          <w:tcPr>
            <w:tcW w:w="0" w:type="auto"/>
            <w:tcBorders>
              <w:top w:val="nil"/>
              <w:left w:val="nil"/>
              <w:bottom w:val="nil"/>
              <w:right w:val="single" w:sz="4" w:space="0" w:color="auto"/>
            </w:tcBorders>
            <w:shd w:val="clear" w:color="auto" w:fill="auto"/>
            <w:noWrap/>
            <w:vAlign w:val="bottom"/>
            <w:hideMark/>
          </w:tcPr>
          <w:p w14:paraId="6591DE7A" w14:textId="77777777" w:rsidR="00BA2A47" w:rsidRPr="00BA2A47" w:rsidRDefault="00BA2A47" w:rsidP="00BC6118">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rPr>
            </w:pPr>
            <w:r w:rsidRPr="00BA2A47">
              <w:rPr>
                <w:rFonts w:cs="Arial"/>
              </w:rPr>
              <w:t>0.002750828</w:t>
            </w:r>
          </w:p>
        </w:tc>
      </w:tr>
      <w:tr w:rsidR="00BA2A47" w:rsidRPr="00BA2A47" w14:paraId="4903AD0E" w14:textId="77777777" w:rsidTr="00BA2A47">
        <w:trPr>
          <w:trHeight w:val="300"/>
          <w:jc w:val="center"/>
        </w:trPr>
        <w:tc>
          <w:tcPr>
            <w:tcW w:w="0" w:type="auto"/>
            <w:tcBorders>
              <w:top w:val="nil"/>
              <w:left w:val="single" w:sz="4" w:space="0" w:color="auto"/>
              <w:bottom w:val="nil"/>
              <w:right w:val="single" w:sz="4" w:space="0" w:color="auto"/>
            </w:tcBorders>
            <w:shd w:val="clear" w:color="auto" w:fill="auto"/>
            <w:noWrap/>
            <w:vAlign w:val="bottom"/>
            <w:hideMark/>
          </w:tcPr>
          <w:p w14:paraId="277F7732" w14:textId="77777777" w:rsidR="00BA2A47" w:rsidRPr="00BA2A47" w:rsidRDefault="00BA2A47" w:rsidP="00BA2A47">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BA2A47">
              <w:rPr>
                <w:rFonts w:cs="Arial"/>
              </w:rPr>
              <w:t>USS Posco</w:t>
            </w:r>
          </w:p>
        </w:tc>
        <w:tc>
          <w:tcPr>
            <w:tcW w:w="0" w:type="auto"/>
            <w:tcBorders>
              <w:top w:val="nil"/>
              <w:left w:val="nil"/>
              <w:bottom w:val="nil"/>
              <w:right w:val="single" w:sz="4" w:space="0" w:color="auto"/>
            </w:tcBorders>
            <w:shd w:val="clear" w:color="auto" w:fill="auto"/>
            <w:noWrap/>
            <w:vAlign w:val="bottom"/>
            <w:hideMark/>
          </w:tcPr>
          <w:p w14:paraId="600C8DD5" w14:textId="77777777" w:rsidR="00BA2A47" w:rsidRPr="00BA2A47" w:rsidRDefault="00BA2A47" w:rsidP="00BC6118">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rPr>
            </w:pPr>
            <w:r w:rsidRPr="00BA2A47">
              <w:rPr>
                <w:rFonts w:cs="Arial"/>
              </w:rPr>
              <w:t>0.001056105</w:t>
            </w:r>
          </w:p>
        </w:tc>
        <w:tc>
          <w:tcPr>
            <w:tcW w:w="0" w:type="auto"/>
            <w:tcBorders>
              <w:top w:val="nil"/>
              <w:left w:val="nil"/>
              <w:bottom w:val="nil"/>
              <w:right w:val="single" w:sz="4" w:space="0" w:color="auto"/>
            </w:tcBorders>
            <w:shd w:val="clear" w:color="auto" w:fill="auto"/>
            <w:noWrap/>
            <w:vAlign w:val="bottom"/>
            <w:hideMark/>
          </w:tcPr>
          <w:p w14:paraId="5CAA07F5" w14:textId="77777777" w:rsidR="00BA2A47" w:rsidRPr="00BA2A47" w:rsidRDefault="00BA2A47" w:rsidP="00BC6118">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rPr>
            </w:pPr>
            <w:r w:rsidRPr="00BA2A47">
              <w:rPr>
                <w:rFonts w:cs="Arial"/>
              </w:rPr>
              <w:t>0.000418653</w:t>
            </w:r>
          </w:p>
        </w:tc>
        <w:tc>
          <w:tcPr>
            <w:tcW w:w="0" w:type="auto"/>
            <w:tcBorders>
              <w:top w:val="nil"/>
              <w:left w:val="nil"/>
              <w:bottom w:val="nil"/>
              <w:right w:val="single" w:sz="4" w:space="0" w:color="auto"/>
            </w:tcBorders>
            <w:shd w:val="clear" w:color="auto" w:fill="auto"/>
            <w:noWrap/>
            <w:vAlign w:val="bottom"/>
            <w:hideMark/>
          </w:tcPr>
          <w:p w14:paraId="02002B35" w14:textId="77777777" w:rsidR="00BA2A47" w:rsidRPr="00BA2A47" w:rsidRDefault="00BA2A47" w:rsidP="00BC6118">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rPr>
            </w:pPr>
            <w:r w:rsidRPr="00BA2A47">
              <w:rPr>
                <w:rFonts w:cs="Arial"/>
              </w:rPr>
              <w:t>0.000350865</w:t>
            </w:r>
          </w:p>
        </w:tc>
        <w:tc>
          <w:tcPr>
            <w:tcW w:w="0" w:type="auto"/>
            <w:tcBorders>
              <w:top w:val="nil"/>
              <w:left w:val="nil"/>
              <w:bottom w:val="nil"/>
              <w:right w:val="single" w:sz="4" w:space="0" w:color="auto"/>
            </w:tcBorders>
            <w:shd w:val="clear" w:color="auto" w:fill="auto"/>
            <w:noWrap/>
            <w:vAlign w:val="bottom"/>
            <w:hideMark/>
          </w:tcPr>
          <w:p w14:paraId="5B8644A1" w14:textId="77777777" w:rsidR="00BA2A47" w:rsidRPr="00BA2A47" w:rsidRDefault="00BA2A47" w:rsidP="00BC6118">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rPr>
            </w:pPr>
            <w:r w:rsidRPr="00BA2A47">
              <w:rPr>
                <w:rFonts w:cs="Arial"/>
              </w:rPr>
              <w:t>0.000705606</w:t>
            </w:r>
          </w:p>
        </w:tc>
      </w:tr>
      <w:tr w:rsidR="00BA2A47" w:rsidRPr="00BA2A47" w14:paraId="72B8C819" w14:textId="77777777" w:rsidTr="00BA2A47">
        <w:trPr>
          <w:trHeight w:val="300"/>
          <w:jc w:val="center"/>
        </w:trPr>
        <w:tc>
          <w:tcPr>
            <w:tcW w:w="0" w:type="auto"/>
            <w:tcBorders>
              <w:top w:val="nil"/>
              <w:left w:val="single" w:sz="4" w:space="0" w:color="auto"/>
              <w:bottom w:val="nil"/>
              <w:right w:val="single" w:sz="4" w:space="0" w:color="auto"/>
            </w:tcBorders>
            <w:shd w:val="clear" w:color="auto" w:fill="auto"/>
            <w:noWrap/>
            <w:vAlign w:val="bottom"/>
            <w:hideMark/>
          </w:tcPr>
          <w:p w14:paraId="2D12D764" w14:textId="77777777" w:rsidR="00BA2A47" w:rsidRPr="00BA2A47" w:rsidRDefault="00BA2A47" w:rsidP="00BA2A47">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BA2A47">
              <w:rPr>
                <w:rFonts w:cs="Arial"/>
              </w:rPr>
              <w:t>USS Posco</w:t>
            </w:r>
          </w:p>
        </w:tc>
        <w:tc>
          <w:tcPr>
            <w:tcW w:w="0" w:type="auto"/>
            <w:tcBorders>
              <w:top w:val="nil"/>
              <w:left w:val="nil"/>
              <w:bottom w:val="nil"/>
              <w:right w:val="single" w:sz="4" w:space="0" w:color="auto"/>
            </w:tcBorders>
            <w:shd w:val="clear" w:color="auto" w:fill="auto"/>
            <w:noWrap/>
            <w:vAlign w:val="bottom"/>
            <w:hideMark/>
          </w:tcPr>
          <w:p w14:paraId="46DDE0FC" w14:textId="77777777" w:rsidR="00BA2A47" w:rsidRPr="00BA2A47" w:rsidRDefault="00BA2A47" w:rsidP="00BC6118">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rPr>
            </w:pPr>
            <w:r w:rsidRPr="00BA2A47">
              <w:rPr>
                <w:rFonts w:cs="Arial"/>
              </w:rPr>
              <w:t>0.000828925</w:t>
            </w:r>
          </w:p>
        </w:tc>
        <w:tc>
          <w:tcPr>
            <w:tcW w:w="0" w:type="auto"/>
            <w:tcBorders>
              <w:top w:val="nil"/>
              <w:left w:val="nil"/>
              <w:bottom w:val="nil"/>
              <w:right w:val="single" w:sz="4" w:space="0" w:color="auto"/>
            </w:tcBorders>
            <w:shd w:val="clear" w:color="auto" w:fill="auto"/>
            <w:noWrap/>
            <w:vAlign w:val="bottom"/>
            <w:hideMark/>
          </w:tcPr>
          <w:p w14:paraId="490CEC3A" w14:textId="77777777" w:rsidR="00BA2A47" w:rsidRPr="00BA2A47" w:rsidRDefault="00BA2A47" w:rsidP="00BC6118">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rPr>
            </w:pPr>
            <w:r w:rsidRPr="00BA2A47">
              <w:rPr>
                <w:rFonts w:cs="Arial"/>
              </w:rPr>
              <w:t>0.00092713</w:t>
            </w:r>
          </w:p>
        </w:tc>
        <w:tc>
          <w:tcPr>
            <w:tcW w:w="0" w:type="auto"/>
            <w:tcBorders>
              <w:top w:val="nil"/>
              <w:left w:val="nil"/>
              <w:bottom w:val="nil"/>
              <w:right w:val="single" w:sz="4" w:space="0" w:color="auto"/>
            </w:tcBorders>
            <w:shd w:val="clear" w:color="auto" w:fill="auto"/>
            <w:noWrap/>
            <w:vAlign w:val="bottom"/>
            <w:hideMark/>
          </w:tcPr>
          <w:p w14:paraId="0FCF4E41" w14:textId="77777777" w:rsidR="00BA2A47" w:rsidRPr="00BA2A47" w:rsidRDefault="00BA2A47" w:rsidP="00BC6118">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rPr>
            </w:pPr>
            <w:r w:rsidRPr="00BA2A47">
              <w:rPr>
                <w:rFonts w:cs="Arial"/>
              </w:rPr>
              <w:t>0.000427598</w:t>
            </w:r>
          </w:p>
        </w:tc>
        <w:tc>
          <w:tcPr>
            <w:tcW w:w="0" w:type="auto"/>
            <w:tcBorders>
              <w:top w:val="nil"/>
              <w:left w:val="nil"/>
              <w:bottom w:val="nil"/>
              <w:right w:val="single" w:sz="4" w:space="0" w:color="auto"/>
            </w:tcBorders>
            <w:shd w:val="clear" w:color="auto" w:fill="auto"/>
            <w:noWrap/>
            <w:vAlign w:val="bottom"/>
            <w:hideMark/>
          </w:tcPr>
          <w:p w14:paraId="1EF9DDA5" w14:textId="77777777" w:rsidR="00BA2A47" w:rsidRPr="00BA2A47" w:rsidRDefault="00BA2A47" w:rsidP="00BC6118">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rPr>
            </w:pPr>
            <w:r w:rsidRPr="00BA2A47">
              <w:rPr>
                <w:rFonts w:cs="Arial"/>
              </w:rPr>
              <w:t>0.000135538</w:t>
            </w:r>
          </w:p>
        </w:tc>
      </w:tr>
      <w:tr w:rsidR="00BA2A47" w:rsidRPr="00BA2A47" w14:paraId="020D9BE4" w14:textId="77777777" w:rsidTr="00BA2A4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5E15A06" w14:textId="77777777" w:rsidR="00BA2A47" w:rsidRPr="00BA2A47" w:rsidRDefault="00BA2A47" w:rsidP="00BA2A47">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BA2A47">
              <w:rPr>
                <w:rFonts w:cs="Arial"/>
              </w:rPr>
              <w:t>USS Posco</w:t>
            </w:r>
          </w:p>
        </w:tc>
        <w:tc>
          <w:tcPr>
            <w:tcW w:w="0" w:type="auto"/>
            <w:tcBorders>
              <w:top w:val="nil"/>
              <w:left w:val="nil"/>
              <w:bottom w:val="single" w:sz="4" w:space="0" w:color="auto"/>
              <w:right w:val="single" w:sz="4" w:space="0" w:color="auto"/>
            </w:tcBorders>
            <w:shd w:val="clear" w:color="auto" w:fill="auto"/>
            <w:noWrap/>
            <w:vAlign w:val="bottom"/>
            <w:hideMark/>
          </w:tcPr>
          <w:p w14:paraId="2147643C" w14:textId="77777777" w:rsidR="00BA2A47" w:rsidRPr="00BA2A47" w:rsidRDefault="00BA2A47" w:rsidP="00BC6118">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rPr>
            </w:pPr>
            <w:r w:rsidRPr="00BA2A47">
              <w:rPr>
                <w:rFonts w:cs="Arial"/>
              </w:rPr>
              <w:t>0.000438991</w:t>
            </w:r>
          </w:p>
        </w:tc>
        <w:tc>
          <w:tcPr>
            <w:tcW w:w="0" w:type="auto"/>
            <w:tcBorders>
              <w:top w:val="nil"/>
              <w:left w:val="nil"/>
              <w:bottom w:val="single" w:sz="4" w:space="0" w:color="auto"/>
              <w:right w:val="single" w:sz="4" w:space="0" w:color="auto"/>
            </w:tcBorders>
            <w:shd w:val="clear" w:color="auto" w:fill="auto"/>
            <w:noWrap/>
            <w:vAlign w:val="bottom"/>
            <w:hideMark/>
          </w:tcPr>
          <w:p w14:paraId="4ADD1349" w14:textId="77777777" w:rsidR="00BA2A47" w:rsidRPr="00BA2A47" w:rsidRDefault="00BA2A47" w:rsidP="00BC6118">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rPr>
            </w:pPr>
            <w:r w:rsidRPr="00BA2A47">
              <w:rPr>
                <w:rFonts w:cs="Arial"/>
              </w:rPr>
              <w:t>0.000163214</w:t>
            </w:r>
          </w:p>
        </w:tc>
        <w:tc>
          <w:tcPr>
            <w:tcW w:w="0" w:type="auto"/>
            <w:tcBorders>
              <w:top w:val="nil"/>
              <w:left w:val="nil"/>
              <w:bottom w:val="single" w:sz="4" w:space="0" w:color="auto"/>
              <w:right w:val="single" w:sz="4" w:space="0" w:color="auto"/>
            </w:tcBorders>
            <w:shd w:val="clear" w:color="auto" w:fill="auto"/>
            <w:noWrap/>
            <w:vAlign w:val="bottom"/>
            <w:hideMark/>
          </w:tcPr>
          <w:p w14:paraId="1E39A7EC" w14:textId="77777777" w:rsidR="00BA2A47" w:rsidRPr="00BA2A47" w:rsidRDefault="00BA2A47" w:rsidP="00BC6118">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rPr>
            </w:pPr>
            <w:r w:rsidRPr="00BA2A47">
              <w:rPr>
                <w:rFonts w:cs="Arial"/>
              </w:rPr>
              <w:t>0.001278389</w:t>
            </w:r>
          </w:p>
        </w:tc>
        <w:tc>
          <w:tcPr>
            <w:tcW w:w="0" w:type="auto"/>
            <w:tcBorders>
              <w:top w:val="nil"/>
              <w:left w:val="nil"/>
              <w:bottom w:val="single" w:sz="4" w:space="0" w:color="auto"/>
              <w:right w:val="single" w:sz="4" w:space="0" w:color="auto"/>
            </w:tcBorders>
            <w:shd w:val="clear" w:color="auto" w:fill="auto"/>
            <w:noWrap/>
            <w:vAlign w:val="bottom"/>
            <w:hideMark/>
          </w:tcPr>
          <w:p w14:paraId="24EBB864" w14:textId="77777777" w:rsidR="00BA2A47" w:rsidRPr="00BA2A47" w:rsidRDefault="00BA2A47" w:rsidP="00BC6118">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rPr>
            </w:pPr>
            <w:r w:rsidRPr="00BA2A47">
              <w:rPr>
                <w:rFonts w:cs="Arial"/>
              </w:rPr>
              <w:t>0.00079062</w:t>
            </w:r>
          </w:p>
        </w:tc>
      </w:tr>
      <w:tr w:rsidR="00BA2A47" w:rsidRPr="00BA2A47" w14:paraId="61C5C2BF" w14:textId="77777777" w:rsidTr="00BA2A4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F2218D9" w14:textId="77777777" w:rsidR="00BA2A47" w:rsidRPr="00BA2A47" w:rsidRDefault="00BA2A47" w:rsidP="00BA2A47">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rPr>
            </w:pPr>
            <w:r w:rsidRPr="00BA2A47">
              <w:rPr>
                <w:rFonts w:cs="Arial"/>
                <w:b/>
                <w:bCs/>
              </w:rPr>
              <w:t>Total</w:t>
            </w:r>
          </w:p>
        </w:tc>
        <w:tc>
          <w:tcPr>
            <w:tcW w:w="0" w:type="auto"/>
            <w:tcBorders>
              <w:top w:val="nil"/>
              <w:left w:val="nil"/>
              <w:bottom w:val="single" w:sz="4" w:space="0" w:color="auto"/>
              <w:right w:val="single" w:sz="4" w:space="0" w:color="auto"/>
            </w:tcBorders>
            <w:shd w:val="clear" w:color="auto" w:fill="auto"/>
            <w:noWrap/>
            <w:vAlign w:val="bottom"/>
            <w:hideMark/>
          </w:tcPr>
          <w:p w14:paraId="3A201E51" w14:textId="77777777" w:rsidR="00BA2A47" w:rsidRPr="00BA2A47" w:rsidRDefault="00BA2A47" w:rsidP="00BA2A47">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b/>
                <w:bCs/>
              </w:rPr>
            </w:pPr>
            <w:r w:rsidRPr="00BA2A47">
              <w:rPr>
                <w:rFonts w:cs="Arial"/>
                <w:b/>
                <w:bCs/>
              </w:rPr>
              <w:t>0.004419192</w:t>
            </w:r>
          </w:p>
        </w:tc>
        <w:tc>
          <w:tcPr>
            <w:tcW w:w="0" w:type="auto"/>
            <w:tcBorders>
              <w:top w:val="nil"/>
              <w:left w:val="nil"/>
              <w:bottom w:val="single" w:sz="4" w:space="0" w:color="auto"/>
              <w:right w:val="single" w:sz="4" w:space="0" w:color="auto"/>
            </w:tcBorders>
            <w:shd w:val="clear" w:color="auto" w:fill="auto"/>
            <w:noWrap/>
            <w:vAlign w:val="bottom"/>
            <w:hideMark/>
          </w:tcPr>
          <w:p w14:paraId="7D37DFF7" w14:textId="77777777" w:rsidR="00BA2A47" w:rsidRPr="00BA2A47" w:rsidRDefault="00BA2A47" w:rsidP="00BA2A47">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b/>
                <w:bCs/>
              </w:rPr>
            </w:pPr>
            <w:r w:rsidRPr="00BA2A47">
              <w:rPr>
                <w:rFonts w:cs="Arial"/>
                <w:b/>
                <w:bCs/>
              </w:rPr>
              <w:t>0.003245024</w:t>
            </w:r>
          </w:p>
        </w:tc>
        <w:tc>
          <w:tcPr>
            <w:tcW w:w="0" w:type="auto"/>
            <w:tcBorders>
              <w:top w:val="nil"/>
              <w:left w:val="nil"/>
              <w:bottom w:val="single" w:sz="4" w:space="0" w:color="auto"/>
              <w:right w:val="single" w:sz="4" w:space="0" w:color="auto"/>
            </w:tcBorders>
            <w:shd w:val="clear" w:color="auto" w:fill="auto"/>
            <w:noWrap/>
            <w:vAlign w:val="bottom"/>
            <w:hideMark/>
          </w:tcPr>
          <w:p w14:paraId="6397FF10" w14:textId="77777777" w:rsidR="00BA2A47" w:rsidRPr="00BA2A47" w:rsidRDefault="00BA2A47" w:rsidP="00BA2A47">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b/>
                <w:bCs/>
              </w:rPr>
            </w:pPr>
            <w:r w:rsidRPr="00BA2A47">
              <w:rPr>
                <w:rFonts w:cs="Arial"/>
                <w:b/>
                <w:bCs/>
              </w:rPr>
              <w:t>0.004578832</w:t>
            </w:r>
          </w:p>
        </w:tc>
        <w:tc>
          <w:tcPr>
            <w:tcW w:w="0" w:type="auto"/>
            <w:tcBorders>
              <w:top w:val="nil"/>
              <w:left w:val="nil"/>
              <w:bottom w:val="single" w:sz="4" w:space="0" w:color="auto"/>
              <w:right w:val="single" w:sz="4" w:space="0" w:color="auto"/>
            </w:tcBorders>
            <w:shd w:val="clear" w:color="auto" w:fill="auto"/>
            <w:noWrap/>
            <w:vAlign w:val="bottom"/>
            <w:hideMark/>
          </w:tcPr>
          <w:p w14:paraId="5920FE39" w14:textId="77777777" w:rsidR="00BA2A47" w:rsidRPr="00BA2A47" w:rsidRDefault="00BA2A47" w:rsidP="00BA2A47">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b/>
                <w:bCs/>
              </w:rPr>
            </w:pPr>
            <w:r w:rsidRPr="00BA2A47">
              <w:rPr>
                <w:rFonts w:cs="Arial"/>
                <w:b/>
                <w:bCs/>
              </w:rPr>
              <w:t>0.019483881</w:t>
            </w:r>
          </w:p>
        </w:tc>
      </w:tr>
    </w:tbl>
    <w:p w14:paraId="5784BA6D" w14:textId="77777777" w:rsidR="00AD0284" w:rsidRDefault="00BA2A47" w:rsidP="000731A9">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BA2A47">
        <w:rPr>
          <w:rFonts w:cs="Arial"/>
        </w:rPr>
        <w:t xml:space="preserve"> </w:t>
      </w:r>
    </w:p>
    <w:p w14:paraId="311C800B" w14:textId="77777777" w:rsidR="00AD0284" w:rsidRDefault="00AD0284" w:rsidP="000731A9">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sectPr w:rsidR="00AD0284" w:rsidSect="005C0CAF">
          <w:footerReference w:type="default" r:id="rId65"/>
          <w:footerReference w:type="first" r:id="rId66"/>
          <w:pgSz w:w="12240" w:h="15840"/>
          <w:pgMar w:top="1080" w:right="1080" w:bottom="1080" w:left="1080" w:header="432" w:footer="720" w:gutter="0"/>
          <w:pgNumType w:fmt="lowerRoman" w:start="1"/>
          <w:cols w:space="720"/>
          <w:titlePg/>
          <w:docGrid w:linePitch="360"/>
        </w:sectPr>
      </w:pPr>
    </w:p>
    <w:p w14:paraId="40807DF9" w14:textId="1430078B" w:rsidR="00AD0284" w:rsidRPr="00F009DF" w:rsidRDefault="00AD0284" w:rsidP="00AD0284">
      <w:pPr>
        <w:jc w:val="center"/>
        <w:rPr>
          <w:spacing w:val="-3"/>
          <w:sz w:val="24"/>
          <w:szCs w:val="24"/>
        </w:rPr>
      </w:pPr>
      <w:r w:rsidRPr="00F009DF">
        <w:rPr>
          <w:b/>
          <w:sz w:val="24"/>
        </w:rPr>
        <w:lastRenderedPageBreak/>
        <w:t>APPENDIX F-</w:t>
      </w:r>
      <w:r>
        <w:rPr>
          <w:b/>
          <w:sz w:val="24"/>
        </w:rPr>
        <w:t>4</w:t>
      </w:r>
    </w:p>
    <w:p w14:paraId="1C6D9613" w14:textId="247AFA31" w:rsidR="00AD0284" w:rsidRDefault="00AD0284" w:rsidP="00AD0284">
      <w:pPr>
        <w:jc w:val="center"/>
        <w:rPr>
          <w:b/>
          <w:sz w:val="24"/>
          <w:szCs w:val="24"/>
        </w:rPr>
      </w:pPr>
      <w:r>
        <w:rPr>
          <w:b/>
          <w:sz w:val="24"/>
          <w:szCs w:val="24"/>
        </w:rPr>
        <w:t>DATA SUPPORTING PERFORMANCE-BASED PCBs LIMITATIONS</w:t>
      </w:r>
    </w:p>
    <w:p w14:paraId="66DE228E" w14:textId="77777777" w:rsidR="00AD0284" w:rsidRDefault="00AD0284" w:rsidP="000731A9">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5"/>
        <w:gridCol w:w="2340"/>
        <w:gridCol w:w="2520"/>
        <w:gridCol w:w="2430"/>
      </w:tblGrid>
      <w:tr w:rsidR="00AD0284" w:rsidRPr="00AD0284" w14:paraId="113523F4" w14:textId="77777777" w:rsidTr="00FC7A12">
        <w:trPr>
          <w:trHeight w:val="256"/>
        </w:trPr>
        <w:tc>
          <w:tcPr>
            <w:tcW w:w="9625" w:type="dxa"/>
            <w:gridSpan w:val="4"/>
            <w:shd w:val="clear" w:color="auto" w:fill="auto"/>
          </w:tcPr>
          <w:p w14:paraId="484B70DA" w14:textId="77777777" w:rsidR="00AD0284" w:rsidRPr="00FC7A12" w:rsidRDefault="00AD0284" w:rsidP="00AD0284">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r w:rsidRPr="00FC7A12">
              <w:rPr>
                <w:b/>
                <w:sz w:val="24"/>
                <w:szCs w:val="24"/>
              </w:rPr>
              <w:t>Discharge Category – PCBs Data (µg/L)</w:t>
            </w:r>
          </w:p>
        </w:tc>
      </w:tr>
      <w:tr w:rsidR="00AD0284" w:rsidRPr="00AD0284" w14:paraId="389B13BE" w14:textId="77777777" w:rsidTr="00FC7A12">
        <w:trPr>
          <w:trHeight w:val="528"/>
        </w:trPr>
        <w:tc>
          <w:tcPr>
            <w:tcW w:w="2335" w:type="dxa"/>
            <w:shd w:val="clear" w:color="auto" w:fill="auto"/>
            <w:vAlign w:val="center"/>
          </w:tcPr>
          <w:p w14:paraId="3EB1096E" w14:textId="77777777" w:rsidR="00AD0284" w:rsidRPr="00AD0284" w:rsidRDefault="00AD0284" w:rsidP="00FC7A1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sidRPr="00AD0284">
              <w:rPr>
                <w:sz w:val="24"/>
                <w:szCs w:val="24"/>
              </w:rPr>
              <w:t>Advanced Secondary</w:t>
            </w:r>
          </w:p>
        </w:tc>
        <w:tc>
          <w:tcPr>
            <w:tcW w:w="2340" w:type="dxa"/>
            <w:shd w:val="clear" w:color="auto" w:fill="auto"/>
            <w:vAlign w:val="center"/>
          </w:tcPr>
          <w:p w14:paraId="28C386DF" w14:textId="77777777" w:rsidR="00AD0284" w:rsidRPr="00AD0284" w:rsidRDefault="00AD0284" w:rsidP="00FC7A1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sidRPr="00AD0284">
              <w:rPr>
                <w:sz w:val="24"/>
                <w:szCs w:val="24"/>
              </w:rPr>
              <w:t>Secondary</w:t>
            </w:r>
          </w:p>
        </w:tc>
        <w:tc>
          <w:tcPr>
            <w:tcW w:w="2520" w:type="dxa"/>
            <w:shd w:val="clear" w:color="auto" w:fill="auto"/>
            <w:vAlign w:val="center"/>
          </w:tcPr>
          <w:p w14:paraId="7019DE8B" w14:textId="77777777" w:rsidR="00AD0284" w:rsidRPr="00AD0284" w:rsidRDefault="00AD0284" w:rsidP="00FC7A1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sidRPr="00AD0284">
              <w:rPr>
                <w:sz w:val="24"/>
                <w:szCs w:val="24"/>
              </w:rPr>
              <w:t>Petroleum Refinery</w:t>
            </w:r>
          </w:p>
        </w:tc>
        <w:tc>
          <w:tcPr>
            <w:tcW w:w="2430" w:type="dxa"/>
            <w:shd w:val="clear" w:color="auto" w:fill="auto"/>
            <w:vAlign w:val="center"/>
          </w:tcPr>
          <w:p w14:paraId="2B7B69EB" w14:textId="2E87A707" w:rsidR="00AD0284" w:rsidRPr="00AD0284" w:rsidRDefault="00FC7A12" w:rsidP="00FC7A1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Pr>
                <w:sz w:val="24"/>
                <w:szCs w:val="24"/>
              </w:rPr>
              <w:t>Non-Petroleum Refinery</w:t>
            </w:r>
          </w:p>
        </w:tc>
      </w:tr>
      <w:tr w:rsidR="00AD0284" w:rsidRPr="00AD0284" w14:paraId="37D0941C" w14:textId="77777777" w:rsidTr="00FC7A12">
        <w:trPr>
          <w:trHeight w:val="256"/>
        </w:trPr>
        <w:tc>
          <w:tcPr>
            <w:tcW w:w="2335" w:type="dxa"/>
            <w:shd w:val="clear" w:color="auto" w:fill="auto"/>
          </w:tcPr>
          <w:p w14:paraId="305142C8" w14:textId="77777777" w:rsidR="00AD0284" w:rsidRPr="00AD0284" w:rsidRDefault="00AD0284" w:rsidP="00FC7A1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sidRPr="00AD0284">
              <w:rPr>
                <w:sz w:val="24"/>
                <w:szCs w:val="24"/>
              </w:rPr>
              <w:t>0.000250</w:t>
            </w:r>
          </w:p>
        </w:tc>
        <w:tc>
          <w:tcPr>
            <w:tcW w:w="2340" w:type="dxa"/>
            <w:shd w:val="clear" w:color="auto" w:fill="auto"/>
          </w:tcPr>
          <w:p w14:paraId="387BB591" w14:textId="77777777" w:rsidR="00AD0284" w:rsidRPr="00AD0284" w:rsidRDefault="00AD0284" w:rsidP="00FC7A1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sidRPr="00AD0284">
              <w:rPr>
                <w:sz w:val="24"/>
                <w:szCs w:val="24"/>
              </w:rPr>
              <w:t>0.0079</w:t>
            </w:r>
          </w:p>
        </w:tc>
        <w:tc>
          <w:tcPr>
            <w:tcW w:w="2520" w:type="dxa"/>
            <w:shd w:val="clear" w:color="auto" w:fill="auto"/>
          </w:tcPr>
          <w:p w14:paraId="7CF15D61" w14:textId="77777777" w:rsidR="00AD0284" w:rsidRPr="00AD0284" w:rsidRDefault="00AD0284" w:rsidP="00FC7A1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sidRPr="00AD0284">
              <w:rPr>
                <w:sz w:val="24"/>
                <w:szCs w:val="24"/>
              </w:rPr>
              <w:t>0.000650</w:t>
            </w:r>
          </w:p>
        </w:tc>
        <w:tc>
          <w:tcPr>
            <w:tcW w:w="2430" w:type="dxa"/>
            <w:shd w:val="clear" w:color="auto" w:fill="auto"/>
          </w:tcPr>
          <w:p w14:paraId="52984D0C" w14:textId="77777777" w:rsidR="00AD0284" w:rsidRPr="00AD0284" w:rsidRDefault="00AD0284" w:rsidP="00FC7A1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sidRPr="00AD0284">
              <w:rPr>
                <w:sz w:val="24"/>
                <w:szCs w:val="24"/>
              </w:rPr>
              <w:t>0.000860</w:t>
            </w:r>
          </w:p>
        </w:tc>
      </w:tr>
      <w:tr w:rsidR="00AD0284" w:rsidRPr="00AD0284" w14:paraId="0AF41D12" w14:textId="77777777" w:rsidTr="00FC7A12">
        <w:trPr>
          <w:trHeight w:val="256"/>
        </w:trPr>
        <w:tc>
          <w:tcPr>
            <w:tcW w:w="2335" w:type="dxa"/>
            <w:shd w:val="clear" w:color="auto" w:fill="auto"/>
          </w:tcPr>
          <w:p w14:paraId="57CECC57" w14:textId="77777777" w:rsidR="00AD0284" w:rsidRPr="00AD0284" w:rsidRDefault="00AD0284" w:rsidP="00FC7A1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sidRPr="00AD0284">
              <w:rPr>
                <w:sz w:val="24"/>
                <w:szCs w:val="24"/>
              </w:rPr>
              <w:t>0.000310</w:t>
            </w:r>
          </w:p>
        </w:tc>
        <w:tc>
          <w:tcPr>
            <w:tcW w:w="2340" w:type="dxa"/>
            <w:shd w:val="clear" w:color="auto" w:fill="auto"/>
          </w:tcPr>
          <w:p w14:paraId="3381FB1A" w14:textId="77777777" w:rsidR="00AD0284" w:rsidRPr="00AD0284" w:rsidRDefault="00AD0284" w:rsidP="00FC7A1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sidRPr="00AD0284">
              <w:rPr>
                <w:sz w:val="24"/>
                <w:szCs w:val="24"/>
              </w:rPr>
              <w:t>0.0011</w:t>
            </w:r>
          </w:p>
        </w:tc>
        <w:tc>
          <w:tcPr>
            <w:tcW w:w="2520" w:type="dxa"/>
            <w:shd w:val="clear" w:color="auto" w:fill="auto"/>
          </w:tcPr>
          <w:p w14:paraId="1C8AD197" w14:textId="77777777" w:rsidR="00AD0284" w:rsidRPr="00AD0284" w:rsidRDefault="00AD0284" w:rsidP="00FC7A1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sidRPr="00AD0284">
              <w:rPr>
                <w:sz w:val="24"/>
                <w:szCs w:val="24"/>
              </w:rPr>
              <w:t>0.000570</w:t>
            </w:r>
          </w:p>
        </w:tc>
        <w:tc>
          <w:tcPr>
            <w:tcW w:w="2430" w:type="dxa"/>
            <w:shd w:val="clear" w:color="auto" w:fill="auto"/>
          </w:tcPr>
          <w:p w14:paraId="149749BA" w14:textId="77777777" w:rsidR="00AD0284" w:rsidRPr="00AD0284" w:rsidRDefault="00AD0284" w:rsidP="00FC7A1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sidRPr="00AD0284">
              <w:rPr>
                <w:sz w:val="24"/>
                <w:szCs w:val="24"/>
              </w:rPr>
              <w:t>0.003700</w:t>
            </w:r>
          </w:p>
        </w:tc>
      </w:tr>
      <w:tr w:rsidR="00AD0284" w:rsidRPr="00AD0284" w14:paraId="19EA8AFF" w14:textId="77777777" w:rsidTr="00FC7A12">
        <w:trPr>
          <w:trHeight w:val="256"/>
        </w:trPr>
        <w:tc>
          <w:tcPr>
            <w:tcW w:w="2335" w:type="dxa"/>
            <w:shd w:val="clear" w:color="auto" w:fill="auto"/>
          </w:tcPr>
          <w:p w14:paraId="520BED5E" w14:textId="77777777" w:rsidR="00AD0284" w:rsidRPr="00AD0284" w:rsidRDefault="00AD0284" w:rsidP="00FC7A1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sidRPr="00AD0284">
              <w:rPr>
                <w:sz w:val="24"/>
                <w:szCs w:val="24"/>
              </w:rPr>
              <w:t>0.000190</w:t>
            </w:r>
          </w:p>
        </w:tc>
        <w:tc>
          <w:tcPr>
            <w:tcW w:w="2340" w:type="dxa"/>
            <w:shd w:val="clear" w:color="auto" w:fill="auto"/>
          </w:tcPr>
          <w:p w14:paraId="2E9E00F9" w14:textId="77777777" w:rsidR="00AD0284" w:rsidRPr="00AD0284" w:rsidRDefault="00AD0284" w:rsidP="00FC7A1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sidRPr="00AD0284">
              <w:rPr>
                <w:sz w:val="24"/>
                <w:szCs w:val="24"/>
              </w:rPr>
              <w:t>0.0047</w:t>
            </w:r>
          </w:p>
        </w:tc>
        <w:tc>
          <w:tcPr>
            <w:tcW w:w="2520" w:type="dxa"/>
            <w:shd w:val="clear" w:color="auto" w:fill="auto"/>
          </w:tcPr>
          <w:p w14:paraId="7E98116B" w14:textId="77777777" w:rsidR="00AD0284" w:rsidRPr="00AD0284" w:rsidRDefault="00AD0284" w:rsidP="00FC7A1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sidRPr="00AD0284">
              <w:rPr>
                <w:sz w:val="24"/>
                <w:szCs w:val="24"/>
              </w:rPr>
              <w:t>0.000170</w:t>
            </w:r>
          </w:p>
        </w:tc>
        <w:tc>
          <w:tcPr>
            <w:tcW w:w="2430" w:type="dxa"/>
            <w:shd w:val="clear" w:color="auto" w:fill="auto"/>
          </w:tcPr>
          <w:p w14:paraId="2AE12238" w14:textId="77777777" w:rsidR="00AD0284" w:rsidRPr="00AD0284" w:rsidRDefault="00AD0284" w:rsidP="00FC7A1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sidRPr="00AD0284">
              <w:rPr>
                <w:sz w:val="24"/>
                <w:szCs w:val="24"/>
              </w:rPr>
              <w:t>0.005600</w:t>
            </w:r>
          </w:p>
        </w:tc>
      </w:tr>
      <w:tr w:rsidR="00AD0284" w:rsidRPr="00AD0284" w14:paraId="3BF15D0F" w14:textId="77777777" w:rsidTr="00FC7A12">
        <w:trPr>
          <w:trHeight w:val="256"/>
        </w:trPr>
        <w:tc>
          <w:tcPr>
            <w:tcW w:w="2335" w:type="dxa"/>
            <w:shd w:val="clear" w:color="auto" w:fill="auto"/>
          </w:tcPr>
          <w:p w14:paraId="55E32B82" w14:textId="77777777" w:rsidR="00AD0284" w:rsidRPr="00AD0284" w:rsidRDefault="00AD0284" w:rsidP="00FC7A1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sidRPr="00AD0284">
              <w:rPr>
                <w:sz w:val="24"/>
                <w:szCs w:val="24"/>
              </w:rPr>
              <w:t>0.000200</w:t>
            </w:r>
          </w:p>
        </w:tc>
        <w:tc>
          <w:tcPr>
            <w:tcW w:w="2340" w:type="dxa"/>
            <w:shd w:val="clear" w:color="auto" w:fill="auto"/>
          </w:tcPr>
          <w:p w14:paraId="0708F006" w14:textId="77777777" w:rsidR="00AD0284" w:rsidRPr="00AD0284" w:rsidRDefault="00AD0284" w:rsidP="00FC7A1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sidRPr="00AD0284">
              <w:rPr>
                <w:sz w:val="24"/>
                <w:szCs w:val="24"/>
              </w:rPr>
              <w:t>0.0022</w:t>
            </w:r>
          </w:p>
        </w:tc>
        <w:tc>
          <w:tcPr>
            <w:tcW w:w="2520" w:type="dxa"/>
            <w:shd w:val="clear" w:color="auto" w:fill="auto"/>
          </w:tcPr>
          <w:p w14:paraId="7CECC8D4" w14:textId="77777777" w:rsidR="00AD0284" w:rsidRPr="00AD0284" w:rsidRDefault="00AD0284" w:rsidP="00FC7A1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sidRPr="00AD0284">
              <w:rPr>
                <w:sz w:val="24"/>
                <w:szCs w:val="24"/>
              </w:rPr>
              <w:t>0.000380</w:t>
            </w:r>
          </w:p>
        </w:tc>
        <w:tc>
          <w:tcPr>
            <w:tcW w:w="2430" w:type="dxa"/>
            <w:shd w:val="clear" w:color="auto" w:fill="auto"/>
          </w:tcPr>
          <w:p w14:paraId="22E16521" w14:textId="77777777" w:rsidR="00AD0284" w:rsidRPr="00AD0284" w:rsidRDefault="00AD0284" w:rsidP="00FC7A1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sidRPr="00AD0284">
              <w:rPr>
                <w:sz w:val="24"/>
                <w:szCs w:val="24"/>
              </w:rPr>
              <w:t>0.004300</w:t>
            </w:r>
          </w:p>
        </w:tc>
      </w:tr>
      <w:tr w:rsidR="00AD0284" w:rsidRPr="00AD0284" w14:paraId="765164F0" w14:textId="77777777" w:rsidTr="00FC7A12">
        <w:trPr>
          <w:trHeight w:val="256"/>
        </w:trPr>
        <w:tc>
          <w:tcPr>
            <w:tcW w:w="2335" w:type="dxa"/>
            <w:shd w:val="clear" w:color="auto" w:fill="auto"/>
          </w:tcPr>
          <w:p w14:paraId="358BD986" w14:textId="77777777" w:rsidR="00AD0284" w:rsidRPr="00AD0284" w:rsidRDefault="00AD0284" w:rsidP="00FC7A1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sidRPr="00AD0284">
              <w:rPr>
                <w:sz w:val="24"/>
                <w:szCs w:val="24"/>
              </w:rPr>
              <w:t>0.000310</w:t>
            </w:r>
          </w:p>
        </w:tc>
        <w:tc>
          <w:tcPr>
            <w:tcW w:w="2340" w:type="dxa"/>
            <w:shd w:val="clear" w:color="auto" w:fill="auto"/>
          </w:tcPr>
          <w:p w14:paraId="5124B1AF" w14:textId="77777777" w:rsidR="00AD0284" w:rsidRPr="00AD0284" w:rsidRDefault="00AD0284" w:rsidP="00FC7A1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sidRPr="00AD0284">
              <w:rPr>
                <w:sz w:val="24"/>
                <w:szCs w:val="24"/>
              </w:rPr>
              <w:t>0.0057</w:t>
            </w:r>
          </w:p>
        </w:tc>
        <w:tc>
          <w:tcPr>
            <w:tcW w:w="2520" w:type="dxa"/>
            <w:shd w:val="clear" w:color="auto" w:fill="auto"/>
          </w:tcPr>
          <w:p w14:paraId="07C175C6" w14:textId="77777777" w:rsidR="00AD0284" w:rsidRPr="00AD0284" w:rsidRDefault="00AD0284" w:rsidP="00FC7A1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sidRPr="00AD0284">
              <w:rPr>
                <w:sz w:val="24"/>
                <w:szCs w:val="24"/>
              </w:rPr>
              <w:t>0.000280</w:t>
            </w:r>
          </w:p>
        </w:tc>
        <w:tc>
          <w:tcPr>
            <w:tcW w:w="2430" w:type="dxa"/>
            <w:shd w:val="clear" w:color="auto" w:fill="auto"/>
          </w:tcPr>
          <w:p w14:paraId="23CFCF53" w14:textId="77777777" w:rsidR="00AD0284" w:rsidRPr="00AD0284" w:rsidRDefault="00AD0284" w:rsidP="00FC7A1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sidRPr="00AD0284">
              <w:rPr>
                <w:sz w:val="24"/>
                <w:szCs w:val="24"/>
              </w:rPr>
              <w:t>0.003400</w:t>
            </w:r>
          </w:p>
        </w:tc>
      </w:tr>
      <w:tr w:rsidR="00AD0284" w:rsidRPr="00AD0284" w14:paraId="6C4D9F63" w14:textId="77777777" w:rsidTr="00FC7A12">
        <w:trPr>
          <w:trHeight w:val="256"/>
        </w:trPr>
        <w:tc>
          <w:tcPr>
            <w:tcW w:w="2335" w:type="dxa"/>
            <w:shd w:val="clear" w:color="auto" w:fill="auto"/>
          </w:tcPr>
          <w:p w14:paraId="2B9A3776" w14:textId="77777777" w:rsidR="00AD0284" w:rsidRPr="00AD0284" w:rsidRDefault="00AD0284" w:rsidP="00FC7A1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sidRPr="00AD0284">
              <w:rPr>
                <w:sz w:val="24"/>
                <w:szCs w:val="24"/>
              </w:rPr>
              <w:t>0.000170</w:t>
            </w:r>
          </w:p>
        </w:tc>
        <w:tc>
          <w:tcPr>
            <w:tcW w:w="2340" w:type="dxa"/>
            <w:shd w:val="clear" w:color="auto" w:fill="auto"/>
          </w:tcPr>
          <w:p w14:paraId="564E6F79" w14:textId="77777777" w:rsidR="00AD0284" w:rsidRPr="00AD0284" w:rsidRDefault="00AD0284" w:rsidP="00FC7A1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sidRPr="00AD0284">
              <w:rPr>
                <w:sz w:val="24"/>
                <w:szCs w:val="24"/>
              </w:rPr>
              <w:t>0.0014</w:t>
            </w:r>
          </w:p>
        </w:tc>
        <w:tc>
          <w:tcPr>
            <w:tcW w:w="2520" w:type="dxa"/>
            <w:shd w:val="clear" w:color="auto" w:fill="auto"/>
          </w:tcPr>
          <w:p w14:paraId="1A176B59" w14:textId="77777777" w:rsidR="00AD0284" w:rsidRPr="00AD0284" w:rsidRDefault="00AD0284" w:rsidP="00FC7A1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sidRPr="00AD0284">
              <w:rPr>
                <w:sz w:val="24"/>
                <w:szCs w:val="24"/>
              </w:rPr>
              <w:t>0.000150</w:t>
            </w:r>
          </w:p>
        </w:tc>
        <w:tc>
          <w:tcPr>
            <w:tcW w:w="2430" w:type="dxa"/>
            <w:shd w:val="clear" w:color="auto" w:fill="auto"/>
          </w:tcPr>
          <w:p w14:paraId="0F7DE883" w14:textId="77777777" w:rsidR="00AD0284" w:rsidRPr="00AD0284" w:rsidRDefault="00AD0284" w:rsidP="00FC7A1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sidRPr="00AD0284">
              <w:rPr>
                <w:sz w:val="24"/>
                <w:szCs w:val="24"/>
              </w:rPr>
              <w:t>0.003400</w:t>
            </w:r>
          </w:p>
        </w:tc>
      </w:tr>
      <w:tr w:rsidR="00AD0284" w:rsidRPr="00AD0284" w14:paraId="6911ADEF" w14:textId="77777777" w:rsidTr="00FC7A12">
        <w:trPr>
          <w:trHeight w:val="256"/>
        </w:trPr>
        <w:tc>
          <w:tcPr>
            <w:tcW w:w="2335" w:type="dxa"/>
            <w:shd w:val="clear" w:color="auto" w:fill="auto"/>
          </w:tcPr>
          <w:p w14:paraId="78E882D6" w14:textId="77777777" w:rsidR="00AD0284" w:rsidRPr="00AD0284" w:rsidRDefault="00AD0284" w:rsidP="00FC7A1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sidRPr="00AD0284">
              <w:rPr>
                <w:sz w:val="24"/>
                <w:szCs w:val="24"/>
              </w:rPr>
              <w:t>0.000190</w:t>
            </w:r>
          </w:p>
        </w:tc>
        <w:tc>
          <w:tcPr>
            <w:tcW w:w="2340" w:type="dxa"/>
            <w:shd w:val="clear" w:color="auto" w:fill="auto"/>
          </w:tcPr>
          <w:p w14:paraId="0AF03EE9" w14:textId="77777777" w:rsidR="00AD0284" w:rsidRPr="00AD0284" w:rsidRDefault="00AD0284" w:rsidP="00FC7A1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sidRPr="00AD0284">
              <w:rPr>
                <w:sz w:val="24"/>
                <w:szCs w:val="24"/>
              </w:rPr>
              <w:t>0.0037</w:t>
            </w:r>
          </w:p>
        </w:tc>
        <w:tc>
          <w:tcPr>
            <w:tcW w:w="2520" w:type="dxa"/>
            <w:shd w:val="clear" w:color="auto" w:fill="auto"/>
          </w:tcPr>
          <w:p w14:paraId="3DAA2B2A" w14:textId="77777777" w:rsidR="00AD0284" w:rsidRPr="00AD0284" w:rsidRDefault="00AD0284" w:rsidP="00FC7A1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sidRPr="00AD0284">
              <w:rPr>
                <w:sz w:val="24"/>
                <w:szCs w:val="24"/>
              </w:rPr>
              <w:t>0.000110</w:t>
            </w:r>
          </w:p>
        </w:tc>
        <w:tc>
          <w:tcPr>
            <w:tcW w:w="2430" w:type="dxa"/>
            <w:shd w:val="clear" w:color="auto" w:fill="auto"/>
          </w:tcPr>
          <w:p w14:paraId="4446BEC7" w14:textId="77777777" w:rsidR="00AD0284" w:rsidRPr="00AD0284" w:rsidRDefault="00AD0284" w:rsidP="00FC7A1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p>
        </w:tc>
      </w:tr>
      <w:tr w:rsidR="00AD0284" w:rsidRPr="00AD0284" w14:paraId="004C33BA" w14:textId="77777777" w:rsidTr="00FC7A12">
        <w:trPr>
          <w:trHeight w:val="256"/>
        </w:trPr>
        <w:tc>
          <w:tcPr>
            <w:tcW w:w="2335" w:type="dxa"/>
            <w:shd w:val="clear" w:color="auto" w:fill="auto"/>
          </w:tcPr>
          <w:p w14:paraId="664A9B43" w14:textId="77777777" w:rsidR="00AD0284" w:rsidRPr="00AD0284" w:rsidRDefault="00AD0284" w:rsidP="00FC7A1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sidRPr="00AD0284">
              <w:rPr>
                <w:sz w:val="24"/>
                <w:szCs w:val="24"/>
              </w:rPr>
              <w:t>0.000130</w:t>
            </w:r>
          </w:p>
        </w:tc>
        <w:tc>
          <w:tcPr>
            <w:tcW w:w="2340" w:type="dxa"/>
            <w:shd w:val="clear" w:color="auto" w:fill="auto"/>
          </w:tcPr>
          <w:p w14:paraId="573359B1" w14:textId="77777777" w:rsidR="00AD0284" w:rsidRPr="00AD0284" w:rsidRDefault="00AD0284" w:rsidP="00FC7A1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sidRPr="00AD0284">
              <w:rPr>
                <w:sz w:val="24"/>
                <w:szCs w:val="24"/>
              </w:rPr>
              <w:t>0.0027</w:t>
            </w:r>
          </w:p>
        </w:tc>
        <w:tc>
          <w:tcPr>
            <w:tcW w:w="2520" w:type="dxa"/>
            <w:shd w:val="clear" w:color="auto" w:fill="auto"/>
          </w:tcPr>
          <w:p w14:paraId="6804BAE8" w14:textId="77777777" w:rsidR="00AD0284" w:rsidRPr="00AD0284" w:rsidRDefault="00AD0284" w:rsidP="00FC7A1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sidRPr="00AD0284">
              <w:rPr>
                <w:sz w:val="24"/>
                <w:szCs w:val="24"/>
              </w:rPr>
              <w:t>0.000150</w:t>
            </w:r>
          </w:p>
        </w:tc>
        <w:tc>
          <w:tcPr>
            <w:tcW w:w="2430" w:type="dxa"/>
            <w:shd w:val="clear" w:color="auto" w:fill="auto"/>
          </w:tcPr>
          <w:p w14:paraId="18834DCB" w14:textId="77777777" w:rsidR="00AD0284" w:rsidRPr="00AD0284" w:rsidRDefault="00AD0284" w:rsidP="00FC7A1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p>
        </w:tc>
      </w:tr>
      <w:tr w:rsidR="00AD0284" w:rsidRPr="00AD0284" w14:paraId="60125F9A" w14:textId="77777777" w:rsidTr="00FC7A12">
        <w:trPr>
          <w:trHeight w:val="256"/>
        </w:trPr>
        <w:tc>
          <w:tcPr>
            <w:tcW w:w="2335" w:type="dxa"/>
            <w:shd w:val="clear" w:color="auto" w:fill="auto"/>
          </w:tcPr>
          <w:p w14:paraId="066904EC" w14:textId="77777777" w:rsidR="00AD0284" w:rsidRPr="00AD0284" w:rsidRDefault="00AD0284" w:rsidP="00FC7A1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sidRPr="00AD0284">
              <w:rPr>
                <w:sz w:val="24"/>
                <w:szCs w:val="24"/>
              </w:rPr>
              <w:t>0.000320</w:t>
            </w:r>
          </w:p>
        </w:tc>
        <w:tc>
          <w:tcPr>
            <w:tcW w:w="2340" w:type="dxa"/>
            <w:shd w:val="clear" w:color="auto" w:fill="auto"/>
          </w:tcPr>
          <w:p w14:paraId="05EE7482" w14:textId="77777777" w:rsidR="00AD0284" w:rsidRPr="00AD0284" w:rsidRDefault="00AD0284" w:rsidP="00FC7A1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sidRPr="00AD0284">
              <w:rPr>
                <w:sz w:val="24"/>
                <w:szCs w:val="24"/>
              </w:rPr>
              <w:t>0.0026</w:t>
            </w:r>
          </w:p>
        </w:tc>
        <w:tc>
          <w:tcPr>
            <w:tcW w:w="2520" w:type="dxa"/>
            <w:shd w:val="clear" w:color="auto" w:fill="auto"/>
          </w:tcPr>
          <w:p w14:paraId="27F84581" w14:textId="77777777" w:rsidR="00AD0284" w:rsidRPr="00AD0284" w:rsidRDefault="00AD0284" w:rsidP="00FC7A1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sidRPr="00AD0284">
              <w:rPr>
                <w:sz w:val="24"/>
                <w:szCs w:val="24"/>
              </w:rPr>
              <w:t>0.000170</w:t>
            </w:r>
          </w:p>
        </w:tc>
        <w:tc>
          <w:tcPr>
            <w:tcW w:w="2430" w:type="dxa"/>
            <w:shd w:val="clear" w:color="auto" w:fill="auto"/>
          </w:tcPr>
          <w:p w14:paraId="7A8F21D8" w14:textId="77777777" w:rsidR="00AD0284" w:rsidRPr="00AD0284" w:rsidRDefault="00AD0284" w:rsidP="00FC7A1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p>
        </w:tc>
      </w:tr>
      <w:tr w:rsidR="00AD0284" w:rsidRPr="00AD0284" w14:paraId="20DE4784" w14:textId="77777777" w:rsidTr="00FC7A12">
        <w:trPr>
          <w:trHeight w:val="256"/>
        </w:trPr>
        <w:tc>
          <w:tcPr>
            <w:tcW w:w="2335" w:type="dxa"/>
            <w:shd w:val="clear" w:color="auto" w:fill="auto"/>
          </w:tcPr>
          <w:p w14:paraId="3BEA9068" w14:textId="77777777" w:rsidR="00AD0284" w:rsidRPr="00AD0284" w:rsidRDefault="00AD0284" w:rsidP="00FC7A1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sidRPr="00AD0284">
              <w:rPr>
                <w:sz w:val="24"/>
                <w:szCs w:val="24"/>
              </w:rPr>
              <w:t>0.000170</w:t>
            </w:r>
          </w:p>
        </w:tc>
        <w:tc>
          <w:tcPr>
            <w:tcW w:w="2340" w:type="dxa"/>
            <w:shd w:val="clear" w:color="auto" w:fill="auto"/>
          </w:tcPr>
          <w:p w14:paraId="30B2AA1E" w14:textId="77777777" w:rsidR="00AD0284" w:rsidRPr="00AD0284" w:rsidRDefault="00AD0284" w:rsidP="00FC7A1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p>
        </w:tc>
        <w:tc>
          <w:tcPr>
            <w:tcW w:w="2520" w:type="dxa"/>
            <w:shd w:val="clear" w:color="auto" w:fill="auto"/>
          </w:tcPr>
          <w:p w14:paraId="51350D8D" w14:textId="77777777" w:rsidR="00AD0284" w:rsidRPr="00AD0284" w:rsidRDefault="00AD0284" w:rsidP="00FC7A1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sidRPr="00AD0284">
              <w:rPr>
                <w:sz w:val="24"/>
                <w:szCs w:val="24"/>
              </w:rPr>
              <w:t>0.000085</w:t>
            </w:r>
          </w:p>
        </w:tc>
        <w:tc>
          <w:tcPr>
            <w:tcW w:w="2430" w:type="dxa"/>
            <w:shd w:val="clear" w:color="auto" w:fill="auto"/>
          </w:tcPr>
          <w:p w14:paraId="7B55AD17" w14:textId="77777777" w:rsidR="00AD0284" w:rsidRPr="00AD0284" w:rsidRDefault="00AD0284" w:rsidP="00FC7A1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p>
        </w:tc>
      </w:tr>
      <w:tr w:rsidR="00AD0284" w:rsidRPr="00AD0284" w14:paraId="75E5A6CF" w14:textId="77777777" w:rsidTr="00FC7A12">
        <w:trPr>
          <w:trHeight w:val="256"/>
        </w:trPr>
        <w:tc>
          <w:tcPr>
            <w:tcW w:w="2335" w:type="dxa"/>
            <w:shd w:val="clear" w:color="auto" w:fill="auto"/>
          </w:tcPr>
          <w:p w14:paraId="0A6A45AF" w14:textId="77777777" w:rsidR="00AD0284" w:rsidRPr="00AD0284" w:rsidRDefault="00AD0284" w:rsidP="00FC7A1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sidRPr="00AD0284">
              <w:rPr>
                <w:sz w:val="24"/>
                <w:szCs w:val="24"/>
              </w:rPr>
              <w:t>0.000120</w:t>
            </w:r>
          </w:p>
        </w:tc>
        <w:tc>
          <w:tcPr>
            <w:tcW w:w="2340" w:type="dxa"/>
            <w:shd w:val="clear" w:color="auto" w:fill="auto"/>
          </w:tcPr>
          <w:p w14:paraId="29FFFCED" w14:textId="77777777" w:rsidR="00AD0284" w:rsidRPr="00AD0284" w:rsidRDefault="00AD0284" w:rsidP="00FC7A1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p>
        </w:tc>
        <w:tc>
          <w:tcPr>
            <w:tcW w:w="2520" w:type="dxa"/>
            <w:shd w:val="clear" w:color="auto" w:fill="auto"/>
          </w:tcPr>
          <w:p w14:paraId="5C96EC55" w14:textId="77777777" w:rsidR="00AD0284" w:rsidRPr="00AD0284" w:rsidRDefault="00AD0284" w:rsidP="00FC7A1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p>
        </w:tc>
        <w:tc>
          <w:tcPr>
            <w:tcW w:w="2430" w:type="dxa"/>
            <w:shd w:val="clear" w:color="auto" w:fill="auto"/>
          </w:tcPr>
          <w:p w14:paraId="24F569B9" w14:textId="77777777" w:rsidR="00AD0284" w:rsidRPr="00AD0284" w:rsidRDefault="00AD0284" w:rsidP="00FC7A1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p>
        </w:tc>
      </w:tr>
      <w:tr w:rsidR="00AD0284" w:rsidRPr="00AD0284" w14:paraId="4E7DCB60" w14:textId="77777777" w:rsidTr="00FC7A12">
        <w:trPr>
          <w:trHeight w:val="256"/>
        </w:trPr>
        <w:tc>
          <w:tcPr>
            <w:tcW w:w="2335" w:type="dxa"/>
            <w:shd w:val="clear" w:color="auto" w:fill="auto"/>
          </w:tcPr>
          <w:p w14:paraId="063D53C8" w14:textId="77777777" w:rsidR="00AD0284" w:rsidRPr="00AD0284" w:rsidRDefault="00AD0284" w:rsidP="00FC7A1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sidRPr="00AD0284">
              <w:rPr>
                <w:sz w:val="24"/>
                <w:szCs w:val="24"/>
              </w:rPr>
              <w:t>0.000240</w:t>
            </w:r>
          </w:p>
        </w:tc>
        <w:tc>
          <w:tcPr>
            <w:tcW w:w="2340" w:type="dxa"/>
            <w:shd w:val="clear" w:color="auto" w:fill="auto"/>
          </w:tcPr>
          <w:p w14:paraId="79C3C771" w14:textId="77777777" w:rsidR="00AD0284" w:rsidRPr="00AD0284" w:rsidRDefault="00AD0284" w:rsidP="00FC7A1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p>
        </w:tc>
        <w:tc>
          <w:tcPr>
            <w:tcW w:w="2520" w:type="dxa"/>
            <w:shd w:val="clear" w:color="auto" w:fill="auto"/>
          </w:tcPr>
          <w:p w14:paraId="66C72532" w14:textId="77777777" w:rsidR="00AD0284" w:rsidRPr="00AD0284" w:rsidRDefault="00AD0284" w:rsidP="00FC7A1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p>
        </w:tc>
        <w:tc>
          <w:tcPr>
            <w:tcW w:w="2430" w:type="dxa"/>
            <w:shd w:val="clear" w:color="auto" w:fill="auto"/>
          </w:tcPr>
          <w:p w14:paraId="00EAE5C8" w14:textId="77777777" w:rsidR="00AD0284" w:rsidRPr="00AD0284" w:rsidRDefault="00AD0284" w:rsidP="00FC7A1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p>
        </w:tc>
      </w:tr>
      <w:tr w:rsidR="00AD0284" w:rsidRPr="00AD0284" w14:paraId="5752A3AE" w14:textId="77777777" w:rsidTr="00FC7A12">
        <w:trPr>
          <w:trHeight w:val="256"/>
        </w:trPr>
        <w:tc>
          <w:tcPr>
            <w:tcW w:w="2335" w:type="dxa"/>
            <w:shd w:val="clear" w:color="auto" w:fill="auto"/>
          </w:tcPr>
          <w:p w14:paraId="4AEFF1AD" w14:textId="77777777" w:rsidR="00AD0284" w:rsidRPr="00AD0284" w:rsidRDefault="00AD0284" w:rsidP="00FC7A1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sidRPr="00AD0284">
              <w:rPr>
                <w:sz w:val="24"/>
                <w:szCs w:val="24"/>
              </w:rPr>
              <w:t>0.000190</w:t>
            </w:r>
          </w:p>
        </w:tc>
        <w:tc>
          <w:tcPr>
            <w:tcW w:w="2340" w:type="dxa"/>
            <w:shd w:val="clear" w:color="auto" w:fill="auto"/>
          </w:tcPr>
          <w:p w14:paraId="721749F1" w14:textId="77777777" w:rsidR="00AD0284" w:rsidRPr="00AD0284" w:rsidRDefault="00AD0284" w:rsidP="00FC7A1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p>
        </w:tc>
        <w:tc>
          <w:tcPr>
            <w:tcW w:w="2520" w:type="dxa"/>
            <w:shd w:val="clear" w:color="auto" w:fill="auto"/>
          </w:tcPr>
          <w:p w14:paraId="027CA96D" w14:textId="77777777" w:rsidR="00AD0284" w:rsidRPr="00AD0284" w:rsidRDefault="00AD0284" w:rsidP="00FC7A1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p>
        </w:tc>
        <w:tc>
          <w:tcPr>
            <w:tcW w:w="2430" w:type="dxa"/>
            <w:shd w:val="clear" w:color="auto" w:fill="auto"/>
          </w:tcPr>
          <w:p w14:paraId="037C6C47" w14:textId="77777777" w:rsidR="00AD0284" w:rsidRPr="00AD0284" w:rsidRDefault="00AD0284" w:rsidP="00FC7A1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p>
        </w:tc>
      </w:tr>
      <w:tr w:rsidR="00AD0284" w:rsidRPr="00AD0284" w14:paraId="072D816C" w14:textId="77777777" w:rsidTr="00FC7A12">
        <w:trPr>
          <w:trHeight w:val="256"/>
        </w:trPr>
        <w:tc>
          <w:tcPr>
            <w:tcW w:w="2335" w:type="dxa"/>
            <w:shd w:val="clear" w:color="auto" w:fill="auto"/>
          </w:tcPr>
          <w:p w14:paraId="185E2A6A" w14:textId="77777777" w:rsidR="00AD0284" w:rsidRPr="00AD0284" w:rsidRDefault="00AD0284" w:rsidP="00FC7A1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sidRPr="00AD0284">
              <w:rPr>
                <w:sz w:val="24"/>
                <w:szCs w:val="24"/>
              </w:rPr>
              <w:t>0.000160</w:t>
            </w:r>
          </w:p>
        </w:tc>
        <w:tc>
          <w:tcPr>
            <w:tcW w:w="2340" w:type="dxa"/>
            <w:shd w:val="clear" w:color="auto" w:fill="auto"/>
          </w:tcPr>
          <w:p w14:paraId="6F8DD163" w14:textId="77777777" w:rsidR="00AD0284" w:rsidRPr="00AD0284" w:rsidRDefault="00AD0284" w:rsidP="00FC7A1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p>
        </w:tc>
        <w:tc>
          <w:tcPr>
            <w:tcW w:w="2520" w:type="dxa"/>
            <w:shd w:val="clear" w:color="auto" w:fill="auto"/>
          </w:tcPr>
          <w:p w14:paraId="2EA6BB9A" w14:textId="77777777" w:rsidR="00AD0284" w:rsidRPr="00AD0284" w:rsidRDefault="00AD0284" w:rsidP="00FC7A1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p>
        </w:tc>
        <w:tc>
          <w:tcPr>
            <w:tcW w:w="2430" w:type="dxa"/>
            <w:shd w:val="clear" w:color="auto" w:fill="auto"/>
          </w:tcPr>
          <w:p w14:paraId="4D77C781" w14:textId="77777777" w:rsidR="00AD0284" w:rsidRPr="00AD0284" w:rsidRDefault="00AD0284" w:rsidP="00FC7A1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p>
        </w:tc>
      </w:tr>
    </w:tbl>
    <w:p w14:paraId="7EEC17FD" w14:textId="49745303" w:rsidR="000731A9" w:rsidRPr="00CD2FF8" w:rsidRDefault="000731A9" w:rsidP="000731A9">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p>
    <w:sectPr w:rsidR="000731A9" w:rsidRPr="00CD2FF8" w:rsidSect="005C0CAF">
      <w:footerReference w:type="first" r:id="rId67"/>
      <w:pgSz w:w="12240" w:h="15840"/>
      <w:pgMar w:top="1080" w:right="1080" w:bottom="1080" w:left="1080" w:header="432" w:footer="720" w:gutter="0"/>
      <w:pgNumType w:fmt="lowerRoman"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3EAEB2" w14:textId="77777777" w:rsidR="00B43F42" w:rsidRDefault="00B43F42">
      <w:r>
        <w:separator/>
      </w:r>
    </w:p>
  </w:endnote>
  <w:endnote w:type="continuationSeparator" w:id="0">
    <w:p w14:paraId="082CBF28" w14:textId="77777777" w:rsidR="00B43F42" w:rsidRDefault="00B43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old">
    <w:altName w:val="Arial"/>
    <w:panose1 w:val="020B07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
    <w:altName w:val="Times New Roman"/>
    <w:panose1 w:val="00000000000000000000"/>
    <w:charset w:val="00"/>
    <w:family w:val="roman"/>
    <w:notTrueType/>
    <w:pitch w:val="default"/>
    <w:sig w:usb0="00000003" w:usb1="00000000" w:usb2="00000000" w:usb3="00000000" w:csb0="00000001" w:csb1="00000000"/>
  </w:font>
  <w:font w:name="Times New Roman Bold">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1Stone Serif">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vant Garde">
    <w:altName w:val="Century Gothic"/>
    <w:panose1 w:val="00000000000000000000"/>
    <w:charset w:val="4D"/>
    <w:family w:val="auto"/>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Helvetica">
    <w:panose1 w:val="020B05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B6FAE" w14:textId="77777777" w:rsidR="005230D6" w:rsidRDefault="005230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14:paraId="78084824" w14:textId="77777777" w:rsidR="005230D6" w:rsidRDefault="005230D6">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E281E" w14:textId="77777777" w:rsidR="005230D6" w:rsidRDefault="005230D6">
    <w:pPr>
      <w:pStyle w:val="Footer"/>
      <w:tabs>
        <w:tab w:val="clear" w:pos="4320"/>
        <w:tab w:val="clear" w:pos="8640"/>
        <w:tab w:val="left" w:pos="0"/>
        <w:tab w:val="right" w:pos="10080"/>
        <w:tab w:val="right" w:pos="13680"/>
      </w:tabs>
    </w:pPr>
  </w:p>
  <w:p w14:paraId="04160E73" w14:textId="09F96960" w:rsidR="005230D6" w:rsidRPr="005E5C67" w:rsidRDefault="005230D6" w:rsidP="00943772">
    <w:pPr>
      <w:pStyle w:val="Footer"/>
      <w:tabs>
        <w:tab w:val="clear" w:pos="4320"/>
        <w:tab w:val="clear" w:pos="8640"/>
        <w:tab w:val="left" w:pos="0"/>
        <w:tab w:val="right" w:pos="13680"/>
      </w:tabs>
    </w:pPr>
    <w:r w:rsidRPr="005E5C67">
      <w:t xml:space="preserve">Attachment </w:t>
    </w:r>
    <w:r>
      <w:t xml:space="preserve">C </w:t>
    </w:r>
    <w:r w:rsidRPr="005E5C67">
      <w:t xml:space="preserve">– Process Flow Diagram </w:t>
    </w:r>
    <w:r w:rsidRPr="005E5C67">
      <w:tab/>
    </w:r>
    <w:r w:rsidRPr="005E5C67">
      <w:rPr>
        <w:rStyle w:val="PageNumber"/>
      </w:rPr>
      <w:fldChar w:fldCharType="begin"/>
    </w:r>
    <w:r w:rsidRPr="005E5C67">
      <w:rPr>
        <w:rStyle w:val="PageNumber"/>
      </w:rPr>
      <w:instrText xml:space="preserve"> PAGE </w:instrText>
    </w:r>
    <w:r w:rsidRPr="005E5C67">
      <w:rPr>
        <w:rStyle w:val="PageNumber"/>
      </w:rPr>
      <w:fldChar w:fldCharType="separate"/>
    </w:r>
    <w:r w:rsidR="0013573F">
      <w:rPr>
        <w:rStyle w:val="PageNumber"/>
        <w:noProof/>
      </w:rPr>
      <w:t>C-1</w:t>
    </w:r>
    <w:r w:rsidRPr="005E5C67">
      <w:rPr>
        <w:rStyle w:val="PageNumber"/>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FB962" w14:textId="77777777" w:rsidR="005230D6" w:rsidRDefault="005230D6">
    <w:pPr>
      <w:pStyle w:val="Footer"/>
      <w:tabs>
        <w:tab w:val="clear" w:pos="4320"/>
        <w:tab w:val="clear" w:pos="8640"/>
        <w:tab w:val="left" w:pos="0"/>
        <w:tab w:val="right" w:pos="10080"/>
        <w:tab w:val="right" w:pos="13680"/>
      </w:tabs>
    </w:pPr>
  </w:p>
  <w:p w14:paraId="1FE7D6A5" w14:textId="70AE8A44" w:rsidR="005230D6" w:rsidRPr="005E5C67" w:rsidRDefault="005230D6">
    <w:pPr>
      <w:pStyle w:val="Footer"/>
      <w:tabs>
        <w:tab w:val="clear" w:pos="4320"/>
        <w:tab w:val="clear" w:pos="8640"/>
        <w:tab w:val="left" w:pos="0"/>
        <w:tab w:val="right" w:pos="10080"/>
        <w:tab w:val="right" w:pos="13680"/>
      </w:tabs>
    </w:pPr>
    <w:r w:rsidRPr="005E5C67">
      <w:t>Attachment E – MRP</w:t>
    </w:r>
    <w:r w:rsidRPr="005E5C67">
      <w:tab/>
    </w:r>
    <w:r w:rsidRPr="005E5C67">
      <w:rPr>
        <w:rStyle w:val="PageNumber"/>
      </w:rPr>
      <w:fldChar w:fldCharType="begin"/>
    </w:r>
    <w:r w:rsidRPr="005E5C67">
      <w:rPr>
        <w:rStyle w:val="PageNumber"/>
      </w:rPr>
      <w:instrText xml:space="preserve"> PAGE </w:instrText>
    </w:r>
    <w:r w:rsidRPr="005E5C67">
      <w:rPr>
        <w:rStyle w:val="PageNumber"/>
      </w:rPr>
      <w:fldChar w:fldCharType="separate"/>
    </w:r>
    <w:r w:rsidR="0013573F">
      <w:rPr>
        <w:rStyle w:val="PageNumber"/>
        <w:noProof/>
      </w:rPr>
      <w:t>E-7</w:t>
    </w:r>
    <w:r w:rsidRPr="005E5C67">
      <w:rPr>
        <w:rStyle w:val="PageNumber"/>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EDB05" w14:textId="77777777" w:rsidR="005230D6" w:rsidRDefault="005230D6">
    <w:pPr>
      <w:pStyle w:val="Footer"/>
      <w:jc w:val="right"/>
    </w:pPr>
  </w:p>
  <w:p w14:paraId="4B754115" w14:textId="0F38FC51" w:rsidR="005230D6" w:rsidRPr="00123C25" w:rsidRDefault="005230D6" w:rsidP="00700D92">
    <w:pPr>
      <w:pStyle w:val="Footer"/>
    </w:pPr>
    <w:r w:rsidRPr="005E5C67">
      <w:t>Attachment F – Fact Sheet</w:t>
    </w:r>
    <w:r>
      <w:tab/>
    </w:r>
    <w:r>
      <w:tab/>
    </w:r>
    <w:r>
      <w:tab/>
      <w:t xml:space="preserve">      </w:t>
    </w:r>
    <w:r w:rsidRPr="005E5C67">
      <w:rPr>
        <w:rStyle w:val="PageNumber"/>
      </w:rPr>
      <w:fldChar w:fldCharType="begin"/>
    </w:r>
    <w:r w:rsidRPr="005E5C67">
      <w:rPr>
        <w:rStyle w:val="PageNumber"/>
      </w:rPr>
      <w:instrText xml:space="preserve"> PAGE </w:instrText>
    </w:r>
    <w:r w:rsidRPr="005E5C67">
      <w:rPr>
        <w:rStyle w:val="PageNumber"/>
      </w:rPr>
      <w:fldChar w:fldCharType="separate"/>
    </w:r>
    <w:r w:rsidR="0013573F">
      <w:rPr>
        <w:rStyle w:val="PageNumber"/>
        <w:noProof/>
      </w:rPr>
      <w:t>F-22</w:t>
    </w:r>
    <w:r w:rsidRPr="005E5C67">
      <w:rPr>
        <w:rStyle w:val="PageNumber"/>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85923" w14:textId="77777777" w:rsidR="005230D6" w:rsidRDefault="005230D6" w:rsidP="00C02C24">
    <w:pPr>
      <w:pStyle w:val="Footer"/>
    </w:pPr>
  </w:p>
  <w:p w14:paraId="6CE0690E" w14:textId="12CC7718" w:rsidR="005230D6" w:rsidRPr="009544AE" w:rsidRDefault="005230D6" w:rsidP="00C02C24">
    <w:pPr>
      <w:pStyle w:val="Footer"/>
    </w:pPr>
    <w:r w:rsidRPr="00F009DF">
      <w:rPr>
        <w:rStyle w:val="PageNumber"/>
      </w:rPr>
      <w:t>APPENDIX F-</w:t>
    </w:r>
    <w:r>
      <w:rPr>
        <w:rStyle w:val="PageNumber"/>
      </w:rPr>
      <w:t>1</w:t>
    </w:r>
    <w:r>
      <w:tab/>
    </w:r>
    <w:r>
      <w:tab/>
    </w:r>
    <w:r>
      <w:tab/>
      <w:t xml:space="preserve">      </w:t>
    </w:r>
    <w:r w:rsidRPr="005E5C67">
      <w:rPr>
        <w:rStyle w:val="PageNumber"/>
      </w:rPr>
      <w:fldChar w:fldCharType="begin"/>
    </w:r>
    <w:r w:rsidRPr="005E5C67">
      <w:rPr>
        <w:rStyle w:val="PageNumber"/>
      </w:rPr>
      <w:instrText xml:space="preserve"> PAGE </w:instrText>
    </w:r>
    <w:r w:rsidRPr="005E5C67">
      <w:rPr>
        <w:rStyle w:val="PageNumber"/>
      </w:rPr>
      <w:fldChar w:fldCharType="separate"/>
    </w:r>
    <w:r w:rsidR="0013573F">
      <w:rPr>
        <w:rStyle w:val="PageNumber"/>
        <w:noProof/>
      </w:rPr>
      <w:t>F-1</w:t>
    </w:r>
    <w:r w:rsidRPr="005E5C67">
      <w:rPr>
        <w:rStyle w:val="PageNumber"/>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D2BD4" w14:textId="3B33FF0A" w:rsidR="005230D6" w:rsidRPr="00123C25" w:rsidRDefault="005230D6" w:rsidP="00700D92">
    <w:pPr>
      <w:pStyle w:val="Footer"/>
    </w:pPr>
    <w:r>
      <w:t>APPENDIX F-1</w:t>
    </w:r>
    <w:r>
      <w:tab/>
    </w:r>
    <w:r>
      <w:tab/>
    </w:r>
    <w:r>
      <w:tab/>
      <w:t xml:space="preserve">      </w:t>
    </w:r>
    <w:r w:rsidRPr="005E5C67">
      <w:rPr>
        <w:rStyle w:val="PageNumber"/>
      </w:rPr>
      <w:fldChar w:fldCharType="begin"/>
    </w:r>
    <w:r w:rsidRPr="005E5C67">
      <w:rPr>
        <w:rStyle w:val="PageNumber"/>
      </w:rPr>
      <w:instrText xml:space="preserve"> PAGE </w:instrText>
    </w:r>
    <w:r w:rsidRPr="005E5C67">
      <w:rPr>
        <w:rStyle w:val="PageNumber"/>
      </w:rPr>
      <w:fldChar w:fldCharType="separate"/>
    </w:r>
    <w:r w:rsidR="0013573F">
      <w:rPr>
        <w:rStyle w:val="PageNumber"/>
        <w:noProof/>
      </w:rPr>
      <w:t>ii</w:t>
    </w:r>
    <w:r w:rsidRPr="005E5C67">
      <w:rPr>
        <w:rStyle w:val="PageNumber"/>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437B2" w14:textId="77777777" w:rsidR="005230D6" w:rsidRDefault="005230D6" w:rsidP="00C02C24">
    <w:pPr>
      <w:pStyle w:val="Footer"/>
    </w:pPr>
  </w:p>
  <w:p w14:paraId="4AB961CF" w14:textId="5D7A6D01" w:rsidR="005230D6" w:rsidRPr="009544AE" w:rsidRDefault="005230D6" w:rsidP="00C02C24">
    <w:pPr>
      <w:pStyle w:val="Footer"/>
    </w:pPr>
    <w:r w:rsidRPr="00F009DF">
      <w:rPr>
        <w:rStyle w:val="PageNumber"/>
      </w:rPr>
      <w:t>APPENDIX F-</w:t>
    </w:r>
    <w:r>
      <w:rPr>
        <w:rStyle w:val="PageNumber"/>
      </w:rPr>
      <w:t>1</w:t>
    </w:r>
    <w:r>
      <w:tab/>
    </w:r>
    <w:r>
      <w:tab/>
    </w:r>
    <w:r>
      <w:tab/>
      <w:t xml:space="preserve">      </w:t>
    </w:r>
    <w:r w:rsidRPr="005E5C67">
      <w:rPr>
        <w:rStyle w:val="PageNumber"/>
      </w:rPr>
      <w:fldChar w:fldCharType="begin"/>
    </w:r>
    <w:r w:rsidRPr="005E5C67">
      <w:rPr>
        <w:rStyle w:val="PageNumber"/>
      </w:rPr>
      <w:instrText xml:space="preserve"> PAGE </w:instrText>
    </w:r>
    <w:r w:rsidRPr="005E5C67">
      <w:rPr>
        <w:rStyle w:val="PageNumber"/>
      </w:rPr>
      <w:fldChar w:fldCharType="separate"/>
    </w:r>
    <w:r w:rsidR="0013573F">
      <w:rPr>
        <w:rStyle w:val="PageNumber"/>
        <w:noProof/>
      </w:rPr>
      <w:t>i</w:t>
    </w:r>
    <w:r w:rsidRPr="005E5C67">
      <w:rPr>
        <w:rStyle w:val="PageNumber"/>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A3661" w14:textId="06DDB5EE" w:rsidR="005230D6" w:rsidRPr="00123C25" w:rsidRDefault="005230D6" w:rsidP="00700D92">
    <w:pPr>
      <w:pStyle w:val="Footer"/>
    </w:pPr>
    <w:r>
      <w:t>APPENDIX F-2</w:t>
    </w:r>
    <w:r>
      <w:tab/>
    </w:r>
    <w:r>
      <w:tab/>
    </w:r>
    <w:r>
      <w:tab/>
      <w:t xml:space="preserve">      </w:t>
    </w:r>
    <w:r w:rsidRPr="005E5C67">
      <w:rPr>
        <w:rStyle w:val="PageNumber"/>
      </w:rPr>
      <w:fldChar w:fldCharType="begin"/>
    </w:r>
    <w:r w:rsidRPr="005E5C67">
      <w:rPr>
        <w:rStyle w:val="PageNumber"/>
      </w:rPr>
      <w:instrText xml:space="preserve"> PAGE </w:instrText>
    </w:r>
    <w:r w:rsidRPr="005E5C67">
      <w:rPr>
        <w:rStyle w:val="PageNumber"/>
      </w:rPr>
      <w:fldChar w:fldCharType="separate"/>
    </w:r>
    <w:r w:rsidR="0013573F">
      <w:rPr>
        <w:rStyle w:val="PageNumber"/>
        <w:noProof/>
      </w:rPr>
      <w:t>iii</w:t>
    </w:r>
    <w:r w:rsidRPr="005E5C67">
      <w:rPr>
        <w:rStyle w:val="PageNumber"/>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8208B" w14:textId="77777777" w:rsidR="005230D6" w:rsidRDefault="005230D6" w:rsidP="00C02C24">
    <w:pPr>
      <w:pStyle w:val="Footer"/>
    </w:pPr>
  </w:p>
  <w:p w14:paraId="69A551C8" w14:textId="4EE5F5F2" w:rsidR="005230D6" w:rsidRPr="009544AE" w:rsidRDefault="005230D6" w:rsidP="00C02C24">
    <w:pPr>
      <w:pStyle w:val="Footer"/>
    </w:pPr>
    <w:r w:rsidRPr="00F009DF">
      <w:rPr>
        <w:rStyle w:val="PageNumber"/>
      </w:rPr>
      <w:t>APPENDIX F-</w:t>
    </w:r>
    <w:r>
      <w:rPr>
        <w:rStyle w:val="PageNumber"/>
      </w:rPr>
      <w:t>2</w:t>
    </w:r>
    <w:r>
      <w:tab/>
    </w:r>
    <w:r>
      <w:tab/>
    </w:r>
    <w:r>
      <w:tab/>
      <w:t xml:space="preserve">      </w:t>
    </w:r>
    <w:r w:rsidRPr="005E5C67">
      <w:rPr>
        <w:rStyle w:val="PageNumber"/>
      </w:rPr>
      <w:fldChar w:fldCharType="begin"/>
    </w:r>
    <w:r w:rsidRPr="005E5C67">
      <w:rPr>
        <w:rStyle w:val="PageNumber"/>
      </w:rPr>
      <w:instrText xml:space="preserve"> PAGE </w:instrText>
    </w:r>
    <w:r w:rsidRPr="005E5C67">
      <w:rPr>
        <w:rStyle w:val="PageNumber"/>
      </w:rPr>
      <w:fldChar w:fldCharType="separate"/>
    </w:r>
    <w:r w:rsidR="0013573F">
      <w:rPr>
        <w:rStyle w:val="PageNumber"/>
        <w:noProof/>
      </w:rPr>
      <w:t>i</w:t>
    </w:r>
    <w:r w:rsidRPr="005E5C67">
      <w:rPr>
        <w:rStyle w:val="PageNumber"/>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3DF43" w14:textId="26FE8EF6" w:rsidR="005230D6" w:rsidRPr="00123C25" w:rsidRDefault="005230D6" w:rsidP="00700D92">
    <w:pPr>
      <w:pStyle w:val="Footer"/>
    </w:pPr>
    <w:r>
      <w:t>APPENDIX F-3</w:t>
    </w:r>
    <w:r>
      <w:tab/>
    </w:r>
    <w:r>
      <w:tab/>
    </w:r>
    <w:r>
      <w:tab/>
      <w:t xml:space="preserve">      </w:t>
    </w:r>
    <w:r w:rsidRPr="005E5C67">
      <w:rPr>
        <w:rStyle w:val="PageNumber"/>
      </w:rPr>
      <w:fldChar w:fldCharType="begin"/>
    </w:r>
    <w:r w:rsidRPr="005E5C67">
      <w:rPr>
        <w:rStyle w:val="PageNumber"/>
      </w:rPr>
      <w:instrText xml:space="preserve"> PAGE </w:instrText>
    </w:r>
    <w:r w:rsidRPr="005E5C67">
      <w:rPr>
        <w:rStyle w:val="PageNumber"/>
      </w:rPr>
      <w:fldChar w:fldCharType="separate"/>
    </w:r>
    <w:r w:rsidR="0013573F">
      <w:rPr>
        <w:rStyle w:val="PageNumber"/>
        <w:noProof/>
      </w:rPr>
      <w:t>iv</w:t>
    </w:r>
    <w:r w:rsidRPr="005E5C67">
      <w:rPr>
        <w:rStyle w:val="PageNumber"/>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C885A" w14:textId="77777777" w:rsidR="005230D6" w:rsidRDefault="005230D6" w:rsidP="00C02C24">
    <w:pPr>
      <w:pStyle w:val="Footer"/>
    </w:pPr>
  </w:p>
  <w:p w14:paraId="64B7A761" w14:textId="331DDB86" w:rsidR="005230D6" w:rsidRPr="009544AE" w:rsidRDefault="005230D6" w:rsidP="00C02C24">
    <w:pPr>
      <w:pStyle w:val="Footer"/>
    </w:pPr>
    <w:r w:rsidRPr="00F009DF">
      <w:rPr>
        <w:rStyle w:val="PageNumber"/>
      </w:rPr>
      <w:t>APPENDIX F-</w:t>
    </w:r>
    <w:r>
      <w:rPr>
        <w:rStyle w:val="PageNumber"/>
      </w:rPr>
      <w:t>3</w:t>
    </w:r>
    <w:r>
      <w:tab/>
    </w:r>
    <w:r>
      <w:tab/>
    </w:r>
    <w:r>
      <w:tab/>
      <w:t xml:space="preserve">      </w:t>
    </w:r>
    <w:r w:rsidRPr="005E5C67">
      <w:rPr>
        <w:rStyle w:val="PageNumber"/>
      </w:rPr>
      <w:fldChar w:fldCharType="begin"/>
    </w:r>
    <w:r w:rsidRPr="005E5C67">
      <w:rPr>
        <w:rStyle w:val="PageNumber"/>
      </w:rPr>
      <w:instrText xml:space="preserve"> PAGE </w:instrText>
    </w:r>
    <w:r w:rsidRPr="005E5C67">
      <w:rPr>
        <w:rStyle w:val="PageNumber"/>
      </w:rPr>
      <w:fldChar w:fldCharType="separate"/>
    </w:r>
    <w:r w:rsidR="0013573F">
      <w:rPr>
        <w:rStyle w:val="PageNumber"/>
        <w:noProof/>
      </w:rPr>
      <w:t>i</w:t>
    </w:r>
    <w:r w:rsidRPr="005E5C6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01C6C" w14:textId="3ED0429E" w:rsidR="005230D6" w:rsidRPr="005E5C67" w:rsidRDefault="005230D6">
    <w:pPr>
      <w:pStyle w:val="Header"/>
      <w:tabs>
        <w:tab w:val="clear" w:pos="4320"/>
        <w:tab w:val="clear" w:pos="8640"/>
        <w:tab w:val="right" w:pos="10080"/>
      </w:tabs>
    </w:pPr>
    <w:r w:rsidRPr="005E5C67">
      <w:tab/>
    </w:r>
    <w:r w:rsidRPr="005E5C67">
      <w:rPr>
        <w:rStyle w:val="PageNumber"/>
      </w:rPr>
      <w:fldChar w:fldCharType="begin"/>
    </w:r>
    <w:r w:rsidRPr="005E5C67">
      <w:rPr>
        <w:rStyle w:val="PageNumber"/>
      </w:rPr>
      <w:instrText xml:space="preserve"> PAGE </w:instrText>
    </w:r>
    <w:r w:rsidRPr="005E5C67">
      <w:rPr>
        <w:rStyle w:val="PageNumber"/>
      </w:rPr>
      <w:fldChar w:fldCharType="separate"/>
    </w:r>
    <w:r w:rsidR="0013573F">
      <w:rPr>
        <w:rStyle w:val="PageNumber"/>
        <w:noProof/>
      </w:rPr>
      <w:t>5</w:t>
    </w:r>
    <w:r w:rsidRPr="005E5C67">
      <w:rPr>
        <w:rStyle w:val="PageNumber"/>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9B879" w14:textId="77777777" w:rsidR="005230D6" w:rsidRDefault="005230D6" w:rsidP="00C02C24">
    <w:pPr>
      <w:pStyle w:val="Footer"/>
    </w:pPr>
  </w:p>
  <w:p w14:paraId="6746B61F" w14:textId="0AE163F6" w:rsidR="005230D6" w:rsidRPr="009544AE" w:rsidRDefault="005230D6" w:rsidP="00C02C24">
    <w:pPr>
      <w:pStyle w:val="Footer"/>
    </w:pPr>
    <w:r w:rsidRPr="00F009DF">
      <w:rPr>
        <w:rStyle w:val="PageNumber"/>
      </w:rPr>
      <w:t>APPENDIX F-</w:t>
    </w:r>
    <w:r>
      <w:rPr>
        <w:rStyle w:val="PageNumber"/>
      </w:rPr>
      <w:t>4</w:t>
    </w:r>
    <w:r>
      <w:tab/>
    </w:r>
    <w:r>
      <w:tab/>
    </w:r>
    <w:r>
      <w:tab/>
      <w:t xml:space="preserve">      </w:t>
    </w:r>
    <w:r w:rsidRPr="005E5C67">
      <w:rPr>
        <w:rStyle w:val="PageNumber"/>
      </w:rPr>
      <w:fldChar w:fldCharType="begin"/>
    </w:r>
    <w:r w:rsidRPr="005E5C67">
      <w:rPr>
        <w:rStyle w:val="PageNumber"/>
      </w:rPr>
      <w:instrText xml:space="preserve"> PAGE </w:instrText>
    </w:r>
    <w:r w:rsidRPr="005E5C67">
      <w:rPr>
        <w:rStyle w:val="PageNumber"/>
      </w:rPr>
      <w:fldChar w:fldCharType="separate"/>
    </w:r>
    <w:r w:rsidR="0013573F">
      <w:rPr>
        <w:rStyle w:val="PageNumber"/>
        <w:noProof/>
      </w:rPr>
      <w:t>i</w:t>
    </w:r>
    <w:r w:rsidRPr="005E5C6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1A8E1" w14:textId="77777777" w:rsidR="005230D6" w:rsidRPr="005E5C67" w:rsidRDefault="005230D6" w:rsidP="00F81ADB">
    <w:pPr>
      <w:pStyle w:val="Footer"/>
      <w:tabs>
        <w:tab w:val="clear" w:pos="4320"/>
        <w:tab w:val="clear" w:pos="8640"/>
        <w:tab w:val="right" w:pos="10080"/>
      </w:tabs>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45A63" w14:textId="77777777" w:rsidR="005230D6" w:rsidRDefault="005230D6">
    <w:pPr>
      <w:tabs>
        <w:tab w:val="right" w:pos="10080"/>
        <w:tab w:val="right" w:pos="14040"/>
      </w:tabs>
      <w:rPr>
        <w:rStyle w:val="PageNumber"/>
        <w:sz w:val="22"/>
        <w:szCs w:val="22"/>
      </w:rPr>
    </w:pPr>
    <w:r>
      <w:rPr>
        <w:b/>
        <w:sz w:val="22"/>
        <w:szCs w:val="22"/>
      </w:rPr>
      <w:t xml:space="preserve"> </w:t>
    </w:r>
    <w:r>
      <w:rPr>
        <w:b/>
        <w:sz w:val="22"/>
        <w:szCs w:val="22"/>
      </w:rP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86015" w14:textId="51951138" w:rsidR="005230D6" w:rsidRPr="005E5C67" w:rsidRDefault="005230D6" w:rsidP="00F81ADB">
    <w:pPr>
      <w:pStyle w:val="Footer"/>
      <w:tabs>
        <w:tab w:val="clear" w:pos="4320"/>
        <w:tab w:val="clear" w:pos="8640"/>
        <w:tab w:val="right" w:pos="10080"/>
      </w:tabs>
    </w:pPr>
    <w:r w:rsidRPr="005E5C67">
      <w:tab/>
    </w:r>
    <w:r w:rsidRPr="005E5C67">
      <w:rPr>
        <w:rStyle w:val="PageNumber"/>
      </w:rPr>
      <w:fldChar w:fldCharType="begin"/>
    </w:r>
    <w:r w:rsidRPr="005E5C67">
      <w:rPr>
        <w:rStyle w:val="PageNumber"/>
      </w:rPr>
      <w:instrText xml:space="preserve"> PAGE </w:instrText>
    </w:r>
    <w:r w:rsidRPr="005E5C67">
      <w:rPr>
        <w:rStyle w:val="PageNumber"/>
      </w:rPr>
      <w:fldChar w:fldCharType="separate"/>
    </w:r>
    <w:r w:rsidR="0013573F">
      <w:rPr>
        <w:rStyle w:val="PageNumber"/>
        <w:noProof/>
      </w:rPr>
      <w:t>7</w:t>
    </w:r>
    <w:r w:rsidRPr="005E5C67">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EC813" w14:textId="6F2A1C67" w:rsidR="005230D6" w:rsidRPr="005E5C67" w:rsidRDefault="005230D6">
    <w:pPr>
      <w:tabs>
        <w:tab w:val="right" w:pos="10080"/>
        <w:tab w:val="right" w:pos="14040"/>
      </w:tabs>
      <w:rPr>
        <w:rStyle w:val="PageNumber"/>
      </w:rPr>
    </w:pPr>
    <w:r w:rsidRPr="005E5C67">
      <w:rPr>
        <w:b/>
      </w:rPr>
      <w:tab/>
    </w:r>
    <w:r w:rsidRPr="005E5C67">
      <w:rPr>
        <w:rStyle w:val="PageNumber"/>
      </w:rPr>
      <w:fldChar w:fldCharType="begin"/>
    </w:r>
    <w:r w:rsidRPr="005E5C67">
      <w:rPr>
        <w:rStyle w:val="PageNumber"/>
      </w:rPr>
      <w:instrText xml:space="preserve"> PAGE </w:instrText>
    </w:r>
    <w:r w:rsidRPr="005E5C67">
      <w:rPr>
        <w:rStyle w:val="PageNumber"/>
      </w:rPr>
      <w:fldChar w:fldCharType="separate"/>
    </w:r>
    <w:r w:rsidR="0013573F">
      <w:rPr>
        <w:rStyle w:val="PageNumber"/>
        <w:noProof/>
      </w:rPr>
      <w:t>17</w:t>
    </w:r>
    <w:r w:rsidRPr="005E5C67">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88BA5" w14:textId="77777777" w:rsidR="005230D6" w:rsidRDefault="005230D6">
    <w:pPr>
      <w:pStyle w:val="Footer"/>
      <w:tabs>
        <w:tab w:val="clear" w:pos="4320"/>
        <w:tab w:val="clear" w:pos="8640"/>
        <w:tab w:val="left" w:pos="0"/>
        <w:tab w:val="right" w:pos="10080"/>
        <w:tab w:val="right" w:pos="13680"/>
      </w:tabs>
    </w:pPr>
  </w:p>
  <w:p w14:paraId="4581FA1D" w14:textId="730FF48A" w:rsidR="005230D6" w:rsidRPr="005E5C67" w:rsidRDefault="005230D6">
    <w:pPr>
      <w:pStyle w:val="Footer"/>
      <w:tabs>
        <w:tab w:val="clear" w:pos="4320"/>
        <w:tab w:val="clear" w:pos="8640"/>
        <w:tab w:val="left" w:pos="0"/>
        <w:tab w:val="right" w:pos="10080"/>
        <w:tab w:val="right" w:pos="13680"/>
      </w:tabs>
    </w:pPr>
    <w:r w:rsidRPr="005E5C67">
      <w:t xml:space="preserve">Attachment A – Definitions </w:t>
    </w:r>
    <w:r w:rsidRPr="005E5C67">
      <w:tab/>
    </w:r>
    <w:r w:rsidRPr="005E5C67">
      <w:rPr>
        <w:rStyle w:val="PageNumber"/>
      </w:rPr>
      <w:fldChar w:fldCharType="begin"/>
    </w:r>
    <w:r w:rsidRPr="005E5C67">
      <w:rPr>
        <w:rStyle w:val="PageNumber"/>
      </w:rPr>
      <w:instrText xml:space="preserve"> PAGE </w:instrText>
    </w:r>
    <w:r w:rsidRPr="005E5C67">
      <w:rPr>
        <w:rStyle w:val="PageNumber"/>
      </w:rPr>
      <w:fldChar w:fldCharType="separate"/>
    </w:r>
    <w:r w:rsidR="0013573F">
      <w:rPr>
        <w:rStyle w:val="PageNumber"/>
        <w:noProof/>
      </w:rPr>
      <w:t>A-4</w:t>
    </w:r>
    <w:r w:rsidRPr="005E5C67">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FC101" w14:textId="77777777" w:rsidR="005230D6" w:rsidRDefault="005230D6" w:rsidP="00F81ADB">
    <w:pPr>
      <w:pStyle w:val="Footer"/>
      <w:tabs>
        <w:tab w:val="clear" w:pos="4320"/>
        <w:tab w:val="clear" w:pos="8640"/>
        <w:tab w:val="right" w:pos="10080"/>
      </w:tabs>
    </w:pPr>
  </w:p>
  <w:p w14:paraId="38FC0A19" w14:textId="1FF47B49" w:rsidR="005230D6" w:rsidRPr="005E5C67" w:rsidRDefault="005230D6" w:rsidP="00F81ADB">
    <w:pPr>
      <w:pStyle w:val="Footer"/>
      <w:tabs>
        <w:tab w:val="clear" w:pos="4320"/>
        <w:tab w:val="clear" w:pos="8640"/>
        <w:tab w:val="right" w:pos="10080"/>
      </w:tabs>
    </w:pPr>
    <w:r w:rsidRPr="005E5C67">
      <w:t>Attachment E – MRP</w:t>
    </w:r>
    <w:r w:rsidRPr="005E5C67">
      <w:tab/>
    </w:r>
    <w:r w:rsidRPr="005E5C67">
      <w:rPr>
        <w:rStyle w:val="PageNumber"/>
      </w:rPr>
      <w:fldChar w:fldCharType="begin"/>
    </w:r>
    <w:r w:rsidRPr="005E5C67">
      <w:rPr>
        <w:rStyle w:val="PageNumber"/>
      </w:rPr>
      <w:instrText xml:space="preserve"> PAGE </w:instrText>
    </w:r>
    <w:r w:rsidRPr="005E5C67">
      <w:rPr>
        <w:rStyle w:val="PageNumber"/>
      </w:rPr>
      <w:fldChar w:fldCharType="separate"/>
    </w:r>
    <w:r w:rsidR="0013573F">
      <w:rPr>
        <w:rStyle w:val="PageNumber"/>
        <w:noProof/>
      </w:rPr>
      <w:t>A-1</w:t>
    </w:r>
    <w:r w:rsidRPr="005E5C67">
      <w:rPr>
        <w:rStyle w:val="PageNumber"/>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4BAF1" w14:textId="77777777" w:rsidR="005230D6" w:rsidRDefault="005230D6">
    <w:pPr>
      <w:pStyle w:val="Footer"/>
      <w:tabs>
        <w:tab w:val="clear" w:pos="4320"/>
        <w:tab w:val="clear" w:pos="8640"/>
        <w:tab w:val="left" w:pos="0"/>
        <w:tab w:val="right" w:pos="10080"/>
        <w:tab w:val="right" w:pos="13680"/>
      </w:tabs>
    </w:pPr>
  </w:p>
  <w:p w14:paraId="7D045F47" w14:textId="73C0F2FB" w:rsidR="005230D6" w:rsidRPr="005E5C67" w:rsidRDefault="005230D6" w:rsidP="008F68EF">
    <w:pPr>
      <w:pStyle w:val="Footer"/>
      <w:tabs>
        <w:tab w:val="clear" w:pos="4320"/>
        <w:tab w:val="clear" w:pos="8640"/>
        <w:tab w:val="left" w:pos="0"/>
        <w:tab w:val="right" w:pos="10080"/>
        <w:tab w:val="right" w:pos="13680"/>
      </w:tabs>
    </w:pPr>
    <w:r w:rsidRPr="005E5C67">
      <w:t xml:space="preserve">Attachment </w:t>
    </w:r>
    <w:r>
      <w:t xml:space="preserve">B </w:t>
    </w:r>
    <w:r w:rsidRPr="005E5C67">
      <w:t xml:space="preserve">– </w:t>
    </w:r>
    <w:r>
      <w:t>Individual NPDES Permit and Order Numbers</w:t>
    </w:r>
    <w:r w:rsidRPr="005E5C67">
      <w:t xml:space="preserve"> </w:t>
    </w:r>
    <w:r w:rsidRPr="005E5C67">
      <w:tab/>
    </w:r>
    <w:r w:rsidRPr="005E5C67">
      <w:rPr>
        <w:rStyle w:val="PageNumber"/>
      </w:rPr>
      <w:fldChar w:fldCharType="begin"/>
    </w:r>
    <w:r w:rsidRPr="005E5C67">
      <w:rPr>
        <w:rStyle w:val="PageNumber"/>
      </w:rPr>
      <w:instrText xml:space="preserve"> PAGE </w:instrText>
    </w:r>
    <w:r w:rsidRPr="005E5C67">
      <w:rPr>
        <w:rStyle w:val="PageNumber"/>
      </w:rPr>
      <w:fldChar w:fldCharType="separate"/>
    </w:r>
    <w:r w:rsidR="0013573F">
      <w:rPr>
        <w:rStyle w:val="PageNumber"/>
        <w:noProof/>
      </w:rPr>
      <w:t>B-2</w:t>
    </w:r>
    <w:r w:rsidRPr="005E5C6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BE1480" w14:textId="77777777" w:rsidR="00B43F42" w:rsidRDefault="00B43F42">
      <w:r>
        <w:separator/>
      </w:r>
    </w:p>
  </w:footnote>
  <w:footnote w:type="continuationSeparator" w:id="0">
    <w:p w14:paraId="22C89681" w14:textId="77777777" w:rsidR="00B43F42" w:rsidRDefault="00B43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22102" w14:textId="77777777" w:rsidR="005230D6" w:rsidRPr="00D16C1E" w:rsidRDefault="005230D6" w:rsidP="00CF5206">
    <w:pPr>
      <w:pStyle w:val="Header"/>
      <w:tabs>
        <w:tab w:val="clear" w:pos="8640"/>
        <w:tab w:val="right" w:pos="10080"/>
        <w:tab w:val="right" w:pos="13680"/>
      </w:tabs>
    </w:pPr>
    <w:r>
      <w:t>San Francisco Bay Mercury and PCBs Watershed Permit</w:t>
    </w:r>
    <w:r w:rsidRPr="00D16C1E">
      <w:tab/>
    </w:r>
    <w:r>
      <w:t>Order No.</w:t>
    </w:r>
    <w:r w:rsidRPr="00D16C1E">
      <w:t xml:space="preserve"> R2-201</w:t>
    </w:r>
    <w:r>
      <w:t>7</w:t>
    </w:r>
    <w:r w:rsidRPr="00D16C1E">
      <w:t>-</w:t>
    </w:r>
    <w:r w:rsidRPr="00CE1BCD">
      <w:t>00</w:t>
    </w:r>
    <w:r>
      <w:t>XX</w:t>
    </w:r>
  </w:p>
  <w:p w14:paraId="3D7909CA" w14:textId="77777777" w:rsidR="005230D6" w:rsidRPr="00D16C1E" w:rsidRDefault="005230D6" w:rsidP="00947A08">
    <w:pPr>
      <w:pStyle w:val="Header"/>
      <w:tabs>
        <w:tab w:val="clear" w:pos="4320"/>
        <w:tab w:val="clear" w:pos="8640"/>
        <w:tab w:val="right" w:pos="10080"/>
        <w:tab w:val="right" w:pos="13320"/>
        <w:tab w:val="right" w:pos="13680"/>
      </w:tabs>
    </w:pPr>
    <w:r>
      <w:t>Municipal and Industrial Wastewater Dischargers</w:t>
    </w:r>
    <w:r w:rsidRPr="00D16C1E">
      <w:tab/>
      <w:t>NPDES N</w:t>
    </w:r>
    <w:r>
      <w:t>o</w:t>
    </w:r>
    <w:r w:rsidRPr="00D16C1E">
      <w:t xml:space="preserve">. </w:t>
    </w:r>
    <w:r w:rsidRPr="0057556F">
      <w:t>CA003</w:t>
    </w:r>
    <w:r>
      <w:t>8849</w:t>
    </w:r>
  </w:p>
  <w:p w14:paraId="67796FD5" w14:textId="77777777" w:rsidR="005230D6" w:rsidRPr="00CE1CAB" w:rsidRDefault="005230D6" w:rsidP="00CE1CAB">
    <w:pPr>
      <w:pStyle w:val="Header"/>
      <w:rPr>
        <w:sz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063D0" w14:textId="77777777" w:rsidR="005230D6" w:rsidRPr="0058663D" w:rsidRDefault="005230D6" w:rsidP="00D16C1E">
    <w:pPr>
      <w:pStyle w:val="Header"/>
      <w:tabs>
        <w:tab w:val="clear" w:pos="4320"/>
        <w:tab w:val="clear" w:pos="8640"/>
      </w:tabs>
      <w:jc w:val="center"/>
    </w:pPr>
    <w:r>
      <w:rPr>
        <w:noProof/>
      </w:rPr>
      <w:drawing>
        <wp:inline distT="0" distB="0" distL="0" distR="0" wp14:anchorId="0E1D5802" wp14:editId="16C5F43C">
          <wp:extent cx="6448425" cy="1085850"/>
          <wp:effectExtent l="0" t="0" r="0" b="0"/>
          <wp:docPr id="2" name="Picture 2" descr="Reg 2 Hdr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g 2 Hdr cop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48425" cy="10858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9722A" w14:textId="77777777" w:rsidR="005230D6" w:rsidRPr="00D16C1E" w:rsidRDefault="005230D6" w:rsidP="00947A08">
    <w:pPr>
      <w:pStyle w:val="Header"/>
      <w:tabs>
        <w:tab w:val="clear" w:pos="8640"/>
        <w:tab w:val="right" w:pos="10080"/>
        <w:tab w:val="right" w:pos="13680"/>
      </w:tabs>
    </w:pPr>
    <w:r>
      <w:t>San Francisco Bay Mercury and PCBs Watershed Permit</w:t>
    </w:r>
    <w:r w:rsidRPr="00D16C1E">
      <w:tab/>
    </w:r>
    <w:r>
      <w:t>Order No.</w:t>
    </w:r>
    <w:r w:rsidRPr="00D16C1E">
      <w:t xml:space="preserve"> R2-201</w:t>
    </w:r>
    <w:r>
      <w:t>7</w:t>
    </w:r>
    <w:r w:rsidRPr="00D16C1E">
      <w:t>-</w:t>
    </w:r>
    <w:r w:rsidRPr="00CE1BCD">
      <w:t>00</w:t>
    </w:r>
    <w:r>
      <w:t>XX</w:t>
    </w:r>
  </w:p>
  <w:p w14:paraId="2C2D898E" w14:textId="77777777" w:rsidR="005230D6" w:rsidRDefault="005230D6" w:rsidP="00947A08">
    <w:pPr>
      <w:pStyle w:val="Header"/>
      <w:tabs>
        <w:tab w:val="clear" w:pos="4320"/>
        <w:tab w:val="clear" w:pos="8640"/>
        <w:tab w:val="right" w:pos="10080"/>
        <w:tab w:val="right" w:pos="13320"/>
        <w:tab w:val="right" w:pos="13680"/>
      </w:tabs>
    </w:pPr>
    <w:r>
      <w:t>Municipal and Industrial Wastewater Dischargers</w:t>
    </w:r>
    <w:r w:rsidRPr="00D16C1E">
      <w:tab/>
      <w:t>NPDES N</w:t>
    </w:r>
    <w:r>
      <w:t>o</w:t>
    </w:r>
    <w:r w:rsidRPr="00D16C1E">
      <w:t xml:space="preserve">. </w:t>
    </w:r>
    <w:r w:rsidRPr="0057556F">
      <w:t>CA003</w:t>
    </w:r>
    <w:r>
      <w:t>8849</w:t>
    </w:r>
  </w:p>
  <w:p w14:paraId="6A02CD52" w14:textId="77777777" w:rsidR="005230D6" w:rsidRPr="00947A08" w:rsidRDefault="005230D6" w:rsidP="00947A08">
    <w:pPr>
      <w:pStyle w:val="Header"/>
      <w:tabs>
        <w:tab w:val="clear" w:pos="4320"/>
        <w:tab w:val="clear" w:pos="8640"/>
        <w:tab w:val="right" w:pos="10080"/>
        <w:tab w:val="right" w:pos="13320"/>
        <w:tab w:val="right" w:pos="13680"/>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E7425" w14:textId="77777777" w:rsidR="005230D6" w:rsidRPr="00D16C1E" w:rsidRDefault="005230D6" w:rsidP="00947A08">
    <w:pPr>
      <w:pStyle w:val="Header"/>
      <w:tabs>
        <w:tab w:val="clear" w:pos="8640"/>
        <w:tab w:val="right" w:pos="10080"/>
        <w:tab w:val="right" w:pos="13680"/>
      </w:tabs>
    </w:pPr>
    <w:r>
      <w:t>San Francisco Bay Mercury and PCBs Watershed Permit</w:t>
    </w:r>
    <w:r w:rsidRPr="00D16C1E">
      <w:tab/>
    </w:r>
    <w:r>
      <w:t>Order No.</w:t>
    </w:r>
    <w:r w:rsidRPr="00D16C1E">
      <w:t xml:space="preserve"> R2-201</w:t>
    </w:r>
    <w:r>
      <w:t>7</w:t>
    </w:r>
    <w:r w:rsidRPr="00D16C1E">
      <w:t>-</w:t>
    </w:r>
    <w:r w:rsidRPr="00CE1BCD">
      <w:t>00</w:t>
    </w:r>
    <w:r>
      <w:t>XX</w:t>
    </w:r>
  </w:p>
  <w:p w14:paraId="308AA621" w14:textId="77777777" w:rsidR="005230D6" w:rsidRDefault="005230D6" w:rsidP="00947A08">
    <w:pPr>
      <w:pStyle w:val="Header"/>
      <w:tabs>
        <w:tab w:val="clear" w:pos="4320"/>
        <w:tab w:val="clear" w:pos="8640"/>
        <w:tab w:val="right" w:pos="10080"/>
        <w:tab w:val="right" w:pos="13320"/>
        <w:tab w:val="right" w:pos="13680"/>
      </w:tabs>
    </w:pPr>
    <w:r>
      <w:t>Municipal and Industrial Wastewater Dischargers</w:t>
    </w:r>
    <w:r w:rsidRPr="00D16C1E">
      <w:tab/>
      <w:t>NPDES N</w:t>
    </w:r>
    <w:r>
      <w:t>o</w:t>
    </w:r>
    <w:r w:rsidRPr="00D16C1E">
      <w:t xml:space="preserve">. </w:t>
    </w:r>
    <w:r w:rsidRPr="0057556F">
      <w:t>CA003</w:t>
    </w:r>
    <w:r>
      <w:t>8849</w:t>
    </w:r>
  </w:p>
  <w:p w14:paraId="52140F09" w14:textId="77777777" w:rsidR="005230D6" w:rsidRPr="00947A08" w:rsidRDefault="005230D6" w:rsidP="00947A08">
    <w:pPr>
      <w:pStyle w:val="Header"/>
      <w:tabs>
        <w:tab w:val="clear" w:pos="4320"/>
        <w:tab w:val="clear" w:pos="8640"/>
        <w:tab w:val="right" w:pos="10080"/>
        <w:tab w:val="right" w:pos="13320"/>
        <w:tab w:val="right" w:pos="13680"/>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F6496" w14:textId="77777777" w:rsidR="005230D6" w:rsidRPr="00D16C1E" w:rsidRDefault="005230D6" w:rsidP="00947A08">
    <w:pPr>
      <w:pStyle w:val="Header"/>
      <w:tabs>
        <w:tab w:val="clear" w:pos="8640"/>
        <w:tab w:val="right" w:pos="10080"/>
        <w:tab w:val="right" w:pos="13680"/>
      </w:tabs>
    </w:pPr>
    <w:r>
      <w:t>San Francisco Bay Mercury and PCBs Watershed Permit</w:t>
    </w:r>
    <w:r w:rsidRPr="00D16C1E">
      <w:tab/>
    </w:r>
    <w:r>
      <w:t>Order No.</w:t>
    </w:r>
    <w:r w:rsidRPr="00D16C1E">
      <w:t xml:space="preserve"> R2-201</w:t>
    </w:r>
    <w:r>
      <w:t>7</w:t>
    </w:r>
    <w:r w:rsidRPr="00D16C1E">
      <w:t>-</w:t>
    </w:r>
    <w:r w:rsidRPr="00CE1BCD">
      <w:t>00</w:t>
    </w:r>
    <w:r>
      <w:t>XX</w:t>
    </w:r>
  </w:p>
  <w:p w14:paraId="22C289EA" w14:textId="77777777" w:rsidR="005230D6" w:rsidRPr="00123C25" w:rsidRDefault="005230D6" w:rsidP="00947A08">
    <w:pPr>
      <w:pStyle w:val="Header"/>
      <w:tabs>
        <w:tab w:val="clear" w:pos="4320"/>
        <w:tab w:val="clear" w:pos="8640"/>
        <w:tab w:val="right" w:pos="10080"/>
        <w:tab w:val="right" w:pos="13320"/>
        <w:tab w:val="right" w:pos="13680"/>
      </w:tabs>
    </w:pPr>
    <w:r>
      <w:t>Municipal and Industrial Wastewater Dischargers</w:t>
    </w:r>
    <w:r w:rsidRPr="00D16C1E">
      <w:tab/>
      <w:t>NPDES N</w:t>
    </w:r>
    <w:r>
      <w:t>o</w:t>
    </w:r>
    <w:r w:rsidRPr="00D16C1E">
      <w:t xml:space="preserve">. </w:t>
    </w:r>
    <w:r w:rsidRPr="0057556F">
      <w:t>CA003</w:t>
    </w:r>
    <w:r>
      <w:t>8849</w:t>
    </w:r>
    <w:r>
      <w:tab/>
    </w:r>
  </w:p>
  <w:p w14:paraId="1C318B0F" w14:textId="77777777" w:rsidR="005230D6" w:rsidRPr="00123C25" w:rsidRDefault="005230D6" w:rsidP="00AB14F5">
    <w:pPr>
      <w:pStyle w:val="Header"/>
      <w:tabs>
        <w:tab w:val="clear" w:pos="4320"/>
        <w:tab w:val="clear" w:pos="8640"/>
        <w:tab w:val="right" w:pos="10080"/>
        <w:tab w:val="right" w:pos="12240"/>
      </w:tabs>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E6E7D" w14:textId="77777777" w:rsidR="005230D6" w:rsidRPr="00D16C1E" w:rsidRDefault="005230D6" w:rsidP="004A6A1D">
    <w:pPr>
      <w:pStyle w:val="Header"/>
      <w:tabs>
        <w:tab w:val="clear" w:pos="8640"/>
        <w:tab w:val="right" w:pos="10080"/>
        <w:tab w:val="right" w:pos="13680"/>
      </w:tabs>
    </w:pPr>
    <w:r>
      <w:t>San Francisco Bay Mercury and PCBs Watershed Permit</w:t>
    </w:r>
    <w:r w:rsidRPr="00D16C1E">
      <w:tab/>
    </w:r>
    <w:r>
      <w:t>Order No.</w:t>
    </w:r>
    <w:r w:rsidRPr="00D16C1E">
      <w:t xml:space="preserve"> R2-201</w:t>
    </w:r>
    <w:r>
      <w:t>7</w:t>
    </w:r>
    <w:r w:rsidRPr="00D16C1E">
      <w:t>-</w:t>
    </w:r>
    <w:r w:rsidRPr="00CE1BCD">
      <w:t>00</w:t>
    </w:r>
    <w:r>
      <w:t>XX</w:t>
    </w:r>
  </w:p>
  <w:p w14:paraId="43819E0E" w14:textId="77777777" w:rsidR="005230D6" w:rsidRPr="00123C25" w:rsidRDefault="005230D6" w:rsidP="004A6A1D">
    <w:pPr>
      <w:pStyle w:val="Header"/>
      <w:tabs>
        <w:tab w:val="clear" w:pos="4320"/>
        <w:tab w:val="clear" w:pos="8640"/>
        <w:tab w:val="right" w:pos="10080"/>
        <w:tab w:val="right" w:pos="13320"/>
        <w:tab w:val="right" w:pos="13680"/>
      </w:tabs>
    </w:pPr>
    <w:r>
      <w:t>Municipal and Industrial Wastewater Dischargers</w:t>
    </w:r>
    <w:r w:rsidRPr="00D16C1E">
      <w:tab/>
      <w:t>NPDES N</w:t>
    </w:r>
    <w:r>
      <w:t>o</w:t>
    </w:r>
    <w:r w:rsidRPr="00D16C1E">
      <w:t xml:space="preserve">. </w:t>
    </w:r>
    <w:r w:rsidRPr="0057556F">
      <w:t>CA003</w:t>
    </w:r>
    <w:r>
      <w:t>8849</w:t>
    </w:r>
    <w:r>
      <w:tab/>
    </w:r>
  </w:p>
  <w:p w14:paraId="35B6E7F7" w14:textId="77777777" w:rsidR="005230D6" w:rsidRPr="00123C25" w:rsidRDefault="005230D6" w:rsidP="00943772">
    <w:pPr>
      <w:pStyle w:val="Header"/>
      <w:tabs>
        <w:tab w:val="clear" w:pos="4320"/>
        <w:tab w:val="clear" w:pos="8640"/>
        <w:tab w:val="right" w:pos="10080"/>
        <w:tab w:val="right" w:pos="13680"/>
      </w:tabs>
    </w:pPr>
    <w:r>
      <w:tab/>
    </w:r>
  </w:p>
  <w:p w14:paraId="44EDB52A" w14:textId="77777777" w:rsidR="005230D6" w:rsidRPr="00123C25" w:rsidRDefault="005230D6" w:rsidP="00AB14F5">
    <w:pPr>
      <w:pStyle w:val="Header"/>
      <w:tabs>
        <w:tab w:val="clear" w:pos="4320"/>
        <w:tab w:val="clear" w:pos="8640"/>
        <w:tab w:val="right" w:pos="10080"/>
        <w:tab w:val="right" w:pos="12240"/>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AE8F9" w14:textId="77777777" w:rsidR="005230D6" w:rsidRPr="00D16C1E" w:rsidRDefault="005230D6" w:rsidP="00947A08">
    <w:pPr>
      <w:pStyle w:val="Header"/>
      <w:tabs>
        <w:tab w:val="clear" w:pos="8640"/>
        <w:tab w:val="right" w:pos="10080"/>
        <w:tab w:val="right" w:pos="13680"/>
      </w:tabs>
    </w:pPr>
    <w:r>
      <w:t>San Francisco Bay Mercury and PCBs Watershed Permit</w:t>
    </w:r>
    <w:r w:rsidRPr="00D16C1E">
      <w:tab/>
    </w:r>
    <w:r>
      <w:t>Order No.</w:t>
    </w:r>
    <w:r w:rsidRPr="00D16C1E">
      <w:t xml:space="preserve"> R2-201</w:t>
    </w:r>
    <w:r>
      <w:t>7</w:t>
    </w:r>
    <w:r w:rsidRPr="00D16C1E">
      <w:t>-</w:t>
    </w:r>
    <w:r w:rsidRPr="00CE1BCD">
      <w:t>00</w:t>
    </w:r>
    <w:r>
      <w:t>XX</w:t>
    </w:r>
  </w:p>
  <w:p w14:paraId="532896DC" w14:textId="77777777" w:rsidR="005230D6" w:rsidRDefault="005230D6" w:rsidP="00947A08">
    <w:pPr>
      <w:pStyle w:val="Header"/>
      <w:tabs>
        <w:tab w:val="clear" w:pos="4320"/>
        <w:tab w:val="clear" w:pos="8640"/>
        <w:tab w:val="right" w:pos="10080"/>
        <w:tab w:val="right" w:pos="13320"/>
        <w:tab w:val="right" w:pos="13680"/>
      </w:tabs>
    </w:pPr>
    <w:r>
      <w:t>Municipal and Industrial Wastewater Dischargers</w:t>
    </w:r>
    <w:r w:rsidRPr="00D16C1E">
      <w:tab/>
      <w:t>NPDES N</w:t>
    </w:r>
    <w:r>
      <w:t>o</w:t>
    </w:r>
    <w:r w:rsidRPr="00D16C1E">
      <w:t xml:space="preserve">. </w:t>
    </w:r>
    <w:r w:rsidRPr="0057556F">
      <w:t>CA003</w:t>
    </w:r>
    <w:r>
      <w:t>8849</w:t>
    </w:r>
  </w:p>
  <w:p w14:paraId="5730603E" w14:textId="77777777" w:rsidR="005230D6" w:rsidRPr="0073421F" w:rsidRDefault="005230D6" w:rsidP="0047737C">
    <w:pPr>
      <w:pStyle w:val="Header"/>
      <w:tabs>
        <w:tab w:val="righ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61020134"/>
    <w:lvl w:ilvl="0">
      <w:start w:val="1"/>
      <w:numFmt w:val="bullet"/>
      <w:pStyle w:val="bulletss"/>
      <w:lvlText w:val=""/>
      <w:lvlJc w:val="left"/>
      <w:pPr>
        <w:tabs>
          <w:tab w:val="num" w:pos="720"/>
        </w:tabs>
        <w:ind w:left="720" w:hanging="360"/>
      </w:pPr>
      <w:rPr>
        <w:rFonts w:ascii="Symbol" w:hAnsi="Symbol" w:hint="default"/>
      </w:rPr>
    </w:lvl>
  </w:abstractNum>
  <w:abstractNum w:abstractNumId="1" w15:restartNumberingAfterBreak="0">
    <w:nsid w:val="00AE5012"/>
    <w:multiLevelType w:val="hybridMultilevel"/>
    <w:tmpl w:val="C8C84A1A"/>
    <w:lvl w:ilvl="0" w:tplc="E58CDED8">
      <w:start w:val="1"/>
      <w:numFmt w:val="decimal"/>
      <w:pStyle w:val="BodyNumber065Bold"/>
      <w:lvlText w:val="%1."/>
      <w:lvlJc w:val="left"/>
      <w:pPr>
        <w:tabs>
          <w:tab w:val="num" w:pos="1404"/>
        </w:tabs>
        <w:ind w:left="1404" w:hanging="468"/>
      </w:pPr>
      <w:rPr>
        <w:rFonts w:ascii="Arial" w:hAnsi="Arial" w:hint="default"/>
        <w:b w:val="0"/>
        <w:i w:val="0"/>
        <w:sz w:val="22"/>
        <w:szCs w:val="22"/>
      </w:r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2" w15:restartNumberingAfterBreak="0">
    <w:nsid w:val="031E4C55"/>
    <w:multiLevelType w:val="multilevel"/>
    <w:tmpl w:val="36E8AA12"/>
    <w:lvl w:ilvl="0">
      <w:start w:val="1"/>
      <w:numFmt w:val="lowerLetter"/>
      <w:pStyle w:val="Numbers2"/>
      <w:lvlText w:val="%1."/>
      <w:lvlJc w:val="left"/>
      <w:pPr>
        <w:tabs>
          <w:tab w:val="num" w:pos="720"/>
        </w:tabs>
        <w:ind w:left="720" w:hanging="360"/>
      </w:pPr>
      <w:rPr>
        <w:rFonts w:cs="Times New Roman" w:hint="default"/>
      </w:rPr>
    </w:lvl>
    <w:lvl w:ilvl="1">
      <w:start w:val="1"/>
      <w:numFmt w:val="bullet"/>
      <w:lvlText w:val=""/>
      <w:lvlJc w:val="left"/>
      <w:pPr>
        <w:tabs>
          <w:tab w:val="num" w:pos="1080"/>
        </w:tabs>
        <w:ind w:left="1080" w:hanging="360"/>
      </w:pPr>
      <w:rPr>
        <w:rFonts w:ascii="Symbol" w:hAnsi="Symbol" w:hint="default"/>
        <w:b w:val="0"/>
        <w:i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15:restartNumberingAfterBreak="0">
    <w:nsid w:val="05C22027"/>
    <w:multiLevelType w:val="hybridMultilevel"/>
    <w:tmpl w:val="369210AC"/>
    <w:lvl w:ilvl="0" w:tplc="A09E6A6C">
      <w:start w:val="1"/>
      <w:numFmt w:val="upperLetter"/>
      <w:pStyle w:val="Headings2-E"/>
      <w:lvlText w:val="%1."/>
      <w:lvlJc w:val="left"/>
      <w:pPr>
        <w:tabs>
          <w:tab w:val="num" w:pos="936"/>
        </w:tabs>
        <w:ind w:left="936" w:hanging="468"/>
      </w:pPr>
      <w:rPr>
        <w:rFonts w:ascii="Arial Bold" w:hAnsi="Arial Bold" w:hint="default"/>
        <w:b/>
        <w:i w:val="0"/>
        <w:sz w:val="22"/>
      </w:rPr>
    </w:lvl>
    <w:lvl w:ilvl="1" w:tplc="04090019">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4" w15:restartNumberingAfterBreak="0">
    <w:nsid w:val="0AA57EF9"/>
    <w:multiLevelType w:val="multilevel"/>
    <w:tmpl w:val="867CDED4"/>
    <w:lvl w:ilvl="0">
      <w:start w:val="1"/>
      <w:numFmt w:val="upperLetter"/>
      <w:pStyle w:val="BodyTextNumber25"/>
      <w:lvlText w:val="%1."/>
      <w:lvlJc w:val="left"/>
      <w:pPr>
        <w:tabs>
          <w:tab w:val="num" w:pos="720"/>
        </w:tabs>
        <w:ind w:left="720" w:hanging="360"/>
      </w:pPr>
      <w:rPr>
        <w:rFonts w:ascii="Arial" w:hAnsi="Arial" w:hint="default"/>
        <w:b/>
        <w:i w:val="0"/>
        <w:caps/>
        <w:sz w:val="24"/>
        <w:szCs w:val="24"/>
      </w:rPr>
    </w:lvl>
    <w:lvl w:ilvl="1">
      <w:start w:val="1"/>
      <w:numFmt w:val="decimal"/>
      <w:pStyle w:val="BodyTextNumber50"/>
      <w:lvlText w:val="%2."/>
      <w:lvlJc w:val="left"/>
      <w:pPr>
        <w:tabs>
          <w:tab w:val="num" w:pos="1080"/>
        </w:tabs>
        <w:ind w:left="1080" w:hanging="360"/>
      </w:pPr>
      <w:rPr>
        <w:rFonts w:ascii="Arial" w:hAnsi="Arial" w:hint="default"/>
        <w:b/>
        <w:i w:val="0"/>
        <w:sz w:val="24"/>
        <w:szCs w:val="24"/>
      </w:rPr>
    </w:lvl>
    <w:lvl w:ilvl="2">
      <w:start w:val="1"/>
      <w:numFmt w:val="lowerLetter"/>
      <w:pStyle w:val="BodyTextNumber75"/>
      <w:lvlText w:val="%3."/>
      <w:lvlJc w:val="left"/>
      <w:pPr>
        <w:tabs>
          <w:tab w:val="num" w:pos="1440"/>
        </w:tabs>
        <w:ind w:left="1440" w:hanging="360"/>
      </w:pPr>
      <w:rPr>
        <w:rFonts w:ascii="Arial" w:hAnsi="Arial" w:hint="default"/>
        <w:b/>
        <w:i w:val="0"/>
        <w:sz w:val="24"/>
        <w:szCs w:val="24"/>
      </w:rPr>
    </w:lvl>
    <w:lvl w:ilvl="3">
      <w:start w:val="1"/>
      <w:numFmt w:val="lowerRoman"/>
      <w:pStyle w:val="BodyTextNumber1"/>
      <w:lvlText w:val="%4."/>
      <w:lvlJc w:val="left"/>
      <w:pPr>
        <w:tabs>
          <w:tab w:val="num" w:pos="1800"/>
        </w:tabs>
        <w:ind w:left="1800" w:hanging="360"/>
      </w:pPr>
      <w:rPr>
        <w:rFonts w:hint="default"/>
        <w:b/>
      </w:rPr>
    </w:lvl>
    <w:lvl w:ilvl="4">
      <w:start w:val="1"/>
      <w:numFmt w:val="lowerLetter"/>
      <w:pStyle w:val="BodyTextNumber125"/>
      <w:lvlText w:val="(%5)"/>
      <w:lvlJc w:val="left"/>
      <w:pPr>
        <w:tabs>
          <w:tab w:val="num" w:pos="2160"/>
        </w:tabs>
        <w:ind w:left="2160" w:hanging="360"/>
      </w:pPr>
      <w:rPr>
        <w:rFonts w:hint="default"/>
        <w:b/>
      </w:rPr>
    </w:lvl>
    <w:lvl w:ilvl="5">
      <w:start w:val="1"/>
      <w:numFmt w:val="decimal"/>
      <w:pStyle w:val="BodyTextNumber150"/>
      <w:lvlText w:val="(%6)"/>
      <w:lvlJc w:val="left"/>
      <w:pPr>
        <w:tabs>
          <w:tab w:val="num" w:pos="2520"/>
        </w:tabs>
        <w:ind w:left="2520" w:hanging="360"/>
      </w:pPr>
      <w:rPr>
        <w:rFonts w:hint="default"/>
        <w:b/>
      </w:rPr>
    </w:lvl>
    <w:lvl w:ilvl="6">
      <w:start w:val="1"/>
      <w:numFmt w:val="none"/>
      <w:lvlText w:val=""/>
      <w:lvlJc w:val="left"/>
      <w:pPr>
        <w:tabs>
          <w:tab w:val="num" w:pos="2880"/>
        </w:tabs>
        <w:ind w:left="2880" w:hanging="360"/>
      </w:pPr>
      <w:rPr>
        <w:rFonts w:hint="default"/>
        <w:b/>
      </w:rPr>
    </w:lvl>
    <w:lvl w:ilvl="7">
      <w:start w:val="1"/>
      <w:numFmt w:val="none"/>
      <w:lvlText w:val=""/>
      <w:lvlJc w:val="left"/>
      <w:pPr>
        <w:tabs>
          <w:tab w:val="num" w:pos="3960"/>
        </w:tabs>
        <w:ind w:left="3960" w:hanging="360"/>
      </w:pPr>
      <w:rPr>
        <w:rFonts w:hint="default"/>
        <w:b/>
      </w:rPr>
    </w:lvl>
    <w:lvl w:ilvl="8">
      <w:start w:val="1"/>
      <w:numFmt w:val="none"/>
      <w:lvlText w:val=""/>
      <w:lvlJc w:val="left"/>
      <w:pPr>
        <w:tabs>
          <w:tab w:val="num" w:pos="4320"/>
        </w:tabs>
        <w:ind w:left="4320" w:hanging="360"/>
      </w:pPr>
      <w:rPr>
        <w:rFonts w:hint="default"/>
      </w:rPr>
    </w:lvl>
  </w:abstractNum>
  <w:abstractNum w:abstractNumId="5" w15:restartNumberingAfterBreak="0">
    <w:nsid w:val="156A4371"/>
    <w:multiLevelType w:val="hybridMultilevel"/>
    <w:tmpl w:val="1B62F3F2"/>
    <w:lvl w:ilvl="0" w:tplc="69427B72">
      <w:start w:val="1"/>
      <w:numFmt w:val="bullet"/>
      <w:pStyle w:val="bullet1"/>
      <w:lvlText w:val=""/>
      <w:lvlJc w:val="left"/>
      <w:pPr>
        <w:tabs>
          <w:tab w:val="num" w:pos="720"/>
        </w:tabs>
        <w:ind w:left="720" w:hanging="360"/>
      </w:pPr>
      <w:rPr>
        <w:rFonts w:ascii="Symbol" w:hAnsi="Symbol" w:hint="default"/>
        <w:sz w:val="24"/>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EC5101"/>
    <w:multiLevelType w:val="hybridMultilevel"/>
    <w:tmpl w:val="40F0AF16"/>
    <w:lvl w:ilvl="0" w:tplc="7E88BFF6">
      <w:start w:val="1"/>
      <w:numFmt w:val="decimal"/>
      <w:pStyle w:val="MEMO"/>
      <w:lvlText w:val="Table %1."/>
      <w:lvlJc w:val="left"/>
      <w:pPr>
        <w:tabs>
          <w:tab w:val="num" w:pos="108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D1742A4"/>
    <w:multiLevelType w:val="hybridMultilevel"/>
    <w:tmpl w:val="BBF2E8E2"/>
    <w:lvl w:ilvl="0" w:tplc="8F3C54D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9E73912"/>
    <w:multiLevelType w:val="hybridMultilevel"/>
    <w:tmpl w:val="FF0AAA6E"/>
    <w:lvl w:ilvl="0" w:tplc="C7DCBD92">
      <w:start w:val="1"/>
      <w:numFmt w:val="upperLetter"/>
      <w:pStyle w:val="Headings2-F"/>
      <w:lvlText w:val="%1."/>
      <w:lvlJc w:val="left"/>
      <w:pPr>
        <w:tabs>
          <w:tab w:val="num" w:pos="936"/>
        </w:tabs>
        <w:ind w:left="936" w:hanging="468"/>
      </w:pPr>
      <w:rPr>
        <w:rFonts w:ascii="Arial Bold" w:hAnsi="Arial Bold" w:hint="default"/>
        <w:b/>
        <w:i w:val="0"/>
        <w:kern w:val="32"/>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D31E44"/>
    <w:multiLevelType w:val="hybridMultilevel"/>
    <w:tmpl w:val="11E62A42"/>
    <w:lvl w:ilvl="0" w:tplc="94B8BDFC">
      <w:start w:val="1"/>
      <w:numFmt w:val="upperRoman"/>
      <w:pStyle w:val="Headings1-D"/>
      <w:lvlText w:val="%1."/>
      <w:lvlJc w:val="left"/>
      <w:pPr>
        <w:tabs>
          <w:tab w:val="num" w:pos="468"/>
        </w:tabs>
        <w:ind w:left="468" w:hanging="468"/>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177388"/>
    <w:multiLevelType w:val="hybridMultilevel"/>
    <w:tmpl w:val="DF02E7F6"/>
    <w:lvl w:ilvl="0" w:tplc="04090001">
      <w:start w:val="1"/>
      <w:numFmt w:val="bullet"/>
      <w:pStyle w:val="Findings"/>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23375F"/>
    <w:multiLevelType w:val="hybridMultilevel"/>
    <w:tmpl w:val="3B5EFDFC"/>
    <w:lvl w:ilvl="0" w:tplc="A48E5BA8">
      <w:start w:val="1"/>
      <w:numFmt w:val="decimal"/>
      <w:lvlText w:val="%1."/>
      <w:lvlJc w:val="left"/>
      <w:pPr>
        <w:ind w:left="720" w:hanging="360"/>
      </w:pPr>
      <w:rPr>
        <w:b/>
      </w:rPr>
    </w:lvl>
    <w:lvl w:ilvl="1" w:tplc="42A2C3C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372FE5"/>
    <w:multiLevelType w:val="hybridMultilevel"/>
    <w:tmpl w:val="F76ED71A"/>
    <w:lvl w:ilvl="0" w:tplc="40C8B4C6">
      <w:start w:val="1"/>
      <w:numFmt w:val="upperRoman"/>
      <w:pStyle w:val="List"/>
      <w:lvlText w:val="%1."/>
      <w:lvlJc w:val="left"/>
      <w:pPr>
        <w:tabs>
          <w:tab w:val="num" w:pos="720"/>
        </w:tabs>
        <w:ind w:left="720" w:hanging="360"/>
      </w:pPr>
      <w:rPr>
        <w:rFonts w:cs="Times New Roman" w:hint="default"/>
        <w:b/>
        <w:color w:val="auto"/>
      </w:rPr>
    </w:lvl>
    <w:lvl w:ilvl="1" w:tplc="7FA4326C">
      <w:start w:val="1"/>
      <w:numFmt w:val="decimal"/>
      <w:lvlText w:val="%2."/>
      <w:lvlJc w:val="left"/>
      <w:pPr>
        <w:tabs>
          <w:tab w:val="num" w:pos="1080"/>
        </w:tabs>
        <w:ind w:left="1080" w:hanging="360"/>
      </w:pPr>
      <w:rPr>
        <w:rFonts w:ascii="Times New Roman" w:hAnsi="Times New Roman" w:cs="Times New Roman" w:hint="default"/>
        <w:b/>
      </w:rPr>
    </w:lvl>
    <w:lvl w:ilvl="2" w:tplc="04090005">
      <w:start w:val="1"/>
      <w:numFmt w:val="lowerRoman"/>
      <w:lvlText w:val="%3."/>
      <w:lvlJc w:val="right"/>
      <w:pPr>
        <w:tabs>
          <w:tab w:val="num" w:pos="2160"/>
        </w:tabs>
        <w:ind w:left="2160" w:hanging="180"/>
      </w:pPr>
      <w:rPr>
        <w:rFonts w:cs="Times New Roman"/>
      </w:rPr>
    </w:lvl>
    <w:lvl w:ilvl="3" w:tplc="0409000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3" w15:restartNumberingAfterBreak="0">
    <w:nsid w:val="33767FAB"/>
    <w:multiLevelType w:val="hybridMultilevel"/>
    <w:tmpl w:val="A5646834"/>
    <w:lvl w:ilvl="0" w:tplc="DA92C28A">
      <w:start w:val="1"/>
      <w:numFmt w:val="decimal"/>
      <w:pStyle w:val="Headings3-F"/>
      <w:lvlText w:val="%1."/>
      <w:lvlJc w:val="left"/>
      <w:pPr>
        <w:tabs>
          <w:tab w:val="num" w:pos="1404"/>
        </w:tabs>
        <w:ind w:left="1404" w:hanging="468"/>
      </w:pPr>
      <w:rPr>
        <w:rFonts w:ascii="Arial Bold" w:hAnsi="Arial Bold" w:hint="default"/>
        <w:b/>
        <w:i w:val="0"/>
        <w:sz w:val="22"/>
      </w:rPr>
    </w:lvl>
    <w:lvl w:ilvl="1" w:tplc="04090019">
      <w:start w:val="1"/>
      <w:numFmt w:val="lowerLetter"/>
      <w:lvlText w:val="%2."/>
      <w:lvlJc w:val="left"/>
      <w:pPr>
        <w:ind w:left="2376" w:hanging="360"/>
      </w:pPr>
    </w:lvl>
    <w:lvl w:ilvl="2" w:tplc="0409001B">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4" w15:restartNumberingAfterBreak="0">
    <w:nsid w:val="35BC1B9F"/>
    <w:multiLevelType w:val="hybridMultilevel"/>
    <w:tmpl w:val="CAD270E2"/>
    <w:lvl w:ilvl="0" w:tplc="3B1E5F56">
      <w:start w:val="1"/>
      <w:numFmt w:val="upperRoman"/>
      <w:pStyle w:val="Headings1-E"/>
      <w:lvlText w:val="%1."/>
      <w:lvlJc w:val="left"/>
      <w:pPr>
        <w:tabs>
          <w:tab w:val="num" w:pos="468"/>
        </w:tabs>
        <w:ind w:left="468" w:hanging="468"/>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0A2F90"/>
    <w:multiLevelType w:val="hybridMultilevel"/>
    <w:tmpl w:val="ACF23C80"/>
    <w:lvl w:ilvl="0" w:tplc="CE40E16C">
      <w:start w:val="1"/>
      <w:numFmt w:val="upperLetter"/>
      <w:lvlText w:val="%1."/>
      <w:lvlJc w:val="left"/>
      <w:pPr>
        <w:ind w:left="720" w:hanging="360"/>
      </w:pPr>
      <w:rPr>
        <w:rFonts w:hint="default"/>
        <w:b/>
      </w:rPr>
    </w:lvl>
    <w:lvl w:ilvl="1" w:tplc="9984F9EA">
      <w:start w:val="1"/>
      <w:numFmt w:val="lowerRoman"/>
      <w:lvlText w:val="%2."/>
      <w:lvlJc w:val="right"/>
      <w:pPr>
        <w:ind w:left="1440" w:hanging="360"/>
      </w:pPr>
      <w:rPr>
        <w:rFonts w:ascii="Times New Roman" w:eastAsia="Times New Roman" w:hAnsi="Times New Roman" w:cs="Times New Roman"/>
        <w:b/>
      </w:rPr>
    </w:lvl>
    <w:lvl w:ilvl="2" w:tplc="646E6746">
      <w:start w:val="1"/>
      <w:numFmt w:val="lowerRoman"/>
      <w:lvlText w:val="%3."/>
      <w:lvlJc w:val="right"/>
      <w:pPr>
        <w:ind w:left="2160" w:hanging="180"/>
      </w:pPr>
      <w:rPr>
        <w:b/>
      </w:rPr>
    </w:lvl>
    <w:lvl w:ilvl="3" w:tplc="E3AE4EB8">
      <w:start w:val="1"/>
      <w:numFmt w:val="decimal"/>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23649E"/>
    <w:multiLevelType w:val="multilevel"/>
    <w:tmpl w:val="D1067AE8"/>
    <w:lvl w:ilvl="0">
      <w:start w:val="1"/>
      <w:numFmt w:val="upperRoman"/>
      <w:lvlText w:val="%1."/>
      <w:lvlJc w:val="left"/>
      <w:pPr>
        <w:tabs>
          <w:tab w:val="num" w:pos="360"/>
        </w:tabs>
        <w:ind w:left="360" w:hanging="360"/>
      </w:pPr>
      <w:rPr>
        <w:rFonts w:ascii="Arial Bold" w:hAnsi="Arial Bold"/>
        <w:b/>
        <w:i w:val="0"/>
        <w:caps/>
        <w:sz w:val="22"/>
        <w:szCs w:val="24"/>
      </w:rPr>
    </w:lvl>
    <w:lvl w:ilvl="1">
      <w:start w:val="1"/>
      <w:numFmt w:val="upperLetter"/>
      <w:lvlText w:val="%2."/>
      <w:lvlJc w:val="left"/>
      <w:pPr>
        <w:tabs>
          <w:tab w:val="num" w:pos="720"/>
        </w:tabs>
        <w:ind w:left="720" w:hanging="360"/>
      </w:pPr>
      <w:rPr>
        <w:rFonts w:ascii="Arial" w:hAnsi="Arial" w:hint="default"/>
        <w:b/>
        <w:i w:val="0"/>
        <w:sz w:val="24"/>
        <w:szCs w:val="24"/>
      </w:rPr>
    </w:lvl>
    <w:lvl w:ilvl="2">
      <w:start w:val="1"/>
      <w:numFmt w:val="decimal"/>
      <w:pStyle w:val="Headings3"/>
      <w:lvlText w:val="%3."/>
      <w:lvlJc w:val="left"/>
      <w:pPr>
        <w:tabs>
          <w:tab w:val="num" w:pos="1080"/>
        </w:tabs>
        <w:ind w:left="1080" w:hanging="360"/>
      </w:pPr>
      <w:rPr>
        <w:rFonts w:ascii="Arial" w:hAnsi="Arial" w:hint="default"/>
        <w:b/>
        <w:i w:val="0"/>
        <w:sz w:val="24"/>
        <w:szCs w:val="24"/>
      </w:rPr>
    </w:lvl>
    <w:lvl w:ilvl="3">
      <w:start w:val="1"/>
      <w:numFmt w:val="none"/>
      <w:lvlText w:val=""/>
      <w:lvlJc w:val="left"/>
      <w:pPr>
        <w:tabs>
          <w:tab w:val="num" w:pos="1440"/>
        </w:tabs>
        <w:ind w:left="1440" w:hanging="360"/>
      </w:pPr>
      <w:rPr>
        <w:rFonts w:hint="default"/>
        <w:b/>
      </w:rPr>
    </w:lvl>
    <w:lvl w:ilvl="4">
      <w:start w:val="1"/>
      <w:numFmt w:val="none"/>
      <w:lvlText w:val=""/>
      <w:lvlJc w:val="left"/>
      <w:pPr>
        <w:tabs>
          <w:tab w:val="num" w:pos="1800"/>
        </w:tabs>
        <w:ind w:left="1800" w:hanging="360"/>
      </w:pPr>
      <w:rPr>
        <w:rFonts w:hint="default"/>
        <w:b/>
      </w:rPr>
    </w:lvl>
    <w:lvl w:ilvl="5">
      <w:start w:val="1"/>
      <w:numFmt w:val="none"/>
      <w:lvlText w:val=""/>
      <w:lvlJc w:val="left"/>
      <w:pPr>
        <w:tabs>
          <w:tab w:val="num" w:pos="2160"/>
        </w:tabs>
        <w:ind w:left="2160" w:hanging="360"/>
      </w:pPr>
      <w:rPr>
        <w:rFonts w:hint="default"/>
        <w:b/>
      </w:rPr>
    </w:lvl>
    <w:lvl w:ilvl="6">
      <w:start w:val="1"/>
      <w:numFmt w:val="none"/>
      <w:lvlText w:val=""/>
      <w:lvlJc w:val="left"/>
      <w:pPr>
        <w:tabs>
          <w:tab w:val="num" w:pos="2520"/>
        </w:tabs>
        <w:ind w:left="2520" w:hanging="360"/>
      </w:pPr>
      <w:rPr>
        <w:rFonts w:hint="default"/>
        <w:b/>
      </w:rPr>
    </w:lvl>
    <w:lvl w:ilvl="7">
      <w:start w:val="1"/>
      <w:numFmt w:val="none"/>
      <w:lvlText w:val=""/>
      <w:lvlJc w:val="left"/>
      <w:pPr>
        <w:tabs>
          <w:tab w:val="num" w:pos="3600"/>
        </w:tabs>
        <w:ind w:left="3600" w:hanging="360"/>
      </w:pPr>
      <w:rPr>
        <w:rFonts w:hint="default"/>
        <w:b/>
      </w:rPr>
    </w:lvl>
    <w:lvl w:ilvl="8">
      <w:start w:val="1"/>
      <w:numFmt w:val="none"/>
      <w:lvlText w:val=""/>
      <w:lvlJc w:val="left"/>
      <w:pPr>
        <w:tabs>
          <w:tab w:val="num" w:pos="3960"/>
        </w:tabs>
        <w:ind w:left="3960" w:hanging="360"/>
      </w:pPr>
      <w:rPr>
        <w:rFonts w:hint="default"/>
      </w:rPr>
    </w:lvl>
  </w:abstractNum>
  <w:abstractNum w:abstractNumId="17" w15:restartNumberingAfterBreak="0">
    <w:nsid w:val="405C492E"/>
    <w:multiLevelType w:val="hybridMultilevel"/>
    <w:tmpl w:val="09844A1A"/>
    <w:lvl w:ilvl="0" w:tplc="4A30996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477909"/>
    <w:multiLevelType w:val="hybridMultilevel"/>
    <w:tmpl w:val="18F4AAE2"/>
    <w:lvl w:ilvl="0" w:tplc="FFFFFFFF">
      <w:start w:val="1"/>
      <w:numFmt w:val="decimal"/>
      <w:lvlText w:val="%1."/>
      <w:lvlJc w:val="left"/>
      <w:pPr>
        <w:tabs>
          <w:tab w:val="num" w:pos="1080"/>
        </w:tabs>
        <w:ind w:left="1080" w:hanging="36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19" w15:restartNumberingAfterBreak="0">
    <w:nsid w:val="4732049C"/>
    <w:multiLevelType w:val="hybridMultilevel"/>
    <w:tmpl w:val="40008D12"/>
    <w:lvl w:ilvl="0" w:tplc="6CB27E88">
      <w:start w:val="1"/>
      <w:numFmt w:val="upperLetter"/>
      <w:pStyle w:val="Heading9"/>
      <w:lvlText w:val="%1"/>
      <w:lvlJc w:val="left"/>
      <w:pPr>
        <w:tabs>
          <w:tab w:val="num" w:pos="1080"/>
        </w:tabs>
        <w:ind w:left="1080" w:hanging="36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
        <w:szCs w:val="20"/>
        <w:u w:val="none"/>
        <w:vertAlign w:val="baseline"/>
      </w:rPr>
    </w:lvl>
    <w:lvl w:ilvl="1" w:tplc="B0FC4858">
      <w:start w:val="1"/>
      <w:numFmt w:val="lowerLetter"/>
      <w:lvlText w:val="%2."/>
      <w:lvlJc w:val="left"/>
      <w:pPr>
        <w:tabs>
          <w:tab w:val="num" w:pos="1440"/>
        </w:tabs>
        <w:ind w:left="1440" w:hanging="360"/>
      </w:pPr>
      <w:rPr>
        <w:rFonts w:cs="Times New Roman"/>
      </w:rPr>
    </w:lvl>
    <w:lvl w:ilvl="2" w:tplc="BBEA993E" w:tentative="1">
      <w:start w:val="1"/>
      <w:numFmt w:val="lowerRoman"/>
      <w:lvlText w:val="%3."/>
      <w:lvlJc w:val="right"/>
      <w:pPr>
        <w:tabs>
          <w:tab w:val="num" w:pos="2160"/>
        </w:tabs>
        <w:ind w:left="2160" w:hanging="180"/>
      </w:pPr>
      <w:rPr>
        <w:rFonts w:cs="Times New Roman"/>
      </w:rPr>
    </w:lvl>
    <w:lvl w:ilvl="3" w:tplc="7E82DECC" w:tentative="1">
      <w:start w:val="1"/>
      <w:numFmt w:val="decimal"/>
      <w:lvlText w:val="%4."/>
      <w:lvlJc w:val="left"/>
      <w:pPr>
        <w:tabs>
          <w:tab w:val="num" w:pos="2880"/>
        </w:tabs>
        <w:ind w:left="2880" w:hanging="360"/>
      </w:pPr>
      <w:rPr>
        <w:rFonts w:cs="Times New Roman"/>
      </w:rPr>
    </w:lvl>
    <w:lvl w:ilvl="4" w:tplc="EE8E71C8" w:tentative="1">
      <w:start w:val="1"/>
      <w:numFmt w:val="lowerLetter"/>
      <w:lvlText w:val="%5."/>
      <w:lvlJc w:val="left"/>
      <w:pPr>
        <w:tabs>
          <w:tab w:val="num" w:pos="3600"/>
        </w:tabs>
        <w:ind w:left="3600" w:hanging="360"/>
      </w:pPr>
      <w:rPr>
        <w:rFonts w:cs="Times New Roman"/>
      </w:rPr>
    </w:lvl>
    <w:lvl w:ilvl="5" w:tplc="755A93EC" w:tentative="1">
      <w:start w:val="1"/>
      <w:numFmt w:val="lowerRoman"/>
      <w:lvlText w:val="%6."/>
      <w:lvlJc w:val="right"/>
      <w:pPr>
        <w:tabs>
          <w:tab w:val="num" w:pos="4320"/>
        </w:tabs>
        <w:ind w:left="4320" w:hanging="180"/>
      </w:pPr>
      <w:rPr>
        <w:rFonts w:cs="Times New Roman"/>
      </w:rPr>
    </w:lvl>
    <w:lvl w:ilvl="6" w:tplc="673AAAA2" w:tentative="1">
      <w:start w:val="1"/>
      <w:numFmt w:val="decimal"/>
      <w:lvlText w:val="%7."/>
      <w:lvlJc w:val="left"/>
      <w:pPr>
        <w:tabs>
          <w:tab w:val="num" w:pos="5040"/>
        </w:tabs>
        <w:ind w:left="5040" w:hanging="360"/>
      </w:pPr>
      <w:rPr>
        <w:rFonts w:cs="Times New Roman"/>
      </w:rPr>
    </w:lvl>
    <w:lvl w:ilvl="7" w:tplc="850EEA48" w:tentative="1">
      <w:start w:val="1"/>
      <w:numFmt w:val="lowerLetter"/>
      <w:lvlText w:val="%8."/>
      <w:lvlJc w:val="left"/>
      <w:pPr>
        <w:tabs>
          <w:tab w:val="num" w:pos="5760"/>
        </w:tabs>
        <w:ind w:left="5760" w:hanging="360"/>
      </w:pPr>
      <w:rPr>
        <w:rFonts w:cs="Times New Roman"/>
      </w:rPr>
    </w:lvl>
    <w:lvl w:ilvl="8" w:tplc="55E21CDE" w:tentative="1">
      <w:start w:val="1"/>
      <w:numFmt w:val="lowerRoman"/>
      <w:lvlText w:val="%9."/>
      <w:lvlJc w:val="right"/>
      <w:pPr>
        <w:tabs>
          <w:tab w:val="num" w:pos="6480"/>
        </w:tabs>
        <w:ind w:left="6480" w:hanging="180"/>
      </w:pPr>
      <w:rPr>
        <w:rFonts w:cs="Times New Roman"/>
      </w:rPr>
    </w:lvl>
  </w:abstractNum>
  <w:abstractNum w:abstractNumId="20" w15:restartNumberingAfterBreak="0">
    <w:nsid w:val="476D6840"/>
    <w:multiLevelType w:val="hybridMultilevel"/>
    <w:tmpl w:val="674E80D8"/>
    <w:lvl w:ilvl="0" w:tplc="EABCE70E">
      <w:start w:val="2"/>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A71FF8"/>
    <w:multiLevelType w:val="hybridMultilevel"/>
    <w:tmpl w:val="8C0E6190"/>
    <w:lvl w:ilvl="0" w:tplc="5AE0CBBC">
      <w:start w:val="1"/>
      <w:numFmt w:val="upperLetter"/>
      <w:pStyle w:val="Headings2-D"/>
      <w:lvlText w:val="%1."/>
      <w:lvlJc w:val="left"/>
      <w:pPr>
        <w:tabs>
          <w:tab w:val="num" w:pos="936"/>
        </w:tabs>
        <w:ind w:left="936" w:hanging="468"/>
      </w:pPr>
      <w:rPr>
        <w:rFonts w:ascii="Arial Bold" w:hAnsi="Arial Bold"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676A28"/>
    <w:multiLevelType w:val="hybridMultilevel"/>
    <w:tmpl w:val="EF6A4920"/>
    <w:lvl w:ilvl="0" w:tplc="A1802292">
      <w:start w:val="1"/>
      <w:numFmt w:val="decimal"/>
      <w:pStyle w:val="BodyNumber065"/>
      <w:lvlText w:val="%1."/>
      <w:lvlJc w:val="left"/>
      <w:pPr>
        <w:tabs>
          <w:tab w:val="num" w:pos="1404"/>
        </w:tabs>
        <w:ind w:left="1404" w:hanging="468"/>
      </w:pPr>
      <w:rPr>
        <w:rFonts w:hint="default"/>
        <w:b w:val="0"/>
        <w:i w:val="0"/>
        <w:kern w:val="32"/>
        <w:sz w:val="22"/>
        <w:szCs w:val="22"/>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23" w15:restartNumberingAfterBreak="0">
    <w:nsid w:val="5127175E"/>
    <w:multiLevelType w:val="hybridMultilevel"/>
    <w:tmpl w:val="50EA913E"/>
    <w:lvl w:ilvl="0" w:tplc="04090013">
      <w:start w:val="1"/>
      <w:numFmt w:val="upperRoman"/>
      <w:pStyle w:val="StyleHeadingParaTimesNewRoman"/>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15:restartNumberingAfterBreak="0">
    <w:nsid w:val="52751941"/>
    <w:multiLevelType w:val="hybridMultilevel"/>
    <w:tmpl w:val="232E195E"/>
    <w:lvl w:ilvl="0" w:tplc="11AEBED2">
      <w:start w:val="1"/>
      <w:numFmt w:val="bullet"/>
      <w:pStyle w:val="NormalArial"/>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7DC668A"/>
    <w:multiLevelType w:val="hybridMultilevel"/>
    <w:tmpl w:val="4C70D9C0"/>
    <w:lvl w:ilvl="0" w:tplc="C4A6B90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90615F"/>
    <w:multiLevelType w:val="multilevel"/>
    <w:tmpl w:val="44443C2C"/>
    <w:lvl w:ilvl="0">
      <w:start w:val="1"/>
      <w:numFmt w:val="upperLetter"/>
      <w:pStyle w:val="BodyNumber0325"/>
      <w:lvlText w:val="%1."/>
      <w:lvlJc w:val="left"/>
      <w:pPr>
        <w:ind w:left="936" w:hanging="461"/>
      </w:pPr>
      <w:rPr>
        <w:rFonts w:ascii="Arial Bold" w:hAnsi="Arial Bold" w:hint="default"/>
        <w:b/>
        <w:i w:val="0"/>
        <w:caps/>
        <w:sz w:val="22"/>
        <w:szCs w:val="24"/>
      </w:rPr>
    </w:lvl>
    <w:lvl w:ilvl="1">
      <w:start w:val="1"/>
      <w:numFmt w:val="decimal"/>
      <w:lvlText w:val="%2."/>
      <w:lvlJc w:val="left"/>
      <w:pPr>
        <w:tabs>
          <w:tab w:val="num" w:pos="1404"/>
        </w:tabs>
        <w:ind w:left="1411" w:hanging="461"/>
      </w:pPr>
      <w:rPr>
        <w:rFonts w:ascii="Arial" w:hAnsi="Arial" w:hint="default"/>
        <w:b/>
        <w:i w:val="0"/>
        <w:sz w:val="24"/>
        <w:szCs w:val="24"/>
      </w:rPr>
    </w:lvl>
    <w:lvl w:ilvl="2">
      <w:start w:val="1"/>
      <w:numFmt w:val="lowerLetter"/>
      <w:pStyle w:val="BodyNumber0975"/>
      <w:lvlText w:val="%3."/>
      <w:lvlJc w:val="left"/>
      <w:pPr>
        <w:tabs>
          <w:tab w:val="num" w:pos="1872"/>
        </w:tabs>
        <w:ind w:left="1886" w:hanging="461"/>
      </w:pPr>
      <w:rPr>
        <w:rFonts w:ascii="Arial" w:hAnsi="Arial" w:hint="default"/>
        <w:b w:val="0"/>
        <w:i w:val="0"/>
        <w:sz w:val="22"/>
        <w:szCs w:val="24"/>
      </w:rPr>
    </w:lvl>
    <w:lvl w:ilvl="3">
      <w:start w:val="1"/>
      <w:numFmt w:val="lowerRoman"/>
      <w:pStyle w:val="BodyNumber13"/>
      <w:lvlText w:val="%4."/>
      <w:lvlJc w:val="left"/>
      <w:pPr>
        <w:tabs>
          <w:tab w:val="num" w:pos="2340"/>
        </w:tabs>
        <w:ind w:left="2361" w:hanging="461"/>
      </w:pPr>
      <w:rPr>
        <w:rFonts w:hint="default"/>
        <w:b w:val="0"/>
        <w:i w:val="0"/>
      </w:rPr>
    </w:lvl>
    <w:lvl w:ilvl="4">
      <w:start w:val="1"/>
      <w:numFmt w:val="lowerLetter"/>
      <w:pStyle w:val="BodyNumber1625"/>
      <w:lvlText w:val="(%5)"/>
      <w:lvlJc w:val="left"/>
      <w:pPr>
        <w:tabs>
          <w:tab w:val="num" w:pos="2808"/>
        </w:tabs>
        <w:ind w:left="2836" w:hanging="461"/>
      </w:pPr>
      <w:rPr>
        <w:rFonts w:hint="default"/>
        <w:b w:val="0"/>
        <w:i w:val="0"/>
      </w:rPr>
    </w:lvl>
    <w:lvl w:ilvl="5">
      <w:start w:val="1"/>
      <w:numFmt w:val="decimal"/>
      <w:pStyle w:val="BodyNumber195"/>
      <w:lvlText w:val="(%6)"/>
      <w:lvlJc w:val="left"/>
      <w:pPr>
        <w:tabs>
          <w:tab w:val="num" w:pos="3276"/>
        </w:tabs>
        <w:ind w:left="3311" w:hanging="461"/>
      </w:pPr>
      <w:rPr>
        <w:rFonts w:hint="default"/>
        <w:b w:val="0"/>
        <w:i w:val="0"/>
      </w:rPr>
    </w:lvl>
    <w:lvl w:ilvl="6">
      <w:start w:val="1"/>
      <w:numFmt w:val="none"/>
      <w:lvlText w:val=""/>
      <w:lvlJc w:val="left"/>
      <w:pPr>
        <w:tabs>
          <w:tab w:val="num" w:pos="2880"/>
        </w:tabs>
        <w:ind w:left="3786" w:hanging="461"/>
      </w:pPr>
      <w:rPr>
        <w:rFonts w:hint="default"/>
        <w:b/>
      </w:rPr>
    </w:lvl>
    <w:lvl w:ilvl="7">
      <w:start w:val="1"/>
      <w:numFmt w:val="none"/>
      <w:lvlText w:val=""/>
      <w:lvlJc w:val="left"/>
      <w:pPr>
        <w:tabs>
          <w:tab w:val="num" w:pos="3960"/>
        </w:tabs>
        <w:ind w:left="4261" w:hanging="461"/>
      </w:pPr>
      <w:rPr>
        <w:rFonts w:hint="default"/>
        <w:b/>
      </w:rPr>
    </w:lvl>
    <w:lvl w:ilvl="8">
      <w:start w:val="1"/>
      <w:numFmt w:val="none"/>
      <w:lvlText w:val=""/>
      <w:lvlJc w:val="left"/>
      <w:pPr>
        <w:tabs>
          <w:tab w:val="num" w:pos="4320"/>
        </w:tabs>
        <w:ind w:left="4736" w:hanging="461"/>
      </w:pPr>
      <w:rPr>
        <w:rFonts w:hint="default"/>
      </w:rPr>
    </w:lvl>
  </w:abstractNum>
  <w:abstractNum w:abstractNumId="27" w15:restartNumberingAfterBreak="0">
    <w:nsid w:val="60CF3025"/>
    <w:multiLevelType w:val="hybridMultilevel"/>
    <w:tmpl w:val="1A84B9EE"/>
    <w:lvl w:ilvl="0" w:tplc="89FE62C8">
      <w:start w:val="1"/>
      <w:numFmt w:val="decimal"/>
      <w:lvlText w:val="%1."/>
      <w:lvlJc w:val="left"/>
      <w:pPr>
        <w:ind w:left="1080" w:hanging="360"/>
      </w:pPr>
      <w:rPr>
        <w:rFonts w:hint="default"/>
        <w:b/>
        <w:color w:val="auto"/>
      </w:rPr>
    </w:lvl>
    <w:lvl w:ilvl="1" w:tplc="DE2E4964">
      <w:start w:val="1"/>
      <w:numFmt w:val="lowerLetter"/>
      <w:lvlText w:val="%2."/>
      <w:lvlJc w:val="left"/>
      <w:pPr>
        <w:ind w:left="1800" w:hanging="360"/>
      </w:pPr>
      <w:rPr>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293716C"/>
    <w:multiLevelType w:val="multilevel"/>
    <w:tmpl w:val="D792A652"/>
    <w:lvl w:ilvl="0">
      <w:start w:val="1"/>
      <w:numFmt w:val="decimal"/>
      <w:lvlText w:val="%1."/>
      <w:lvlJc w:val="left"/>
      <w:pPr>
        <w:tabs>
          <w:tab w:val="num" w:pos="1080"/>
        </w:tabs>
        <w:ind w:left="1080" w:hanging="720"/>
      </w:pPr>
      <w:rPr>
        <w:rFonts w:cs="Times New Roman" w:hint="default"/>
        <w:color w:val="auto"/>
        <w:sz w:val="20"/>
        <w:szCs w:val="20"/>
      </w:rPr>
    </w:lvl>
    <w:lvl w:ilvl="1">
      <w:start w:val="6"/>
      <w:numFmt w:val="decimal"/>
      <w:lvlText w:val="%2."/>
      <w:lvlJc w:val="left"/>
      <w:pPr>
        <w:tabs>
          <w:tab w:val="num" w:pos="1080"/>
        </w:tabs>
        <w:ind w:left="1080" w:hanging="360"/>
      </w:pPr>
      <w:rPr>
        <w:rFonts w:hint="default"/>
        <w:b/>
      </w:rPr>
    </w:lvl>
    <w:lvl w:ilvl="2">
      <w:start w:val="1"/>
      <w:numFmt w:val="lowerLetter"/>
      <w:lvlText w:val="(%3)"/>
      <w:lvlJc w:val="left"/>
      <w:pPr>
        <w:tabs>
          <w:tab w:val="num" w:pos="1980"/>
        </w:tabs>
        <w:ind w:left="1980" w:hanging="180"/>
      </w:pPr>
      <w:rPr>
        <w:rFonts w:hint="default"/>
      </w:rPr>
    </w:lvl>
    <w:lvl w:ilvl="3">
      <w:start w:val="9"/>
      <w:numFmt w:val="lowerRoman"/>
      <w:lvlText w:val="%4."/>
      <w:lvlJc w:val="left"/>
      <w:pPr>
        <w:tabs>
          <w:tab w:val="num" w:pos="2070"/>
        </w:tabs>
        <w:ind w:left="2070" w:hanging="360"/>
      </w:pPr>
      <w:rPr>
        <w:rFonts w:cs="Times New Roman" w:hint="default"/>
        <w:b/>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9" w15:restartNumberingAfterBreak="0">
    <w:nsid w:val="6346317D"/>
    <w:multiLevelType w:val="multilevel"/>
    <w:tmpl w:val="B0342D5E"/>
    <w:lvl w:ilvl="0">
      <w:start w:val="2"/>
      <w:numFmt w:val="lowerLetter"/>
      <w:pStyle w:val="Tables"/>
      <w:lvlText w:val="%1)"/>
      <w:lvlJc w:val="left"/>
      <w:pPr>
        <w:tabs>
          <w:tab w:val="num" w:pos="1080"/>
        </w:tabs>
        <w:ind w:left="1080" w:hanging="360"/>
      </w:pPr>
      <w:rPr>
        <w:rFonts w:cs="Times New Roman" w:hint="default"/>
      </w:rPr>
    </w:lvl>
    <w:lvl w:ilvl="1">
      <w:start w:val="1"/>
      <w:numFmt w:val="lowerRoman"/>
      <w:lvlText w:val="%2."/>
      <w:lvlJc w:val="left"/>
      <w:pPr>
        <w:tabs>
          <w:tab w:val="num" w:pos="1080"/>
        </w:tabs>
        <w:ind w:left="1080" w:hanging="360"/>
      </w:pPr>
      <w:rPr>
        <w:rFonts w:cs="Times New Roman" w:hint="default"/>
      </w:rPr>
    </w:lvl>
    <w:lvl w:ilvl="2">
      <w:start w:val="1"/>
      <w:numFmt w:val="decimal"/>
      <w:lvlText w:val="(%3)"/>
      <w:lvlJc w:val="left"/>
      <w:pPr>
        <w:tabs>
          <w:tab w:val="num" w:pos="1800"/>
        </w:tabs>
        <w:ind w:left="1800" w:hanging="180"/>
      </w:pPr>
      <w:rPr>
        <w:rFonts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sz w:val="20"/>
        <w:szCs w:val="20"/>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decimal"/>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cs="Times New Roman" w:hint="default"/>
      </w:rPr>
    </w:lvl>
  </w:abstractNum>
  <w:abstractNum w:abstractNumId="30" w15:restartNumberingAfterBreak="0">
    <w:nsid w:val="64C109D5"/>
    <w:multiLevelType w:val="hybridMultilevel"/>
    <w:tmpl w:val="C9927BA8"/>
    <w:lvl w:ilvl="0" w:tplc="16BC7E4C">
      <w:start w:val="1"/>
      <w:numFmt w:val="lowerLetter"/>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9577448"/>
    <w:multiLevelType w:val="hybridMultilevel"/>
    <w:tmpl w:val="631CAAF6"/>
    <w:lvl w:ilvl="0" w:tplc="216CAB94">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AB25B1"/>
    <w:multiLevelType w:val="hybridMultilevel"/>
    <w:tmpl w:val="20444180"/>
    <w:lvl w:ilvl="0" w:tplc="F202FEFE">
      <w:start w:val="1"/>
      <w:numFmt w:val="upperRoman"/>
      <w:pStyle w:val="Headings1-F"/>
      <w:lvlText w:val="%1."/>
      <w:lvlJc w:val="left"/>
      <w:pPr>
        <w:tabs>
          <w:tab w:val="num" w:pos="468"/>
        </w:tabs>
        <w:ind w:left="469" w:hanging="469"/>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EF77A6"/>
    <w:multiLevelType w:val="hybridMultilevel"/>
    <w:tmpl w:val="B4FA4A2C"/>
    <w:lvl w:ilvl="0" w:tplc="646E6746">
      <w:start w:val="1"/>
      <w:numFmt w:val="lowerRoman"/>
      <w:lvlText w:val="%1."/>
      <w:lvlJc w:val="right"/>
      <w:pPr>
        <w:ind w:left="2160" w:hanging="18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430EE5"/>
    <w:multiLevelType w:val="hybridMultilevel"/>
    <w:tmpl w:val="C86E9AC0"/>
    <w:lvl w:ilvl="0" w:tplc="211CA5FC">
      <w:start w:val="1"/>
      <w:numFmt w:val="lowerRoman"/>
      <w:lvlText w:val="%1."/>
      <w:lvlJc w:val="right"/>
      <w:pPr>
        <w:ind w:left="2160" w:hanging="18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FE2191"/>
    <w:multiLevelType w:val="multilevel"/>
    <w:tmpl w:val="91F60E46"/>
    <w:lvl w:ilvl="0">
      <w:start w:val="1"/>
      <w:numFmt w:val="decimal"/>
      <w:lvlText w:val="%1."/>
      <w:lvlJc w:val="left"/>
      <w:pPr>
        <w:tabs>
          <w:tab w:val="num" w:pos="1080"/>
        </w:tabs>
        <w:ind w:left="1080" w:hanging="720"/>
      </w:pPr>
      <w:rPr>
        <w:rFonts w:cs="Times New Roman" w:hint="default"/>
        <w:color w:val="auto"/>
        <w:sz w:val="20"/>
        <w:szCs w:val="20"/>
      </w:rPr>
    </w:lvl>
    <w:lvl w:ilvl="1">
      <w:start w:val="5"/>
      <w:numFmt w:val="decimal"/>
      <w:lvlText w:val="%2."/>
      <w:lvlJc w:val="left"/>
      <w:pPr>
        <w:tabs>
          <w:tab w:val="num" w:pos="1080"/>
        </w:tabs>
        <w:ind w:left="1080" w:hanging="360"/>
      </w:pPr>
      <w:rPr>
        <w:rFonts w:hint="default"/>
        <w:b/>
      </w:rPr>
    </w:lvl>
    <w:lvl w:ilvl="2">
      <w:start w:val="1"/>
      <w:numFmt w:val="lowerLetter"/>
      <w:lvlText w:val="(%3)"/>
      <w:lvlJc w:val="left"/>
      <w:pPr>
        <w:tabs>
          <w:tab w:val="num" w:pos="1980"/>
        </w:tabs>
        <w:ind w:left="1980" w:hanging="180"/>
      </w:pPr>
      <w:rPr>
        <w:rFonts w:hint="default"/>
      </w:rPr>
    </w:lvl>
    <w:lvl w:ilvl="3">
      <w:start w:val="1"/>
      <w:numFmt w:val="lowerRoman"/>
      <w:lvlText w:val="%4."/>
      <w:lvlJc w:val="left"/>
      <w:pPr>
        <w:tabs>
          <w:tab w:val="num" w:pos="2880"/>
        </w:tabs>
        <w:ind w:left="2880" w:hanging="360"/>
      </w:pPr>
      <w:rPr>
        <w:rFonts w:cs="Times New Roman" w:hint="default"/>
        <w:b/>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6" w15:restartNumberingAfterBreak="0">
    <w:nsid w:val="7D476382"/>
    <w:multiLevelType w:val="hybridMultilevel"/>
    <w:tmpl w:val="882EDC82"/>
    <w:lvl w:ilvl="0" w:tplc="748E0CB6">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3E36B4"/>
    <w:multiLevelType w:val="hybridMultilevel"/>
    <w:tmpl w:val="77547218"/>
    <w:lvl w:ilvl="0" w:tplc="364EC4AC">
      <w:start w:val="1"/>
      <w:numFmt w:val="upperRoman"/>
      <w:pStyle w:val="Headings1"/>
      <w:lvlText w:val="%1."/>
      <w:lvlJc w:val="left"/>
      <w:pPr>
        <w:tabs>
          <w:tab w:val="num" w:pos="468"/>
        </w:tabs>
        <w:ind w:left="468" w:hanging="468"/>
      </w:pPr>
      <w:rPr>
        <w:rFonts w:ascii="Arial Bold" w:hAnsi="Arial Bold" w:hint="default"/>
        <w:b/>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2"/>
  </w:num>
  <w:num w:numId="4">
    <w:abstractNumId w:val="2"/>
  </w:num>
  <w:num w:numId="5">
    <w:abstractNumId w:val="19"/>
  </w:num>
  <w:num w:numId="6">
    <w:abstractNumId w:val="23"/>
  </w:num>
  <w:num w:numId="7">
    <w:abstractNumId w:val="10"/>
  </w:num>
  <w:num w:numId="8">
    <w:abstractNumId w:val="6"/>
  </w:num>
  <w:num w:numId="9">
    <w:abstractNumId w:val="24"/>
  </w:num>
  <w:num w:numId="10">
    <w:abstractNumId w:val="11"/>
  </w:num>
  <w:num w:numId="11">
    <w:abstractNumId w:val="26"/>
  </w:num>
  <w:num w:numId="12">
    <w:abstractNumId w:val="25"/>
  </w:num>
  <w:num w:numId="13">
    <w:abstractNumId w:val="22"/>
  </w:num>
  <w:num w:numId="14">
    <w:abstractNumId w:val="21"/>
  </w:num>
  <w:num w:numId="15">
    <w:abstractNumId w:val="18"/>
  </w:num>
  <w:num w:numId="16">
    <w:abstractNumId w:val="29"/>
  </w:num>
  <w:num w:numId="17">
    <w:abstractNumId w:val="1"/>
  </w:num>
  <w:num w:numId="18">
    <w:abstractNumId w:val="4"/>
    <w:lvlOverride w:ilvl="0">
      <w:lvl w:ilvl="0">
        <w:start w:val="1"/>
        <w:numFmt w:val="upperLetter"/>
        <w:pStyle w:val="BodyTextNumber25"/>
        <w:lvlText w:val="%1."/>
        <w:lvlJc w:val="left"/>
        <w:pPr>
          <w:tabs>
            <w:tab w:val="num" w:pos="720"/>
          </w:tabs>
          <w:ind w:left="720" w:hanging="360"/>
        </w:pPr>
        <w:rPr>
          <w:rFonts w:ascii="Arial" w:hAnsi="Arial" w:hint="default"/>
          <w:b/>
          <w:i w:val="0"/>
          <w:caps/>
          <w:sz w:val="24"/>
          <w:szCs w:val="24"/>
        </w:rPr>
      </w:lvl>
    </w:lvlOverride>
    <w:lvlOverride w:ilvl="1">
      <w:lvl w:ilvl="1">
        <w:start w:val="1"/>
        <w:numFmt w:val="decimal"/>
        <w:pStyle w:val="BodyTextNumber50"/>
        <w:lvlText w:val="%2."/>
        <w:lvlJc w:val="left"/>
        <w:pPr>
          <w:tabs>
            <w:tab w:val="num" w:pos="1080"/>
          </w:tabs>
          <w:ind w:left="1080" w:hanging="360"/>
        </w:pPr>
        <w:rPr>
          <w:rFonts w:ascii="Arial" w:hAnsi="Arial" w:hint="default"/>
          <w:b/>
          <w:i w:val="0"/>
          <w:sz w:val="24"/>
          <w:szCs w:val="24"/>
        </w:rPr>
      </w:lvl>
    </w:lvlOverride>
    <w:lvlOverride w:ilvl="2">
      <w:lvl w:ilvl="2">
        <w:start w:val="1"/>
        <w:numFmt w:val="lowerLetter"/>
        <w:pStyle w:val="BodyTextNumber75"/>
        <w:lvlText w:val="%3."/>
        <w:lvlJc w:val="left"/>
        <w:pPr>
          <w:tabs>
            <w:tab w:val="num" w:pos="1440"/>
          </w:tabs>
          <w:ind w:left="1440" w:hanging="360"/>
        </w:pPr>
        <w:rPr>
          <w:rFonts w:ascii="Arial" w:hAnsi="Arial" w:hint="default"/>
          <w:b/>
          <w:i w:val="0"/>
          <w:sz w:val="24"/>
          <w:szCs w:val="24"/>
        </w:rPr>
      </w:lvl>
    </w:lvlOverride>
    <w:lvlOverride w:ilvl="3">
      <w:lvl w:ilvl="3">
        <w:start w:val="1"/>
        <w:numFmt w:val="lowerRoman"/>
        <w:pStyle w:val="BodyTextNumber1"/>
        <w:lvlText w:val="%4."/>
        <w:lvlJc w:val="left"/>
        <w:pPr>
          <w:tabs>
            <w:tab w:val="num" w:pos="1800"/>
          </w:tabs>
          <w:ind w:left="1800" w:hanging="360"/>
        </w:pPr>
        <w:rPr>
          <w:rFonts w:hint="default"/>
          <w:b/>
        </w:rPr>
      </w:lvl>
    </w:lvlOverride>
    <w:lvlOverride w:ilvl="4">
      <w:lvl w:ilvl="4">
        <w:start w:val="1"/>
        <w:numFmt w:val="lowerLetter"/>
        <w:pStyle w:val="BodyTextNumber125"/>
        <w:lvlText w:val="(%5)"/>
        <w:lvlJc w:val="left"/>
        <w:pPr>
          <w:tabs>
            <w:tab w:val="num" w:pos="2160"/>
          </w:tabs>
          <w:ind w:left="2160" w:hanging="360"/>
        </w:pPr>
        <w:rPr>
          <w:rFonts w:hint="default"/>
          <w:b/>
        </w:rPr>
      </w:lvl>
    </w:lvlOverride>
    <w:lvlOverride w:ilvl="5">
      <w:lvl w:ilvl="5">
        <w:start w:val="1"/>
        <w:numFmt w:val="decimal"/>
        <w:pStyle w:val="BodyTextNumber150"/>
        <w:lvlText w:val="(%6)"/>
        <w:lvlJc w:val="left"/>
        <w:pPr>
          <w:tabs>
            <w:tab w:val="num" w:pos="2520"/>
          </w:tabs>
          <w:ind w:left="2520" w:hanging="360"/>
        </w:pPr>
        <w:rPr>
          <w:rFonts w:hint="default"/>
          <w:b/>
        </w:rPr>
      </w:lvl>
    </w:lvlOverride>
    <w:lvlOverride w:ilvl="6">
      <w:lvl w:ilvl="6">
        <w:start w:val="1"/>
        <w:numFmt w:val="none"/>
        <w:lvlText w:val=""/>
        <w:lvlJc w:val="left"/>
        <w:pPr>
          <w:tabs>
            <w:tab w:val="num" w:pos="2880"/>
          </w:tabs>
          <w:ind w:left="2880" w:hanging="360"/>
        </w:pPr>
        <w:rPr>
          <w:rFonts w:hint="default"/>
          <w:b/>
        </w:rPr>
      </w:lvl>
    </w:lvlOverride>
    <w:lvlOverride w:ilvl="7">
      <w:lvl w:ilvl="7">
        <w:start w:val="1"/>
        <w:numFmt w:val="none"/>
        <w:lvlText w:val=""/>
        <w:lvlJc w:val="left"/>
        <w:pPr>
          <w:tabs>
            <w:tab w:val="num" w:pos="3960"/>
          </w:tabs>
          <w:ind w:left="3960" w:hanging="360"/>
        </w:pPr>
        <w:rPr>
          <w:rFonts w:hint="default"/>
          <w:b/>
        </w:rPr>
      </w:lvl>
    </w:lvlOverride>
    <w:lvlOverride w:ilvl="8">
      <w:lvl w:ilvl="8">
        <w:start w:val="1"/>
        <w:numFmt w:val="none"/>
        <w:lvlText w:val=""/>
        <w:lvlJc w:val="left"/>
        <w:pPr>
          <w:tabs>
            <w:tab w:val="num" w:pos="4320"/>
          </w:tabs>
          <w:ind w:left="4320" w:hanging="360"/>
        </w:pPr>
        <w:rPr>
          <w:rFonts w:hint="default"/>
        </w:rPr>
      </w:lvl>
    </w:lvlOverride>
  </w:num>
  <w:num w:numId="19">
    <w:abstractNumId w:val="37"/>
  </w:num>
  <w:num w:numId="20">
    <w:abstractNumId w:val="9"/>
  </w:num>
  <w:num w:numId="21">
    <w:abstractNumId w:val="14"/>
  </w:num>
  <w:num w:numId="22">
    <w:abstractNumId w:val="32"/>
  </w:num>
  <w:num w:numId="23">
    <w:abstractNumId w:val="3"/>
  </w:num>
  <w:num w:numId="24">
    <w:abstractNumId w:val="8"/>
  </w:num>
  <w:num w:numId="25">
    <w:abstractNumId w:val="16"/>
    <w:lvlOverride w:ilvl="0">
      <w:lvl w:ilvl="0">
        <w:start w:val="1"/>
        <w:numFmt w:val="upperRoman"/>
        <w:lvlText w:val="%1."/>
        <w:lvlJc w:val="left"/>
        <w:pPr>
          <w:tabs>
            <w:tab w:val="num" w:pos="468"/>
          </w:tabs>
          <w:ind w:left="475" w:hanging="475"/>
        </w:pPr>
        <w:rPr>
          <w:rFonts w:ascii="Arial" w:hAnsi="Arial" w:hint="default"/>
          <w:b/>
          <w:i w:val="0"/>
          <w:caps/>
          <w:sz w:val="22"/>
          <w:szCs w:val="22"/>
        </w:rPr>
      </w:lvl>
    </w:lvlOverride>
    <w:lvlOverride w:ilvl="1">
      <w:lvl w:ilvl="1">
        <w:start w:val="1"/>
        <w:numFmt w:val="upperLetter"/>
        <w:lvlText w:val="%2."/>
        <w:lvlJc w:val="left"/>
        <w:pPr>
          <w:tabs>
            <w:tab w:val="num" w:pos="936"/>
          </w:tabs>
          <w:ind w:left="943" w:hanging="475"/>
        </w:pPr>
        <w:rPr>
          <w:rFonts w:ascii="Arial Bold" w:hAnsi="Arial Bold" w:hint="default"/>
          <w:b/>
          <w:i w:val="0"/>
          <w:sz w:val="22"/>
          <w:szCs w:val="22"/>
        </w:rPr>
      </w:lvl>
    </w:lvlOverride>
    <w:lvlOverride w:ilvl="2">
      <w:lvl w:ilvl="2">
        <w:start w:val="1"/>
        <w:numFmt w:val="decimal"/>
        <w:pStyle w:val="Headings3"/>
        <w:lvlText w:val="%3."/>
        <w:lvlJc w:val="left"/>
        <w:pPr>
          <w:tabs>
            <w:tab w:val="num" w:pos="1404"/>
          </w:tabs>
          <w:ind w:left="1411" w:hanging="475"/>
        </w:pPr>
        <w:rPr>
          <w:rFonts w:ascii="Arial Bold" w:hAnsi="Arial Bold" w:hint="default"/>
          <w:b/>
          <w:i w:val="0"/>
          <w:sz w:val="22"/>
          <w:szCs w:val="24"/>
        </w:rPr>
      </w:lvl>
    </w:lvlOverride>
    <w:lvlOverride w:ilvl="3">
      <w:lvl w:ilvl="3">
        <w:start w:val="1"/>
        <w:numFmt w:val="none"/>
        <w:lvlText w:val=""/>
        <w:lvlJc w:val="left"/>
        <w:pPr>
          <w:tabs>
            <w:tab w:val="num" w:pos="1872"/>
          </w:tabs>
          <w:ind w:left="1879" w:hanging="475"/>
        </w:pPr>
        <w:rPr>
          <w:rFonts w:hint="default"/>
          <w:b/>
        </w:rPr>
      </w:lvl>
    </w:lvlOverride>
    <w:lvlOverride w:ilvl="4">
      <w:lvl w:ilvl="4">
        <w:start w:val="1"/>
        <w:numFmt w:val="none"/>
        <w:lvlText w:val=""/>
        <w:lvlJc w:val="left"/>
        <w:pPr>
          <w:tabs>
            <w:tab w:val="num" w:pos="2340"/>
          </w:tabs>
          <w:ind w:left="2347" w:hanging="475"/>
        </w:pPr>
        <w:rPr>
          <w:rFonts w:hint="default"/>
          <w:b/>
        </w:rPr>
      </w:lvl>
    </w:lvlOverride>
    <w:lvlOverride w:ilvl="5">
      <w:lvl w:ilvl="5">
        <w:start w:val="1"/>
        <w:numFmt w:val="none"/>
        <w:lvlText w:val=""/>
        <w:lvlJc w:val="left"/>
        <w:pPr>
          <w:tabs>
            <w:tab w:val="num" w:pos="2808"/>
          </w:tabs>
          <w:ind w:left="2815" w:hanging="475"/>
        </w:pPr>
        <w:rPr>
          <w:rFonts w:hint="default"/>
          <w:b/>
        </w:rPr>
      </w:lvl>
    </w:lvlOverride>
    <w:lvlOverride w:ilvl="6">
      <w:lvl w:ilvl="6">
        <w:start w:val="1"/>
        <w:numFmt w:val="none"/>
        <w:lvlText w:val=""/>
        <w:lvlJc w:val="left"/>
        <w:pPr>
          <w:tabs>
            <w:tab w:val="num" w:pos="3276"/>
          </w:tabs>
          <w:ind w:left="3283" w:hanging="475"/>
        </w:pPr>
        <w:rPr>
          <w:rFonts w:hint="default"/>
          <w:b/>
        </w:rPr>
      </w:lvl>
    </w:lvlOverride>
    <w:lvlOverride w:ilvl="7">
      <w:lvl w:ilvl="7">
        <w:start w:val="1"/>
        <w:numFmt w:val="none"/>
        <w:lvlText w:val=""/>
        <w:lvlJc w:val="left"/>
        <w:pPr>
          <w:tabs>
            <w:tab w:val="num" w:pos="3744"/>
          </w:tabs>
          <w:ind w:left="3751" w:hanging="475"/>
        </w:pPr>
        <w:rPr>
          <w:rFonts w:hint="default"/>
          <w:b/>
        </w:rPr>
      </w:lvl>
    </w:lvlOverride>
    <w:lvlOverride w:ilvl="8">
      <w:lvl w:ilvl="8">
        <w:start w:val="1"/>
        <w:numFmt w:val="none"/>
        <w:lvlText w:val=""/>
        <w:lvlJc w:val="left"/>
        <w:pPr>
          <w:tabs>
            <w:tab w:val="num" w:pos="4212"/>
          </w:tabs>
          <w:ind w:left="4219" w:hanging="475"/>
        </w:pPr>
        <w:rPr>
          <w:rFonts w:hint="default"/>
        </w:rPr>
      </w:lvl>
    </w:lvlOverride>
  </w:num>
  <w:num w:numId="26">
    <w:abstractNumId w:val="13"/>
  </w:num>
  <w:num w:numId="27">
    <w:abstractNumId w:val="27"/>
  </w:num>
  <w:num w:numId="28">
    <w:abstractNumId w:val="17"/>
  </w:num>
  <w:num w:numId="29">
    <w:abstractNumId w:val="31"/>
  </w:num>
  <w:num w:numId="30">
    <w:abstractNumId w:val="15"/>
  </w:num>
  <w:num w:numId="31">
    <w:abstractNumId w:val="30"/>
  </w:num>
  <w:num w:numId="32">
    <w:abstractNumId w:val="7"/>
  </w:num>
  <w:num w:numId="33">
    <w:abstractNumId w:val="35"/>
  </w:num>
  <w:num w:numId="34">
    <w:abstractNumId w:val="20"/>
  </w:num>
  <w:num w:numId="35">
    <w:abstractNumId w:val="33"/>
  </w:num>
  <w:num w:numId="36">
    <w:abstractNumId w:val="28"/>
  </w:num>
  <w:num w:numId="37">
    <w:abstractNumId w:val="36"/>
  </w:num>
  <w:num w:numId="38">
    <w:abstractNumId w:val="3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s-MX" w:vendorID="64" w:dllVersion="131078" w:nlCheck="1" w:checkStyle="0"/>
  <w:activeWritingStyle w:appName="MSWord" w:lang="en-US" w:vendorID="64" w:dllVersion="131078" w:nlCheck="1" w:checkStyle="1"/>
  <w:activeWritingStyle w:appName="MSWord" w:lang="en-CA" w:vendorID="64" w:dllVersion="131078" w:nlCheck="1" w:checkStyle="1"/>
  <w:activeWritingStyle w:appName="MSWord" w:lang="fr-FR" w:vendorID="64" w:dllVersion="131078" w:nlCheck="1" w:checkStyle="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10241"/>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488"/>
    <w:rsid w:val="000001B2"/>
    <w:rsid w:val="000001FA"/>
    <w:rsid w:val="00000714"/>
    <w:rsid w:val="00000764"/>
    <w:rsid w:val="00000D9D"/>
    <w:rsid w:val="0000136A"/>
    <w:rsid w:val="000013CD"/>
    <w:rsid w:val="000017EC"/>
    <w:rsid w:val="000018F2"/>
    <w:rsid w:val="00001A27"/>
    <w:rsid w:val="00001D12"/>
    <w:rsid w:val="0000226E"/>
    <w:rsid w:val="00002609"/>
    <w:rsid w:val="000028DA"/>
    <w:rsid w:val="00002AA7"/>
    <w:rsid w:val="00002AEF"/>
    <w:rsid w:val="00003055"/>
    <w:rsid w:val="00003175"/>
    <w:rsid w:val="00003272"/>
    <w:rsid w:val="0000339C"/>
    <w:rsid w:val="00003A5C"/>
    <w:rsid w:val="00003C3F"/>
    <w:rsid w:val="0000405B"/>
    <w:rsid w:val="0000416C"/>
    <w:rsid w:val="000046F4"/>
    <w:rsid w:val="000047CE"/>
    <w:rsid w:val="00004968"/>
    <w:rsid w:val="00004D18"/>
    <w:rsid w:val="00004DC7"/>
    <w:rsid w:val="000051CC"/>
    <w:rsid w:val="00005262"/>
    <w:rsid w:val="00005374"/>
    <w:rsid w:val="000055C7"/>
    <w:rsid w:val="000057ED"/>
    <w:rsid w:val="00006325"/>
    <w:rsid w:val="000063DF"/>
    <w:rsid w:val="000064A5"/>
    <w:rsid w:val="00006763"/>
    <w:rsid w:val="00006882"/>
    <w:rsid w:val="000071F2"/>
    <w:rsid w:val="00007211"/>
    <w:rsid w:val="000072C3"/>
    <w:rsid w:val="00007690"/>
    <w:rsid w:val="000077F7"/>
    <w:rsid w:val="0000791F"/>
    <w:rsid w:val="000079B4"/>
    <w:rsid w:val="00007D20"/>
    <w:rsid w:val="0001046C"/>
    <w:rsid w:val="000106ED"/>
    <w:rsid w:val="00010BF4"/>
    <w:rsid w:val="0001143C"/>
    <w:rsid w:val="00011BF6"/>
    <w:rsid w:val="00011EBA"/>
    <w:rsid w:val="00011FB6"/>
    <w:rsid w:val="00012190"/>
    <w:rsid w:val="000122E9"/>
    <w:rsid w:val="000124C1"/>
    <w:rsid w:val="00013052"/>
    <w:rsid w:val="000131A4"/>
    <w:rsid w:val="000133A2"/>
    <w:rsid w:val="00013942"/>
    <w:rsid w:val="00013990"/>
    <w:rsid w:val="00013BBF"/>
    <w:rsid w:val="00013E67"/>
    <w:rsid w:val="00013F09"/>
    <w:rsid w:val="000141EE"/>
    <w:rsid w:val="0001440C"/>
    <w:rsid w:val="00014722"/>
    <w:rsid w:val="00014CF2"/>
    <w:rsid w:val="00014F4B"/>
    <w:rsid w:val="00015003"/>
    <w:rsid w:val="000150DE"/>
    <w:rsid w:val="00015250"/>
    <w:rsid w:val="00015270"/>
    <w:rsid w:val="000163B4"/>
    <w:rsid w:val="0001675D"/>
    <w:rsid w:val="00017237"/>
    <w:rsid w:val="00017352"/>
    <w:rsid w:val="0001770F"/>
    <w:rsid w:val="0002049C"/>
    <w:rsid w:val="00020747"/>
    <w:rsid w:val="00020956"/>
    <w:rsid w:val="00020A3D"/>
    <w:rsid w:val="00020D08"/>
    <w:rsid w:val="00020F0D"/>
    <w:rsid w:val="000211D1"/>
    <w:rsid w:val="000212C8"/>
    <w:rsid w:val="00021C44"/>
    <w:rsid w:val="00021F3A"/>
    <w:rsid w:val="0002208C"/>
    <w:rsid w:val="000222D7"/>
    <w:rsid w:val="000228D6"/>
    <w:rsid w:val="000230D1"/>
    <w:rsid w:val="000232E1"/>
    <w:rsid w:val="00023320"/>
    <w:rsid w:val="00023358"/>
    <w:rsid w:val="0002362A"/>
    <w:rsid w:val="00023849"/>
    <w:rsid w:val="00023A50"/>
    <w:rsid w:val="00023A9B"/>
    <w:rsid w:val="00023CC0"/>
    <w:rsid w:val="00023ED9"/>
    <w:rsid w:val="00023EE3"/>
    <w:rsid w:val="00023EEB"/>
    <w:rsid w:val="00024196"/>
    <w:rsid w:val="00024302"/>
    <w:rsid w:val="0002435F"/>
    <w:rsid w:val="000249D9"/>
    <w:rsid w:val="00024B49"/>
    <w:rsid w:val="000255A0"/>
    <w:rsid w:val="00025606"/>
    <w:rsid w:val="00025DD2"/>
    <w:rsid w:val="0002660B"/>
    <w:rsid w:val="00026DF2"/>
    <w:rsid w:val="00027472"/>
    <w:rsid w:val="000276D2"/>
    <w:rsid w:val="00030305"/>
    <w:rsid w:val="00030588"/>
    <w:rsid w:val="00030E17"/>
    <w:rsid w:val="00031255"/>
    <w:rsid w:val="000315AC"/>
    <w:rsid w:val="000317EC"/>
    <w:rsid w:val="00031886"/>
    <w:rsid w:val="00031972"/>
    <w:rsid w:val="00031F3D"/>
    <w:rsid w:val="00031F7E"/>
    <w:rsid w:val="000321AE"/>
    <w:rsid w:val="00032251"/>
    <w:rsid w:val="0003252D"/>
    <w:rsid w:val="0003256B"/>
    <w:rsid w:val="000325D8"/>
    <w:rsid w:val="00032A39"/>
    <w:rsid w:val="00032D24"/>
    <w:rsid w:val="00032EC7"/>
    <w:rsid w:val="00033188"/>
    <w:rsid w:val="0003325F"/>
    <w:rsid w:val="000333E0"/>
    <w:rsid w:val="00033C74"/>
    <w:rsid w:val="00033D6B"/>
    <w:rsid w:val="00034196"/>
    <w:rsid w:val="00034216"/>
    <w:rsid w:val="000343B3"/>
    <w:rsid w:val="0003442E"/>
    <w:rsid w:val="00034C5C"/>
    <w:rsid w:val="00034E96"/>
    <w:rsid w:val="00034FB7"/>
    <w:rsid w:val="0003502C"/>
    <w:rsid w:val="00035104"/>
    <w:rsid w:val="0003522D"/>
    <w:rsid w:val="00035338"/>
    <w:rsid w:val="000353D9"/>
    <w:rsid w:val="00035A92"/>
    <w:rsid w:val="00036110"/>
    <w:rsid w:val="00036AF6"/>
    <w:rsid w:val="00037233"/>
    <w:rsid w:val="000375DE"/>
    <w:rsid w:val="00037987"/>
    <w:rsid w:val="000413B8"/>
    <w:rsid w:val="000414BE"/>
    <w:rsid w:val="00041FAC"/>
    <w:rsid w:val="000420E0"/>
    <w:rsid w:val="000421F5"/>
    <w:rsid w:val="0004243F"/>
    <w:rsid w:val="0004258D"/>
    <w:rsid w:val="000428BF"/>
    <w:rsid w:val="00042D84"/>
    <w:rsid w:val="00042E6E"/>
    <w:rsid w:val="00043598"/>
    <w:rsid w:val="000439CF"/>
    <w:rsid w:val="00044175"/>
    <w:rsid w:val="00044292"/>
    <w:rsid w:val="00044801"/>
    <w:rsid w:val="00044DB5"/>
    <w:rsid w:val="00044E25"/>
    <w:rsid w:val="000450A4"/>
    <w:rsid w:val="00045351"/>
    <w:rsid w:val="00045418"/>
    <w:rsid w:val="000454CE"/>
    <w:rsid w:val="0004585A"/>
    <w:rsid w:val="000458EC"/>
    <w:rsid w:val="00045CC4"/>
    <w:rsid w:val="00046C58"/>
    <w:rsid w:val="00046C82"/>
    <w:rsid w:val="00046CAC"/>
    <w:rsid w:val="000473C4"/>
    <w:rsid w:val="00047724"/>
    <w:rsid w:val="00047838"/>
    <w:rsid w:val="00047920"/>
    <w:rsid w:val="00047B26"/>
    <w:rsid w:val="00047F44"/>
    <w:rsid w:val="000501AB"/>
    <w:rsid w:val="00050213"/>
    <w:rsid w:val="00050401"/>
    <w:rsid w:val="000504F9"/>
    <w:rsid w:val="00050629"/>
    <w:rsid w:val="00050791"/>
    <w:rsid w:val="000507EA"/>
    <w:rsid w:val="000509A3"/>
    <w:rsid w:val="00050A80"/>
    <w:rsid w:val="0005148D"/>
    <w:rsid w:val="00051D54"/>
    <w:rsid w:val="00051E92"/>
    <w:rsid w:val="0005218F"/>
    <w:rsid w:val="000521EB"/>
    <w:rsid w:val="000528FC"/>
    <w:rsid w:val="00052A6E"/>
    <w:rsid w:val="00052E16"/>
    <w:rsid w:val="000530C2"/>
    <w:rsid w:val="00053502"/>
    <w:rsid w:val="000537D1"/>
    <w:rsid w:val="00053A1F"/>
    <w:rsid w:val="00053D3D"/>
    <w:rsid w:val="00053F7F"/>
    <w:rsid w:val="00053FD4"/>
    <w:rsid w:val="0005400F"/>
    <w:rsid w:val="00054BC3"/>
    <w:rsid w:val="00054C5F"/>
    <w:rsid w:val="00054E23"/>
    <w:rsid w:val="00054EA1"/>
    <w:rsid w:val="000552E6"/>
    <w:rsid w:val="00055477"/>
    <w:rsid w:val="00055928"/>
    <w:rsid w:val="000559C0"/>
    <w:rsid w:val="0005624C"/>
    <w:rsid w:val="00056A99"/>
    <w:rsid w:val="00056B34"/>
    <w:rsid w:val="00056D34"/>
    <w:rsid w:val="00056FE1"/>
    <w:rsid w:val="000570D4"/>
    <w:rsid w:val="0005714F"/>
    <w:rsid w:val="0005722B"/>
    <w:rsid w:val="000572E2"/>
    <w:rsid w:val="0005744F"/>
    <w:rsid w:val="0005783A"/>
    <w:rsid w:val="00057B48"/>
    <w:rsid w:val="00057C30"/>
    <w:rsid w:val="00057E80"/>
    <w:rsid w:val="00060289"/>
    <w:rsid w:val="000608DB"/>
    <w:rsid w:val="00060A70"/>
    <w:rsid w:val="00061609"/>
    <w:rsid w:val="00061A43"/>
    <w:rsid w:val="00061D8F"/>
    <w:rsid w:val="00061E35"/>
    <w:rsid w:val="00061EC0"/>
    <w:rsid w:val="000620D3"/>
    <w:rsid w:val="00062713"/>
    <w:rsid w:val="00062B3A"/>
    <w:rsid w:val="00062C56"/>
    <w:rsid w:val="0006307E"/>
    <w:rsid w:val="000631DF"/>
    <w:rsid w:val="00063551"/>
    <w:rsid w:val="0006359A"/>
    <w:rsid w:val="00063BB2"/>
    <w:rsid w:val="00064447"/>
    <w:rsid w:val="00064990"/>
    <w:rsid w:val="00064AEE"/>
    <w:rsid w:val="00064B10"/>
    <w:rsid w:val="00064B32"/>
    <w:rsid w:val="000653FE"/>
    <w:rsid w:val="000654CF"/>
    <w:rsid w:val="000656D1"/>
    <w:rsid w:val="0006576B"/>
    <w:rsid w:val="0006579E"/>
    <w:rsid w:val="000657CD"/>
    <w:rsid w:val="00065B32"/>
    <w:rsid w:val="00065D43"/>
    <w:rsid w:val="00065E40"/>
    <w:rsid w:val="000660C3"/>
    <w:rsid w:val="00067181"/>
    <w:rsid w:val="00067450"/>
    <w:rsid w:val="00067EE4"/>
    <w:rsid w:val="00070119"/>
    <w:rsid w:val="000701E0"/>
    <w:rsid w:val="0007030C"/>
    <w:rsid w:val="000707F1"/>
    <w:rsid w:val="000709EA"/>
    <w:rsid w:val="00070C43"/>
    <w:rsid w:val="00070D12"/>
    <w:rsid w:val="000714BB"/>
    <w:rsid w:val="0007165F"/>
    <w:rsid w:val="00071B36"/>
    <w:rsid w:val="00071C45"/>
    <w:rsid w:val="00071D55"/>
    <w:rsid w:val="00071D64"/>
    <w:rsid w:val="00071D6F"/>
    <w:rsid w:val="00071F9C"/>
    <w:rsid w:val="00071FD5"/>
    <w:rsid w:val="0007214A"/>
    <w:rsid w:val="000731A9"/>
    <w:rsid w:val="00073733"/>
    <w:rsid w:val="00073844"/>
    <w:rsid w:val="00073FDC"/>
    <w:rsid w:val="000744D1"/>
    <w:rsid w:val="00074A0B"/>
    <w:rsid w:val="00074B77"/>
    <w:rsid w:val="00074CCA"/>
    <w:rsid w:val="00074F4F"/>
    <w:rsid w:val="0007596D"/>
    <w:rsid w:val="00075AA7"/>
    <w:rsid w:val="00075B2B"/>
    <w:rsid w:val="0007611D"/>
    <w:rsid w:val="00076AC1"/>
    <w:rsid w:val="00076B0A"/>
    <w:rsid w:val="00076BCA"/>
    <w:rsid w:val="00077709"/>
    <w:rsid w:val="00077A0F"/>
    <w:rsid w:val="00077BA4"/>
    <w:rsid w:val="00080127"/>
    <w:rsid w:val="000804D5"/>
    <w:rsid w:val="00081210"/>
    <w:rsid w:val="00081270"/>
    <w:rsid w:val="00081766"/>
    <w:rsid w:val="00081FA0"/>
    <w:rsid w:val="00082115"/>
    <w:rsid w:val="000823A7"/>
    <w:rsid w:val="000825E9"/>
    <w:rsid w:val="000826F1"/>
    <w:rsid w:val="000829E3"/>
    <w:rsid w:val="000832FC"/>
    <w:rsid w:val="000837B6"/>
    <w:rsid w:val="00083926"/>
    <w:rsid w:val="0008394D"/>
    <w:rsid w:val="00083A78"/>
    <w:rsid w:val="00083DCE"/>
    <w:rsid w:val="0008410E"/>
    <w:rsid w:val="00084232"/>
    <w:rsid w:val="00084274"/>
    <w:rsid w:val="00084747"/>
    <w:rsid w:val="00084808"/>
    <w:rsid w:val="0008496B"/>
    <w:rsid w:val="00084CD8"/>
    <w:rsid w:val="00085584"/>
    <w:rsid w:val="0008562A"/>
    <w:rsid w:val="0008567A"/>
    <w:rsid w:val="00085B7E"/>
    <w:rsid w:val="00085DE7"/>
    <w:rsid w:val="00085FA1"/>
    <w:rsid w:val="00086028"/>
    <w:rsid w:val="00087445"/>
    <w:rsid w:val="00087556"/>
    <w:rsid w:val="0008763C"/>
    <w:rsid w:val="00087AB4"/>
    <w:rsid w:val="00087F4B"/>
    <w:rsid w:val="000908BC"/>
    <w:rsid w:val="00090DD7"/>
    <w:rsid w:val="00090EB1"/>
    <w:rsid w:val="000914DD"/>
    <w:rsid w:val="0009183B"/>
    <w:rsid w:val="00091BFE"/>
    <w:rsid w:val="00091F3B"/>
    <w:rsid w:val="000921F6"/>
    <w:rsid w:val="0009251A"/>
    <w:rsid w:val="0009263D"/>
    <w:rsid w:val="000926EF"/>
    <w:rsid w:val="000928FA"/>
    <w:rsid w:val="000929D4"/>
    <w:rsid w:val="000929D7"/>
    <w:rsid w:val="000933AF"/>
    <w:rsid w:val="00094206"/>
    <w:rsid w:val="00094743"/>
    <w:rsid w:val="0009474A"/>
    <w:rsid w:val="0009494B"/>
    <w:rsid w:val="00094ADE"/>
    <w:rsid w:val="00094CEB"/>
    <w:rsid w:val="0009505F"/>
    <w:rsid w:val="00095B15"/>
    <w:rsid w:val="00095E47"/>
    <w:rsid w:val="00095E4D"/>
    <w:rsid w:val="00096184"/>
    <w:rsid w:val="000965D0"/>
    <w:rsid w:val="0009661F"/>
    <w:rsid w:val="0009662C"/>
    <w:rsid w:val="00096B0E"/>
    <w:rsid w:val="00096C1C"/>
    <w:rsid w:val="00096FA6"/>
    <w:rsid w:val="000973CC"/>
    <w:rsid w:val="000976A5"/>
    <w:rsid w:val="00097AE0"/>
    <w:rsid w:val="00097D66"/>
    <w:rsid w:val="000A01CF"/>
    <w:rsid w:val="000A0380"/>
    <w:rsid w:val="000A085B"/>
    <w:rsid w:val="000A0A77"/>
    <w:rsid w:val="000A12B9"/>
    <w:rsid w:val="000A14C9"/>
    <w:rsid w:val="000A1786"/>
    <w:rsid w:val="000A1941"/>
    <w:rsid w:val="000A1C19"/>
    <w:rsid w:val="000A2036"/>
    <w:rsid w:val="000A20E1"/>
    <w:rsid w:val="000A248D"/>
    <w:rsid w:val="000A266C"/>
    <w:rsid w:val="000A282D"/>
    <w:rsid w:val="000A287B"/>
    <w:rsid w:val="000A2C50"/>
    <w:rsid w:val="000A2CA8"/>
    <w:rsid w:val="000A32A7"/>
    <w:rsid w:val="000A33FC"/>
    <w:rsid w:val="000A37B4"/>
    <w:rsid w:val="000A3B0D"/>
    <w:rsid w:val="000A45EF"/>
    <w:rsid w:val="000A497A"/>
    <w:rsid w:val="000A4B28"/>
    <w:rsid w:val="000A51CB"/>
    <w:rsid w:val="000A5289"/>
    <w:rsid w:val="000A52C3"/>
    <w:rsid w:val="000A53D2"/>
    <w:rsid w:val="000A5445"/>
    <w:rsid w:val="000A5948"/>
    <w:rsid w:val="000A5A7C"/>
    <w:rsid w:val="000A5D87"/>
    <w:rsid w:val="000A6400"/>
    <w:rsid w:val="000A6BB8"/>
    <w:rsid w:val="000A7139"/>
    <w:rsid w:val="000A769A"/>
    <w:rsid w:val="000A7F71"/>
    <w:rsid w:val="000B0285"/>
    <w:rsid w:val="000B05C2"/>
    <w:rsid w:val="000B0729"/>
    <w:rsid w:val="000B089D"/>
    <w:rsid w:val="000B08F8"/>
    <w:rsid w:val="000B0950"/>
    <w:rsid w:val="000B0F3B"/>
    <w:rsid w:val="000B0FFD"/>
    <w:rsid w:val="000B1D17"/>
    <w:rsid w:val="000B21CB"/>
    <w:rsid w:val="000B2B55"/>
    <w:rsid w:val="000B2BEB"/>
    <w:rsid w:val="000B2FCF"/>
    <w:rsid w:val="000B3062"/>
    <w:rsid w:val="000B3564"/>
    <w:rsid w:val="000B35AF"/>
    <w:rsid w:val="000B3721"/>
    <w:rsid w:val="000B3FA8"/>
    <w:rsid w:val="000B42E7"/>
    <w:rsid w:val="000B4349"/>
    <w:rsid w:val="000B4A51"/>
    <w:rsid w:val="000B4AEB"/>
    <w:rsid w:val="000B4C94"/>
    <w:rsid w:val="000B4FE1"/>
    <w:rsid w:val="000B59C8"/>
    <w:rsid w:val="000B5CAC"/>
    <w:rsid w:val="000B607E"/>
    <w:rsid w:val="000B63A5"/>
    <w:rsid w:val="000B6489"/>
    <w:rsid w:val="000B651D"/>
    <w:rsid w:val="000B6D58"/>
    <w:rsid w:val="000B7052"/>
    <w:rsid w:val="000B73D7"/>
    <w:rsid w:val="000B74A0"/>
    <w:rsid w:val="000B7C4B"/>
    <w:rsid w:val="000B7CE9"/>
    <w:rsid w:val="000B7DE9"/>
    <w:rsid w:val="000C005E"/>
    <w:rsid w:val="000C0154"/>
    <w:rsid w:val="000C0406"/>
    <w:rsid w:val="000C062D"/>
    <w:rsid w:val="000C068E"/>
    <w:rsid w:val="000C06B4"/>
    <w:rsid w:val="000C06E5"/>
    <w:rsid w:val="000C0AC7"/>
    <w:rsid w:val="000C154C"/>
    <w:rsid w:val="000C1B7D"/>
    <w:rsid w:val="000C1C4F"/>
    <w:rsid w:val="000C2030"/>
    <w:rsid w:val="000C2329"/>
    <w:rsid w:val="000C2630"/>
    <w:rsid w:val="000C2EB5"/>
    <w:rsid w:val="000C3032"/>
    <w:rsid w:val="000C303B"/>
    <w:rsid w:val="000C313C"/>
    <w:rsid w:val="000C35D8"/>
    <w:rsid w:val="000C363B"/>
    <w:rsid w:val="000C48DD"/>
    <w:rsid w:val="000C4CE1"/>
    <w:rsid w:val="000C5161"/>
    <w:rsid w:val="000C60B8"/>
    <w:rsid w:val="000C642C"/>
    <w:rsid w:val="000C68B2"/>
    <w:rsid w:val="000C6B48"/>
    <w:rsid w:val="000C71F6"/>
    <w:rsid w:val="000C720A"/>
    <w:rsid w:val="000C76BD"/>
    <w:rsid w:val="000C7EA8"/>
    <w:rsid w:val="000D0AB7"/>
    <w:rsid w:val="000D0AFB"/>
    <w:rsid w:val="000D10A1"/>
    <w:rsid w:val="000D16EA"/>
    <w:rsid w:val="000D18D1"/>
    <w:rsid w:val="000D1E15"/>
    <w:rsid w:val="000D2B55"/>
    <w:rsid w:val="000D3001"/>
    <w:rsid w:val="000D3887"/>
    <w:rsid w:val="000D39EF"/>
    <w:rsid w:val="000D3B2D"/>
    <w:rsid w:val="000D40AE"/>
    <w:rsid w:val="000D47C8"/>
    <w:rsid w:val="000D49BF"/>
    <w:rsid w:val="000D4A95"/>
    <w:rsid w:val="000D4BC6"/>
    <w:rsid w:val="000D5053"/>
    <w:rsid w:val="000D5123"/>
    <w:rsid w:val="000D534F"/>
    <w:rsid w:val="000D544A"/>
    <w:rsid w:val="000D5769"/>
    <w:rsid w:val="000D5B00"/>
    <w:rsid w:val="000D5B16"/>
    <w:rsid w:val="000D610B"/>
    <w:rsid w:val="000D6552"/>
    <w:rsid w:val="000D6BCB"/>
    <w:rsid w:val="000D6CE6"/>
    <w:rsid w:val="000D6F6E"/>
    <w:rsid w:val="000D6FC6"/>
    <w:rsid w:val="000D701A"/>
    <w:rsid w:val="000D716E"/>
    <w:rsid w:val="000D720B"/>
    <w:rsid w:val="000D7650"/>
    <w:rsid w:val="000D7B07"/>
    <w:rsid w:val="000D7B4F"/>
    <w:rsid w:val="000D7B88"/>
    <w:rsid w:val="000D7CC1"/>
    <w:rsid w:val="000D7E25"/>
    <w:rsid w:val="000D7E43"/>
    <w:rsid w:val="000E033B"/>
    <w:rsid w:val="000E046F"/>
    <w:rsid w:val="000E04F7"/>
    <w:rsid w:val="000E06A5"/>
    <w:rsid w:val="000E0BD3"/>
    <w:rsid w:val="000E0D82"/>
    <w:rsid w:val="000E15EB"/>
    <w:rsid w:val="000E1802"/>
    <w:rsid w:val="000E1842"/>
    <w:rsid w:val="000E1AE0"/>
    <w:rsid w:val="000E1C78"/>
    <w:rsid w:val="000E1DA9"/>
    <w:rsid w:val="000E1F14"/>
    <w:rsid w:val="000E1F40"/>
    <w:rsid w:val="000E2B4E"/>
    <w:rsid w:val="000E304A"/>
    <w:rsid w:val="000E30C6"/>
    <w:rsid w:val="000E331E"/>
    <w:rsid w:val="000E394E"/>
    <w:rsid w:val="000E3D7D"/>
    <w:rsid w:val="000E4010"/>
    <w:rsid w:val="000E42D4"/>
    <w:rsid w:val="000E4A18"/>
    <w:rsid w:val="000E4A8C"/>
    <w:rsid w:val="000E51D2"/>
    <w:rsid w:val="000E532A"/>
    <w:rsid w:val="000E5696"/>
    <w:rsid w:val="000E5B09"/>
    <w:rsid w:val="000E5C18"/>
    <w:rsid w:val="000E6EC0"/>
    <w:rsid w:val="000E706B"/>
    <w:rsid w:val="000E70D7"/>
    <w:rsid w:val="000E71ED"/>
    <w:rsid w:val="000E7A15"/>
    <w:rsid w:val="000E7AEA"/>
    <w:rsid w:val="000E7B70"/>
    <w:rsid w:val="000E7BB1"/>
    <w:rsid w:val="000E7E0F"/>
    <w:rsid w:val="000F05C3"/>
    <w:rsid w:val="000F060D"/>
    <w:rsid w:val="000F09E6"/>
    <w:rsid w:val="000F0AA4"/>
    <w:rsid w:val="000F0BF3"/>
    <w:rsid w:val="000F0DF9"/>
    <w:rsid w:val="000F105E"/>
    <w:rsid w:val="000F1419"/>
    <w:rsid w:val="000F179A"/>
    <w:rsid w:val="000F1AB7"/>
    <w:rsid w:val="000F1D84"/>
    <w:rsid w:val="000F1DCF"/>
    <w:rsid w:val="000F1ED4"/>
    <w:rsid w:val="000F1FBF"/>
    <w:rsid w:val="000F2144"/>
    <w:rsid w:val="000F23F4"/>
    <w:rsid w:val="000F2447"/>
    <w:rsid w:val="000F24AD"/>
    <w:rsid w:val="000F2AF3"/>
    <w:rsid w:val="000F3114"/>
    <w:rsid w:val="000F350F"/>
    <w:rsid w:val="000F36E4"/>
    <w:rsid w:val="000F39AD"/>
    <w:rsid w:val="000F3FDB"/>
    <w:rsid w:val="000F4585"/>
    <w:rsid w:val="000F5076"/>
    <w:rsid w:val="000F50AF"/>
    <w:rsid w:val="000F5933"/>
    <w:rsid w:val="000F59C2"/>
    <w:rsid w:val="000F5B71"/>
    <w:rsid w:val="000F63F2"/>
    <w:rsid w:val="000F6747"/>
    <w:rsid w:val="000F70F3"/>
    <w:rsid w:val="000F751A"/>
    <w:rsid w:val="000F75F7"/>
    <w:rsid w:val="000F7FAF"/>
    <w:rsid w:val="00100093"/>
    <w:rsid w:val="0010023F"/>
    <w:rsid w:val="001004B2"/>
    <w:rsid w:val="00100557"/>
    <w:rsid w:val="001005E0"/>
    <w:rsid w:val="001007DC"/>
    <w:rsid w:val="0010110D"/>
    <w:rsid w:val="001018C1"/>
    <w:rsid w:val="0010278B"/>
    <w:rsid w:val="001027CB"/>
    <w:rsid w:val="001029F0"/>
    <w:rsid w:val="00102A24"/>
    <w:rsid w:val="00102D38"/>
    <w:rsid w:val="00102DCE"/>
    <w:rsid w:val="0010324B"/>
    <w:rsid w:val="00103B25"/>
    <w:rsid w:val="00103C51"/>
    <w:rsid w:val="001040BF"/>
    <w:rsid w:val="0010442D"/>
    <w:rsid w:val="00104646"/>
    <w:rsid w:val="0010476C"/>
    <w:rsid w:val="0010483F"/>
    <w:rsid w:val="0010488E"/>
    <w:rsid w:val="001051A5"/>
    <w:rsid w:val="001054CD"/>
    <w:rsid w:val="00105709"/>
    <w:rsid w:val="00106FD9"/>
    <w:rsid w:val="00107426"/>
    <w:rsid w:val="0010745E"/>
    <w:rsid w:val="00107863"/>
    <w:rsid w:val="00107A06"/>
    <w:rsid w:val="001101A3"/>
    <w:rsid w:val="00110C60"/>
    <w:rsid w:val="00110E34"/>
    <w:rsid w:val="00111148"/>
    <w:rsid w:val="001112F2"/>
    <w:rsid w:val="00111434"/>
    <w:rsid w:val="00111B39"/>
    <w:rsid w:val="001120DC"/>
    <w:rsid w:val="001120F4"/>
    <w:rsid w:val="0011216F"/>
    <w:rsid w:val="0011250D"/>
    <w:rsid w:val="001125E8"/>
    <w:rsid w:val="001126C6"/>
    <w:rsid w:val="00113028"/>
    <w:rsid w:val="001133F1"/>
    <w:rsid w:val="00113713"/>
    <w:rsid w:val="00113A2D"/>
    <w:rsid w:val="00114202"/>
    <w:rsid w:val="00114216"/>
    <w:rsid w:val="00114721"/>
    <w:rsid w:val="0011490D"/>
    <w:rsid w:val="00114CB8"/>
    <w:rsid w:val="00114D61"/>
    <w:rsid w:val="001154EA"/>
    <w:rsid w:val="00115793"/>
    <w:rsid w:val="00115933"/>
    <w:rsid w:val="00115C7B"/>
    <w:rsid w:val="00115D03"/>
    <w:rsid w:val="00115F4F"/>
    <w:rsid w:val="001161BA"/>
    <w:rsid w:val="0011662D"/>
    <w:rsid w:val="00116B50"/>
    <w:rsid w:val="00116B53"/>
    <w:rsid w:val="00116E70"/>
    <w:rsid w:val="00117020"/>
    <w:rsid w:val="001173CC"/>
    <w:rsid w:val="00117BF7"/>
    <w:rsid w:val="00117CB4"/>
    <w:rsid w:val="00117F5B"/>
    <w:rsid w:val="001202B2"/>
    <w:rsid w:val="00120655"/>
    <w:rsid w:val="001206EA"/>
    <w:rsid w:val="00120902"/>
    <w:rsid w:val="00120E44"/>
    <w:rsid w:val="00121D5E"/>
    <w:rsid w:val="00121EE1"/>
    <w:rsid w:val="0012222B"/>
    <w:rsid w:val="00122280"/>
    <w:rsid w:val="0012292A"/>
    <w:rsid w:val="00122DCC"/>
    <w:rsid w:val="00122E10"/>
    <w:rsid w:val="001235CF"/>
    <w:rsid w:val="001235E0"/>
    <w:rsid w:val="001237D7"/>
    <w:rsid w:val="0012387D"/>
    <w:rsid w:val="00123C1C"/>
    <w:rsid w:val="00123C25"/>
    <w:rsid w:val="001246D5"/>
    <w:rsid w:val="001247C6"/>
    <w:rsid w:val="00125525"/>
    <w:rsid w:val="00125AEF"/>
    <w:rsid w:val="00126A9D"/>
    <w:rsid w:val="00126DDF"/>
    <w:rsid w:val="00127267"/>
    <w:rsid w:val="00127CD5"/>
    <w:rsid w:val="00127F4B"/>
    <w:rsid w:val="0013011F"/>
    <w:rsid w:val="00130128"/>
    <w:rsid w:val="00130A29"/>
    <w:rsid w:val="00131216"/>
    <w:rsid w:val="001316C8"/>
    <w:rsid w:val="001319B4"/>
    <w:rsid w:val="001319F0"/>
    <w:rsid w:val="00131A2A"/>
    <w:rsid w:val="00131B89"/>
    <w:rsid w:val="00131D5A"/>
    <w:rsid w:val="00131E90"/>
    <w:rsid w:val="00132020"/>
    <w:rsid w:val="00132404"/>
    <w:rsid w:val="0013294E"/>
    <w:rsid w:val="00132BF3"/>
    <w:rsid w:val="00132CB9"/>
    <w:rsid w:val="00132D28"/>
    <w:rsid w:val="001333BC"/>
    <w:rsid w:val="00133793"/>
    <w:rsid w:val="00133C82"/>
    <w:rsid w:val="001340FE"/>
    <w:rsid w:val="001343E6"/>
    <w:rsid w:val="0013454B"/>
    <w:rsid w:val="0013479B"/>
    <w:rsid w:val="0013496F"/>
    <w:rsid w:val="00134B59"/>
    <w:rsid w:val="00134E86"/>
    <w:rsid w:val="001353E5"/>
    <w:rsid w:val="0013573F"/>
    <w:rsid w:val="001358E8"/>
    <w:rsid w:val="00135973"/>
    <w:rsid w:val="00135A8E"/>
    <w:rsid w:val="00135B8C"/>
    <w:rsid w:val="001366CA"/>
    <w:rsid w:val="00136BE8"/>
    <w:rsid w:val="0013705E"/>
    <w:rsid w:val="0013730F"/>
    <w:rsid w:val="00137587"/>
    <w:rsid w:val="00137A8B"/>
    <w:rsid w:val="00137FA6"/>
    <w:rsid w:val="0014019C"/>
    <w:rsid w:val="0014097E"/>
    <w:rsid w:val="001409BB"/>
    <w:rsid w:val="00140CC9"/>
    <w:rsid w:val="00140F76"/>
    <w:rsid w:val="00141039"/>
    <w:rsid w:val="001411D9"/>
    <w:rsid w:val="001412B2"/>
    <w:rsid w:val="0014142A"/>
    <w:rsid w:val="00141733"/>
    <w:rsid w:val="00141953"/>
    <w:rsid w:val="00141A6C"/>
    <w:rsid w:val="00142158"/>
    <w:rsid w:val="0014220C"/>
    <w:rsid w:val="001422B2"/>
    <w:rsid w:val="0014273B"/>
    <w:rsid w:val="00142A86"/>
    <w:rsid w:val="0014303D"/>
    <w:rsid w:val="0014346E"/>
    <w:rsid w:val="00143495"/>
    <w:rsid w:val="0014361D"/>
    <w:rsid w:val="00143784"/>
    <w:rsid w:val="001438A8"/>
    <w:rsid w:val="00143F04"/>
    <w:rsid w:val="00143FBF"/>
    <w:rsid w:val="0014428F"/>
    <w:rsid w:val="00144474"/>
    <w:rsid w:val="001445A9"/>
    <w:rsid w:val="001449D8"/>
    <w:rsid w:val="00144A63"/>
    <w:rsid w:val="00144E6D"/>
    <w:rsid w:val="00145292"/>
    <w:rsid w:val="0014575D"/>
    <w:rsid w:val="00145D34"/>
    <w:rsid w:val="00145E28"/>
    <w:rsid w:val="00145F9F"/>
    <w:rsid w:val="00146253"/>
    <w:rsid w:val="0014646D"/>
    <w:rsid w:val="00146709"/>
    <w:rsid w:val="001467A4"/>
    <w:rsid w:val="00146C54"/>
    <w:rsid w:val="00146E1E"/>
    <w:rsid w:val="00146EC1"/>
    <w:rsid w:val="00147201"/>
    <w:rsid w:val="00147B5F"/>
    <w:rsid w:val="0015027C"/>
    <w:rsid w:val="0015030D"/>
    <w:rsid w:val="00150610"/>
    <w:rsid w:val="00150874"/>
    <w:rsid w:val="0015096F"/>
    <w:rsid w:val="001511B2"/>
    <w:rsid w:val="001512DC"/>
    <w:rsid w:val="00151472"/>
    <w:rsid w:val="001516BA"/>
    <w:rsid w:val="001518D3"/>
    <w:rsid w:val="00151D04"/>
    <w:rsid w:val="0015202B"/>
    <w:rsid w:val="001527ED"/>
    <w:rsid w:val="0015285F"/>
    <w:rsid w:val="001528A9"/>
    <w:rsid w:val="001528BB"/>
    <w:rsid w:val="00152BBD"/>
    <w:rsid w:val="001536CA"/>
    <w:rsid w:val="00153850"/>
    <w:rsid w:val="00153A01"/>
    <w:rsid w:val="00153FFB"/>
    <w:rsid w:val="00154262"/>
    <w:rsid w:val="00154493"/>
    <w:rsid w:val="00154F4F"/>
    <w:rsid w:val="00155231"/>
    <w:rsid w:val="00155268"/>
    <w:rsid w:val="00155BB2"/>
    <w:rsid w:val="00155C6A"/>
    <w:rsid w:val="00155F9E"/>
    <w:rsid w:val="00156541"/>
    <w:rsid w:val="001566A8"/>
    <w:rsid w:val="001566F4"/>
    <w:rsid w:val="00156AD6"/>
    <w:rsid w:val="00156B8E"/>
    <w:rsid w:val="00156D29"/>
    <w:rsid w:val="001571F1"/>
    <w:rsid w:val="00157279"/>
    <w:rsid w:val="00157AFF"/>
    <w:rsid w:val="00157BA4"/>
    <w:rsid w:val="00157EC2"/>
    <w:rsid w:val="00157EE4"/>
    <w:rsid w:val="00157F8D"/>
    <w:rsid w:val="00160519"/>
    <w:rsid w:val="00160584"/>
    <w:rsid w:val="00160590"/>
    <w:rsid w:val="001606D6"/>
    <w:rsid w:val="0016072C"/>
    <w:rsid w:val="00160733"/>
    <w:rsid w:val="001607E4"/>
    <w:rsid w:val="00160AB7"/>
    <w:rsid w:val="00160B81"/>
    <w:rsid w:val="00161163"/>
    <w:rsid w:val="00161475"/>
    <w:rsid w:val="001617A1"/>
    <w:rsid w:val="00161C06"/>
    <w:rsid w:val="00161EE3"/>
    <w:rsid w:val="00161F4B"/>
    <w:rsid w:val="00162145"/>
    <w:rsid w:val="001625D3"/>
    <w:rsid w:val="00162760"/>
    <w:rsid w:val="00162830"/>
    <w:rsid w:val="00162BA4"/>
    <w:rsid w:val="00163420"/>
    <w:rsid w:val="001639C6"/>
    <w:rsid w:val="001639D0"/>
    <w:rsid w:val="00163D30"/>
    <w:rsid w:val="00164084"/>
    <w:rsid w:val="0016422D"/>
    <w:rsid w:val="0016441A"/>
    <w:rsid w:val="00164773"/>
    <w:rsid w:val="00164D18"/>
    <w:rsid w:val="001651EA"/>
    <w:rsid w:val="00165C99"/>
    <w:rsid w:val="0016676B"/>
    <w:rsid w:val="001667A4"/>
    <w:rsid w:val="0016694E"/>
    <w:rsid w:val="00166AD2"/>
    <w:rsid w:val="00166AE1"/>
    <w:rsid w:val="0016756F"/>
    <w:rsid w:val="00167779"/>
    <w:rsid w:val="00167F54"/>
    <w:rsid w:val="00170250"/>
    <w:rsid w:val="00170982"/>
    <w:rsid w:val="0017135D"/>
    <w:rsid w:val="001713FD"/>
    <w:rsid w:val="001714A7"/>
    <w:rsid w:val="00171653"/>
    <w:rsid w:val="00171AF1"/>
    <w:rsid w:val="001725B0"/>
    <w:rsid w:val="00172622"/>
    <w:rsid w:val="00172A13"/>
    <w:rsid w:val="0017334B"/>
    <w:rsid w:val="0017377E"/>
    <w:rsid w:val="00173F1D"/>
    <w:rsid w:val="0017412F"/>
    <w:rsid w:val="0017473F"/>
    <w:rsid w:val="00174D6D"/>
    <w:rsid w:val="00174F3F"/>
    <w:rsid w:val="001772F3"/>
    <w:rsid w:val="00177604"/>
    <w:rsid w:val="001778A4"/>
    <w:rsid w:val="001806A4"/>
    <w:rsid w:val="0018079A"/>
    <w:rsid w:val="001810B6"/>
    <w:rsid w:val="00181569"/>
    <w:rsid w:val="00181FEE"/>
    <w:rsid w:val="00183C22"/>
    <w:rsid w:val="00183CA5"/>
    <w:rsid w:val="00183D74"/>
    <w:rsid w:val="00183DBD"/>
    <w:rsid w:val="00184052"/>
    <w:rsid w:val="001842EC"/>
    <w:rsid w:val="0018482F"/>
    <w:rsid w:val="00184B4A"/>
    <w:rsid w:val="00184EC6"/>
    <w:rsid w:val="001851AC"/>
    <w:rsid w:val="00185BD1"/>
    <w:rsid w:val="001861F2"/>
    <w:rsid w:val="0018693C"/>
    <w:rsid w:val="00186B74"/>
    <w:rsid w:val="00186BAE"/>
    <w:rsid w:val="00186F13"/>
    <w:rsid w:val="00187216"/>
    <w:rsid w:val="0018756F"/>
    <w:rsid w:val="00187748"/>
    <w:rsid w:val="00187ED8"/>
    <w:rsid w:val="0019054E"/>
    <w:rsid w:val="00190797"/>
    <w:rsid w:val="00190EF3"/>
    <w:rsid w:val="0019131D"/>
    <w:rsid w:val="001914F2"/>
    <w:rsid w:val="0019160F"/>
    <w:rsid w:val="0019175B"/>
    <w:rsid w:val="00191A35"/>
    <w:rsid w:val="00191C51"/>
    <w:rsid w:val="00191FAA"/>
    <w:rsid w:val="001921F6"/>
    <w:rsid w:val="001927C5"/>
    <w:rsid w:val="0019284D"/>
    <w:rsid w:val="00192CC5"/>
    <w:rsid w:val="00192ED3"/>
    <w:rsid w:val="00193376"/>
    <w:rsid w:val="001934C7"/>
    <w:rsid w:val="00193D8F"/>
    <w:rsid w:val="00193ED0"/>
    <w:rsid w:val="0019401F"/>
    <w:rsid w:val="001943C9"/>
    <w:rsid w:val="001943F0"/>
    <w:rsid w:val="00194483"/>
    <w:rsid w:val="00195036"/>
    <w:rsid w:val="00195086"/>
    <w:rsid w:val="00195218"/>
    <w:rsid w:val="00195309"/>
    <w:rsid w:val="00195BF7"/>
    <w:rsid w:val="00195D68"/>
    <w:rsid w:val="00196176"/>
    <w:rsid w:val="001963E4"/>
    <w:rsid w:val="00196611"/>
    <w:rsid w:val="00196894"/>
    <w:rsid w:val="00196B0A"/>
    <w:rsid w:val="00196DEB"/>
    <w:rsid w:val="00196FD1"/>
    <w:rsid w:val="00197314"/>
    <w:rsid w:val="0019754C"/>
    <w:rsid w:val="00197B3C"/>
    <w:rsid w:val="00197C23"/>
    <w:rsid w:val="00197F71"/>
    <w:rsid w:val="001A0871"/>
    <w:rsid w:val="001A099B"/>
    <w:rsid w:val="001A0E3E"/>
    <w:rsid w:val="001A1037"/>
    <w:rsid w:val="001A110B"/>
    <w:rsid w:val="001A13F8"/>
    <w:rsid w:val="001A163F"/>
    <w:rsid w:val="001A1657"/>
    <w:rsid w:val="001A19CB"/>
    <w:rsid w:val="001A1B81"/>
    <w:rsid w:val="001A1C63"/>
    <w:rsid w:val="001A1FD6"/>
    <w:rsid w:val="001A21D2"/>
    <w:rsid w:val="001A223C"/>
    <w:rsid w:val="001A28FD"/>
    <w:rsid w:val="001A2BC1"/>
    <w:rsid w:val="001A2BF2"/>
    <w:rsid w:val="001A2C61"/>
    <w:rsid w:val="001A2CBD"/>
    <w:rsid w:val="001A2EE5"/>
    <w:rsid w:val="001A2F4E"/>
    <w:rsid w:val="001A33CB"/>
    <w:rsid w:val="001A3EB2"/>
    <w:rsid w:val="001A417A"/>
    <w:rsid w:val="001A47E8"/>
    <w:rsid w:val="001A48F0"/>
    <w:rsid w:val="001A4940"/>
    <w:rsid w:val="001A4A17"/>
    <w:rsid w:val="001A4D2C"/>
    <w:rsid w:val="001A4DB3"/>
    <w:rsid w:val="001A4E4A"/>
    <w:rsid w:val="001A57D8"/>
    <w:rsid w:val="001A5852"/>
    <w:rsid w:val="001A587F"/>
    <w:rsid w:val="001A5D90"/>
    <w:rsid w:val="001A6B87"/>
    <w:rsid w:val="001A6E70"/>
    <w:rsid w:val="001A6E8B"/>
    <w:rsid w:val="001A701A"/>
    <w:rsid w:val="001A720F"/>
    <w:rsid w:val="001A73D1"/>
    <w:rsid w:val="001A73D6"/>
    <w:rsid w:val="001A7440"/>
    <w:rsid w:val="001A74F4"/>
    <w:rsid w:val="001A75E8"/>
    <w:rsid w:val="001A7DA2"/>
    <w:rsid w:val="001B0299"/>
    <w:rsid w:val="001B031B"/>
    <w:rsid w:val="001B0DEF"/>
    <w:rsid w:val="001B104A"/>
    <w:rsid w:val="001B148D"/>
    <w:rsid w:val="001B1947"/>
    <w:rsid w:val="001B1A36"/>
    <w:rsid w:val="001B2019"/>
    <w:rsid w:val="001B26F9"/>
    <w:rsid w:val="001B284E"/>
    <w:rsid w:val="001B28E5"/>
    <w:rsid w:val="001B30FD"/>
    <w:rsid w:val="001B3CAE"/>
    <w:rsid w:val="001B3CFB"/>
    <w:rsid w:val="001B3D38"/>
    <w:rsid w:val="001B44FD"/>
    <w:rsid w:val="001B45EC"/>
    <w:rsid w:val="001B4B75"/>
    <w:rsid w:val="001B4BAF"/>
    <w:rsid w:val="001B4CF0"/>
    <w:rsid w:val="001B4E91"/>
    <w:rsid w:val="001B54BB"/>
    <w:rsid w:val="001B567B"/>
    <w:rsid w:val="001B59AD"/>
    <w:rsid w:val="001B5C24"/>
    <w:rsid w:val="001B5CF5"/>
    <w:rsid w:val="001B6764"/>
    <w:rsid w:val="001B6DD2"/>
    <w:rsid w:val="001B6EEA"/>
    <w:rsid w:val="001B7491"/>
    <w:rsid w:val="001B7AC7"/>
    <w:rsid w:val="001B7AD0"/>
    <w:rsid w:val="001C09F0"/>
    <w:rsid w:val="001C115D"/>
    <w:rsid w:val="001C13C8"/>
    <w:rsid w:val="001C1550"/>
    <w:rsid w:val="001C1A2E"/>
    <w:rsid w:val="001C1A9C"/>
    <w:rsid w:val="001C2122"/>
    <w:rsid w:val="001C2259"/>
    <w:rsid w:val="001C2508"/>
    <w:rsid w:val="001C2930"/>
    <w:rsid w:val="001C2B51"/>
    <w:rsid w:val="001C31B5"/>
    <w:rsid w:val="001C34E3"/>
    <w:rsid w:val="001C3642"/>
    <w:rsid w:val="001C36DD"/>
    <w:rsid w:val="001C3825"/>
    <w:rsid w:val="001C38FB"/>
    <w:rsid w:val="001C4292"/>
    <w:rsid w:val="001C48C4"/>
    <w:rsid w:val="001C4D24"/>
    <w:rsid w:val="001C4D93"/>
    <w:rsid w:val="001C54F8"/>
    <w:rsid w:val="001C5A72"/>
    <w:rsid w:val="001C5A79"/>
    <w:rsid w:val="001C5E2A"/>
    <w:rsid w:val="001C633C"/>
    <w:rsid w:val="001C6F83"/>
    <w:rsid w:val="001C7A93"/>
    <w:rsid w:val="001C7B9D"/>
    <w:rsid w:val="001D02E9"/>
    <w:rsid w:val="001D032D"/>
    <w:rsid w:val="001D08BF"/>
    <w:rsid w:val="001D09DA"/>
    <w:rsid w:val="001D0B8E"/>
    <w:rsid w:val="001D0BEC"/>
    <w:rsid w:val="001D0C59"/>
    <w:rsid w:val="001D0F2E"/>
    <w:rsid w:val="001D131A"/>
    <w:rsid w:val="001D1347"/>
    <w:rsid w:val="001D1B91"/>
    <w:rsid w:val="001D1CDE"/>
    <w:rsid w:val="001D2220"/>
    <w:rsid w:val="001D238A"/>
    <w:rsid w:val="001D2796"/>
    <w:rsid w:val="001D2A79"/>
    <w:rsid w:val="001D2AAF"/>
    <w:rsid w:val="001D2BA7"/>
    <w:rsid w:val="001D2CD2"/>
    <w:rsid w:val="001D2CFD"/>
    <w:rsid w:val="001D2FE4"/>
    <w:rsid w:val="001D30E1"/>
    <w:rsid w:val="001D3105"/>
    <w:rsid w:val="001D324D"/>
    <w:rsid w:val="001D371E"/>
    <w:rsid w:val="001D38E6"/>
    <w:rsid w:val="001D3931"/>
    <w:rsid w:val="001D3CE5"/>
    <w:rsid w:val="001D406E"/>
    <w:rsid w:val="001D40BC"/>
    <w:rsid w:val="001D43F1"/>
    <w:rsid w:val="001D546D"/>
    <w:rsid w:val="001D5C1E"/>
    <w:rsid w:val="001D5CAD"/>
    <w:rsid w:val="001D5E1F"/>
    <w:rsid w:val="001D5F66"/>
    <w:rsid w:val="001D5FC1"/>
    <w:rsid w:val="001D62BA"/>
    <w:rsid w:val="001D63B5"/>
    <w:rsid w:val="001D6741"/>
    <w:rsid w:val="001D6A4E"/>
    <w:rsid w:val="001D6AEA"/>
    <w:rsid w:val="001D6E67"/>
    <w:rsid w:val="001D6EA0"/>
    <w:rsid w:val="001D6EE2"/>
    <w:rsid w:val="001D737A"/>
    <w:rsid w:val="001D7445"/>
    <w:rsid w:val="001D7470"/>
    <w:rsid w:val="001D7889"/>
    <w:rsid w:val="001D7912"/>
    <w:rsid w:val="001D7C30"/>
    <w:rsid w:val="001D7C91"/>
    <w:rsid w:val="001E01FE"/>
    <w:rsid w:val="001E058D"/>
    <w:rsid w:val="001E0637"/>
    <w:rsid w:val="001E0D99"/>
    <w:rsid w:val="001E0F5F"/>
    <w:rsid w:val="001E0FC2"/>
    <w:rsid w:val="001E1047"/>
    <w:rsid w:val="001E1125"/>
    <w:rsid w:val="001E16A6"/>
    <w:rsid w:val="001E176E"/>
    <w:rsid w:val="001E22C7"/>
    <w:rsid w:val="001E27E1"/>
    <w:rsid w:val="001E2AFB"/>
    <w:rsid w:val="001E2B83"/>
    <w:rsid w:val="001E3332"/>
    <w:rsid w:val="001E337F"/>
    <w:rsid w:val="001E364F"/>
    <w:rsid w:val="001E3ADA"/>
    <w:rsid w:val="001E42CD"/>
    <w:rsid w:val="001E46F1"/>
    <w:rsid w:val="001E4747"/>
    <w:rsid w:val="001E4DC2"/>
    <w:rsid w:val="001E4F99"/>
    <w:rsid w:val="001E536D"/>
    <w:rsid w:val="001E54F9"/>
    <w:rsid w:val="001E57B3"/>
    <w:rsid w:val="001E58A1"/>
    <w:rsid w:val="001E5F78"/>
    <w:rsid w:val="001E6233"/>
    <w:rsid w:val="001E62AA"/>
    <w:rsid w:val="001E631F"/>
    <w:rsid w:val="001E6943"/>
    <w:rsid w:val="001E6F1F"/>
    <w:rsid w:val="001E6F2A"/>
    <w:rsid w:val="001E71BC"/>
    <w:rsid w:val="001E765E"/>
    <w:rsid w:val="001E78A8"/>
    <w:rsid w:val="001E79A6"/>
    <w:rsid w:val="001E7E20"/>
    <w:rsid w:val="001F0046"/>
    <w:rsid w:val="001F08A8"/>
    <w:rsid w:val="001F0AB0"/>
    <w:rsid w:val="001F0D66"/>
    <w:rsid w:val="001F0E27"/>
    <w:rsid w:val="001F1007"/>
    <w:rsid w:val="001F10A9"/>
    <w:rsid w:val="001F19A1"/>
    <w:rsid w:val="001F1A75"/>
    <w:rsid w:val="001F1D54"/>
    <w:rsid w:val="001F1FED"/>
    <w:rsid w:val="001F20DD"/>
    <w:rsid w:val="001F2B60"/>
    <w:rsid w:val="001F2F39"/>
    <w:rsid w:val="001F2FA8"/>
    <w:rsid w:val="001F3189"/>
    <w:rsid w:val="001F320C"/>
    <w:rsid w:val="001F35F6"/>
    <w:rsid w:val="001F3832"/>
    <w:rsid w:val="001F3922"/>
    <w:rsid w:val="001F3E9E"/>
    <w:rsid w:val="001F3FA0"/>
    <w:rsid w:val="001F3FBC"/>
    <w:rsid w:val="001F452E"/>
    <w:rsid w:val="001F46F3"/>
    <w:rsid w:val="001F4AE1"/>
    <w:rsid w:val="001F5852"/>
    <w:rsid w:val="001F5B4C"/>
    <w:rsid w:val="001F5DD0"/>
    <w:rsid w:val="001F5F0E"/>
    <w:rsid w:val="001F5FB5"/>
    <w:rsid w:val="001F6172"/>
    <w:rsid w:val="001F625C"/>
    <w:rsid w:val="001F632B"/>
    <w:rsid w:val="001F67F6"/>
    <w:rsid w:val="001F6B8B"/>
    <w:rsid w:val="001F6EB7"/>
    <w:rsid w:val="001F7150"/>
    <w:rsid w:val="001F7219"/>
    <w:rsid w:val="001F746D"/>
    <w:rsid w:val="001F774B"/>
    <w:rsid w:val="001F7B77"/>
    <w:rsid w:val="001F7D5A"/>
    <w:rsid w:val="001F7DAA"/>
    <w:rsid w:val="002001D2"/>
    <w:rsid w:val="00200724"/>
    <w:rsid w:val="00200824"/>
    <w:rsid w:val="00200A0B"/>
    <w:rsid w:val="00200AAD"/>
    <w:rsid w:val="00201853"/>
    <w:rsid w:val="0020185B"/>
    <w:rsid w:val="00201A1F"/>
    <w:rsid w:val="00201DB5"/>
    <w:rsid w:val="00202052"/>
    <w:rsid w:val="00202A9E"/>
    <w:rsid w:val="00202B87"/>
    <w:rsid w:val="00202C8B"/>
    <w:rsid w:val="00202CA1"/>
    <w:rsid w:val="00202FDD"/>
    <w:rsid w:val="00203250"/>
    <w:rsid w:val="00203452"/>
    <w:rsid w:val="002034C7"/>
    <w:rsid w:val="00203BF9"/>
    <w:rsid w:val="00203E2C"/>
    <w:rsid w:val="00204211"/>
    <w:rsid w:val="00204444"/>
    <w:rsid w:val="0020473F"/>
    <w:rsid w:val="002049CF"/>
    <w:rsid w:val="00204C19"/>
    <w:rsid w:val="00204C25"/>
    <w:rsid w:val="00204C9D"/>
    <w:rsid w:val="002052E9"/>
    <w:rsid w:val="002055BF"/>
    <w:rsid w:val="00205796"/>
    <w:rsid w:val="002066D9"/>
    <w:rsid w:val="00206B51"/>
    <w:rsid w:val="00206B99"/>
    <w:rsid w:val="00207142"/>
    <w:rsid w:val="002071CF"/>
    <w:rsid w:val="00207300"/>
    <w:rsid w:val="00207BC5"/>
    <w:rsid w:val="00207CF4"/>
    <w:rsid w:val="00210008"/>
    <w:rsid w:val="00210982"/>
    <w:rsid w:val="00210A92"/>
    <w:rsid w:val="00210BA0"/>
    <w:rsid w:val="00210C4C"/>
    <w:rsid w:val="002111A2"/>
    <w:rsid w:val="00211301"/>
    <w:rsid w:val="00211790"/>
    <w:rsid w:val="00211A59"/>
    <w:rsid w:val="002123CA"/>
    <w:rsid w:val="002124C9"/>
    <w:rsid w:val="00212549"/>
    <w:rsid w:val="002128FF"/>
    <w:rsid w:val="002129C4"/>
    <w:rsid w:val="002129ED"/>
    <w:rsid w:val="00212B5B"/>
    <w:rsid w:val="0021365F"/>
    <w:rsid w:val="002139FD"/>
    <w:rsid w:val="00213A46"/>
    <w:rsid w:val="00213C54"/>
    <w:rsid w:val="00213D6E"/>
    <w:rsid w:val="00213FEA"/>
    <w:rsid w:val="0021404A"/>
    <w:rsid w:val="00214C59"/>
    <w:rsid w:val="00214EEA"/>
    <w:rsid w:val="0021528F"/>
    <w:rsid w:val="0021558E"/>
    <w:rsid w:val="002158EE"/>
    <w:rsid w:val="0021592C"/>
    <w:rsid w:val="00215AF5"/>
    <w:rsid w:val="00215BF6"/>
    <w:rsid w:val="00215D6F"/>
    <w:rsid w:val="00215DFF"/>
    <w:rsid w:val="002160D2"/>
    <w:rsid w:val="00216716"/>
    <w:rsid w:val="00216B05"/>
    <w:rsid w:val="00216B3D"/>
    <w:rsid w:val="00216DDF"/>
    <w:rsid w:val="00216F4F"/>
    <w:rsid w:val="002170B9"/>
    <w:rsid w:val="00217495"/>
    <w:rsid w:val="0021798D"/>
    <w:rsid w:val="00217A53"/>
    <w:rsid w:val="00217EC6"/>
    <w:rsid w:val="00217F96"/>
    <w:rsid w:val="002202AF"/>
    <w:rsid w:val="002203B3"/>
    <w:rsid w:val="00220970"/>
    <w:rsid w:val="002211C5"/>
    <w:rsid w:val="002213E4"/>
    <w:rsid w:val="00221ECC"/>
    <w:rsid w:val="00222472"/>
    <w:rsid w:val="00222C56"/>
    <w:rsid w:val="0022330E"/>
    <w:rsid w:val="00223B87"/>
    <w:rsid w:val="00224402"/>
    <w:rsid w:val="00224C87"/>
    <w:rsid w:val="00224D2A"/>
    <w:rsid w:val="002251D2"/>
    <w:rsid w:val="0022543C"/>
    <w:rsid w:val="0022580B"/>
    <w:rsid w:val="00226040"/>
    <w:rsid w:val="00226749"/>
    <w:rsid w:val="002267D9"/>
    <w:rsid w:val="002268C2"/>
    <w:rsid w:val="00226CA0"/>
    <w:rsid w:val="00226F42"/>
    <w:rsid w:val="00226F79"/>
    <w:rsid w:val="00227242"/>
    <w:rsid w:val="0022728C"/>
    <w:rsid w:val="00227544"/>
    <w:rsid w:val="002277A4"/>
    <w:rsid w:val="00227DC3"/>
    <w:rsid w:val="00227F5F"/>
    <w:rsid w:val="00230D70"/>
    <w:rsid w:val="0023108A"/>
    <w:rsid w:val="0023129A"/>
    <w:rsid w:val="00231A20"/>
    <w:rsid w:val="00231A37"/>
    <w:rsid w:val="00231DB1"/>
    <w:rsid w:val="00231FDF"/>
    <w:rsid w:val="002321AC"/>
    <w:rsid w:val="002324C4"/>
    <w:rsid w:val="00232531"/>
    <w:rsid w:val="002325A2"/>
    <w:rsid w:val="0023264E"/>
    <w:rsid w:val="00232BBE"/>
    <w:rsid w:val="00232DE8"/>
    <w:rsid w:val="00232E16"/>
    <w:rsid w:val="0023355B"/>
    <w:rsid w:val="00233714"/>
    <w:rsid w:val="002339EB"/>
    <w:rsid w:val="00233D15"/>
    <w:rsid w:val="00234186"/>
    <w:rsid w:val="0023432E"/>
    <w:rsid w:val="0023433D"/>
    <w:rsid w:val="00234433"/>
    <w:rsid w:val="00235646"/>
    <w:rsid w:val="002357DF"/>
    <w:rsid w:val="002358F4"/>
    <w:rsid w:val="00235B57"/>
    <w:rsid w:val="002360A4"/>
    <w:rsid w:val="00236D0F"/>
    <w:rsid w:val="00236E27"/>
    <w:rsid w:val="0023727C"/>
    <w:rsid w:val="002376CF"/>
    <w:rsid w:val="002379F9"/>
    <w:rsid w:val="00237FE2"/>
    <w:rsid w:val="00241157"/>
    <w:rsid w:val="002411AD"/>
    <w:rsid w:val="00241D94"/>
    <w:rsid w:val="00241DE5"/>
    <w:rsid w:val="00242B6A"/>
    <w:rsid w:val="00242C20"/>
    <w:rsid w:val="002430FC"/>
    <w:rsid w:val="002435B2"/>
    <w:rsid w:val="0024416E"/>
    <w:rsid w:val="0024430D"/>
    <w:rsid w:val="002443A7"/>
    <w:rsid w:val="002449A7"/>
    <w:rsid w:val="00244B1B"/>
    <w:rsid w:val="00244B85"/>
    <w:rsid w:val="00244FA0"/>
    <w:rsid w:val="00245007"/>
    <w:rsid w:val="0024507C"/>
    <w:rsid w:val="0024527A"/>
    <w:rsid w:val="00245811"/>
    <w:rsid w:val="00245A9B"/>
    <w:rsid w:val="00245DB9"/>
    <w:rsid w:val="002460AC"/>
    <w:rsid w:val="002460E0"/>
    <w:rsid w:val="0024634F"/>
    <w:rsid w:val="00246969"/>
    <w:rsid w:val="00246BA3"/>
    <w:rsid w:val="00247493"/>
    <w:rsid w:val="00247540"/>
    <w:rsid w:val="0024799D"/>
    <w:rsid w:val="00247BBF"/>
    <w:rsid w:val="00247D36"/>
    <w:rsid w:val="00250805"/>
    <w:rsid w:val="0025082C"/>
    <w:rsid w:val="00250EC8"/>
    <w:rsid w:val="00251549"/>
    <w:rsid w:val="0025162A"/>
    <w:rsid w:val="00251887"/>
    <w:rsid w:val="002518FF"/>
    <w:rsid w:val="00251D79"/>
    <w:rsid w:val="00251F7B"/>
    <w:rsid w:val="00252C03"/>
    <w:rsid w:val="00252C4A"/>
    <w:rsid w:val="00252F29"/>
    <w:rsid w:val="00253539"/>
    <w:rsid w:val="00253625"/>
    <w:rsid w:val="00253F94"/>
    <w:rsid w:val="00253FF9"/>
    <w:rsid w:val="00254ACB"/>
    <w:rsid w:val="00254BBA"/>
    <w:rsid w:val="00254D57"/>
    <w:rsid w:val="00254F74"/>
    <w:rsid w:val="00254FBB"/>
    <w:rsid w:val="0025600C"/>
    <w:rsid w:val="00256285"/>
    <w:rsid w:val="0025662D"/>
    <w:rsid w:val="00256689"/>
    <w:rsid w:val="002566CB"/>
    <w:rsid w:val="00256703"/>
    <w:rsid w:val="0025693B"/>
    <w:rsid w:val="002569BE"/>
    <w:rsid w:val="00256EC6"/>
    <w:rsid w:val="00257245"/>
    <w:rsid w:val="00257C31"/>
    <w:rsid w:val="002602BA"/>
    <w:rsid w:val="0026042F"/>
    <w:rsid w:val="0026073D"/>
    <w:rsid w:val="002607A2"/>
    <w:rsid w:val="0026082D"/>
    <w:rsid w:val="00260FED"/>
    <w:rsid w:val="002611DD"/>
    <w:rsid w:val="00261630"/>
    <w:rsid w:val="002616E7"/>
    <w:rsid w:val="002617D1"/>
    <w:rsid w:val="0026198D"/>
    <w:rsid w:val="00261F00"/>
    <w:rsid w:val="00262599"/>
    <w:rsid w:val="00262697"/>
    <w:rsid w:val="0026280C"/>
    <w:rsid w:val="00262A89"/>
    <w:rsid w:val="00262F76"/>
    <w:rsid w:val="0026315C"/>
    <w:rsid w:val="00263634"/>
    <w:rsid w:val="00263650"/>
    <w:rsid w:val="00263742"/>
    <w:rsid w:val="00263CD9"/>
    <w:rsid w:val="00263E6B"/>
    <w:rsid w:val="00263F77"/>
    <w:rsid w:val="0026446C"/>
    <w:rsid w:val="002644C0"/>
    <w:rsid w:val="00264D88"/>
    <w:rsid w:val="002653E5"/>
    <w:rsid w:val="00265624"/>
    <w:rsid w:val="00265921"/>
    <w:rsid w:val="00265B85"/>
    <w:rsid w:val="002668F3"/>
    <w:rsid w:val="00266E1D"/>
    <w:rsid w:val="00267A81"/>
    <w:rsid w:val="00267B30"/>
    <w:rsid w:val="002703EC"/>
    <w:rsid w:val="002706AE"/>
    <w:rsid w:val="002708E4"/>
    <w:rsid w:val="00270939"/>
    <w:rsid w:val="0027118F"/>
    <w:rsid w:val="00271F5A"/>
    <w:rsid w:val="00271FBB"/>
    <w:rsid w:val="002721B8"/>
    <w:rsid w:val="00272443"/>
    <w:rsid w:val="0027245E"/>
    <w:rsid w:val="00272A7B"/>
    <w:rsid w:val="00272C88"/>
    <w:rsid w:val="00272E18"/>
    <w:rsid w:val="0027314B"/>
    <w:rsid w:val="002731B4"/>
    <w:rsid w:val="00273250"/>
    <w:rsid w:val="0027344A"/>
    <w:rsid w:val="00273B0E"/>
    <w:rsid w:val="0027413D"/>
    <w:rsid w:val="0027429E"/>
    <w:rsid w:val="00274370"/>
    <w:rsid w:val="00274418"/>
    <w:rsid w:val="0027459B"/>
    <w:rsid w:val="00274784"/>
    <w:rsid w:val="0027479F"/>
    <w:rsid w:val="002748AF"/>
    <w:rsid w:val="00274AFF"/>
    <w:rsid w:val="00274CB6"/>
    <w:rsid w:val="00274FC8"/>
    <w:rsid w:val="00275220"/>
    <w:rsid w:val="0027530F"/>
    <w:rsid w:val="002760EB"/>
    <w:rsid w:val="002760FE"/>
    <w:rsid w:val="0027660B"/>
    <w:rsid w:val="002769FB"/>
    <w:rsid w:val="00276A03"/>
    <w:rsid w:val="00277FBD"/>
    <w:rsid w:val="00280099"/>
    <w:rsid w:val="00280220"/>
    <w:rsid w:val="00280A13"/>
    <w:rsid w:val="00280E59"/>
    <w:rsid w:val="00281483"/>
    <w:rsid w:val="0028164C"/>
    <w:rsid w:val="0028244C"/>
    <w:rsid w:val="00282688"/>
    <w:rsid w:val="002829E8"/>
    <w:rsid w:val="00282A59"/>
    <w:rsid w:val="00282E0D"/>
    <w:rsid w:val="00283028"/>
    <w:rsid w:val="00283885"/>
    <w:rsid w:val="002839B9"/>
    <w:rsid w:val="00283D48"/>
    <w:rsid w:val="00283E0E"/>
    <w:rsid w:val="00283F21"/>
    <w:rsid w:val="002841FB"/>
    <w:rsid w:val="002843C1"/>
    <w:rsid w:val="002847E8"/>
    <w:rsid w:val="00284946"/>
    <w:rsid w:val="00284C53"/>
    <w:rsid w:val="002850D4"/>
    <w:rsid w:val="00286294"/>
    <w:rsid w:val="00286C27"/>
    <w:rsid w:val="00286E75"/>
    <w:rsid w:val="00287493"/>
    <w:rsid w:val="002878E2"/>
    <w:rsid w:val="00287A6F"/>
    <w:rsid w:val="00287AF7"/>
    <w:rsid w:val="00287B1F"/>
    <w:rsid w:val="00287C71"/>
    <w:rsid w:val="00287CD5"/>
    <w:rsid w:val="002905B5"/>
    <w:rsid w:val="00290A51"/>
    <w:rsid w:val="00291038"/>
    <w:rsid w:val="00291357"/>
    <w:rsid w:val="00291E0A"/>
    <w:rsid w:val="00291F08"/>
    <w:rsid w:val="00292387"/>
    <w:rsid w:val="00292430"/>
    <w:rsid w:val="002925C0"/>
    <w:rsid w:val="002928FE"/>
    <w:rsid w:val="00292E59"/>
    <w:rsid w:val="00293114"/>
    <w:rsid w:val="0029318F"/>
    <w:rsid w:val="002933FD"/>
    <w:rsid w:val="0029352D"/>
    <w:rsid w:val="002935F5"/>
    <w:rsid w:val="00293D45"/>
    <w:rsid w:val="002940CF"/>
    <w:rsid w:val="00294886"/>
    <w:rsid w:val="00294B62"/>
    <w:rsid w:val="00294CD7"/>
    <w:rsid w:val="00294DF4"/>
    <w:rsid w:val="00294E47"/>
    <w:rsid w:val="002950E4"/>
    <w:rsid w:val="00295336"/>
    <w:rsid w:val="002954B8"/>
    <w:rsid w:val="002956E7"/>
    <w:rsid w:val="0029578F"/>
    <w:rsid w:val="002957B4"/>
    <w:rsid w:val="00295A6C"/>
    <w:rsid w:val="0029632E"/>
    <w:rsid w:val="002963F2"/>
    <w:rsid w:val="00296A70"/>
    <w:rsid w:val="00296CF0"/>
    <w:rsid w:val="00296EDB"/>
    <w:rsid w:val="00297203"/>
    <w:rsid w:val="00297287"/>
    <w:rsid w:val="00297482"/>
    <w:rsid w:val="00297505"/>
    <w:rsid w:val="00297855"/>
    <w:rsid w:val="00297A3C"/>
    <w:rsid w:val="00297B04"/>
    <w:rsid w:val="00297B61"/>
    <w:rsid w:val="00297FEF"/>
    <w:rsid w:val="002A01F2"/>
    <w:rsid w:val="002A03B9"/>
    <w:rsid w:val="002A04F1"/>
    <w:rsid w:val="002A0E47"/>
    <w:rsid w:val="002A0EF7"/>
    <w:rsid w:val="002A1148"/>
    <w:rsid w:val="002A15A2"/>
    <w:rsid w:val="002A2128"/>
    <w:rsid w:val="002A2199"/>
    <w:rsid w:val="002A2B38"/>
    <w:rsid w:val="002A3069"/>
    <w:rsid w:val="002A3C60"/>
    <w:rsid w:val="002A3F07"/>
    <w:rsid w:val="002A3F0F"/>
    <w:rsid w:val="002A43DA"/>
    <w:rsid w:val="002A4D0F"/>
    <w:rsid w:val="002A54AB"/>
    <w:rsid w:val="002A5B0E"/>
    <w:rsid w:val="002A5B99"/>
    <w:rsid w:val="002A6103"/>
    <w:rsid w:val="002A62C3"/>
    <w:rsid w:val="002A63C5"/>
    <w:rsid w:val="002A70E8"/>
    <w:rsid w:val="002A72AE"/>
    <w:rsid w:val="002A7574"/>
    <w:rsid w:val="002A7732"/>
    <w:rsid w:val="002A7BED"/>
    <w:rsid w:val="002A7D4E"/>
    <w:rsid w:val="002A7E50"/>
    <w:rsid w:val="002A7EAE"/>
    <w:rsid w:val="002B0B35"/>
    <w:rsid w:val="002B0C2A"/>
    <w:rsid w:val="002B1240"/>
    <w:rsid w:val="002B126B"/>
    <w:rsid w:val="002B13CA"/>
    <w:rsid w:val="002B1DD1"/>
    <w:rsid w:val="002B1DF5"/>
    <w:rsid w:val="002B1FE5"/>
    <w:rsid w:val="002B26B3"/>
    <w:rsid w:val="002B2798"/>
    <w:rsid w:val="002B31AB"/>
    <w:rsid w:val="002B3877"/>
    <w:rsid w:val="002B393E"/>
    <w:rsid w:val="002B3999"/>
    <w:rsid w:val="002B41EA"/>
    <w:rsid w:val="002B43C6"/>
    <w:rsid w:val="002B463F"/>
    <w:rsid w:val="002B4741"/>
    <w:rsid w:val="002B4846"/>
    <w:rsid w:val="002B4904"/>
    <w:rsid w:val="002B4C47"/>
    <w:rsid w:val="002B4D8E"/>
    <w:rsid w:val="002B5019"/>
    <w:rsid w:val="002B54AC"/>
    <w:rsid w:val="002B5517"/>
    <w:rsid w:val="002B5891"/>
    <w:rsid w:val="002B5AC6"/>
    <w:rsid w:val="002B5F48"/>
    <w:rsid w:val="002B614E"/>
    <w:rsid w:val="002B64B1"/>
    <w:rsid w:val="002B65CE"/>
    <w:rsid w:val="002B6969"/>
    <w:rsid w:val="002B6971"/>
    <w:rsid w:val="002B6D59"/>
    <w:rsid w:val="002B6E86"/>
    <w:rsid w:val="002B713C"/>
    <w:rsid w:val="002B7619"/>
    <w:rsid w:val="002B79FC"/>
    <w:rsid w:val="002B7A34"/>
    <w:rsid w:val="002B7D61"/>
    <w:rsid w:val="002C00DF"/>
    <w:rsid w:val="002C09B0"/>
    <w:rsid w:val="002C0B70"/>
    <w:rsid w:val="002C10EC"/>
    <w:rsid w:val="002C12F6"/>
    <w:rsid w:val="002C141C"/>
    <w:rsid w:val="002C1467"/>
    <w:rsid w:val="002C149A"/>
    <w:rsid w:val="002C1696"/>
    <w:rsid w:val="002C177E"/>
    <w:rsid w:val="002C1A70"/>
    <w:rsid w:val="002C1D87"/>
    <w:rsid w:val="002C1E1A"/>
    <w:rsid w:val="002C1ECA"/>
    <w:rsid w:val="002C226F"/>
    <w:rsid w:val="002C2B92"/>
    <w:rsid w:val="002C370F"/>
    <w:rsid w:val="002C377B"/>
    <w:rsid w:val="002C3AAB"/>
    <w:rsid w:val="002C3D71"/>
    <w:rsid w:val="002C4117"/>
    <w:rsid w:val="002C41A8"/>
    <w:rsid w:val="002C42C3"/>
    <w:rsid w:val="002C4A62"/>
    <w:rsid w:val="002C4C27"/>
    <w:rsid w:val="002C4D5D"/>
    <w:rsid w:val="002C4E98"/>
    <w:rsid w:val="002C531F"/>
    <w:rsid w:val="002C533D"/>
    <w:rsid w:val="002C539B"/>
    <w:rsid w:val="002C5C9F"/>
    <w:rsid w:val="002C6049"/>
    <w:rsid w:val="002C611C"/>
    <w:rsid w:val="002C65C4"/>
    <w:rsid w:val="002C6966"/>
    <w:rsid w:val="002C6BCC"/>
    <w:rsid w:val="002C6CF0"/>
    <w:rsid w:val="002C6E73"/>
    <w:rsid w:val="002C73E6"/>
    <w:rsid w:val="002C78F9"/>
    <w:rsid w:val="002C792D"/>
    <w:rsid w:val="002C7990"/>
    <w:rsid w:val="002C7CDE"/>
    <w:rsid w:val="002C7D49"/>
    <w:rsid w:val="002D0116"/>
    <w:rsid w:val="002D095E"/>
    <w:rsid w:val="002D097C"/>
    <w:rsid w:val="002D0D2D"/>
    <w:rsid w:val="002D0FD0"/>
    <w:rsid w:val="002D122B"/>
    <w:rsid w:val="002D1D1D"/>
    <w:rsid w:val="002D2859"/>
    <w:rsid w:val="002D2A35"/>
    <w:rsid w:val="002D2E37"/>
    <w:rsid w:val="002D2F09"/>
    <w:rsid w:val="002D33DD"/>
    <w:rsid w:val="002D392E"/>
    <w:rsid w:val="002D3947"/>
    <w:rsid w:val="002D39D4"/>
    <w:rsid w:val="002D3D20"/>
    <w:rsid w:val="002D3DD0"/>
    <w:rsid w:val="002D409B"/>
    <w:rsid w:val="002D420A"/>
    <w:rsid w:val="002D44E7"/>
    <w:rsid w:val="002D492B"/>
    <w:rsid w:val="002D49DD"/>
    <w:rsid w:val="002D4CB0"/>
    <w:rsid w:val="002D5431"/>
    <w:rsid w:val="002D57AA"/>
    <w:rsid w:val="002D587F"/>
    <w:rsid w:val="002D5892"/>
    <w:rsid w:val="002D5A0B"/>
    <w:rsid w:val="002D5AA1"/>
    <w:rsid w:val="002D5AFF"/>
    <w:rsid w:val="002D5CA9"/>
    <w:rsid w:val="002D5E70"/>
    <w:rsid w:val="002D6127"/>
    <w:rsid w:val="002D64AC"/>
    <w:rsid w:val="002D66F2"/>
    <w:rsid w:val="002D6B6A"/>
    <w:rsid w:val="002D70A1"/>
    <w:rsid w:val="002D716B"/>
    <w:rsid w:val="002D71A3"/>
    <w:rsid w:val="002D74FD"/>
    <w:rsid w:val="002D782A"/>
    <w:rsid w:val="002D7A45"/>
    <w:rsid w:val="002D7B3C"/>
    <w:rsid w:val="002D7B74"/>
    <w:rsid w:val="002D7DEF"/>
    <w:rsid w:val="002D7E3F"/>
    <w:rsid w:val="002D7F22"/>
    <w:rsid w:val="002D7F8A"/>
    <w:rsid w:val="002E04F9"/>
    <w:rsid w:val="002E0588"/>
    <w:rsid w:val="002E0697"/>
    <w:rsid w:val="002E0E79"/>
    <w:rsid w:val="002E1C1B"/>
    <w:rsid w:val="002E2143"/>
    <w:rsid w:val="002E21E9"/>
    <w:rsid w:val="002E22DE"/>
    <w:rsid w:val="002E263B"/>
    <w:rsid w:val="002E26C0"/>
    <w:rsid w:val="002E2A9D"/>
    <w:rsid w:val="002E2F8D"/>
    <w:rsid w:val="002E318B"/>
    <w:rsid w:val="002E3317"/>
    <w:rsid w:val="002E3490"/>
    <w:rsid w:val="002E37A7"/>
    <w:rsid w:val="002E3915"/>
    <w:rsid w:val="002E397C"/>
    <w:rsid w:val="002E44DB"/>
    <w:rsid w:val="002E4817"/>
    <w:rsid w:val="002E4AA7"/>
    <w:rsid w:val="002E4F40"/>
    <w:rsid w:val="002E537F"/>
    <w:rsid w:val="002E54C8"/>
    <w:rsid w:val="002E5709"/>
    <w:rsid w:val="002E5718"/>
    <w:rsid w:val="002E5E11"/>
    <w:rsid w:val="002E60CD"/>
    <w:rsid w:val="002E60F7"/>
    <w:rsid w:val="002E622C"/>
    <w:rsid w:val="002E68E6"/>
    <w:rsid w:val="002E6A40"/>
    <w:rsid w:val="002E6CBB"/>
    <w:rsid w:val="002E7264"/>
    <w:rsid w:val="002E7562"/>
    <w:rsid w:val="002E7639"/>
    <w:rsid w:val="002E781F"/>
    <w:rsid w:val="002F0168"/>
    <w:rsid w:val="002F0365"/>
    <w:rsid w:val="002F04FA"/>
    <w:rsid w:val="002F0536"/>
    <w:rsid w:val="002F06AA"/>
    <w:rsid w:val="002F0CD8"/>
    <w:rsid w:val="002F0D31"/>
    <w:rsid w:val="002F10A6"/>
    <w:rsid w:val="002F121B"/>
    <w:rsid w:val="002F1358"/>
    <w:rsid w:val="002F146F"/>
    <w:rsid w:val="002F1564"/>
    <w:rsid w:val="002F199E"/>
    <w:rsid w:val="002F1F42"/>
    <w:rsid w:val="002F2072"/>
    <w:rsid w:val="002F2376"/>
    <w:rsid w:val="002F2396"/>
    <w:rsid w:val="002F25C6"/>
    <w:rsid w:val="002F2C9C"/>
    <w:rsid w:val="002F3126"/>
    <w:rsid w:val="002F3498"/>
    <w:rsid w:val="002F350E"/>
    <w:rsid w:val="002F3B8E"/>
    <w:rsid w:val="002F3E3C"/>
    <w:rsid w:val="002F3EA9"/>
    <w:rsid w:val="002F44F2"/>
    <w:rsid w:val="002F48F0"/>
    <w:rsid w:val="002F4E98"/>
    <w:rsid w:val="002F5041"/>
    <w:rsid w:val="002F548D"/>
    <w:rsid w:val="002F5AC0"/>
    <w:rsid w:val="002F5D3C"/>
    <w:rsid w:val="002F5E9B"/>
    <w:rsid w:val="002F6056"/>
    <w:rsid w:val="002F6120"/>
    <w:rsid w:val="002F6287"/>
    <w:rsid w:val="002F62D3"/>
    <w:rsid w:val="002F63BE"/>
    <w:rsid w:val="002F67F3"/>
    <w:rsid w:val="002F6C08"/>
    <w:rsid w:val="002F6C1D"/>
    <w:rsid w:val="002F7356"/>
    <w:rsid w:val="002F768B"/>
    <w:rsid w:val="002F78ED"/>
    <w:rsid w:val="002F7988"/>
    <w:rsid w:val="002F7C2F"/>
    <w:rsid w:val="002F7CF1"/>
    <w:rsid w:val="002F7E7D"/>
    <w:rsid w:val="002F7EAB"/>
    <w:rsid w:val="003001DA"/>
    <w:rsid w:val="003008E9"/>
    <w:rsid w:val="003009D4"/>
    <w:rsid w:val="00300DB6"/>
    <w:rsid w:val="0030115B"/>
    <w:rsid w:val="003014AD"/>
    <w:rsid w:val="00301930"/>
    <w:rsid w:val="003023A5"/>
    <w:rsid w:val="00302A61"/>
    <w:rsid w:val="00302A79"/>
    <w:rsid w:val="00302EAB"/>
    <w:rsid w:val="003031CA"/>
    <w:rsid w:val="00303287"/>
    <w:rsid w:val="003032E9"/>
    <w:rsid w:val="00303549"/>
    <w:rsid w:val="00303C33"/>
    <w:rsid w:val="00304363"/>
    <w:rsid w:val="003043DB"/>
    <w:rsid w:val="003047A9"/>
    <w:rsid w:val="00304D8B"/>
    <w:rsid w:val="003053C0"/>
    <w:rsid w:val="003058E7"/>
    <w:rsid w:val="00305AB7"/>
    <w:rsid w:val="003063EA"/>
    <w:rsid w:val="003067C8"/>
    <w:rsid w:val="00306B2A"/>
    <w:rsid w:val="00306DBF"/>
    <w:rsid w:val="00306FEE"/>
    <w:rsid w:val="003071D2"/>
    <w:rsid w:val="003077D5"/>
    <w:rsid w:val="00307998"/>
    <w:rsid w:val="00307A19"/>
    <w:rsid w:val="00307B37"/>
    <w:rsid w:val="00307DA5"/>
    <w:rsid w:val="00310037"/>
    <w:rsid w:val="003100B0"/>
    <w:rsid w:val="003108D8"/>
    <w:rsid w:val="00310AB6"/>
    <w:rsid w:val="00310F4F"/>
    <w:rsid w:val="0031129F"/>
    <w:rsid w:val="003112C5"/>
    <w:rsid w:val="003117B7"/>
    <w:rsid w:val="00311CE5"/>
    <w:rsid w:val="00311EC0"/>
    <w:rsid w:val="00311FBA"/>
    <w:rsid w:val="0031256F"/>
    <w:rsid w:val="0031257F"/>
    <w:rsid w:val="00312778"/>
    <w:rsid w:val="00313503"/>
    <w:rsid w:val="00313535"/>
    <w:rsid w:val="003139B8"/>
    <w:rsid w:val="00314748"/>
    <w:rsid w:val="0031572C"/>
    <w:rsid w:val="0031589F"/>
    <w:rsid w:val="0031592A"/>
    <w:rsid w:val="00315C37"/>
    <w:rsid w:val="003160DC"/>
    <w:rsid w:val="00316147"/>
    <w:rsid w:val="0031641B"/>
    <w:rsid w:val="003164E7"/>
    <w:rsid w:val="0031679C"/>
    <w:rsid w:val="003169CC"/>
    <w:rsid w:val="0031702A"/>
    <w:rsid w:val="00317046"/>
    <w:rsid w:val="00317737"/>
    <w:rsid w:val="00317927"/>
    <w:rsid w:val="003200F3"/>
    <w:rsid w:val="0032027A"/>
    <w:rsid w:val="003208D6"/>
    <w:rsid w:val="003208F0"/>
    <w:rsid w:val="00320909"/>
    <w:rsid w:val="003212DD"/>
    <w:rsid w:val="00321352"/>
    <w:rsid w:val="00321454"/>
    <w:rsid w:val="00321484"/>
    <w:rsid w:val="00321494"/>
    <w:rsid w:val="003219CE"/>
    <w:rsid w:val="00321C17"/>
    <w:rsid w:val="00322005"/>
    <w:rsid w:val="00322280"/>
    <w:rsid w:val="00322B4B"/>
    <w:rsid w:val="00322BC4"/>
    <w:rsid w:val="003236A8"/>
    <w:rsid w:val="003238E9"/>
    <w:rsid w:val="00323AE6"/>
    <w:rsid w:val="00323E03"/>
    <w:rsid w:val="00323E31"/>
    <w:rsid w:val="00323E70"/>
    <w:rsid w:val="003240CE"/>
    <w:rsid w:val="00324327"/>
    <w:rsid w:val="00324414"/>
    <w:rsid w:val="0032482A"/>
    <w:rsid w:val="00324A7F"/>
    <w:rsid w:val="00324B10"/>
    <w:rsid w:val="00324B78"/>
    <w:rsid w:val="00324C5F"/>
    <w:rsid w:val="00324F57"/>
    <w:rsid w:val="003255EB"/>
    <w:rsid w:val="003255F4"/>
    <w:rsid w:val="00325996"/>
    <w:rsid w:val="00326054"/>
    <w:rsid w:val="00326398"/>
    <w:rsid w:val="003265CA"/>
    <w:rsid w:val="00326696"/>
    <w:rsid w:val="003267D9"/>
    <w:rsid w:val="003269D0"/>
    <w:rsid w:val="00327083"/>
    <w:rsid w:val="0032730E"/>
    <w:rsid w:val="00327332"/>
    <w:rsid w:val="0032791C"/>
    <w:rsid w:val="003301B8"/>
    <w:rsid w:val="0033024E"/>
    <w:rsid w:val="00330406"/>
    <w:rsid w:val="003307D3"/>
    <w:rsid w:val="003309D4"/>
    <w:rsid w:val="00330B26"/>
    <w:rsid w:val="00330CEB"/>
    <w:rsid w:val="00330E03"/>
    <w:rsid w:val="003312BB"/>
    <w:rsid w:val="003312E3"/>
    <w:rsid w:val="003314A4"/>
    <w:rsid w:val="003314A7"/>
    <w:rsid w:val="003316E3"/>
    <w:rsid w:val="00331BFE"/>
    <w:rsid w:val="00332914"/>
    <w:rsid w:val="00332C4C"/>
    <w:rsid w:val="00333017"/>
    <w:rsid w:val="003331B8"/>
    <w:rsid w:val="00333363"/>
    <w:rsid w:val="00333516"/>
    <w:rsid w:val="00333644"/>
    <w:rsid w:val="0033407F"/>
    <w:rsid w:val="00334204"/>
    <w:rsid w:val="00334351"/>
    <w:rsid w:val="0033449A"/>
    <w:rsid w:val="00334506"/>
    <w:rsid w:val="0033459F"/>
    <w:rsid w:val="00334633"/>
    <w:rsid w:val="00334875"/>
    <w:rsid w:val="003348DD"/>
    <w:rsid w:val="003348E9"/>
    <w:rsid w:val="00334DD0"/>
    <w:rsid w:val="00334E42"/>
    <w:rsid w:val="0033532A"/>
    <w:rsid w:val="003354AD"/>
    <w:rsid w:val="003354E1"/>
    <w:rsid w:val="003358D3"/>
    <w:rsid w:val="00335A1C"/>
    <w:rsid w:val="00335A2E"/>
    <w:rsid w:val="00335ACB"/>
    <w:rsid w:val="00335D2D"/>
    <w:rsid w:val="003363BC"/>
    <w:rsid w:val="003366B7"/>
    <w:rsid w:val="0033693F"/>
    <w:rsid w:val="00336FB9"/>
    <w:rsid w:val="0033737C"/>
    <w:rsid w:val="00337611"/>
    <w:rsid w:val="0033793E"/>
    <w:rsid w:val="00337A87"/>
    <w:rsid w:val="00337D5B"/>
    <w:rsid w:val="00340526"/>
    <w:rsid w:val="00340734"/>
    <w:rsid w:val="00340838"/>
    <w:rsid w:val="00340968"/>
    <w:rsid w:val="00340C05"/>
    <w:rsid w:val="00340C37"/>
    <w:rsid w:val="00341015"/>
    <w:rsid w:val="003411E1"/>
    <w:rsid w:val="003412B5"/>
    <w:rsid w:val="00341673"/>
    <w:rsid w:val="00341719"/>
    <w:rsid w:val="003417AB"/>
    <w:rsid w:val="00341C64"/>
    <w:rsid w:val="00341E69"/>
    <w:rsid w:val="003426EF"/>
    <w:rsid w:val="00342911"/>
    <w:rsid w:val="00342F2C"/>
    <w:rsid w:val="003431A0"/>
    <w:rsid w:val="003431D8"/>
    <w:rsid w:val="00343542"/>
    <w:rsid w:val="00343859"/>
    <w:rsid w:val="003439A5"/>
    <w:rsid w:val="003439C1"/>
    <w:rsid w:val="00343BB1"/>
    <w:rsid w:val="00343C66"/>
    <w:rsid w:val="00344105"/>
    <w:rsid w:val="003446B4"/>
    <w:rsid w:val="00344786"/>
    <w:rsid w:val="0034482D"/>
    <w:rsid w:val="00344BAC"/>
    <w:rsid w:val="00344E6D"/>
    <w:rsid w:val="00344E99"/>
    <w:rsid w:val="0034555B"/>
    <w:rsid w:val="00345927"/>
    <w:rsid w:val="00345B0D"/>
    <w:rsid w:val="0034623A"/>
    <w:rsid w:val="00346C27"/>
    <w:rsid w:val="003477E3"/>
    <w:rsid w:val="00347CA2"/>
    <w:rsid w:val="00350749"/>
    <w:rsid w:val="003507A3"/>
    <w:rsid w:val="003508B5"/>
    <w:rsid w:val="00350DEC"/>
    <w:rsid w:val="00350DF9"/>
    <w:rsid w:val="00351266"/>
    <w:rsid w:val="003517C3"/>
    <w:rsid w:val="00351A15"/>
    <w:rsid w:val="00351AC1"/>
    <w:rsid w:val="003528E2"/>
    <w:rsid w:val="00352C3B"/>
    <w:rsid w:val="00352D68"/>
    <w:rsid w:val="003531E8"/>
    <w:rsid w:val="0035351A"/>
    <w:rsid w:val="003535A0"/>
    <w:rsid w:val="003535AF"/>
    <w:rsid w:val="003535CB"/>
    <w:rsid w:val="003539E3"/>
    <w:rsid w:val="00353A98"/>
    <w:rsid w:val="00353AC9"/>
    <w:rsid w:val="00353CFD"/>
    <w:rsid w:val="00353F05"/>
    <w:rsid w:val="00354048"/>
    <w:rsid w:val="00354685"/>
    <w:rsid w:val="00354A23"/>
    <w:rsid w:val="00354CAD"/>
    <w:rsid w:val="00354DA9"/>
    <w:rsid w:val="00354FA2"/>
    <w:rsid w:val="0035579C"/>
    <w:rsid w:val="00355B81"/>
    <w:rsid w:val="00355F37"/>
    <w:rsid w:val="00356843"/>
    <w:rsid w:val="00357352"/>
    <w:rsid w:val="00357717"/>
    <w:rsid w:val="00357E37"/>
    <w:rsid w:val="00357FA3"/>
    <w:rsid w:val="003601D1"/>
    <w:rsid w:val="003602A0"/>
    <w:rsid w:val="00360789"/>
    <w:rsid w:val="00360978"/>
    <w:rsid w:val="0036108E"/>
    <w:rsid w:val="003611FF"/>
    <w:rsid w:val="00361452"/>
    <w:rsid w:val="003617E9"/>
    <w:rsid w:val="00361BB8"/>
    <w:rsid w:val="00361F25"/>
    <w:rsid w:val="0036227D"/>
    <w:rsid w:val="00362301"/>
    <w:rsid w:val="003623DF"/>
    <w:rsid w:val="00362590"/>
    <w:rsid w:val="00362974"/>
    <w:rsid w:val="00362C9E"/>
    <w:rsid w:val="0036351C"/>
    <w:rsid w:val="0036371F"/>
    <w:rsid w:val="00363BE1"/>
    <w:rsid w:val="00363F59"/>
    <w:rsid w:val="00364197"/>
    <w:rsid w:val="0036423F"/>
    <w:rsid w:val="00364556"/>
    <w:rsid w:val="003647E4"/>
    <w:rsid w:val="00364863"/>
    <w:rsid w:val="003649AA"/>
    <w:rsid w:val="00364BE3"/>
    <w:rsid w:val="0036500A"/>
    <w:rsid w:val="003651E1"/>
    <w:rsid w:val="00365789"/>
    <w:rsid w:val="00365927"/>
    <w:rsid w:val="0036603F"/>
    <w:rsid w:val="0036663A"/>
    <w:rsid w:val="003667CE"/>
    <w:rsid w:val="00366800"/>
    <w:rsid w:val="0036698A"/>
    <w:rsid w:val="003669A5"/>
    <w:rsid w:val="00366C3B"/>
    <w:rsid w:val="00366FC5"/>
    <w:rsid w:val="00367216"/>
    <w:rsid w:val="003672C3"/>
    <w:rsid w:val="00367351"/>
    <w:rsid w:val="003674AD"/>
    <w:rsid w:val="00367E30"/>
    <w:rsid w:val="00367E53"/>
    <w:rsid w:val="00370113"/>
    <w:rsid w:val="003702EA"/>
    <w:rsid w:val="00370BD2"/>
    <w:rsid w:val="00370F33"/>
    <w:rsid w:val="00370FDA"/>
    <w:rsid w:val="003712A3"/>
    <w:rsid w:val="0037153C"/>
    <w:rsid w:val="0037160C"/>
    <w:rsid w:val="0037186E"/>
    <w:rsid w:val="00371C29"/>
    <w:rsid w:val="00371CBB"/>
    <w:rsid w:val="00371F5E"/>
    <w:rsid w:val="0037200F"/>
    <w:rsid w:val="00372057"/>
    <w:rsid w:val="003724FD"/>
    <w:rsid w:val="00372BDD"/>
    <w:rsid w:val="00372C4B"/>
    <w:rsid w:val="00373675"/>
    <w:rsid w:val="00373C0F"/>
    <w:rsid w:val="00374363"/>
    <w:rsid w:val="003743DB"/>
    <w:rsid w:val="00374E88"/>
    <w:rsid w:val="003751FB"/>
    <w:rsid w:val="00375414"/>
    <w:rsid w:val="003756F3"/>
    <w:rsid w:val="0037570E"/>
    <w:rsid w:val="00375968"/>
    <w:rsid w:val="00375DE0"/>
    <w:rsid w:val="00375F55"/>
    <w:rsid w:val="0037744D"/>
    <w:rsid w:val="003774F2"/>
    <w:rsid w:val="00377C6D"/>
    <w:rsid w:val="00377E82"/>
    <w:rsid w:val="00377F9A"/>
    <w:rsid w:val="0038017D"/>
    <w:rsid w:val="003819AA"/>
    <w:rsid w:val="003823C5"/>
    <w:rsid w:val="003825E3"/>
    <w:rsid w:val="00382882"/>
    <w:rsid w:val="00382A37"/>
    <w:rsid w:val="00382C9B"/>
    <w:rsid w:val="00382CE0"/>
    <w:rsid w:val="00382ED9"/>
    <w:rsid w:val="00383139"/>
    <w:rsid w:val="00383167"/>
    <w:rsid w:val="003831CA"/>
    <w:rsid w:val="0038369B"/>
    <w:rsid w:val="00383AC0"/>
    <w:rsid w:val="003841FC"/>
    <w:rsid w:val="003843EC"/>
    <w:rsid w:val="0038472E"/>
    <w:rsid w:val="00384DC0"/>
    <w:rsid w:val="00384F57"/>
    <w:rsid w:val="003857BA"/>
    <w:rsid w:val="003862EC"/>
    <w:rsid w:val="003863C9"/>
    <w:rsid w:val="0038645D"/>
    <w:rsid w:val="00386BCF"/>
    <w:rsid w:val="00386ECB"/>
    <w:rsid w:val="00387071"/>
    <w:rsid w:val="003870AF"/>
    <w:rsid w:val="003906E5"/>
    <w:rsid w:val="00390F25"/>
    <w:rsid w:val="00391049"/>
    <w:rsid w:val="003912C2"/>
    <w:rsid w:val="00391F79"/>
    <w:rsid w:val="003920AE"/>
    <w:rsid w:val="00392261"/>
    <w:rsid w:val="00392299"/>
    <w:rsid w:val="00392760"/>
    <w:rsid w:val="003927B1"/>
    <w:rsid w:val="00392D4A"/>
    <w:rsid w:val="003930F0"/>
    <w:rsid w:val="00393259"/>
    <w:rsid w:val="003932C8"/>
    <w:rsid w:val="003932FA"/>
    <w:rsid w:val="00393442"/>
    <w:rsid w:val="0039358F"/>
    <w:rsid w:val="00393EC6"/>
    <w:rsid w:val="00393F3F"/>
    <w:rsid w:val="00393FFD"/>
    <w:rsid w:val="00394564"/>
    <w:rsid w:val="003948C1"/>
    <w:rsid w:val="00394935"/>
    <w:rsid w:val="0039506C"/>
    <w:rsid w:val="0039549D"/>
    <w:rsid w:val="003956B8"/>
    <w:rsid w:val="003956C6"/>
    <w:rsid w:val="003956FB"/>
    <w:rsid w:val="0039574C"/>
    <w:rsid w:val="0039589C"/>
    <w:rsid w:val="00395A8C"/>
    <w:rsid w:val="00395D3E"/>
    <w:rsid w:val="00396664"/>
    <w:rsid w:val="00397BFB"/>
    <w:rsid w:val="003A01CF"/>
    <w:rsid w:val="003A025A"/>
    <w:rsid w:val="003A0344"/>
    <w:rsid w:val="003A061A"/>
    <w:rsid w:val="003A0A32"/>
    <w:rsid w:val="003A1058"/>
    <w:rsid w:val="003A162F"/>
    <w:rsid w:val="003A1774"/>
    <w:rsid w:val="003A2484"/>
    <w:rsid w:val="003A2492"/>
    <w:rsid w:val="003A2AB1"/>
    <w:rsid w:val="003A2AF6"/>
    <w:rsid w:val="003A2E7B"/>
    <w:rsid w:val="003A2E80"/>
    <w:rsid w:val="003A3457"/>
    <w:rsid w:val="003A36C4"/>
    <w:rsid w:val="003A36FC"/>
    <w:rsid w:val="003A3C78"/>
    <w:rsid w:val="003A401C"/>
    <w:rsid w:val="003A41EB"/>
    <w:rsid w:val="003A45B7"/>
    <w:rsid w:val="003A496A"/>
    <w:rsid w:val="003A4A70"/>
    <w:rsid w:val="003A4BF7"/>
    <w:rsid w:val="003A53CD"/>
    <w:rsid w:val="003A6500"/>
    <w:rsid w:val="003A67A7"/>
    <w:rsid w:val="003A67DC"/>
    <w:rsid w:val="003A6C1E"/>
    <w:rsid w:val="003A7381"/>
    <w:rsid w:val="003A74AF"/>
    <w:rsid w:val="003A7A14"/>
    <w:rsid w:val="003A7A41"/>
    <w:rsid w:val="003A7B62"/>
    <w:rsid w:val="003A7DAF"/>
    <w:rsid w:val="003B096B"/>
    <w:rsid w:val="003B09D5"/>
    <w:rsid w:val="003B0AC4"/>
    <w:rsid w:val="003B0BE8"/>
    <w:rsid w:val="003B1431"/>
    <w:rsid w:val="003B15D6"/>
    <w:rsid w:val="003B19EC"/>
    <w:rsid w:val="003B20B3"/>
    <w:rsid w:val="003B23C3"/>
    <w:rsid w:val="003B290F"/>
    <w:rsid w:val="003B2916"/>
    <w:rsid w:val="003B29EE"/>
    <w:rsid w:val="003B2ACD"/>
    <w:rsid w:val="003B2CEE"/>
    <w:rsid w:val="003B3ACD"/>
    <w:rsid w:val="003B3B2C"/>
    <w:rsid w:val="003B3B7F"/>
    <w:rsid w:val="003B3C89"/>
    <w:rsid w:val="003B3F50"/>
    <w:rsid w:val="003B4AF8"/>
    <w:rsid w:val="003B4EE1"/>
    <w:rsid w:val="003B52A6"/>
    <w:rsid w:val="003B5571"/>
    <w:rsid w:val="003B57B6"/>
    <w:rsid w:val="003B5BB8"/>
    <w:rsid w:val="003B6711"/>
    <w:rsid w:val="003B6CED"/>
    <w:rsid w:val="003B6E25"/>
    <w:rsid w:val="003B7591"/>
    <w:rsid w:val="003B7E4B"/>
    <w:rsid w:val="003C08B9"/>
    <w:rsid w:val="003C0D02"/>
    <w:rsid w:val="003C0E5E"/>
    <w:rsid w:val="003C1071"/>
    <w:rsid w:val="003C1C75"/>
    <w:rsid w:val="003C1E36"/>
    <w:rsid w:val="003C229B"/>
    <w:rsid w:val="003C2BB2"/>
    <w:rsid w:val="003C2C42"/>
    <w:rsid w:val="003C329E"/>
    <w:rsid w:val="003C3AC0"/>
    <w:rsid w:val="003C3C7B"/>
    <w:rsid w:val="003C3EC8"/>
    <w:rsid w:val="003C413A"/>
    <w:rsid w:val="003C416E"/>
    <w:rsid w:val="003C4748"/>
    <w:rsid w:val="003C4C0E"/>
    <w:rsid w:val="003C4D52"/>
    <w:rsid w:val="003C54EB"/>
    <w:rsid w:val="003C561C"/>
    <w:rsid w:val="003C5882"/>
    <w:rsid w:val="003C5C81"/>
    <w:rsid w:val="003C63E5"/>
    <w:rsid w:val="003C6822"/>
    <w:rsid w:val="003C6B5E"/>
    <w:rsid w:val="003C6B7E"/>
    <w:rsid w:val="003C6B95"/>
    <w:rsid w:val="003C6D00"/>
    <w:rsid w:val="003C6ECA"/>
    <w:rsid w:val="003C6EDC"/>
    <w:rsid w:val="003C6FD4"/>
    <w:rsid w:val="003C7481"/>
    <w:rsid w:val="003C7ACC"/>
    <w:rsid w:val="003C7D05"/>
    <w:rsid w:val="003C7D8B"/>
    <w:rsid w:val="003D0090"/>
    <w:rsid w:val="003D0218"/>
    <w:rsid w:val="003D039E"/>
    <w:rsid w:val="003D15C3"/>
    <w:rsid w:val="003D19CC"/>
    <w:rsid w:val="003D1C4B"/>
    <w:rsid w:val="003D1E67"/>
    <w:rsid w:val="003D266A"/>
    <w:rsid w:val="003D31C0"/>
    <w:rsid w:val="003D31E1"/>
    <w:rsid w:val="003D3482"/>
    <w:rsid w:val="003D35BD"/>
    <w:rsid w:val="003D38E3"/>
    <w:rsid w:val="003D407A"/>
    <w:rsid w:val="003D4094"/>
    <w:rsid w:val="003D424C"/>
    <w:rsid w:val="003D4A7B"/>
    <w:rsid w:val="003D4D95"/>
    <w:rsid w:val="003D55E5"/>
    <w:rsid w:val="003D5B71"/>
    <w:rsid w:val="003D6B68"/>
    <w:rsid w:val="003D6EA1"/>
    <w:rsid w:val="003D74C0"/>
    <w:rsid w:val="003D74FE"/>
    <w:rsid w:val="003D7820"/>
    <w:rsid w:val="003D7C37"/>
    <w:rsid w:val="003E01D3"/>
    <w:rsid w:val="003E0940"/>
    <w:rsid w:val="003E0BDE"/>
    <w:rsid w:val="003E0FBD"/>
    <w:rsid w:val="003E12E5"/>
    <w:rsid w:val="003E1572"/>
    <w:rsid w:val="003E1741"/>
    <w:rsid w:val="003E2450"/>
    <w:rsid w:val="003E247D"/>
    <w:rsid w:val="003E2927"/>
    <w:rsid w:val="003E30DE"/>
    <w:rsid w:val="003E320E"/>
    <w:rsid w:val="003E3E0F"/>
    <w:rsid w:val="003E433D"/>
    <w:rsid w:val="003E4A1F"/>
    <w:rsid w:val="003E5195"/>
    <w:rsid w:val="003E537B"/>
    <w:rsid w:val="003E54E2"/>
    <w:rsid w:val="003E56F8"/>
    <w:rsid w:val="003E57AF"/>
    <w:rsid w:val="003E59B4"/>
    <w:rsid w:val="003E63A5"/>
    <w:rsid w:val="003E671D"/>
    <w:rsid w:val="003E6D87"/>
    <w:rsid w:val="003E7097"/>
    <w:rsid w:val="003E7286"/>
    <w:rsid w:val="003E7E12"/>
    <w:rsid w:val="003E7EF4"/>
    <w:rsid w:val="003F0B2E"/>
    <w:rsid w:val="003F108B"/>
    <w:rsid w:val="003F134B"/>
    <w:rsid w:val="003F13A2"/>
    <w:rsid w:val="003F167F"/>
    <w:rsid w:val="003F17C7"/>
    <w:rsid w:val="003F1D2F"/>
    <w:rsid w:val="003F21CE"/>
    <w:rsid w:val="003F276D"/>
    <w:rsid w:val="003F2A2E"/>
    <w:rsid w:val="003F2CE4"/>
    <w:rsid w:val="003F2D83"/>
    <w:rsid w:val="003F383F"/>
    <w:rsid w:val="003F3D42"/>
    <w:rsid w:val="003F3D76"/>
    <w:rsid w:val="003F3E24"/>
    <w:rsid w:val="003F4530"/>
    <w:rsid w:val="003F45E0"/>
    <w:rsid w:val="003F466C"/>
    <w:rsid w:val="003F4682"/>
    <w:rsid w:val="003F471C"/>
    <w:rsid w:val="003F4751"/>
    <w:rsid w:val="003F47CB"/>
    <w:rsid w:val="003F4C8B"/>
    <w:rsid w:val="003F4D6B"/>
    <w:rsid w:val="003F4F13"/>
    <w:rsid w:val="003F5155"/>
    <w:rsid w:val="003F524C"/>
    <w:rsid w:val="003F5912"/>
    <w:rsid w:val="003F59E6"/>
    <w:rsid w:val="003F628F"/>
    <w:rsid w:val="003F64E4"/>
    <w:rsid w:val="003F6640"/>
    <w:rsid w:val="003F6A2A"/>
    <w:rsid w:val="003F70FC"/>
    <w:rsid w:val="003F7454"/>
    <w:rsid w:val="003F7810"/>
    <w:rsid w:val="00400081"/>
    <w:rsid w:val="0040045A"/>
    <w:rsid w:val="00400ABC"/>
    <w:rsid w:val="00400AED"/>
    <w:rsid w:val="00400BCB"/>
    <w:rsid w:val="00400DF6"/>
    <w:rsid w:val="00401268"/>
    <w:rsid w:val="00401546"/>
    <w:rsid w:val="0040170A"/>
    <w:rsid w:val="00401825"/>
    <w:rsid w:val="004019CE"/>
    <w:rsid w:val="00401A5F"/>
    <w:rsid w:val="0040219B"/>
    <w:rsid w:val="00402550"/>
    <w:rsid w:val="00402797"/>
    <w:rsid w:val="00402948"/>
    <w:rsid w:val="00402DCE"/>
    <w:rsid w:val="004036D1"/>
    <w:rsid w:val="00403E66"/>
    <w:rsid w:val="00404309"/>
    <w:rsid w:val="0040455C"/>
    <w:rsid w:val="00404A2D"/>
    <w:rsid w:val="00404BA8"/>
    <w:rsid w:val="00404C18"/>
    <w:rsid w:val="00404E07"/>
    <w:rsid w:val="00404F15"/>
    <w:rsid w:val="00405011"/>
    <w:rsid w:val="00405167"/>
    <w:rsid w:val="0040566B"/>
    <w:rsid w:val="004059BC"/>
    <w:rsid w:val="00405A66"/>
    <w:rsid w:val="00405C63"/>
    <w:rsid w:val="00405DE0"/>
    <w:rsid w:val="00405FE5"/>
    <w:rsid w:val="004063A3"/>
    <w:rsid w:val="0040668F"/>
    <w:rsid w:val="0040691F"/>
    <w:rsid w:val="00406BB3"/>
    <w:rsid w:val="00406DED"/>
    <w:rsid w:val="00406F09"/>
    <w:rsid w:val="004070F0"/>
    <w:rsid w:val="0040712E"/>
    <w:rsid w:val="0040750F"/>
    <w:rsid w:val="004075C6"/>
    <w:rsid w:val="004075DD"/>
    <w:rsid w:val="00407772"/>
    <w:rsid w:val="00407C03"/>
    <w:rsid w:val="0041082D"/>
    <w:rsid w:val="004108C4"/>
    <w:rsid w:val="00410A8D"/>
    <w:rsid w:val="00410CF0"/>
    <w:rsid w:val="00410F5E"/>
    <w:rsid w:val="004114F7"/>
    <w:rsid w:val="00411535"/>
    <w:rsid w:val="0041196E"/>
    <w:rsid w:val="00411EC1"/>
    <w:rsid w:val="00412081"/>
    <w:rsid w:val="00412242"/>
    <w:rsid w:val="004128A8"/>
    <w:rsid w:val="0041339B"/>
    <w:rsid w:val="0041382A"/>
    <w:rsid w:val="00413B32"/>
    <w:rsid w:val="00413BE2"/>
    <w:rsid w:val="00413DC6"/>
    <w:rsid w:val="004140DE"/>
    <w:rsid w:val="0041462A"/>
    <w:rsid w:val="00414684"/>
    <w:rsid w:val="0041470A"/>
    <w:rsid w:val="00414F50"/>
    <w:rsid w:val="00415111"/>
    <w:rsid w:val="00415499"/>
    <w:rsid w:val="00415577"/>
    <w:rsid w:val="0041598A"/>
    <w:rsid w:val="00415C50"/>
    <w:rsid w:val="00416710"/>
    <w:rsid w:val="0041672E"/>
    <w:rsid w:val="0041676C"/>
    <w:rsid w:val="004167A5"/>
    <w:rsid w:val="004168F1"/>
    <w:rsid w:val="00416A59"/>
    <w:rsid w:val="00416AF6"/>
    <w:rsid w:val="00416BA1"/>
    <w:rsid w:val="00416E0E"/>
    <w:rsid w:val="0041717D"/>
    <w:rsid w:val="004175FE"/>
    <w:rsid w:val="004176F8"/>
    <w:rsid w:val="0042041A"/>
    <w:rsid w:val="004208BC"/>
    <w:rsid w:val="00420B40"/>
    <w:rsid w:val="00421002"/>
    <w:rsid w:val="00421395"/>
    <w:rsid w:val="00421404"/>
    <w:rsid w:val="00421408"/>
    <w:rsid w:val="004214BC"/>
    <w:rsid w:val="00421509"/>
    <w:rsid w:val="004215A1"/>
    <w:rsid w:val="00421F10"/>
    <w:rsid w:val="00421FAA"/>
    <w:rsid w:val="004221E1"/>
    <w:rsid w:val="00422582"/>
    <w:rsid w:val="0042263F"/>
    <w:rsid w:val="004227CF"/>
    <w:rsid w:val="004229E2"/>
    <w:rsid w:val="00422BC7"/>
    <w:rsid w:val="0042333D"/>
    <w:rsid w:val="00423731"/>
    <w:rsid w:val="00423940"/>
    <w:rsid w:val="00423ABE"/>
    <w:rsid w:val="00423C27"/>
    <w:rsid w:val="00423EB2"/>
    <w:rsid w:val="004243BA"/>
    <w:rsid w:val="0042462F"/>
    <w:rsid w:val="00424B69"/>
    <w:rsid w:val="00424D67"/>
    <w:rsid w:val="00424E52"/>
    <w:rsid w:val="00424E9E"/>
    <w:rsid w:val="0042539C"/>
    <w:rsid w:val="0042569E"/>
    <w:rsid w:val="0042584C"/>
    <w:rsid w:val="00425945"/>
    <w:rsid w:val="004259DB"/>
    <w:rsid w:val="00426116"/>
    <w:rsid w:val="00426322"/>
    <w:rsid w:val="004268D5"/>
    <w:rsid w:val="00426E1C"/>
    <w:rsid w:val="0042795D"/>
    <w:rsid w:val="0043001B"/>
    <w:rsid w:val="004308B0"/>
    <w:rsid w:val="00430B8D"/>
    <w:rsid w:val="00430C4E"/>
    <w:rsid w:val="00430DA0"/>
    <w:rsid w:val="00430DD4"/>
    <w:rsid w:val="00430FF5"/>
    <w:rsid w:val="00431626"/>
    <w:rsid w:val="00431704"/>
    <w:rsid w:val="00431805"/>
    <w:rsid w:val="00431B57"/>
    <w:rsid w:val="00431BAC"/>
    <w:rsid w:val="00431BDC"/>
    <w:rsid w:val="00433096"/>
    <w:rsid w:val="004330C0"/>
    <w:rsid w:val="00433807"/>
    <w:rsid w:val="004338F1"/>
    <w:rsid w:val="00433AFB"/>
    <w:rsid w:val="00433E7F"/>
    <w:rsid w:val="00434330"/>
    <w:rsid w:val="00434511"/>
    <w:rsid w:val="00434A13"/>
    <w:rsid w:val="00434DCD"/>
    <w:rsid w:val="00434F06"/>
    <w:rsid w:val="00435434"/>
    <w:rsid w:val="0043582E"/>
    <w:rsid w:val="004365C7"/>
    <w:rsid w:val="004366D1"/>
    <w:rsid w:val="00436B6F"/>
    <w:rsid w:val="00436B79"/>
    <w:rsid w:val="004372CC"/>
    <w:rsid w:val="004375F3"/>
    <w:rsid w:val="00437607"/>
    <w:rsid w:val="004377FC"/>
    <w:rsid w:val="00440018"/>
    <w:rsid w:val="004405B2"/>
    <w:rsid w:val="00440A12"/>
    <w:rsid w:val="00440D7E"/>
    <w:rsid w:val="00441235"/>
    <w:rsid w:val="0044129D"/>
    <w:rsid w:val="004413FF"/>
    <w:rsid w:val="0044154C"/>
    <w:rsid w:val="004417F7"/>
    <w:rsid w:val="00441CCC"/>
    <w:rsid w:val="00442276"/>
    <w:rsid w:val="0044335C"/>
    <w:rsid w:val="00443439"/>
    <w:rsid w:val="00443561"/>
    <w:rsid w:val="00443806"/>
    <w:rsid w:val="00443A65"/>
    <w:rsid w:val="00443BE4"/>
    <w:rsid w:val="00443C0D"/>
    <w:rsid w:val="004440FE"/>
    <w:rsid w:val="00444648"/>
    <w:rsid w:val="00444789"/>
    <w:rsid w:val="00444898"/>
    <w:rsid w:val="004448AF"/>
    <w:rsid w:val="00444ED4"/>
    <w:rsid w:val="0044513F"/>
    <w:rsid w:val="00445317"/>
    <w:rsid w:val="00445E7E"/>
    <w:rsid w:val="00445FA1"/>
    <w:rsid w:val="00445FD1"/>
    <w:rsid w:val="004460D6"/>
    <w:rsid w:val="004461E9"/>
    <w:rsid w:val="0044695C"/>
    <w:rsid w:val="00446A0F"/>
    <w:rsid w:val="00446ADC"/>
    <w:rsid w:val="00446C5C"/>
    <w:rsid w:val="00446E91"/>
    <w:rsid w:val="00447414"/>
    <w:rsid w:val="0044767F"/>
    <w:rsid w:val="00447803"/>
    <w:rsid w:val="00447A7F"/>
    <w:rsid w:val="00447AC7"/>
    <w:rsid w:val="00447C6D"/>
    <w:rsid w:val="00447CB9"/>
    <w:rsid w:val="00447FC5"/>
    <w:rsid w:val="00450204"/>
    <w:rsid w:val="00450249"/>
    <w:rsid w:val="0045024A"/>
    <w:rsid w:val="004508B5"/>
    <w:rsid w:val="004511C3"/>
    <w:rsid w:val="004512BC"/>
    <w:rsid w:val="00451401"/>
    <w:rsid w:val="0045141C"/>
    <w:rsid w:val="0045153C"/>
    <w:rsid w:val="00451E9E"/>
    <w:rsid w:val="00452109"/>
    <w:rsid w:val="00452421"/>
    <w:rsid w:val="00452EE3"/>
    <w:rsid w:val="004532B0"/>
    <w:rsid w:val="00453347"/>
    <w:rsid w:val="004533E6"/>
    <w:rsid w:val="00453E3A"/>
    <w:rsid w:val="004548CD"/>
    <w:rsid w:val="004549C6"/>
    <w:rsid w:val="00454A65"/>
    <w:rsid w:val="00454CA8"/>
    <w:rsid w:val="00454E85"/>
    <w:rsid w:val="00454FE5"/>
    <w:rsid w:val="0045521B"/>
    <w:rsid w:val="0045537B"/>
    <w:rsid w:val="00455906"/>
    <w:rsid w:val="00456241"/>
    <w:rsid w:val="004565A0"/>
    <w:rsid w:val="0045690A"/>
    <w:rsid w:val="004573FD"/>
    <w:rsid w:val="004578F5"/>
    <w:rsid w:val="00457A47"/>
    <w:rsid w:val="00457DD7"/>
    <w:rsid w:val="00457E4C"/>
    <w:rsid w:val="00457F82"/>
    <w:rsid w:val="00460F5C"/>
    <w:rsid w:val="00461016"/>
    <w:rsid w:val="00461302"/>
    <w:rsid w:val="00461B6D"/>
    <w:rsid w:val="00461E86"/>
    <w:rsid w:val="00461F3B"/>
    <w:rsid w:val="0046216C"/>
    <w:rsid w:val="0046283E"/>
    <w:rsid w:val="004628CF"/>
    <w:rsid w:val="00462DC3"/>
    <w:rsid w:val="004633B8"/>
    <w:rsid w:val="00463605"/>
    <w:rsid w:val="00463632"/>
    <w:rsid w:val="004639EE"/>
    <w:rsid w:val="00463CE2"/>
    <w:rsid w:val="00463F89"/>
    <w:rsid w:val="00464629"/>
    <w:rsid w:val="0046465F"/>
    <w:rsid w:val="00464710"/>
    <w:rsid w:val="00464811"/>
    <w:rsid w:val="00464ADC"/>
    <w:rsid w:val="00464B0A"/>
    <w:rsid w:val="00465007"/>
    <w:rsid w:val="004652D8"/>
    <w:rsid w:val="00465331"/>
    <w:rsid w:val="004653D7"/>
    <w:rsid w:val="004657DE"/>
    <w:rsid w:val="00465B4E"/>
    <w:rsid w:val="00466E20"/>
    <w:rsid w:val="004674B8"/>
    <w:rsid w:val="004674D0"/>
    <w:rsid w:val="00467651"/>
    <w:rsid w:val="00467A94"/>
    <w:rsid w:val="00467AAD"/>
    <w:rsid w:val="00467C2D"/>
    <w:rsid w:val="00467C4B"/>
    <w:rsid w:val="00467E9E"/>
    <w:rsid w:val="00470057"/>
    <w:rsid w:val="004700C0"/>
    <w:rsid w:val="004705F8"/>
    <w:rsid w:val="00470C8F"/>
    <w:rsid w:val="004715F1"/>
    <w:rsid w:val="0047195F"/>
    <w:rsid w:val="00471AEE"/>
    <w:rsid w:val="00471F95"/>
    <w:rsid w:val="00472064"/>
    <w:rsid w:val="0047227A"/>
    <w:rsid w:val="004722BF"/>
    <w:rsid w:val="004723B8"/>
    <w:rsid w:val="004725D4"/>
    <w:rsid w:val="00472751"/>
    <w:rsid w:val="00472A6D"/>
    <w:rsid w:val="00472F0D"/>
    <w:rsid w:val="0047339A"/>
    <w:rsid w:val="00473554"/>
    <w:rsid w:val="0047362B"/>
    <w:rsid w:val="00473770"/>
    <w:rsid w:val="00473796"/>
    <w:rsid w:val="00473886"/>
    <w:rsid w:val="00473A1C"/>
    <w:rsid w:val="00473E42"/>
    <w:rsid w:val="00474177"/>
    <w:rsid w:val="00474577"/>
    <w:rsid w:val="00474821"/>
    <w:rsid w:val="00474A57"/>
    <w:rsid w:val="00474E2A"/>
    <w:rsid w:val="00474FBB"/>
    <w:rsid w:val="00475049"/>
    <w:rsid w:val="0047577E"/>
    <w:rsid w:val="00475801"/>
    <w:rsid w:val="004758E3"/>
    <w:rsid w:val="00475C88"/>
    <w:rsid w:val="00475D06"/>
    <w:rsid w:val="00475FC6"/>
    <w:rsid w:val="0047682F"/>
    <w:rsid w:val="00476C56"/>
    <w:rsid w:val="0047737C"/>
    <w:rsid w:val="004773D2"/>
    <w:rsid w:val="004775B9"/>
    <w:rsid w:val="00480372"/>
    <w:rsid w:val="00480C52"/>
    <w:rsid w:val="00480FBC"/>
    <w:rsid w:val="00480FD8"/>
    <w:rsid w:val="004811EC"/>
    <w:rsid w:val="0048126C"/>
    <w:rsid w:val="004813B6"/>
    <w:rsid w:val="00481572"/>
    <w:rsid w:val="00481969"/>
    <w:rsid w:val="00481B25"/>
    <w:rsid w:val="00482CCF"/>
    <w:rsid w:val="00482FAC"/>
    <w:rsid w:val="00483693"/>
    <w:rsid w:val="00483E82"/>
    <w:rsid w:val="00484506"/>
    <w:rsid w:val="00484578"/>
    <w:rsid w:val="00484C41"/>
    <w:rsid w:val="00484E15"/>
    <w:rsid w:val="00484E7E"/>
    <w:rsid w:val="00485777"/>
    <w:rsid w:val="004858C3"/>
    <w:rsid w:val="00486301"/>
    <w:rsid w:val="004863AE"/>
    <w:rsid w:val="004863E4"/>
    <w:rsid w:val="004867C1"/>
    <w:rsid w:val="00486868"/>
    <w:rsid w:val="00486B9C"/>
    <w:rsid w:val="004870E1"/>
    <w:rsid w:val="0048757A"/>
    <w:rsid w:val="004877A5"/>
    <w:rsid w:val="00487CCC"/>
    <w:rsid w:val="00487F0F"/>
    <w:rsid w:val="004904CF"/>
    <w:rsid w:val="00491084"/>
    <w:rsid w:val="00491139"/>
    <w:rsid w:val="004913A6"/>
    <w:rsid w:val="00491B77"/>
    <w:rsid w:val="00491E1D"/>
    <w:rsid w:val="0049229A"/>
    <w:rsid w:val="0049254D"/>
    <w:rsid w:val="004925CC"/>
    <w:rsid w:val="00492788"/>
    <w:rsid w:val="004927AD"/>
    <w:rsid w:val="004929D8"/>
    <w:rsid w:val="00492ACB"/>
    <w:rsid w:val="00492CAF"/>
    <w:rsid w:val="00493005"/>
    <w:rsid w:val="004932A3"/>
    <w:rsid w:val="00493530"/>
    <w:rsid w:val="00493552"/>
    <w:rsid w:val="00493BAC"/>
    <w:rsid w:val="00493C4F"/>
    <w:rsid w:val="00493E5F"/>
    <w:rsid w:val="00493F68"/>
    <w:rsid w:val="004943E6"/>
    <w:rsid w:val="004944A3"/>
    <w:rsid w:val="004944A4"/>
    <w:rsid w:val="00494761"/>
    <w:rsid w:val="004954F6"/>
    <w:rsid w:val="004955D3"/>
    <w:rsid w:val="00495940"/>
    <w:rsid w:val="00495CF5"/>
    <w:rsid w:val="00495D16"/>
    <w:rsid w:val="00495E1A"/>
    <w:rsid w:val="0049603F"/>
    <w:rsid w:val="00496205"/>
    <w:rsid w:val="004963D3"/>
    <w:rsid w:val="0049669D"/>
    <w:rsid w:val="0049683F"/>
    <w:rsid w:val="00496B19"/>
    <w:rsid w:val="0049763B"/>
    <w:rsid w:val="00497890"/>
    <w:rsid w:val="00497AD9"/>
    <w:rsid w:val="00497D54"/>
    <w:rsid w:val="00497F8E"/>
    <w:rsid w:val="004A0190"/>
    <w:rsid w:val="004A03D9"/>
    <w:rsid w:val="004A08C3"/>
    <w:rsid w:val="004A09DD"/>
    <w:rsid w:val="004A0C13"/>
    <w:rsid w:val="004A0C44"/>
    <w:rsid w:val="004A0F37"/>
    <w:rsid w:val="004A13FF"/>
    <w:rsid w:val="004A176A"/>
    <w:rsid w:val="004A1CF3"/>
    <w:rsid w:val="004A1DB6"/>
    <w:rsid w:val="004A2070"/>
    <w:rsid w:val="004A2682"/>
    <w:rsid w:val="004A2BB9"/>
    <w:rsid w:val="004A3803"/>
    <w:rsid w:val="004A39A9"/>
    <w:rsid w:val="004A3A3A"/>
    <w:rsid w:val="004A428C"/>
    <w:rsid w:val="004A45AB"/>
    <w:rsid w:val="004A471C"/>
    <w:rsid w:val="004A48BD"/>
    <w:rsid w:val="004A50E2"/>
    <w:rsid w:val="004A5380"/>
    <w:rsid w:val="004A53BC"/>
    <w:rsid w:val="004A54B1"/>
    <w:rsid w:val="004A5527"/>
    <w:rsid w:val="004A563E"/>
    <w:rsid w:val="004A5644"/>
    <w:rsid w:val="004A6403"/>
    <w:rsid w:val="004A6722"/>
    <w:rsid w:val="004A6A1D"/>
    <w:rsid w:val="004A6B00"/>
    <w:rsid w:val="004A6BC1"/>
    <w:rsid w:val="004A6EE7"/>
    <w:rsid w:val="004A6F62"/>
    <w:rsid w:val="004A70B2"/>
    <w:rsid w:val="004A70B9"/>
    <w:rsid w:val="004A71FC"/>
    <w:rsid w:val="004A724D"/>
    <w:rsid w:val="004A7577"/>
    <w:rsid w:val="004A75F6"/>
    <w:rsid w:val="004A76DF"/>
    <w:rsid w:val="004A79F2"/>
    <w:rsid w:val="004B0369"/>
    <w:rsid w:val="004B07C2"/>
    <w:rsid w:val="004B0A71"/>
    <w:rsid w:val="004B1368"/>
    <w:rsid w:val="004B1398"/>
    <w:rsid w:val="004B14B9"/>
    <w:rsid w:val="004B16C9"/>
    <w:rsid w:val="004B18E2"/>
    <w:rsid w:val="004B19B0"/>
    <w:rsid w:val="004B1A85"/>
    <w:rsid w:val="004B1AD4"/>
    <w:rsid w:val="004B1FAE"/>
    <w:rsid w:val="004B27BC"/>
    <w:rsid w:val="004B2C3F"/>
    <w:rsid w:val="004B2CE7"/>
    <w:rsid w:val="004B358D"/>
    <w:rsid w:val="004B3922"/>
    <w:rsid w:val="004B3A49"/>
    <w:rsid w:val="004B3C25"/>
    <w:rsid w:val="004B3D74"/>
    <w:rsid w:val="004B44C3"/>
    <w:rsid w:val="004B4D97"/>
    <w:rsid w:val="004B57C3"/>
    <w:rsid w:val="004B5BE3"/>
    <w:rsid w:val="004B5FE3"/>
    <w:rsid w:val="004B68B9"/>
    <w:rsid w:val="004B6B21"/>
    <w:rsid w:val="004B6C20"/>
    <w:rsid w:val="004B6D5C"/>
    <w:rsid w:val="004B6DDF"/>
    <w:rsid w:val="004B6F45"/>
    <w:rsid w:val="004B7752"/>
    <w:rsid w:val="004B7B69"/>
    <w:rsid w:val="004C0552"/>
    <w:rsid w:val="004C06C1"/>
    <w:rsid w:val="004C0A22"/>
    <w:rsid w:val="004C0A47"/>
    <w:rsid w:val="004C0C1B"/>
    <w:rsid w:val="004C110C"/>
    <w:rsid w:val="004C1709"/>
    <w:rsid w:val="004C2192"/>
    <w:rsid w:val="004C2588"/>
    <w:rsid w:val="004C26EF"/>
    <w:rsid w:val="004C274D"/>
    <w:rsid w:val="004C2EE7"/>
    <w:rsid w:val="004C2F93"/>
    <w:rsid w:val="004C3164"/>
    <w:rsid w:val="004C3280"/>
    <w:rsid w:val="004C39BF"/>
    <w:rsid w:val="004C3DAC"/>
    <w:rsid w:val="004C40F5"/>
    <w:rsid w:val="004C4112"/>
    <w:rsid w:val="004C45E6"/>
    <w:rsid w:val="004C48EC"/>
    <w:rsid w:val="004C4C73"/>
    <w:rsid w:val="004C5065"/>
    <w:rsid w:val="004C5320"/>
    <w:rsid w:val="004C5366"/>
    <w:rsid w:val="004C5A02"/>
    <w:rsid w:val="004C5AD3"/>
    <w:rsid w:val="004C5F1C"/>
    <w:rsid w:val="004C5F47"/>
    <w:rsid w:val="004C64D8"/>
    <w:rsid w:val="004C6570"/>
    <w:rsid w:val="004C6AA0"/>
    <w:rsid w:val="004C703F"/>
    <w:rsid w:val="004C75F7"/>
    <w:rsid w:val="004C792D"/>
    <w:rsid w:val="004C7C65"/>
    <w:rsid w:val="004D01E9"/>
    <w:rsid w:val="004D06BC"/>
    <w:rsid w:val="004D0DD4"/>
    <w:rsid w:val="004D12AF"/>
    <w:rsid w:val="004D1698"/>
    <w:rsid w:val="004D1871"/>
    <w:rsid w:val="004D1C87"/>
    <w:rsid w:val="004D1FEA"/>
    <w:rsid w:val="004D24D7"/>
    <w:rsid w:val="004D2676"/>
    <w:rsid w:val="004D272A"/>
    <w:rsid w:val="004D27E5"/>
    <w:rsid w:val="004D2930"/>
    <w:rsid w:val="004D2943"/>
    <w:rsid w:val="004D2E34"/>
    <w:rsid w:val="004D340F"/>
    <w:rsid w:val="004D37AF"/>
    <w:rsid w:val="004D3C09"/>
    <w:rsid w:val="004D3D92"/>
    <w:rsid w:val="004D3FA0"/>
    <w:rsid w:val="004D40DD"/>
    <w:rsid w:val="004D44DA"/>
    <w:rsid w:val="004D44F1"/>
    <w:rsid w:val="004D4623"/>
    <w:rsid w:val="004D47E5"/>
    <w:rsid w:val="004D48EB"/>
    <w:rsid w:val="004D4A33"/>
    <w:rsid w:val="004D4A74"/>
    <w:rsid w:val="004D4FA0"/>
    <w:rsid w:val="004D56B9"/>
    <w:rsid w:val="004D58F0"/>
    <w:rsid w:val="004D5C44"/>
    <w:rsid w:val="004D5E9B"/>
    <w:rsid w:val="004D61B6"/>
    <w:rsid w:val="004D64EA"/>
    <w:rsid w:val="004D66B9"/>
    <w:rsid w:val="004D6B1F"/>
    <w:rsid w:val="004D6DC7"/>
    <w:rsid w:val="004D71EE"/>
    <w:rsid w:val="004D7399"/>
    <w:rsid w:val="004D787E"/>
    <w:rsid w:val="004D7E6E"/>
    <w:rsid w:val="004E0288"/>
    <w:rsid w:val="004E0381"/>
    <w:rsid w:val="004E04EA"/>
    <w:rsid w:val="004E04FA"/>
    <w:rsid w:val="004E0A9E"/>
    <w:rsid w:val="004E114A"/>
    <w:rsid w:val="004E1540"/>
    <w:rsid w:val="004E1D14"/>
    <w:rsid w:val="004E1D6C"/>
    <w:rsid w:val="004E1D76"/>
    <w:rsid w:val="004E242D"/>
    <w:rsid w:val="004E25B0"/>
    <w:rsid w:val="004E25B2"/>
    <w:rsid w:val="004E27C0"/>
    <w:rsid w:val="004E2A39"/>
    <w:rsid w:val="004E2D69"/>
    <w:rsid w:val="004E32A1"/>
    <w:rsid w:val="004E33E9"/>
    <w:rsid w:val="004E3521"/>
    <w:rsid w:val="004E3739"/>
    <w:rsid w:val="004E37C3"/>
    <w:rsid w:val="004E3E27"/>
    <w:rsid w:val="004E4677"/>
    <w:rsid w:val="004E4686"/>
    <w:rsid w:val="004E4B39"/>
    <w:rsid w:val="004E4CA2"/>
    <w:rsid w:val="004E4CE6"/>
    <w:rsid w:val="004E5793"/>
    <w:rsid w:val="004E59A8"/>
    <w:rsid w:val="004E5DD4"/>
    <w:rsid w:val="004E5F7B"/>
    <w:rsid w:val="004E61EE"/>
    <w:rsid w:val="004E6C23"/>
    <w:rsid w:val="004E76D3"/>
    <w:rsid w:val="004E7EFD"/>
    <w:rsid w:val="004F068A"/>
    <w:rsid w:val="004F06C9"/>
    <w:rsid w:val="004F07C3"/>
    <w:rsid w:val="004F0C41"/>
    <w:rsid w:val="004F189F"/>
    <w:rsid w:val="004F1F54"/>
    <w:rsid w:val="004F1F91"/>
    <w:rsid w:val="004F21B1"/>
    <w:rsid w:val="004F26FB"/>
    <w:rsid w:val="004F29CF"/>
    <w:rsid w:val="004F382E"/>
    <w:rsid w:val="004F3AC1"/>
    <w:rsid w:val="004F3EE9"/>
    <w:rsid w:val="004F3F64"/>
    <w:rsid w:val="004F3FB2"/>
    <w:rsid w:val="004F42BA"/>
    <w:rsid w:val="004F4338"/>
    <w:rsid w:val="004F4759"/>
    <w:rsid w:val="004F4996"/>
    <w:rsid w:val="004F49D0"/>
    <w:rsid w:val="004F4E85"/>
    <w:rsid w:val="004F4E9F"/>
    <w:rsid w:val="004F533B"/>
    <w:rsid w:val="004F564B"/>
    <w:rsid w:val="004F56DD"/>
    <w:rsid w:val="004F5CE7"/>
    <w:rsid w:val="004F5DE7"/>
    <w:rsid w:val="004F5EDA"/>
    <w:rsid w:val="004F664C"/>
    <w:rsid w:val="004F6C82"/>
    <w:rsid w:val="004F6D66"/>
    <w:rsid w:val="004F6E39"/>
    <w:rsid w:val="004F6E4F"/>
    <w:rsid w:val="004F7062"/>
    <w:rsid w:val="004F770E"/>
    <w:rsid w:val="004F77DD"/>
    <w:rsid w:val="004F77EC"/>
    <w:rsid w:val="005012C4"/>
    <w:rsid w:val="0050153F"/>
    <w:rsid w:val="00501BF0"/>
    <w:rsid w:val="00501EB5"/>
    <w:rsid w:val="00501F9C"/>
    <w:rsid w:val="005020B2"/>
    <w:rsid w:val="0050230A"/>
    <w:rsid w:val="00502B0E"/>
    <w:rsid w:val="005032E3"/>
    <w:rsid w:val="00503383"/>
    <w:rsid w:val="00503987"/>
    <w:rsid w:val="00503EDE"/>
    <w:rsid w:val="0050414A"/>
    <w:rsid w:val="0050417B"/>
    <w:rsid w:val="005041D4"/>
    <w:rsid w:val="005049AD"/>
    <w:rsid w:val="005051E1"/>
    <w:rsid w:val="005056C6"/>
    <w:rsid w:val="00505B95"/>
    <w:rsid w:val="00505FBD"/>
    <w:rsid w:val="0050627A"/>
    <w:rsid w:val="005063C2"/>
    <w:rsid w:val="005068CF"/>
    <w:rsid w:val="00507292"/>
    <w:rsid w:val="005073A3"/>
    <w:rsid w:val="005074D7"/>
    <w:rsid w:val="005077C7"/>
    <w:rsid w:val="00507848"/>
    <w:rsid w:val="00507894"/>
    <w:rsid w:val="00507BDA"/>
    <w:rsid w:val="00507EB9"/>
    <w:rsid w:val="00507FDF"/>
    <w:rsid w:val="00510282"/>
    <w:rsid w:val="005105A4"/>
    <w:rsid w:val="00510909"/>
    <w:rsid w:val="00510B25"/>
    <w:rsid w:val="0051113F"/>
    <w:rsid w:val="005115AB"/>
    <w:rsid w:val="0051160E"/>
    <w:rsid w:val="0051183F"/>
    <w:rsid w:val="00511B27"/>
    <w:rsid w:val="0051225E"/>
    <w:rsid w:val="005122BE"/>
    <w:rsid w:val="00512575"/>
    <w:rsid w:val="00512636"/>
    <w:rsid w:val="00512649"/>
    <w:rsid w:val="005129E8"/>
    <w:rsid w:val="00512F2C"/>
    <w:rsid w:val="0051302B"/>
    <w:rsid w:val="005137C5"/>
    <w:rsid w:val="0051385E"/>
    <w:rsid w:val="00513F46"/>
    <w:rsid w:val="0051443D"/>
    <w:rsid w:val="00514A45"/>
    <w:rsid w:val="00514A7D"/>
    <w:rsid w:val="00514D89"/>
    <w:rsid w:val="00514E9F"/>
    <w:rsid w:val="00515654"/>
    <w:rsid w:val="005157B7"/>
    <w:rsid w:val="00515A43"/>
    <w:rsid w:val="00515CC2"/>
    <w:rsid w:val="00515E6C"/>
    <w:rsid w:val="0051603D"/>
    <w:rsid w:val="0051641B"/>
    <w:rsid w:val="00516954"/>
    <w:rsid w:val="00516A6D"/>
    <w:rsid w:val="00516C1C"/>
    <w:rsid w:val="00517344"/>
    <w:rsid w:val="005173AE"/>
    <w:rsid w:val="0051747F"/>
    <w:rsid w:val="00517624"/>
    <w:rsid w:val="005179B3"/>
    <w:rsid w:val="00517D3F"/>
    <w:rsid w:val="00520194"/>
    <w:rsid w:val="00520313"/>
    <w:rsid w:val="00520892"/>
    <w:rsid w:val="00520C3E"/>
    <w:rsid w:val="00520ED9"/>
    <w:rsid w:val="00520FBA"/>
    <w:rsid w:val="005215F4"/>
    <w:rsid w:val="005217DD"/>
    <w:rsid w:val="00521918"/>
    <w:rsid w:val="00521AA6"/>
    <w:rsid w:val="00521BE9"/>
    <w:rsid w:val="00521D09"/>
    <w:rsid w:val="00521F1D"/>
    <w:rsid w:val="0052225B"/>
    <w:rsid w:val="00522581"/>
    <w:rsid w:val="0052259C"/>
    <w:rsid w:val="005226BC"/>
    <w:rsid w:val="00522AC4"/>
    <w:rsid w:val="00522DF8"/>
    <w:rsid w:val="00523034"/>
    <w:rsid w:val="005230D6"/>
    <w:rsid w:val="0052344B"/>
    <w:rsid w:val="00523719"/>
    <w:rsid w:val="005237D3"/>
    <w:rsid w:val="00523AA0"/>
    <w:rsid w:val="00523BC1"/>
    <w:rsid w:val="00523F22"/>
    <w:rsid w:val="005240B3"/>
    <w:rsid w:val="00524228"/>
    <w:rsid w:val="00524544"/>
    <w:rsid w:val="005245CE"/>
    <w:rsid w:val="0052491A"/>
    <w:rsid w:val="00524B97"/>
    <w:rsid w:val="00524D9D"/>
    <w:rsid w:val="00525AC9"/>
    <w:rsid w:val="0052603C"/>
    <w:rsid w:val="00526126"/>
    <w:rsid w:val="00526285"/>
    <w:rsid w:val="00526544"/>
    <w:rsid w:val="005267B5"/>
    <w:rsid w:val="00526BCC"/>
    <w:rsid w:val="005271AD"/>
    <w:rsid w:val="005304A9"/>
    <w:rsid w:val="00530BBF"/>
    <w:rsid w:val="00530D80"/>
    <w:rsid w:val="00531569"/>
    <w:rsid w:val="0053208F"/>
    <w:rsid w:val="00532145"/>
    <w:rsid w:val="0053261F"/>
    <w:rsid w:val="00532644"/>
    <w:rsid w:val="00532C9C"/>
    <w:rsid w:val="00532F54"/>
    <w:rsid w:val="0053332E"/>
    <w:rsid w:val="005336DA"/>
    <w:rsid w:val="00533CE5"/>
    <w:rsid w:val="00533E03"/>
    <w:rsid w:val="00533EDC"/>
    <w:rsid w:val="005342F1"/>
    <w:rsid w:val="00534387"/>
    <w:rsid w:val="0053461B"/>
    <w:rsid w:val="00534758"/>
    <w:rsid w:val="00534B7D"/>
    <w:rsid w:val="00534E2A"/>
    <w:rsid w:val="00534F3C"/>
    <w:rsid w:val="00534F7F"/>
    <w:rsid w:val="005352F6"/>
    <w:rsid w:val="005352FA"/>
    <w:rsid w:val="0053564C"/>
    <w:rsid w:val="00535A8A"/>
    <w:rsid w:val="0053601E"/>
    <w:rsid w:val="0053615C"/>
    <w:rsid w:val="0053623A"/>
    <w:rsid w:val="005365AF"/>
    <w:rsid w:val="00536882"/>
    <w:rsid w:val="0053697B"/>
    <w:rsid w:val="005369FF"/>
    <w:rsid w:val="00536D0F"/>
    <w:rsid w:val="00536E5E"/>
    <w:rsid w:val="005379FE"/>
    <w:rsid w:val="00537A06"/>
    <w:rsid w:val="00537A75"/>
    <w:rsid w:val="00537DA6"/>
    <w:rsid w:val="005403A1"/>
    <w:rsid w:val="0054135A"/>
    <w:rsid w:val="00541BD9"/>
    <w:rsid w:val="00541EF8"/>
    <w:rsid w:val="0054245B"/>
    <w:rsid w:val="00542693"/>
    <w:rsid w:val="00542DFD"/>
    <w:rsid w:val="00543092"/>
    <w:rsid w:val="005437BD"/>
    <w:rsid w:val="0054397F"/>
    <w:rsid w:val="00543D39"/>
    <w:rsid w:val="00543D53"/>
    <w:rsid w:val="00543F31"/>
    <w:rsid w:val="00544292"/>
    <w:rsid w:val="00544330"/>
    <w:rsid w:val="00544772"/>
    <w:rsid w:val="00544DCA"/>
    <w:rsid w:val="00545285"/>
    <w:rsid w:val="005454D1"/>
    <w:rsid w:val="005456F2"/>
    <w:rsid w:val="00545E91"/>
    <w:rsid w:val="00545FD4"/>
    <w:rsid w:val="00546072"/>
    <w:rsid w:val="005460F5"/>
    <w:rsid w:val="0054619A"/>
    <w:rsid w:val="005465D4"/>
    <w:rsid w:val="00546A16"/>
    <w:rsid w:val="00546E31"/>
    <w:rsid w:val="00546EB6"/>
    <w:rsid w:val="005471A4"/>
    <w:rsid w:val="005472E1"/>
    <w:rsid w:val="00547608"/>
    <w:rsid w:val="00547978"/>
    <w:rsid w:val="00547B68"/>
    <w:rsid w:val="00547BF9"/>
    <w:rsid w:val="0055040A"/>
    <w:rsid w:val="0055079F"/>
    <w:rsid w:val="00550B71"/>
    <w:rsid w:val="00550EC0"/>
    <w:rsid w:val="005515DB"/>
    <w:rsid w:val="005517BE"/>
    <w:rsid w:val="00551884"/>
    <w:rsid w:val="0055190B"/>
    <w:rsid w:val="005519D3"/>
    <w:rsid w:val="00551B92"/>
    <w:rsid w:val="00552138"/>
    <w:rsid w:val="005521E1"/>
    <w:rsid w:val="0055227C"/>
    <w:rsid w:val="00552559"/>
    <w:rsid w:val="0055267B"/>
    <w:rsid w:val="00552877"/>
    <w:rsid w:val="00552A4A"/>
    <w:rsid w:val="00552B7A"/>
    <w:rsid w:val="00552F17"/>
    <w:rsid w:val="0055323A"/>
    <w:rsid w:val="00553C51"/>
    <w:rsid w:val="00554036"/>
    <w:rsid w:val="00554741"/>
    <w:rsid w:val="00554E2A"/>
    <w:rsid w:val="00554F27"/>
    <w:rsid w:val="00555D58"/>
    <w:rsid w:val="00555DB0"/>
    <w:rsid w:val="005570C7"/>
    <w:rsid w:val="005579BD"/>
    <w:rsid w:val="00557C33"/>
    <w:rsid w:val="005601A5"/>
    <w:rsid w:val="005602FC"/>
    <w:rsid w:val="00560982"/>
    <w:rsid w:val="00560D1B"/>
    <w:rsid w:val="00560F32"/>
    <w:rsid w:val="00561114"/>
    <w:rsid w:val="00561358"/>
    <w:rsid w:val="005619B4"/>
    <w:rsid w:val="00561B74"/>
    <w:rsid w:val="00562016"/>
    <w:rsid w:val="0056237B"/>
    <w:rsid w:val="00562591"/>
    <w:rsid w:val="00562E63"/>
    <w:rsid w:val="00562ED1"/>
    <w:rsid w:val="00562FBA"/>
    <w:rsid w:val="005630A3"/>
    <w:rsid w:val="00563945"/>
    <w:rsid w:val="00563EAB"/>
    <w:rsid w:val="005640D3"/>
    <w:rsid w:val="005644F7"/>
    <w:rsid w:val="00564539"/>
    <w:rsid w:val="0056465C"/>
    <w:rsid w:val="0056498A"/>
    <w:rsid w:val="005649AC"/>
    <w:rsid w:val="00565237"/>
    <w:rsid w:val="00565A78"/>
    <w:rsid w:val="00566CA3"/>
    <w:rsid w:val="0056703D"/>
    <w:rsid w:val="0056718E"/>
    <w:rsid w:val="00567712"/>
    <w:rsid w:val="00567982"/>
    <w:rsid w:val="00567A70"/>
    <w:rsid w:val="00567A75"/>
    <w:rsid w:val="00567C44"/>
    <w:rsid w:val="00567D3F"/>
    <w:rsid w:val="00570490"/>
    <w:rsid w:val="00570A0E"/>
    <w:rsid w:val="00570A5F"/>
    <w:rsid w:val="00570B42"/>
    <w:rsid w:val="00570E25"/>
    <w:rsid w:val="00570ED2"/>
    <w:rsid w:val="00571132"/>
    <w:rsid w:val="005712D3"/>
    <w:rsid w:val="005712E8"/>
    <w:rsid w:val="00571318"/>
    <w:rsid w:val="00571376"/>
    <w:rsid w:val="005713D6"/>
    <w:rsid w:val="0057167F"/>
    <w:rsid w:val="00571684"/>
    <w:rsid w:val="005716DA"/>
    <w:rsid w:val="005716E0"/>
    <w:rsid w:val="00571A3B"/>
    <w:rsid w:val="00571A40"/>
    <w:rsid w:val="00571D04"/>
    <w:rsid w:val="00572093"/>
    <w:rsid w:val="00572379"/>
    <w:rsid w:val="005724B3"/>
    <w:rsid w:val="00572949"/>
    <w:rsid w:val="00572C32"/>
    <w:rsid w:val="00572EA8"/>
    <w:rsid w:val="00573195"/>
    <w:rsid w:val="005732F4"/>
    <w:rsid w:val="0057368B"/>
    <w:rsid w:val="005738D4"/>
    <w:rsid w:val="00573DA6"/>
    <w:rsid w:val="00573E6A"/>
    <w:rsid w:val="00574032"/>
    <w:rsid w:val="00574034"/>
    <w:rsid w:val="005745C7"/>
    <w:rsid w:val="005745C8"/>
    <w:rsid w:val="00574B54"/>
    <w:rsid w:val="00575137"/>
    <w:rsid w:val="0057527E"/>
    <w:rsid w:val="0057543D"/>
    <w:rsid w:val="0057556F"/>
    <w:rsid w:val="00575666"/>
    <w:rsid w:val="00575835"/>
    <w:rsid w:val="00575EC7"/>
    <w:rsid w:val="005763F4"/>
    <w:rsid w:val="0057670E"/>
    <w:rsid w:val="00576789"/>
    <w:rsid w:val="005768C5"/>
    <w:rsid w:val="005769DA"/>
    <w:rsid w:val="00576CCE"/>
    <w:rsid w:val="00576F51"/>
    <w:rsid w:val="005771B7"/>
    <w:rsid w:val="005772B4"/>
    <w:rsid w:val="005775D1"/>
    <w:rsid w:val="00577BF0"/>
    <w:rsid w:val="00577C4A"/>
    <w:rsid w:val="00577F38"/>
    <w:rsid w:val="00577F8A"/>
    <w:rsid w:val="00580068"/>
    <w:rsid w:val="005804F3"/>
    <w:rsid w:val="0058090A"/>
    <w:rsid w:val="00580ABA"/>
    <w:rsid w:val="00580B82"/>
    <w:rsid w:val="00580C8C"/>
    <w:rsid w:val="00580D5B"/>
    <w:rsid w:val="00580DDF"/>
    <w:rsid w:val="005813B0"/>
    <w:rsid w:val="0058167B"/>
    <w:rsid w:val="0058179E"/>
    <w:rsid w:val="00581A0F"/>
    <w:rsid w:val="00581DEB"/>
    <w:rsid w:val="00581E20"/>
    <w:rsid w:val="005826D3"/>
    <w:rsid w:val="00582CB9"/>
    <w:rsid w:val="00582D1D"/>
    <w:rsid w:val="00582F40"/>
    <w:rsid w:val="0058307C"/>
    <w:rsid w:val="0058322A"/>
    <w:rsid w:val="00583243"/>
    <w:rsid w:val="00583678"/>
    <w:rsid w:val="0058372B"/>
    <w:rsid w:val="005837CB"/>
    <w:rsid w:val="00583849"/>
    <w:rsid w:val="00583917"/>
    <w:rsid w:val="00583920"/>
    <w:rsid w:val="00583BBC"/>
    <w:rsid w:val="00583E78"/>
    <w:rsid w:val="0058436A"/>
    <w:rsid w:val="005848E3"/>
    <w:rsid w:val="00584A0F"/>
    <w:rsid w:val="00584ADF"/>
    <w:rsid w:val="00584CD5"/>
    <w:rsid w:val="00584F92"/>
    <w:rsid w:val="00585524"/>
    <w:rsid w:val="00585680"/>
    <w:rsid w:val="00585CF3"/>
    <w:rsid w:val="00585DDB"/>
    <w:rsid w:val="0058663D"/>
    <w:rsid w:val="005866FE"/>
    <w:rsid w:val="005867E1"/>
    <w:rsid w:val="00586996"/>
    <w:rsid w:val="00587523"/>
    <w:rsid w:val="00587DF0"/>
    <w:rsid w:val="00590587"/>
    <w:rsid w:val="00590902"/>
    <w:rsid w:val="00590A95"/>
    <w:rsid w:val="00590D57"/>
    <w:rsid w:val="00590FE9"/>
    <w:rsid w:val="00591153"/>
    <w:rsid w:val="00591353"/>
    <w:rsid w:val="00591600"/>
    <w:rsid w:val="00591A43"/>
    <w:rsid w:val="005926B3"/>
    <w:rsid w:val="0059289F"/>
    <w:rsid w:val="00592EFA"/>
    <w:rsid w:val="00592EFB"/>
    <w:rsid w:val="00592F63"/>
    <w:rsid w:val="00593245"/>
    <w:rsid w:val="00593278"/>
    <w:rsid w:val="00593665"/>
    <w:rsid w:val="00593E8A"/>
    <w:rsid w:val="00594087"/>
    <w:rsid w:val="00594122"/>
    <w:rsid w:val="0059412D"/>
    <w:rsid w:val="00594249"/>
    <w:rsid w:val="005942A6"/>
    <w:rsid w:val="005942EB"/>
    <w:rsid w:val="005944FF"/>
    <w:rsid w:val="005946AF"/>
    <w:rsid w:val="00594B4F"/>
    <w:rsid w:val="00595149"/>
    <w:rsid w:val="00595403"/>
    <w:rsid w:val="0059578A"/>
    <w:rsid w:val="00595ADA"/>
    <w:rsid w:val="00595AF0"/>
    <w:rsid w:val="00595B9C"/>
    <w:rsid w:val="00595D75"/>
    <w:rsid w:val="00595E89"/>
    <w:rsid w:val="00595EDC"/>
    <w:rsid w:val="0059660B"/>
    <w:rsid w:val="00596FD1"/>
    <w:rsid w:val="0059748C"/>
    <w:rsid w:val="005974C1"/>
    <w:rsid w:val="0059753E"/>
    <w:rsid w:val="0059760C"/>
    <w:rsid w:val="005977F2"/>
    <w:rsid w:val="00597885"/>
    <w:rsid w:val="005978FE"/>
    <w:rsid w:val="00597A55"/>
    <w:rsid w:val="005A0ED4"/>
    <w:rsid w:val="005A0F6B"/>
    <w:rsid w:val="005A13A7"/>
    <w:rsid w:val="005A1831"/>
    <w:rsid w:val="005A1886"/>
    <w:rsid w:val="005A1A03"/>
    <w:rsid w:val="005A1A35"/>
    <w:rsid w:val="005A1A36"/>
    <w:rsid w:val="005A1CE1"/>
    <w:rsid w:val="005A1DFE"/>
    <w:rsid w:val="005A2072"/>
    <w:rsid w:val="005A225C"/>
    <w:rsid w:val="005A23B9"/>
    <w:rsid w:val="005A2D74"/>
    <w:rsid w:val="005A2E85"/>
    <w:rsid w:val="005A2F5E"/>
    <w:rsid w:val="005A2F80"/>
    <w:rsid w:val="005A3312"/>
    <w:rsid w:val="005A3556"/>
    <w:rsid w:val="005A3EB3"/>
    <w:rsid w:val="005A44E6"/>
    <w:rsid w:val="005A45B9"/>
    <w:rsid w:val="005A4628"/>
    <w:rsid w:val="005A4BF6"/>
    <w:rsid w:val="005A4D84"/>
    <w:rsid w:val="005A5027"/>
    <w:rsid w:val="005A5411"/>
    <w:rsid w:val="005A5633"/>
    <w:rsid w:val="005A5756"/>
    <w:rsid w:val="005A5B71"/>
    <w:rsid w:val="005A63C8"/>
    <w:rsid w:val="005A68CE"/>
    <w:rsid w:val="005A69E7"/>
    <w:rsid w:val="005A6EFF"/>
    <w:rsid w:val="005A7124"/>
    <w:rsid w:val="005A71DC"/>
    <w:rsid w:val="005A7439"/>
    <w:rsid w:val="005A7845"/>
    <w:rsid w:val="005A7870"/>
    <w:rsid w:val="005A7936"/>
    <w:rsid w:val="005B066F"/>
    <w:rsid w:val="005B0C15"/>
    <w:rsid w:val="005B1072"/>
    <w:rsid w:val="005B1195"/>
    <w:rsid w:val="005B134A"/>
    <w:rsid w:val="005B13A0"/>
    <w:rsid w:val="005B13F8"/>
    <w:rsid w:val="005B14D8"/>
    <w:rsid w:val="005B1C38"/>
    <w:rsid w:val="005B1DA8"/>
    <w:rsid w:val="005B1E87"/>
    <w:rsid w:val="005B2634"/>
    <w:rsid w:val="005B28C7"/>
    <w:rsid w:val="005B2F29"/>
    <w:rsid w:val="005B32AD"/>
    <w:rsid w:val="005B3595"/>
    <w:rsid w:val="005B3908"/>
    <w:rsid w:val="005B3C1B"/>
    <w:rsid w:val="005B4386"/>
    <w:rsid w:val="005B44FE"/>
    <w:rsid w:val="005B45EF"/>
    <w:rsid w:val="005B46BF"/>
    <w:rsid w:val="005B4DC6"/>
    <w:rsid w:val="005B4F27"/>
    <w:rsid w:val="005B5318"/>
    <w:rsid w:val="005B534F"/>
    <w:rsid w:val="005B5CF7"/>
    <w:rsid w:val="005B6439"/>
    <w:rsid w:val="005B65D1"/>
    <w:rsid w:val="005B71A5"/>
    <w:rsid w:val="005B73C7"/>
    <w:rsid w:val="005B7E35"/>
    <w:rsid w:val="005C023B"/>
    <w:rsid w:val="005C0691"/>
    <w:rsid w:val="005C07BA"/>
    <w:rsid w:val="005C0A89"/>
    <w:rsid w:val="005C0CAF"/>
    <w:rsid w:val="005C0E83"/>
    <w:rsid w:val="005C13CD"/>
    <w:rsid w:val="005C1755"/>
    <w:rsid w:val="005C1B55"/>
    <w:rsid w:val="005C1C83"/>
    <w:rsid w:val="005C2470"/>
    <w:rsid w:val="005C2591"/>
    <w:rsid w:val="005C2698"/>
    <w:rsid w:val="005C2773"/>
    <w:rsid w:val="005C3316"/>
    <w:rsid w:val="005C34A9"/>
    <w:rsid w:val="005C377F"/>
    <w:rsid w:val="005C3B91"/>
    <w:rsid w:val="005C3C14"/>
    <w:rsid w:val="005C3D14"/>
    <w:rsid w:val="005C4251"/>
    <w:rsid w:val="005C4C7A"/>
    <w:rsid w:val="005C4E10"/>
    <w:rsid w:val="005C528F"/>
    <w:rsid w:val="005C5492"/>
    <w:rsid w:val="005C5687"/>
    <w:rsid w:val="005C56DC"/>
    <w:rsid w:val="005C5949"/>
    <w:rsid w:val="005C5EFB"/>
    <w:rsid w:val="005C67E3"/>
    <w:rsid w:val="005C69D1"/>
    <w:rsid w:val="005C6A73"/>
    <w:rsid w:val="005C6F69"/>
    <w:rsid w:val="005C6FE4"/>
    <w:rsid w:val="005C7F6B"/>
    <w:rsid w:val="005D04D0"/>
    <w:rsid w:val="005D0586"/>
    <w:rsid w:val="005D0827"/>
    <w:rsid w:val="005D0986"/>
    <w:rsid w:val="005D0A91"/>
    <w:rsid w:val="005D0C25"/>
    <w:rsid w:val="005D0C3A"/>
    <w:rsid w:val="005D0EBC"/>
    <w:rsid w:val="005D111D"/>
    <w:rsid w:val="005D130C"/>
    <w:rsid w:val="005D137E"/>
    <w:rsid w:val="005D1A64"/>
    <w:rsid w:val="005D1C25"/>
    <w:rsid w:val="005D1CE7"/>
    <w:rsid w:val="005D2488"/>
    <w:rsid w:val="005D2537"/>
    <w:rsid w:val="005D2AA7"/>
    <w:rsid w:val="005D2C4C"/>
    <w:rsid w:val="005D2DEF"/>
    <w:rsid w:val="005D3437"/>
    <w:rsid w:val="005D3454"/>
    <w:rsid w:val="005D34F8"/>
    <w:rsid w:val="005D35DA"/>
    <w:rsid w:val="005D36F2"/>
    <w:rsid w:val="005D391C"/>
    <w:rsid w:val="005D3B69"/>
    <w:rsid w:val="005D3E1B"/>
    <w:rsid w:val="005D4424"/>
    <w:rsid w:val="005D4487"/>
    <w:rsid w:val="005D4A30"/>
    <w:rsid w:val="005D4D6B"/>
    <w:rsid w:val="005D592B"/>
    <w:rsid w:val="005D5B75"/>
    <w:rsid w:val="005D5C6B"/>
    <w:rsid w:val="005D63B7"/>
    <w:rsid w:val="005D66BA"/>
    <w:rsid w:val="005D6722"/>
    <w:rsid w:val="005D6B04"/>
    <w:rsid w:val="005D6BAA"/>
    <w:rsid w:val="005D7010"/>
    <w:rsid w:val="005D73C0"/>
    <w:rsid w:val="005D74D1"/>
    <w:rsid w:val="005D7C2E"/>
    <w:rsid w:val="005E0167"/>
    <w:rsid w:val="005E01DC"/>
    <w:rsid w:val="005E037C"/>
    <w:rsid w:val="005E03BE"/>
    <w:rsid w:val="005E04D7"/>
    <w:rsid w:val="005E060E"/>
    <w:rsid w:val="005E0A90"/>
    <w:rsid w:val="005E0B66"/>
    <w:rsid w:val="005E1655"/>
    <w:rsid w:val="005E16F9"/>
    <w:rsid w:val="005E18DF"/>
    <w:rsid w:val="005E1C1A"/>
    <w:rsid w:val="005E1DD9"/>
    <w:rsid w:val="005E23A2"/>
    <w:rsid w:val="005E23EF"/>
    <w:rsid w:val="005E25CC"/>
    <w:rsid w:val="005E29F8"/>
    <w:rsid w:val="005E2A1D"/>
    <w:rsid w:val="005E2AFF"/>
    <w:rsid w:val="005E2C28"/>
    <w:rsid w:val="005E4308"/>
    <w:rsid w:val="005E4887"/>
    <w:rsid w:val="005E4E30"/>
    <w:rsid w:val="005E5316"/>
    <w:rsid w:val="005E5B19"/>
    <w:rsid w:val="005E5B8A"/>
    <w:rsid w:val="005E5C67"/>
    <w:rsid w:val="005E5E7F"/>
    <w:rsid w:val="005E6A82"/>
    <w:rsid w:val="005E6B74"/>
    <w:rsid w:val="005E6DA0"/>
    <w:rsid w:val="005E6E5A"/>
    <w:rsid w:val="005E6FA2"/>
    <w:rsid w:val="005F0F4F"/>
    <w:rsid w:val="005F1287"/>
    <w:rsid w:val="005F164A"/>
    <w:rsid w:val="005F20F7"/>
    <w:rsid w:val="005F2337"/>
    <w:rsid w:val="005F2468"/>
    <w:rsid w:val="005F28C1"/>
    <w:rsid w:val="005F3138"/>
    <w:rsid w:val="005F34FB"/>
    <w:rsid w:val="005F34FE"/>
    <w:rsid w:val="005F37CC"/>
    <w:rsid w:val="005F41BC"/>
    <w:rsid w:val="005F4291"/>
    <w:rsid w:val="005F442F"/>
    <w:rsid w:val="005F4445"/>
    <w:rsid w:val="005F4583"/>
    <w:rsid w:val="005F4C7E"/>
    <w:rsid w:val="005F4F8B"/>
    <w:rsid w:val="005F5342"/>
    <w:rsid w:val="005F544C"/>
    <w:rsid w:val="005F591E"/>
    <w:rsid w:val="005F5DAB"/>
    <w:rsid w:val="005F630D"/>
    <w:rsid w:val="005F6B0E"/>
    <w:rsid w:val="005F7480"/>
    <w:rsid w:val="005F7521"/>
    <w:rsid w:val="005F7985"/>
    <w:rsid w:val="005F7B02"/>
    <w:rsid w:val="005F7C39"/>
    <w:rsid w:val="005F7DBE"/>
    <w:rsid w:val="0060006F"/>
    <w:rsid w:val="006001AB"/>
    <w:rsid w:val="006003B6"/>
    <w:rsid w:val="00600435"/>
    <w:rsid w:val="006005D1"/>
    <w:rsid w:val="00600BB5"/>
    <w:rsid w:val="00600C2C"/>
    <w:rsid w:val="00600F81"/>
    <w:rsid w:val="00601045"/>
    <w:rsid w:val="00601515"/>
    <w:rsid w:val="0060192B"/>
    <w:rsid w:val="00602112"/>
    <w:rsid w:val="00602D8C"/>
    <w:rsid w:val="00602E09"/>
    <w:rsid w:val="00603E48"/>
    <w:rsid w:val="006040B1"/>
    <w:rsid w:val="006041A9"/>
    <w:rsid w:val="006042CF"/>
    <w:rsid w:val="00604389"/>
    <w:rsid w:val="00604769"/>
    <w:rsid w:val="00604875"/>
    <w:rsid w:val="00604B05"/>
    <w:rsid w:val="00605201"/>
    <w:rsid w:val="00605353"/>
    <w:rsid w:val="00605418"/>
    <w:rsid w:val="006054BD"/>
    <w:rsid w:val="006054C9"/>
    <w:rsid w:val="00605B11"/>
    <w:rsid w:val="00605F11"/>
    <w:rsid w:val="00606342"/>
    <w:rsid w:val="0060674B"/>
    <w:rsid w:val="00606E49"/>
    <w:rsid w:val="00606F25"/>
    <w:rsid w:val="006070DE"/>
    <w:rsid w:val="00607799"/>
    <w:rsid w:val="00607EA4"/>
    <w:rsid w:val="0061002B"/>
    <w:rsid w:val="006103A7"/>
    <w:rsid w:val="006104BD"/>
    <w:rsid w:val="00610504"/>
    <w:rsid w:val="006107D5"/>
    <w:rsid w:val="00610B3E"/>
    <w:rsid w:val="00610BB0"/>
    <w:rsid w:val="00610E62"/>
    <w:rsid w:val="00610F1A"/>
    <w:rsid w:val="0061135E"/>
    <w:rsid w:val="00611459"/>
    <w:rsid w:val="00611777"/>
    <w:rsid w:val="00611CBA"/>
    <w:rsid w:val="00611D8C"/>
    <w:rsid w:val="00611F16"/>
    <w:rsid w:val="006123CF"/>
    <w:rsid w:val="00612659"/>
    <w:rsid w:val="00612957"/>
    <w:rsid w:val="0061299C"/>
    <w:rsid w:val="00612A1B"/>
    <w:rsid w:val="00612AED"/>
    <w:rsid w:val="00613235"/>
    <w:rsid w:val="00613563"/>
    <w:rsid w:val="0061358C"/>
    <w:rsid w:val="006137A3"/>
    <w:rsid w:val="00613F98"/>
    <w:rsid w:val="0061431B"/>
    <w:rsid w:val="0061443F"/>
    <w:rsid w:val="0061454E"/>
    <w:rsid w:val="00614A34"/>
    <w:rsid w:val="00614C8A"/>
    <w:rsid w:val="006152E3"/>
    <w:rsid w:val="006157A9"/>
    <w:rsid w:val="00615999"/>
    <w:rsid w:val="00615A6F"/>
    <w:rsid w:val="00615D18"/>
    <w:rsid w:val="00615FB7"/>
    <w:rsid w:val="00616128"/>
    <w:rsid w:val="0061657A"/>
    <w:rsid w:val="00616B83"/>
    <w:rsid w:val="00616CF2"/>
    <w:rsid w:val="00616E96"/>
    <w:rsid w:val="0061714B"/>
    <w:rsid w:val="00617EB6"/>
    <w:rsid w:val="006201F5"/>
    <w:rsid w:val="00620363"/>
    <w:rsid w:val="0062041E"/>
    <w:rsid w:val="006206A0"/>
    <w:rsid w:val="00620774"/>
    <w:rsid w:val="006209F1"/>
    <w:rsid w:val="00620B23"/>
    <w:rsid w:val="00620D51"/>
    <w:rsid w:val="00620EFD"/>
    <w:rsid w:val="006212FD"/>
    <w:rsid w:val="00621665"/>
    <w:rsid w:val="006218C1"/>
    <w:rsid w:val="00621C18"/>
    <w:rsid w:val="00622A74"/>
    <w:rsid w:val="00622B65"/>
    <w:rsid w:val="00622BA5"/>
    <w:rsid w:val="00623117"/>
    <w:rsid w:val="006236E4"/>
    <w:rsid w:val="006237B2"/>
    <w:rsid w:val="00623BEB"/>
    <w:rsid w:val="00623E12"/>
    <w:rsid w:val="00623F3B"/>
    <w:rsid w:val="006242B1"/>
    <w:rsid w:val="00624B22"/>
    <w:rsid w:val="00624D80"/>
    <w:rsid w:val="006254C8"/>
    <w:rsid w:val="00625515"/>
    <w:rsid w:val="00625AE0"/>
    <w:rsid w:val="00625B9D"/>
    <w:rsid w:val="00625BD6"/>
    <w:rsid w:val="00625CE3"/>
    <w:rsid w:val="00625D76"/>
    <w:rsid w:val="00625F22"/>
    <w:rsid w:val="00626034"/>
    <w:rsid w:val="0062612B"/>
    <w:rsid w:val="006263CF"/>
    <w:rsid w:val="00626518"/>
    <w:rsid w:val="006265FD"/>
    <w:rsid w:val="00626BF5"/>
    <w:rsid w:val="00627338"/>
    <w:rsid w:val="006274BA"/>
    <w:rsid w:val="00627774"/>
    <w:rsid w:val="00627C93"/>
    <w:rsid w:val="00630247"/>
    <w:rsid w:val="00630369"/>
    <w:rsid w:val="00630435"/>
    <w:rsid w:val="00630541"/>
    <w:rsid w:val="006308EA"/>
    <w:rsid w:val="00630BFD"/>
    <w:rsid w:val="00630E1F"/>
    <w:rsid w:val="00630F4D"/>
    <w:rsid w:val="0063111E"/>
    <w:rsid w:val="0063129B"/>
    <w:rsid w:val="0063183B"/>
    <w:rsid w:val="00631CBF"/>
    <w:rsid w:val="00631DA0"/>
    <w:rsid w:val="0063204F"/>
    <w:rsid w:val="006321EB"/>
    <w:rsid w:val="006323CA"/>
    <w:rsid w:val="0063261E"/>
    <w:rsid w:val="006327D5"/>
    <w:rsid w:val="00632A2E"/>
    <w:rsid w:val="00632AFF"/>
    <w:rsid w:val="00632C21"/>
    <w:rsid w:val="00632C86"/>
    <w:rsid w:val="00632D6D"/>
    <w:rsid w:val="0063306B"/>
    <w:rsid w:val="00633152"/>
    <w:rsid w:val="00633188"/>
    <w:rsid w:val="0063318B"/>
    <w:rsid w:val="006332FE"/>
    <w:rsid w:val="006334C0"/>
    <w:rsid w:val="006335CB"/>
    <w:rsid w:val="006339C3"/>
    <w:rsid w:val="00633EA3"/>
    <w:rsid w:val="00633ECB"/>
    <w:rsid w:val="0063468E"/>
    <w:rsid w:val="00634DA5"/>
    <w:rsid w:val="0063543D"/>
    <w:rsid w:val="00635489"/>
    <w:rsid w:val="00635CB7"/>
    <w:rsid w:val="00635E4B"/>
    <w:rsid w:val="00636000"/>
    <w:rsid w:val="0063618D"/>
    <w:rsid w:val="00636488"/>
    <w:rsid w:val="00636A33"/>
    <w:rsid w:val="00636CF7"/>
    <w:rsid w:val="00636D4B"/>
    <w:rsid w:val="00636DA3"/>
    <w:rsid w:val="006370FE"/>
    <w:rsid w:val="006372FB"/>
    <w:rsid w:val="00637D6C"/>
    <w:rsid w:val="00637F94"/>
    <w:rsid w:val="006401D8"/>
    <w:rsid w:val="006401EB"/>
    <w:rsid w:val="00640565"/>
    <w:rsid w:val="006409A7"/>
    <w:rsid w:val="00640AA6"/>
    <w:rsid w:val="006414D7"/>
    <w:rsid w:val="006416C6"/>
    <w:rsid w:val="0064179C"/>
    <w:rsid w:val="0064179E"/>
    <w:rsid w:val="00642483"/>
    <w:rsid w:val="00642BF0"/>
    <w:rsid w:val="0064302A"/>
    <w:rsid w:val="006430F3"/>
    <w:rsid w:val="0064316E"/>
    <w:rsid w:val="00643779"/>
    <w:rsid w:val="00643973"/>
    <w:rsid w:val="00643DF8"/>
    <w:rsid w:val="00643E6F"/>
    <w:rsid w:val="00644531"/>
    <w:rsid w:val="0064458B"/>
    <w:rsid w:val="0064480E"/>
    <w:rsid w:val="0064485C"/>
    <w:rsid w:val="00644A06"/>
    <w:rsid w:val="00644B19"/>
    <w:rsid w:val="006451C1"/>
    <w:rsid w:val="006454CA"/>
    <w:rsid w:val="006455F6"/>
    <w:rsid w:val="006456D2"/>
    <w:rsid w:val="00645F1B"/>
    <w:rsid w:val="00646324"/>
    <w:rsid w:val="006464CE"/>
    <w:rsid w:val="00646520"/>
    <w:rsid w:val="00646DA4"/>
    <w:rsid w:val="006477E9"/>
    <w:rsid w:val="00647918"/>
    <w:rsid w:val="006479F8"/>
    <w:rsid w:val="00647B0C"/>
    <w:rsid w:val="00650B24"/>
    <w:rsid w:val="00650B74"/>
    <w:rsid w:val="00650D38"/>
    <w:rsid w:val="0065168D"/>
    <w:rsid w:val="00651AB9"/>
    <w:rsid w:val="00651B66"/>
    <w:rsid w:val="00651F80"/>
    <w:rsid w:val="00651FDB"/>
    <w:rsid w:val="00652410"/>
    <w:rsid w:val="00652A10"/>
    <w:rsid w:val="00652E20"/>
    <w:rsid w:val="00653545"/>
    <w:rsid w:val="0065359B"/>
    <w:rsid w:val="006539B1"/>
    <w:rsid w:val="00653D66"/>
    <w:rsid w:val="00653F3D"/>
    <w:rsid w:val="00654217"/>
    <w:rsid w:val="006548BC"/>
    <w:rsid w:val="00654934"/>
    <w:rsid w:val="00654AC0"/>
    <w:rsid w:val="00654AD1"/>
    <w:rsid w:val="00654B1E"/>
    <w:rsid w:val="006551A5"/>
    <w:rsid w:val="006551DA"/>
    <w:rsid w:val="006557EF"/>
    <w:rsid w:val="00655925"/>
    <w:rsid w:val="00655C75"/>
    <w:rsid w:val="00655D47"/>
    <w:rsid w:val="00655D62"/>
    <w:rsid w:val="0065644B"/>
    <w:rsid w:val="006567DE"/>
    <w:rsid w:val="0065680F"/>
    <w:rsid w:val="00656A28"/>
    <w:rsid w:val="00656C52"/>
    <w:rsid w:val="00656EA9"/>
    <w:rsid w:val="006570AE"/>
    <w:rsid w:val="00657337"/>
    <w:rsid w:val="00657B9B"/>
    <w:rsid w:val="00657EDA"/>
    <w:rsid w:val="00660003"/>
    <w:rsid w:val="00660623"/>
    <w:rsid w:val="00660632"/>
    <w:rsid w:val="0066090F"/>
    <w:rsid w:val="00661113"/>
    <w:rsid w:val="00661261"/>
    <w:rsid w:val="00661F4B"/>
    <w:rsid w:val="00662095"/>
    <w:rsid w:val="00662195"/>
    <w:rsid w:val="00662318"/>
    <w:rsid w:val="006624F1"/>
    <w:rsid w:val="00662B0B"/>
    <w:rsid w:val="00662BC4"/>
    <w:rsid w:val="00662C31"/>
    <w:rsid w:val="00662FD2"/>
    <w:rsid w:val="00663228"/>
    <w:rsid w:val="006632DA"/>
    <w:rsid w:val="00663324"/>
    <w:rsid w:val="006637AF"/>
    <w:rsid w:val="00664176"/>
    <w:rsid w:val="006644D5"/>
    <w:rsid w:val="006644F0"/>
    <w:rsid w:val="00664DC3"/>
    <w:rsid w:val="00665105"/>
    <w:rsid w:val="006652A5"/>
    <w:rsid w:val="00665476"/>
    <w:rsid w:val="00665B20"/>
    <w:rsid w:val="006663DB"/>
    <w:rsid w:val="006669A6"/>
    <w:rsid w:val="00666E87"/>
    <w:rsid w:val="00666F48"/>
    <w:rsid w:val="006702B1"/>
    <w:rsid w:val="0067045E"/>
    <w:rsid w:val="006704D8"/>
    <w:rsid w:val="0067052F"/>
    <w:rsid w:val="00670AF1"/>
    <w:rsid w:val="00670B5A"/>
    <w:rsid w:val="00670C21"/>
    <w:rsid w:val="00670EC4"/>
    <w:rsid w:val="00670F9A"/>
    <w:rsid w:val="0067131D"/>
    <w:rsid w:val="00671569"/>
    <w:rsid w:val="00671BC3"/>
    <w:rsid w:val="00671EDE"/>
    <w:rsid w:val="00671FAB"/>
    <w:rsid w:val="00672040"/>
    <w:rsid w:val="00673182"/>
    <w:rsid w:val="0067345A"/>
    <w:rsid w:val="00673FCF"/>
    <w:rsid w:val="006740D0"/>
    <w:rsid w:val="006740F2"/>
    <w:rsid w:val="00674954"/>
    <w:rsid w:val="00674FDD"/>
    <w:rsid w:val="0067516B"/>
    <w:rsid w:val="00675846"/>
    <w:rsid w:val="00675A69"/>
    <w:rsid w:val="00676399"/>
    <w:rsid w:val="00676636"/>
    <w:rsid w:val="00676925"/>
    <w:rsid w:val="00676A59"/>
    <w:rsid w:val="006770E2"/>
    <w:rsid w:val="006771F7"/>
    <w:rsid w:val="006778B6"/>
    <w:rsid w:val="00677AD8"/>
    <w:rsid w:val="00677F4F"/>
    <w:rsid w:val="006804C4"/>
    <w:rsid w:val="00680774"/>
    <w:rsid w:val="006809C3"/>
    <w:rsid w:val="00680B3A"/>
    <w:rsid w:val="00680BFE"/>
    <w:rsid w:val="00680CC0"/>
    <w:rsid w:val="00680D43"/>
    <w:rsid w:val="00680ECA"/>
    <w:rsid w:val="00681081"/>
    <w:rsid w:val="00681289"/>
    <w:rsid w:val="00682845"/>
    <w:rsid w:val="00682AB4"/>
    <w:rsid w:val="00682FD7"/>
    <w:rsid w:val="00683090"/>
    <w:rsid w:val="006835FD"/>
    <w:rsid w:val="00683BE4"/>
    <w:rsid w:val="006844EC"/>
    <w:rsid w:val="0068459A"/>
    <w:rsid w:val="00684EE0"/>
    <w:rsid w:val="00684F39"/>
    <w:rsid w:val="00685323"/>
    <w:rsid w:val="0068578D"/>
    <w:rsid w:val="00685850"/>
    <w:rsid w:val="00685D22"/>
    <w:rsid w:val="00686526"/>
    <w:rsid w:val="0068652E"/>
    <w:rsid w:val="00686960"/>
    <w:rsid w:val="00686B3B"/>
    <w:rsid w:val="00686FB7"/>
    <w:rsid w:val="00687508"/>
    <w:rsid w:val="00687601"/>
    <w:rsid w:val="00687792"/>
    <w:rsid w:val="00690E13"/>
    <w:rsid w:val="00690E8C"/>
    <w:rsid w:val="00691001"/>
    <w:rsid w:val="0069115C"/>
    <w:rsid w:val="00691663"/>
    <w:rsid w:val="00691791"/>
    <w:rsid w:val="00691853"/>
    <w:rsid w:val="0069186D"/>
    <w:rsid w:val="00691B1A"/>
    <w:rsid w:val="0069275D"/>
    <w:rsid w:val="006929B0"/>
    <w:rsid w:val="00693066"/>
    <w:rsid w:val="00693237"/>
    <w:rsid w:val="00693E98"/>
    <w:rsid w:val="00693FF3"/>
    <w:rsid w:val="0069406D"/>
    <w:rsid w:val="00694383"/>
    <w:rsid w:val="006944A1"/>
    <w:rsid w:val="00694D1B"/>
    <w:rsid w:val="00694F3D"/>
    <w:rsid w:val="0069589A"/>
    <w:rsid w:val="0069612F"/>
    <w:rsid w:val="00696356"/>
    <w:rsid w:val="006968DB"/>
    <w:rsid w:val="0069709C"/>
    <w:rsid w:val="00697694"/>
    <w:rsid w:val="006979DF"/>
    <w:rsid w:val="00697C53"/>
    <w:rsid w:val="00697E23"/>
    <w:rsid w:val="006A0061"/>
    <w:rsid w:val="006A02CB"/>
    <w:rsid w:val="006A0722"/>
    <w:rsid w:val="006A07E1"/>
    <w:rsid w:val="006A0D16"/>
    <w:rsid w:val="006A11F4"/>
    <w:rsid w:val="006A15F2"/>
    <w:rsid w:val="006A15F4"/>
    <w:rsid w:val="006A1F48"/>
    <w:rsid w:val="006A26DD"/>
    <w:rsid w:val="006A2882"/>
    <w:rsid w:val="006A2A62"/>
    <w:rsid w:val="006A2C8D"/>
    <w:rsid w:val="006A2CF7"/>
    <w:rsid w:val="006A334E"/>
    <w:rsid w:val="006A34E5"/>
    <w:rsid w:val="006A3A0E"/>
    <w:rsid w:val="006A3C3F"/>
    <w:rsid w:val="006A3E97"/>
    <w:rsid w:val="006A4099"/>
    <w:rsid w:val="006A40FD"/>
    <w:rsid w:val="006A49AA"/>
    <w:rsid w:val="006A4FC4"/>
    <w:rsid w:val="006A57A2"/>
    <w:rsid w:val="006A638B"/>
    <w:rsid w:val="006A63F9"/>
    <w:rsid w:val="006A6581"/>
    <w:rsid w:val="006A675D"/>
    <w:rsid w:val="006A7511"/>
    <w:rsid w:val="006A7887"/>
    <w:rsid w:val="006A7925"/>
    <w:rsid w:val="006A7CC5"/>
    <w:rsid w:val="006A7D99"/>
    <w:rsid w:val="006A7EC5"/>
    <w:rsid w:val="006A7FD1"/>
    <w:rsid w:val="006B03E6"/>
    <w:rsid w:val="006B0A45"/>
    <w:rsid w:val="006B16EF"/>
    <w:rsid w:val="006B1A1A"/>
    <w:rsid w:val="006B1CA5"/>
    <w:rsid w:val="006B1D68"/>
    <w:rsid w:val="006B1EA8"/>
    <w:rsid w:val="006B227E"/>
    <w:rsid w:val="006B2B28"/>
    <w:rsid w:val="006B2BCA"/>
    <w:rsid w:val="006B2F52"/>
    <w:rsid w:val="006B36AA"/>
    <w:rsid w:val="006B3726"/>
    <w:rsid w:val="006B374E"/>
    <w:rsid w:val="006B37E2"/>
    <w:rsid w:val="006B3C72"/>
    <w:rsid w:val="006B4D31"/>
    <w:rsid w:val="006B4E07"/>
    <w:rsid w:val="006B4FC6"/>
    <w:rsid w:val="006B56AB"/>
    <w:rsid w:val="006B598D"/>
    <w:rsid w:val="006B5ADB"/>
    <w:rsid w:val="006B68B8"/>
    <w:rsid w:val="006B6951"/>
    <w:rsid w:val="006B6D36"/>
    <w:rsid w:val="006B6DE9"/>
    <w:rsid w:val="006B6F18"/>
    <w:rsid w:val="006B6FED"/>
    <w:rsid w:val="006B70C6"/>
    <w:rsid w:val="006B7251"/>
    <w:rsid w:val="006B774B"/>
    <w:rsid w:val="006B7DB4"/>
    <w:rsid w:val="006B7DCA"/>
    <w:rsid w:val="006C0273"/>
    <w:rsid w:val="006C0530"/>
    <w:rsid w:val="006C0913"/>
    <w:rsid w:val="006C0BD6"/>
    <w:rsid w:val="006C0FE9"/>
    <w:rsid w:val="006C1122"/>
    <w:rsid w:val="006C132D"/>
    <w:rsid w:val="006C138A"/>
    <w:rsid w:val="006C1501"/>
    <w:rsid w:val="006C1845"/>
    <w:rsid w:val="006C1B3C"/>
    <w:rsid w:val="006C1CE7"/>
    <w:rsid w:val="006C1D74"/>
    <w:rsid w:val="006C2A01"/>
    <w:rsid w:val="006C3095"/>
    <w:rsid w:val="006C3100"/>
    <w:rsid w:val="006C49DA"/>
    <w:rsid w:val="006C49F3"/>
    <w:rsid w:val="006C4B8E"/>
    <w:rsid w:val="006C5686"/>
    <w:rsid w:val="006C5833"/>
    <w:rsid w:val="006C5C39"/>
    <w:rsid w:val="006C5F24"/>
    <w:rsid w:val="006C63CD"/>
    <w:rsid w:val="006C66EC"/>
    <w:rsid w:val="006C68B3"/>
    <w:rsid w:val="006C6A1A"/>
    <w:rsid w:val="006C6AA5"/>
    <w:rsid w:val="006C6C3B"/>
    <w:rsid w:val="006C6EC1"/>
    <w:rsid w:val="006C6ED7"/>
    <w:rsid w:val="006C6F4A"/>
    <w:rsid w:val="006C6F78"/>
    <w:rsid w:val="006C732D"/>
    <w:rsid w:val="006C7A38"/>
    <w:rsid w:val="006C7BC9"/>
    <w:rsid w:val="006D0252"/>
    <w:rsid w:val="006D02E3"/>
    <w:rsid w:val="006D06C6"/>
    <w:rsid w:val="006D0B03"/>
    <w:rsid w:val="006D0B21"/>
    <w:rsid w:val="006D0F72"/>
    <w:rsid w:val="006D0FD0"/>
    <w:rsid w:val="006D11EB"/>
    <w:rsid w:val="006D1239"/>
    <w:rsid w:val="006D1532"/>
    <w:rsid w:val="006D189B"/>
    <w:rsid w:val="006D1B2D"/>
    <w:rsid w:val="006D1B56"/>
    <w:rsid w:val="006D216D"/>
    <w:rsid w:val="006D222C"/>
    <w:rsid w:val="006D2827"/>
    <w:rsid w:val="006D3002"/>
    <w:rsid w:val="006D302D"/>
    <w:rsid w:val="006D3116"/>
    <w:rsid w:val="006D362B"/>
    <w:rsid w:val="006D3770"/>
    <w:rsid w:val="006D4311"/>
    <w:rsid w:val="006D43F2"/>
    <w:rsid w:val="006D450A"/>
    <w:rsid w:val="006D4582"/>
    <w:rsid w:val="006D45A8"/>
    <w:rsid w:val="006D4667"/>
    <w:rsid w:val="006D4A85"/>
    <w:rsid w:val="006D4F35"/>
    <w:rsid w:val="006D516C"/>
    <w:rsid w:val="006D521A"/>
    <w:rsid w:val="006D612F"/>
    <w:rsid w:val="006D64E3"/>
    <w:rsid w:val="006D674F"/>
    <w:rsid w:val="006D692F"/>
    <w:rsid w:val="006D6CB3"/>
    <w:rsid w:val="006D7282"/>
    <w:rsid w:val="006D76DA"/>
    <w:rsid w:val="006D7FAF"/>
    <w:rsid w:val="006E02CE"/>
    <w:rsid w:val="006E0706"/>
    <w:rsid w:val="006E07A6"/>
    <w:rsid w:val="006E0B58"/>
    <w:rsid w:val="006E0E96"/>
    <w:rsid w:val="006E138C"/>
    <w:rsid w:val="006E13E1"/>
    <w:rsid w:val="006E1836"/>
    <w:rsid w:val="006E1891"/>
    <w:rsid w:val="006E218C"/>
    <w:rsid w:val="006E22DE"/>
    <w:rsid w:val="006E2384"/>
    <w:rsid w:val="006E252E"/>
    <w:rsid w:val="006E31E3"/>
    <w:rsid w:val="006E3431"/>
    <w:rsid w:val="006E36B6"/>
    <w:rsid w:val="006E429A"/>
    <w:rsid w:val="006E42C4"/>
    <w:rsid w:val="006E49CC"/>
    <w:rsid w:val="006E4C44"/>
    <w:rsid w:val="006E4EC9"/>
    <w:rsid w:val="006E50B2"/>
    <w:rsid w:val="006E51DE"/>
    <w:rsid w:val="006E559E"/>
    <w:rsid w:val="006E571E"/>
    <w:rsid w:val="006E58E9"/>
    <w:rsid w:val="006E60C1"/>
    <w:rsid w:val="006E66F9"/>
    <w:rsid w:val="006E67FB"/>
    <w:rsid w:val="006E6951"/>
    <w:rsid w:val="006E6A3C"/>
    <w:rsid w:val="006E6BF0"/>
    <w:rsid w:val="006E6E0D"/>
    <w:rsid w:val="006E7015"/>
    <w:rsid w:val="006E7251"/>
    <w:rsid w:val="006E745C"/>
    <w:rsid w:val="006E7DC9"/>
    <w:rsid w:val="006E7F3A"/>
    <w:rsid w:val="006F00D5"/>
    <w:rsid w:val="006F0115"/>
    <w:rsid w:val="006F01E9"/>
    <w:rsid w:val="006F071C"/>
    <w:rsid w:val="006F0A85"/>
    <w:rsid w:val="006F1291"/>
    <w:rsid w:val="006F137D"/>
    <w:rsid w:val="006F1A67"/>
    <w:rsid w:val="006F2172"/>
    <w:rsid w:val="006F2196"/>
    <w:rsid w:val="006F2203"/>
    <w:rsid w:val="006F2541"/>
    <w:rsid w:val="006F2594"/>
    <w:rsid w:val="006F25EC"/>
    <w:rsid w:val="006F2CC6"/>
    <w:rsid w:val="006F2E70"/>
    <w:rsid w:val="006F2FA2"/>
    <w:rsid w:val="006F32F7"/>
    <w:rsid w:val="006F339C"/>
    <w:rsid w:val="006F3685"/>
    <w:rsid w:val="006F392B"/>
    <w:rsid w:val="006F3A36"/>
    <w:rsid w:val="006F3AF4"/>
    <w:rsid w:val="006F3D17"/>
    <w:rsid w:val="006F452C"/>
    <w:rsid w:val="006F4F94"/>
    <w:rsid w:val="006F51E0"/>
    <w:rsid w:val="006F5659"/>
    <w:rsid w:val="006F58DE"/>
    <w:rsid w:val="006F5DE0"/>
    <w:rsid w:val="006F5F0C"/>
    <w:rsid w:val="006F5F8B"/>
    <w:rsid w:val="006F64FB"/>
    <w:rsid w:val="006F6CFD"/>
    <w:rsid w:val="006F6E95"/>
    <w:rsid w:val="006F6EBC"/>
    <w:rsid w:val="006F71CA"/>
    <w:rsid w:val="006F750B"/>
    <w:rsid w:val="007007BD"/>
    <w:rsid w:val="007007CB"/>
    <w:rsid w:val="00700865"/>
    <w:rsid w:val="0070090C"/>
    <w:rsid w:val="00700CAB"/>
    <w:rsid w:val="00700D0D"/>
    <w:rsid w:val="00700D92"/>
    <w:rsid w:val="00700D9A"/>
    <w:rsid w:val="007011C1"/>
    <w:rsid w:val="0070150D"/>
    <w:rsid w:val="00701AB3"/>
    <w:rsid w:val="00701C2A"/>
    <w:rsid w:val="00701EE9"/>
    <w:rsid w:val="0070204E"/>
    <w:rsid w:val="00702191"/>
    <w:rsid w:val="007025D8"/>
    <w:rsid w:val="00702673"/>
    <w:rsid w:val="00702D39"/>
    <w:rsid w:val="0070316A"/>
    <w:rsid w:val="00703333"/>
    <w:rsid w:val="007037B2"/>
    <w:rsid w:val="00703801"/>
    <w:rsid w:val="007039A5"/>
    <w:rsid w:val="00703B8E"/>
    <w:rsid w:val="00703E2F"/>
    <w:rsid w:val="00704964"/>
    <w:rsid w:val="007049B1"/>
    <w:rsid w:val="00705023"/>
    <w:rsid w:val="007055BC"/>
    <w:rsid w:val="007055BE"/>
    <w:rsid w:val="00705968"/>
    <w:rsid w:val="0070598E"/>
    <w:rsid w:val="00706A87"/>
    <w:rsid w:val="00706DDC"/>
    <w:rsid w:val="007073CB"/>
    <w:rsid w:val="0070743D"/>
    <w:rsid w:val="007078AA"/>
    <w:rsid w:val="00707B1F"/>
    <w:rsid w:val="00710469"/>
    <w:rsid w:val="00710732"/>
    <w:rsid w:val="0071169F"/>
    <w:rsid w:val="00711807"/>
    <w:rsid w:val="00711A7D"/>
    <w:rsid w:val="00712350"/>
    <w:rsid w:val="007133C7"/>
    <w:rsid w:val="007140EF"/>
    <w:rsid w:val="00714402"/>
    <w:rsid w:val="007148D0"/>
    <w:rsid w:val="00714F59"/>
    <w:rsid w:val="007150AE"/>
    <w:rsid w:val="007153A6"/>
    <w:rsid w:val="00715A0F"/>
    <w:rsid w:val="00715CF0"/>
    <w:rsid w:val="00716291"/>
    <w:rsid w:val="0071642F"/>
    <w:rsid w:val="00716EE9"/>
    <w:rsid w:val="00716F02"/>
    <w:rsid w:val="007172D6"/>
    <w:rsid w:val="00717479"/>
    <w:rsid w:val="00717554"/>
    <w:rsid w:val="0071777C"/>
    <w:rsid w:val="00717AE2"/>
    <w:rsid w:val="0072008B"/>
    <w:rsid w:val="00721216"/>
    <w:rsid w:val="00721492"/>
    <w:rsid w:val="007214B9"/>
    <w:rsid w:val="00721BFC"/>
    <w:rsid w:val="00721CCA"/>
    <w:rsid w:val="00721DF9"/>
    <w:rsid w:val="00721F5C"/>
    <w:rsid w:val="00722110"/>
    <w:rsid w:val="0072218F"/>
    <w:rsid w:val="00722663"/>
    <w:rsid w:val="00722677"/>
    <w:rsid w:val="00722766"/>
    <w:rsid w:val="007227CD"/>
    <w:rsid w:val="007228A4"/>
    <w:rsid w:val="007228CD"/>
    <w:rsid w:val="00722C08"/>
    <w:rsid w:val="00722F03"/>
    <w:rsid w:val="00723324"/>
    <w:rsid w:val="00723862"/>
    <w:rsid w:val="0072386D"/>
    <w:rsid w:val="00723961"/>
    <w:rsid w:val="00723E4B"/>
    <w:rsid w:val="007249B2"/>
    <w:rsid w:val="00724B2E"/>
    <w:rsid w:val="00724BB7"/>
    <w:rsid w:val="00724C91"/>
    <w:rsid w:val="007253E0"/>
    <w:rsid w:val="007254EA"/>
    <w:rsid w:val="0072577D"/>
    <w:rsid w:val="0072596D"/>
    <w:rsid w:val="00725B96"/>
    <w:rsid w:val="00726068"/>
    <w:rsid w:val="0072699C"/>
    <w:rsid w:val="00726A4B"/>
    <w:rsid w:val="00726BED"/>
    <w:rsid w:val="00726E46"/>
    <w:rsid w:val="00726FBC"/>
    <w:rsid w:val="007270E8"/>
    <w:rsid w:val="00727353"/>
    <w:rsid w:val="007277A5"/>
    <w:rsid w:val="0073013C"/>
    <w:rsid w:val="007302CF"/>
    <w:rsid w:val="007303CE"/>
    <w:rsid w:val="00730ADD"/>
    <w:rsid w:val="00730B4E"/>
    <w:rsid w:val="00730C7F"/>
    <w:rsid w:val="00730E21"/>
    <w:rsid w:val="00730F69"/>
    <w:rsid w:val="00731610"/>
    <w:rsid w:val="00731877"/>
    <w:rsid w:val="007319A2"/>
    <w:rsid w:val="00731B42"/>
    <w:rsid w:val="007320AF"/>
    <w:rsid w:val="007320F1"/>
    <w:rsid w:val="007324CA"/>
    <w:rsid w:val="007327FC"/>
    <w:rsid w:val="00732C6B"/>
    <w:rsid w:val="00732E71"/>
    <w:rsid w:val="00733382"/>
    <w:rsid w:val="00733BAA"/>
    <w:rsid w:val="00733EC5"/>
    <w:rsid w:val="0073400B"/>
    <w:rsid w:val="00734063"/>
    <w:rsid w:val="007340FA"/>
    <w:rsid w:val="0073421F"/>
    <w:rsid w:val="0073438D"/>
    <w:rsid w:val="0073457E"/>
    <w:rsid w:val="007348DE"/>
    <w:rsid w:val="00734AEC"/>
    <w:rsid w:val="00734D71"/>
    <w:rsid w:val="00734F5F"/>
    <w:rsid w:val="007353E0"/>
    <w:rsid w:val="0073575E"/>
    <w:rsid w:val="00735AFF"/>
    <w:rsid w:val="00735C3E"/>
    <w:rsid w:val="00735D06"/>
    <w:rsid w:val="00736632"/>
    <w:rsid w:val="00736736"/>
    <w:rsid w:val="00736CF7"/>
    <w:rsid w:val="00736D94"/>
    <w:rsid w:val="0073721A"/>
    <w:rsid w:val="007373F7"/>
    <w:rsid w:val="007375CB"/>
    <w:rsid w:val="00737C14"/>
    <w:rsid w:val="00737CB7"/>
    <w:rsid w:val="00737F1F"/>
    <w:rsid w:val="0074012F"/>
    <w:rsid w:val="0074016D"/>
    <w:rsid w:val="0074023F"/>
    <w:rsid w:val="00740407"/>
    <w:rsid w:val="007406AF"/>
    <w:rsid w:val="0074084A"/>
    <w:rsid w:val="00740946"/>
    <w:rsid w:val="00740AE7"/>
    <w:rsid w:val="00740E2C"/>
    <w:rsid w:val="00741457"/>
    <w:rsid w:val="007417DD"/>
    <w:rsid w:val="00741D92"/>
    <w:rsid w:val="0074219E"/>
    <w:rsid w:val="007423A6"/>
    <w:rsid w:val="0074285B"/>
    <w:rsid w:val="00743609"/>
    <w:rsid w:val="00743BEA"/>
    <w:rsid w:val="00743D8C"/>
    <w:rsid w:val="0074416E"/>
    <w:rsid w:val="0074568C"/>
    <w:rsid w:val="00745702"/>
    <w:rsid w:val="00745A67"/>
    <w:rsid w:val="00745C9E"/>
    <w:rsid w:val="00746199"/>
    <w:rsid w:val="007464E3"/>
    <w:rsid w:val="0074687D"/>
    <w:rsid w:val="00746D77"/>
    <w:rsid w:val="00747A4A"/>
    <w:rsid w:val="00747F5F"/>
    <w:rsid w:val="00747FF0"/>
    <w:rsid w:val="007500B9"/>
    <w:rsid w:val="00750120"/>
    <w:rsid w:val="007504B2"/>
    <w:rsid w:val="00750A0F"/>
    <w:rsid w:val="00750A9E"/>
    <w:rsid w:val="00750B31"/>
    <w:rsid w:val="00750BBB"/>
    <w:rsid w:val="00750F17"/>
    <w:rsid w:val="007514F5"/>
    <w:rsid w:val="007518E1"/>
    <w:rsid w:val="0075196F"/>
    <w:rsid w:val="00751B18"/>
    <w:rsid w:val="00752803"/>
    <w:rsid w:val="0075290C"/>
    <w:rsid w:val="007529AD"/>
    <w:rsid w:val="00752AF5"/>
    <w:rsid w:val="007534C4"/>
    <w:rsid w:val="00753B94"/>
    <w:rsid w:val="00753EA9"/>
    <w:rsid w:val="0075453D"/>
    <w:rsid w:val="00755026"/>
    <w:rsid w:val="00755407"/>
    <w:rsid w:val="00755559"/>
    <w:rsid w:val="0075556E"/>
    <w:rsid w:val="00755778"/>
    <w:rsid w:val="00755788"/>
    <w:rsid w:val="00755AE1"/>
    <w:rsid w:val="0075637C"/>
    <w:rsid w:val="00756C99"/>
    <w:rsid w:val="007575A2"/>
    <w:rsid w:val="00757910"/>
    <w:rsid w:val="0076023F"/>
    <w:rsid w:val="00760B52"/>
    <w:rsid w:val="00760DE0"/>
    <w:rsid w:val="0076114F"/>
    <w:rsid w:val="00761550"/>
    <w:rsid w:val="007616C0"/>
    <w:rsid w:val="007617D9"/>
    <w:rsid w:val="00761CB0"/>
    <w:rsid w:val="007623D4"/>
    <w:rsid w:val="0076272A"/>
    <w:rsid w:val="00762838"/>
    <w:rsid w:val="00762C64"/>
    <w:rsid w:val="0076303C"/>
    <w:rsid w:val="007633AA"/>
    <w:rsid w:val="007633E3"/>
    <w:rsid w:val="00763964"/>
    <w:rsid w:val="00763BE8"/>
    <w:rsid w:val="00763E66"/>
    <w:rsid w:val="00763E85"/>
    <w:rsid w:val="00764045"/>
    <w:rsid w:val="00764A01"/>
    <w:rsid w:val="00764C55"/>
    <w:rsid w:val="00764C5D"/>
    <w:rsid w:val="00764D54"/>
    <w:rsid w:val="00764F05"/>
    <w:rsid w:val="007650DC"/>
    <w:rsid w:val="00765182"/>
    <w:rsid w:val="0076528E"/>
    <w:rsid w:val="007655B8"/>
    <w:rsid w:val="007655EB"/>
    <w:rsid w:val="00765659"/>
    <w:rsid w:val="00765AD8"/>
    <w:rsid w:val="00765BEA"/>
    <w:rsid w:val="00765DB6"/>
    <w:rsid w:val="00765F05"/>
    <w:rsid w:val="00765F37"/>
    <w:rsid w:val="0076626F"/>
    <w:rsid w:val="0076631B"/>
    <w:rsid w:val="00766452"/>
    <w:rsid w:val="00766989"/>
    <w:rsid w:val="007669C2"/>
    <w:rsid w:val="00766D59"/>
    <w:rsid w:val="00766E78"/>
    <w:rsid w:val="0076723C"/>
    <w:rsid w:val="00767614"/>
    <w:rsid w:val="00767934"/>
    <w:rsid w:val="00767E26"/>
    <w:rsid w:val="00770199"/>
    <w:rsid w:val="0077039E"/>
    <w:rsid w:val="007704F5"/>
    <w:rsid w:val="00770778"/>
    <w:rsid w:val="00770990"/>
    <w:rsid w:val="00770ACE"/>
    <w:rsid w:val="00770BB5"/>
    <w:rsid w:val="00770E4A"/>
    <w:rsid w:val="00770FEB"/>
    <w:rsid w:val="0077119D"/>
    <w:rsid w:val="007711E9"/>
    <w:rsid w:val="0077186E"/>
    <w:rsid w:val="00771E34"/>
    <w:rsid w:val="00771EC4"/>
    <w:rsid w:val="00771F6F"/>
    <w:rsid w:val="0077229C"/>
    <w:rsid w:val="00772AB6"/>
    <w:rsid w:val="00772BC9"/>
    <w:rsid w:val="0077361F"/>
    <w:rsid w:val="00773E3B"/>
    <w:rsid w:val="0077433E"/>
    <w:rsid w:val="0077448C"/>
    <w:rsid w:val="0077451E"/>
    <w:rsid w:val="00774566"/>
    <w:rsid w:val="00774661"/>
    <w:rsid w:val="00774C95"/>
    <w:rsid w:val="00774EE0"/>
    <w:rsid w:val="00774F33"/>
    <w:rsid w:val="0077534C"/>
    <w:rsid w:val="00775899"/>
    <w:rsid w:val="00775E96"/>
    <w:rsid w:val="007760CF"/>
    <w:rsid w:val="00776305"/>
    <w:rsid w:val="00776951"/>
    <w:rsid w:val="00776A91"/>
    <w:rsid w:val="00776BCE"/>
    <w:rsid w:val="00776D3F"/>
    <w:rsid w:val="00776DCA"/>
    <w:rsid w:val="007775B4"/>
    <w:rsid w:val="00777849"/>
    <w:rsid w:val="00780061"/>
    <w:rsid w:val="0078042F"/>
    <w:rsid w:val="0078050E"/>
    <w:rsid w:val="00780568"/>
    <w:rsid w:val="0078070D"/>
    <w:rsid w:val="007807D1"/>
    <w:rsid w:val="00780A4F"/>
    <w:rsid w:val="007813F8"/>
    <w:rsid w:val="007814E6"/>
    <w:rsid w:val="0078161B"/>
    <w:rsid w:val="007817EB"/>
    <w:rsid w:val="00781920"/>
    <w:rsid w:val="00781A26"/>
    <w:rsid w:val="00781FED"/>
    <w:rsid w:val="00782455"/>
    <w:rsid w:val="00782E5B"/>
    <w:rsid w:val="00783D79"/>
    <w:rsid w:val="00783E4F"/>
    <w:rsid w:val="00784567"/>
    <w:rsid w:val="00784586"/>
    <w:rsid w:val="007845F6"/>
    <w:rsid w:val="00784761"/>
    <w:rsid w:val="00784A1C"/>
    <w:rsid w:val="0078521C"/>
    <w:rsid w:val="0078530F"/>
    <w:rsid w:val="00785518"/>
    <w:rsid w:val="007855E0"/>
    <w:rsid w:val="00785CBC"/>
    <w:rsid w:val="00785E08"/>
    <w:rsid w:val="0078625B"/>
    <w:rsid w:val="0078662D"/>
    <w:rsid w:val="00786A0B"/>
    <w:rsid w:val="00786F19"/>
    <w:rsid w:val="007870C0"/>
    <w:rsid w:val="0078767C"/>
    <w:rsid w:val="007878D6"/>
    <w:rsid w:val="00787959"/>
    <w:rsid w:val="00787A15"/>
    <w:rsid w:val="00787BF4"/>
    <w:rsid w:val="00787C0C"/>
    <w:rsid w:val="00787C81"/>
    <w:rsid w:val="00787E00"/>
    <w:rsid w:val="00790411"/>
    <w:rsid w:val="00790A48"/>
    <w:rsid w:val="00791579"/>
    <w:rsid w:val="007916BA"/>
    <w:rsid w:val="00791B66"/>
    <w:rsid w:val="00791BC3"/>
    <w:rsid w:val="0079267E"/>
    <w:rsid w:val="00793251"/>
    <w:rsid w:val="007935B2"/>
    <w:rsid w:val="00793AE9"/>
    <w:rsid w:val="00793CC3"/>
    <w:rsid w:val="00794134"/>
    <w:rsid w:val="00794171"/>
    <w:rsid w:val="007942CC"/>
    <w:rsid w:val="00794792"/>
    <w:rsid w:val="007947F9"/>
    <w:rsid w:val="0079504F"/>
    <w:rsid w:val="007953BE"/>
    <w:rsid w:val="0079570F"/>
    <w:rsid w:val="00795744"/>
    <w:rsid w:val="007958B6"/>
    <w:rsid w:val="00795F9D"/>
    <w:rsid w:val="00796B35"/>
    <w:rsid w:val="00796BCF"/>
    <w:rsid w:val="00796BF8"/>
    <w:rsid w:val="00797000"/>
    <w:rsid w:val="0079705A"/>
    <w:rsid w:val="00797337"/>
    <w:rsid w:val="00797568"/>
    <w:rsid w:val="00797BDB"/>
    <w:rsid w:val="00797E20"/>
    <w:rsid w:val="007A0734"/>
    <w:rsid w:val="007A1B9D"/>
    <w:rsid w:val="007A1C9C"/>
    <w:rsid w:val="007A2213"/>
    <w:rsid w:val="007A2231"/>
    <w:rsid w:val="007A2677"/>
    <w:rsid w:val="007A289C"/>
    <w:rsid w:val="007A2CFD"/>
    <w:rsid w:val="007A30FA"/>
    <w:rsid w:val="007A343C"/>
    <w:rsid w:val="007A3BE4"/>
    <w:rsid w:val="007A40D6"/>
    <w:rsid w:val="007A4657"/>
    <w:rsid w:val="007A497F"/>
    <w:rsid w:val="007A4A69"/>
    <w:rsid w:val="007A50B1"/>
    <w:rsid w:val="007A534F"/>
    <w:rsid w:val="007A5AC0"/>
    <w:rsid w:val="007A5B5D"/>
    <w:rsid w:val="007A5F3B"/>
    <w:rsid w:val="007A634F"/>
    <w:rsid w:val="007A6B75"/>
    <w:rsid w:val="007A72CA"/>
    <w:rsid w:val="007A75A9"/>
    <w:rsid w:val="007A75CE"/>
    <w:rsid w:val="007A76C2"/>
    <w:rsid w:val="007A7B1B"/>
    <w:rsid w:val="007B0316"/>
    <w:rsid w:val="007B0780"/>
    <w:rsid w:val="007B0B47"/>
    <w:rsid w:val="007B0BC0"/>
    <w:rsid w:val="007B0F7A"/>
    <w:rsid w:val="007B1741"/>
    <w:rsid w:val="007B1E42"/>
    <w:rsid w:val="007B20D3"/>
    <w:rsid w:val="007B244C"/>
    <w:rsid w:val="007B282D"/>
    <w:rsid w:val="007B2D37"/>
    <w:rsid w:val="007B2FCA"/>
    <w:rsid w:val="007B32B3"/>
    <w:rsid w:val="007B3401"/>
    <w:rsid w:val="007B34F4"/>
    <w:rsid w:val="007B465C"/>
    <w:rsid w:val="007B4F26"/>
    <w:rsid w:val="007B50F3"/>
    <w:rsid w:val="007B5240"/>
    <w:rsid w:val="007B539B"/>
    <w:rsid w:val="007B5470"/>
    <w:rsid w:val="007B5678"/>
    <w:rsid w:val="007B5969"/>
    <w:rsid w:val="007B5991"/>
    <w:rsid w:val="007B5997"/>
    <w:rsid w:val="007B59CF"/>
    <w:rsid w:val="007B5AB2"/>
    <w:rsid w:val="007B5AC7"/>
    <w:rsid w:val="007B5AF1"/>
    <w:rsid w:val="007B5D6F"/>
    <w:rsid w:val="007B5FBB"/>
    <w:rsid w:val="007B66A3"/>
    <w:rsid w:val="007B66B1"/>
    <w:rsid w:val="007B6CFC"/>
    <w:rsid w:val="007B6D34"/>
    <w:rsid w:val="007B6DB9"/>
    <w:rsid w:val="007B7617"/>
    <w:rsid w:val="007B76EF"/>
    <w:rsid w:val="007B773A"/>
    <w:rsid w:val="007B7976"/>
    <w:rsid w:val="007B7C05"/>
    <w:rsid w:val="007B7CBC"/>
    <w:rsid w:val="007B7E2A"/>
    <w:rsid w:val="007C0212"/>
    <w:rsid w:val="007C03A6"/>
    <w:rsid w:val="007C05CA"/>
    <w:rsid w:val="007C066B"/>
    <w:rsid w:val="007C07C6"/>
    <w:rsid w:val="007C07E1"/>
    <w:rsid w:val="007C087B"/>
    <w:rsid w:val="007C0A8A"/>
    <w:rsid w:val="007C10F8"/>
    <w:rsid w:val="007C1324"/>
    <w:rsid w:val="007C1616"/>
    <w:rsid w:val="007C1DCE"/>
    <w:rsid w:val="007C1F4E"/>
    <w:rsid w:val="007C2019"/>
    <w:rsid w:val="007C2360"/>
    <w:rsid w:val="007C237C"/>
    <w:rsid w:val="007C25E2"/>
    <w:rsid w:val="007C277C"/>
    <w:rsid w:val="007C2864"/>
    <w:rsid w:val="007C2F4D"/>
    <w:rsid w:val="007C3229"/>
    <w:rsid w:val="007C3972"/>
    <w:rsid w:val="007C39F9"/>
    <w:rsid w:val="007C3B49"/>
    <w:rsid w:val="007C4161"/>
    <w:rsid w:val="007C4805"/>
    <w:rsid w:val="007C4D50"/>
    <w:rsid w:val="007C4F91"/>
    <w:rsid w:val="007C5010"/>
    <w:rsid w:val="007C5013"/>
    <w:rsid w:val="007C560F"/>
    <w:rsid w:val="007C5CD0"/>
    <w:rsid w:val="007C5F63"/>
    <w:rsid w:val="007C633D"/>
    <w:rsid w:val="007C66B8"/>
    <w:rsid w:val="007C6746"/>
    <w:rsid w:val="007C68B0"/>
    <w:rsid w:val="007C7689"/>
    <w:rsid w:val="007C7C3B"/>
    <w:rsid w:val="007C7F68"/>
    <w:rsid w:val="007D004D"/>
    <w:rsid w:val="007D0128"/>
    <w:rsid w:val="007D01AB"/>
    <w:rsid w:val="007D04FF"/>
    <w:rsid w:val="007D05AF"/>
    <w:rsid w:val="007D09C0"/>
    <w:rsid w:val="007D0AB6"/>
    <w:rsid w:val="007D0CE8"/>
    <w:rsid w:val="007D0FF4"/>
    <w:rsid w:val="007D0FF5"/>
    <w:rsid w:val="007D1607"/>
    <w:rsid w:val="007D177B"/>
    <w:rsid w:val="007D19CC"/>
    <w:rsid w:val="007D1A6F"/>
    <w:rsid w:val="007D1B54"/>
    <w:rsid w:val="007D1DB3"/>
    <w:rsid w:val="007D1F3A"/>
    <w:rsid w:val="007D215D"/>
    <w:rsid w:val="007D2553"/>
    <w:rsid w:val="007D2835"/>
    <w:rsid w:val="007D2A4E"/>
    <w:rsid w:val="007D2D77"/>
    <w:rsid w:val="007D3BB9"/>
    <w:rsid w:val="007D3C0A"/>
    <w:rsid w:val="007D3D79"/>
    <w:rsid w:val="007D428C"/>
    <w:rsid w:val="007D42E5"/>
    <w:rsid w:val="007D4540"/>
    <w:rsid w:val="007D49CA"/>
    <w:rsid w:val="007D4BAB"/>
    <w:rsid w:val="007D4C94"/>
    <w:rsid w:val="007D4D3C"/>
    <w:rsid w:val="007D4F0E"/>
    <w:rsid w:val="007D54CA"/>
    <w:rsid w:val="007D5AFB"/>
    <w:rsid w:val="007D6351"/>
    <w:rsid w:val="007D66B7"/>
    <w:rsid w:val="007D679F"/>
    <w:rsid w:val="007D6856"/>
    <w:rsid w:val="007D6EE7"/>
    <w:rsid w:val="007D7110"/>
    <w:rsid w:val="007D72FC"/>
    <w:rsid w:val="007D7942"/>
    <w:rsid w:val="007D7A71"/>
    <w:rsid w:val="007E0016"/>
    <w:rsid w:val="007E0138"/>
    <w:rsid w:val="007E1049"/>
    <w:rsid w:val="007E121E"/>
    <w:rsid w:val="007E15D0"/>
    <w:rsid w:val="007E19AD"/>
    <w:rsid w:val="007E1C4D"/>
    <w:rsid w:val="007E22E4"/>
    <w:rsid w:val="007E2A00"/>
    <w:rsid w:val="007E2A18"/>
    <w:rsid w:val="007E2B2A"/>
    <w:rsid w:val="007E2CF7"/>
    <w:rsid w:val="007E2D2E"/>
    <w:rsid w:val="007E2D9B"/>
    <w:rsid w:val="007E3198"/>
    <w:rsid w:val="007E3268"/>
    <w:rsid w:val="007E3374"/>
    <w:rsid w:val="007E39D3"/>
    <w:rsid w:val="007E3F1E"/>
    <w:rsid w:val="007E41BC"/>
    <w:rsid w:val="007E41D4"/>
    <w:rsid w:val="007E41FC"/>
    <w:rsid w:val="007E43E1"/>
    <w:rsid w:val="007E443A"/>
    <w:rsid w:val="007E472E"/>
    <w:rsid w:val="007E4BD9"/>
    <w:rsid w:val="007E4EC8"/>
    <w:rsid w:val="007E5684"/>
    <w:rsid w:val="007E56B8"/>
    <w:rsid w:val="007E56BC"/>
    <w:rsid w:val="007E6469"/>
    <w:rsid w:val="007E67F1"/>
    <w:rsid w:val="007E6A89"/>
    <w:rsid w:val="007E7011"/>
    <w:rsid w:val="007E7537"/>
    <w:rsid w:val="007E75BF"/>
    <w:rsid w:val="007E7900"/>
    <w:rsid w:val="007F0040"/>
    <w:rsid w:val="007F041C"/>
    <w:rsid w:val="007F08DE"/>
    <w:rsid w:val="007F11C9"/>
    <w:rsid w:val="007F1956"/>
    <w:rsid w:val="007F1A13"/>
    <w:rsid w:val="007F2327"/>
    <w:rsid w:val="007F2332"/>
    <w:rsid w:val="007F24AA"/>
    <w:rsid w:val="007F267B"/>
    <w:rsid w:val="007F26C1"/>
    <w:rsid w:val="007F2A1D"/>
    <w:rsid w:val="007F313F"/>
    <w:rsid w:val="007F3154"/>
    <w:rsid w:val="007F32B4"/>
    <w:rsid w:val="007F37B2"/>
    <w:rsid w:val="007F37BE"/>
    <w:rsid w:val="007F396F"/>
    <w:rsid w:val="007F39D3"/>
    <w:rsid w:val="007F39E2"/>
    <w:rsid w:val="007F3D59"/>
    <w:rsid w:val="007F3EDD"/>
    <w:rsid w:val="007F3FF9"/>
    <w:rsid w:val="007F4001"/>
    <w:rsid w:val="007F456A"/>
    <w:rsid w:val="007F4741"/>
    <w:rsid w:val="007F498F"/>
    <w:rsid w:val="007F4DFC"/>
    <w:rsid w:val="007F563C"/>
    <w:rsid w:val="007F5A7F"/>
    <w:rsid w:val="007F5F6F"/>
    <w:rsid w:val="007F5F7B"/>
    <w:rsid w:val="007F605E"/>
    <w:rsid w:val="007F61FC"/>
    <w:rsid w:val="007F6826"/>
    <w:rsid w:val="007F68BD"/>
    <w:rsid w:val="007F6A2C"/>
    <w:rsid w:val="007F6B9B"/>
    <w:rsid w:val="007F70EC"/>
    <w:rsid w:val="007F7502"/>
    <w:rsid w:val="007F7995"/>
    <w:rsid w:val="007F7AE2"/>
    <w:rsid w:val="00800145"/>
    <w:rsid w:val="00800253"/>
    <w:rsid w:val="008002F7"/>
    <w:rsid w:val="008005C0"/>
    <w:rsid w:val="008007F7"/>
    <w:rsid w:val="008009A1"/>
    <w:rsid w:val="00800A79"/>
    <w:rsid w:val="00800D7B"/>
    <w:rsid w:val="008011CA"/>
    <w:rsid w:val="008016B5"/>
    <w:rsid w:val="00801B1F"/>
    <w:rsid w:val="0080207C"/>
    <w:rsid w:val="008021F8"/>
    <w:rsid w:val="00802977"/>
    <w:rsid w:val="008029A4"/>
    <w:rsid w:val="00802F4B"/>
    <w:rsid w:val="00803030"/>
    <w:rsid w:val="00803061"/>
    <w:rsid w:val="0080326D"/>
    <w:rsid w:val="00803374"/>
    <w:rsid w:val="0080358E"/>
    <w:rsid w:val="008037C2"/>
    <w:rsid w:val="008037DB"/>
    <w:rsid w:val="00803A71"/>
    <w:rsid w:val="00803F74"/>
    <w:rsid w:val="00804374"/>
    <w:rsid w:val="00804B71"/>
    <w:rsid w:val="00804CC0"/>
    <w:rsid w:val="00804D06"/>
    <w:rsid w:val="008050B2"/>
    <w:rsid w:val="00805225"/>
    <w:rsid w:val="0080545F"/>
    <w:rsid w:val="00805B75"/>
    <w:rsid w:val="00805C63"/>
    <w:rsid w:val="00806028"/>
    <w:rsid w:val="0080624D"/>
    <w:rsid w:val="00806400"/>
    <w:rsid w:val="00806688"/>
    <w:rsid w:val="00806C47"/>
    <w:rsid w:val="00806E85"/>
    <w:rsid w:val="00807481"/>
    <w:rsid w:val="008074B5"/>
    <w:rsid w:val="00807613"/>
    <w:rsid w:val="008077EF"/>
    <w:rsid w:val="008079C3"/>
    <w:rsid w:val="00807AA1"/>
    <w:rsid w:val="00807ADB"/>
    <w:rsid w:val="008106DD"/>
    <w:rsid w:val="008108C1"/>
    <w:rsid w:val="008112BC"/>
    <w:rsid w:val="00811781"/>
    <w:rsid w:val="008118EC"/>
    <w:rsid w:val="00811B1C"/>
    <w:rsid w:val="00811CE3"/>
    <w:rsid w:val="0081214F"/>
    <w:rsid w:val="008127BC"/>
    <w:rsid w:val="008128E0"/>
    <w:rsid w:val="00812B68"/>
    <w:rsid w:val="00812CDB"/>
    <w:rsid w:val="00812E00"/>
    <w:rsid w:val="00812EEC"/>
    <w:rsid w:val="00812F95"/>
    <w:rsid w:val="00813334"/>
    <w:rsid w:val="00813951"/>
    <w:rsid w:val="00813A4B"/>
    <w:rsid w:val="00813BE6"/>
    <w:rsid w:val="00814029"/>
    <w:rsid w:val="00814218"/>
    <w:rsid w:val="00814A9A"/>
    <w:rsid w:val="008151A9"/>
    <w:rsid w:val="00815341"/>
    <w:rsid w:val="00815676"/>
    <w:rsid w:val="008156DA"/>
    <w:rsid w:val="0081584C"/>
    <w:rsid w:val="008158A0"/>
    <w:rsid w:val="008158D3"/>
    <w:rsid w:val="00816757"/>
    <w:rsid w:val="0081677C"/>
    <w:rsid w:val="00816949"/>
    <w:rsid w:val="00816AF2"/>
    <w:rsid w:val="00816C71"/>
    <w:rsid w:val="008173CC"/>
    <w:rsid w:val="00817502"/>
    <w:rsid w:val="00817932"/>
    <w:rsid w:val="00817AAE"/>
    <w:rsid w:val="00817BFA"/>
    <w:rsid w:val="00817CB3"/>
    <w:rsid w:val="00817E9B"/>
    <w:rsid w:val="00817FED"/>
    <w:rsid w:val="0082004A"/>
    <w:rsid w:val="0082020A"/>
    <w:rsid w:val="008205BB"/>
    <w:rsid w:val="00820722"/>
    <w:rsid w:val="008207B0"/>
    <w:rsid w:val="00820953"/>
    <w:rsid w:val="00821867"/>
    <w:rsid w:val="00821B81"/>
    <w:rsid w:val="0082202C"/>
    <w:rsid w:val="00822899"/>
    <w:rsid w:val="0082292C"/>
    <w:rsid w:val="00822B54"/>
    <w:rsid w:val="00822FB8"/>
    <w:rsid w:val="00823001"/>
    <w:rsid w:val="00823126"/>
    <w:rsid w:val="0082379A"/>
    <w:rsid w:val="00823A1A"/>
    <w:rsid w:val="00823D86"/>
    <w:rsid w:val="00824329"/>
    <w:rsid w:val="0082445A"/>
    <w:rsid w:val="0082464F"/>
    <w:rsid w:val="008246E3"/>
    <w:rsid w:val="0082480B"/>
    <w:rsid w:val="0082491F"/>
    <w:rsid w:val="00824DFE"/>
    <w:rsid w:val="00824F29"/>
    <w:rsid w:val="00825197"/>
    <w:rsid w:val="0082534C"/>
    <w:rsid w:val="008254D1"/>
    <w:rsid w:val="00825933"/>
    <w:rsid w:val="00825BC6"/>
    <w:rsid w:val="00825E17"/>
    <w:rsid w:val="00827239"/>
    <w:rsid w:val="008272CC"/>
    <w:rsid w:val="00827C86"/>
    <w:rsid w:val="00830154"/>
    <w:rsid w:val="00830AD1"/>
    <w:rsid w:val="00830E6C"/>
    <w:rsid w:val="00830EA0"/>
    <w:rsid w:val="0083100F"/>
    <w:rsid w:val="00831556"/>
    <w:rsid w:val="00831596"/>
    <w:rsid w:val="008316D8"/>
    <w:rsid w:val="00831C2B"/>
    <w:rsid w:val="00831EE4"/>
    <w:rsid w:val="008323F0"/>
    <w:rsid w:val="0083279E"/>
    <w:rsid w:val="008329E7"/>
    <w:rsid w:val="00832D29"/>
    <w:rsid w:val="00832DA5"/>
    <w:rsid w:val="0083322D"/>
    <w:rsid w:val="008332D9"/>
    <w:rsid w:val="00833309"/>
    <w:rsid w:val="0083351B"/>
    <w:rsid w:val="0083382D"/>
    <w:rsid w:val="0083390D"/>
    <w:rsid w:val="00833CDC"/>
    <w:rsid w:val="00833DC8"/>
    <w:rsid w:val="008345AB"/>
    <w:rsid w:val="008345C1"/>
    <w:rsid w:val="0083478A"/>
    <w:rsid w:val="00834866"/>
    <w:rsid w:val="00834F01"/>
    <w:rsid w:val="00834F42"/>
    <w:rsid w:val="00834FE7"/>
    <w:rsid w:val="00835692"/>
    <w:rsid w:val="00835782"/>
    <w:rsid w:val="00835A65"/>
    <w:rsid w:val="00835C09"/>
    <w:rsid w:val="00835DFC"/>
    <w:rsid w:val="00835F65"/>
    <w:rsid w:val="008368EB"/>
    <w:rsid w:val="00836C04"/>
    <w:rsid w:val="008371F4"/>
    <w:rsid w:val="00837535"/>
    <w:rsid w:val="00837817"/>
    <w:rsid w:val="00837B1F"/>
    <w:rsid w:val="00837BB3"/>
    <w:rsid w:val="00837D27"/>
    <w:rsid w:val="00837F95"/>
    <w:rsid w:val="008400A0"/>
    <w:rsid w:val="00840266"/>
    <w:rsid w:val="0084036D"/>
    <w:rsid w:val="00840714"/>
    <w:rsid w:val="0084089F"/>
    <w:rsid w:val="00840B90"/>
    <w:rsid w:val="008414D4"/>
    <w:rsid w:val="0084158B"/>
    <w:rsid w:val="00841884"/>
    <w:rsid w:val="00841916"/>
    <w:rsid w:val="00841EF0"/>
    <w:rsid w:val="00841F24"/>
    <w:rsid w:val="008420ED"/>
    <w:rsid w:val="008421EC"/>
    <w:rsid w:val="00842465"/>
    <w:rsid w:val="00842699"/>
    <w:rsid w:val="00842A04"/>
    <w:rsid w:val="00842EBB"/>
    <w:rsid w:val="00843237"/>
    <w:rsid w:val="008434A2"/>
    <w:rsid w:val="00843637"/>
    <w:rsid w:val="008439DB"/>
    <w:rsid w:val="00843A19"/>
    <w:rsid w:val="00843BDD"/>
    <w:rsid w:val="00843EFD"/>
    <w:rsid w:val="00843F47"/>
    <w:rsid w:val="00843F65"/>
    <w:rsid w:val="0084458A"/>
    <w:rsid w:val="00844952"/>
    <w:rsid w:val="008449EE"/>
    <w:rsid w:val="00844F57"/>
    <w:rsid w:val="0084505E"/>
    <w:rsid w:val="00845239"/>
    <w:rsid w:val="00845242"/>
    <w:rsid w:val="00845A38"/>
    <w:rsid w:val="00845D7C"/>
    <w:rsid w:val="00846875"/>
    <w:rsid w:val="00847593"/>
    <w:rsid w:val="00850148"/>
    <w:rsid w:val="00850340"/>
    <w:rsid w:val="0085070F"/>
    <w:rsid w:val="0085083F"/>
    <w:rsid w:val="00850BD3"/>
    <w:rsid w:val="00851125"/>
    <w:rsid w:val="00851342"/>
    <w:rsid w:val="00851689"/>
    <w:rsid w:val="00852046"/>
    <w:rsid w:val="00852B2A"/>
    <w:rsid w:val="00852D7A"/>
    <w:rsid w:val="008530A1"/>
    <w:rsid w:val="008531FE"/>
    <w:rsid w:val="00853602"/>
    <w:rsid w:val="00853792"/>
    <w:rsid w:val="0085383F"/>
    <w:rsid w:val="00853C71"/>
    <w:rsid w:val="00853EB3"/>
    <w:rsid w:val="00854C42"/>
    <w:rsid w:val="00855025"/>
    <w:rsid w:val="00855437"/>
    <w:rsid w:val="0085609C"/>
    <w:rsid w:val="008561DE"/>
    <w:rsid w:val="0085671E"/>
    <w:rsid w:val="00856981"/>
    <w:rsid w:val="008569C1"/>
    <w:rsid w:val="00856C3C"/>
    <w:rsid w:val="008571BB"/>
    <w:rsid w:val="00857266"/>
    <w:rsid w:val="0085733E"/>
    <w:rsid w:val="00857F28"/>
    <w:rsid w:val="0086000A"/>
    <w:rsid w:val="00860045"/>
    <w:rsid w:val="0086040E"/>
    <w:rsid w:val="00860607"/>
    <w:rsid w:val="00860668"/>
    <w:rsid w:val="008607FA"/>
    <w:rsid w:val="00860A78"/>
    <w:rsid w:val="00860B33"/>
    <w:rsid w:val="00861203"/>
    <w:rsid w:val="00861906"/>
    <w:rsid w:val="00861AAD"/>
    <w:rsid w:val="00861E12"/>
    <w:rsid w:val="00862ADE"/>
    <w:rsid w:val="00862BC1"/>
    <w:rsid w:val="008632D9"/>
    <w:rsid w:val="00863446"/>
    <w:rsid w:val="00863776"/>
    <w:rsid w:val="00863ACD"/>
    <w:rsid w:val="00863CE7"/>
    <w:rsid w:val="00863D70"/>
    <w:rsid w:val="00863E0C"/>
    <w:rsid w:val="00863F08"/>
    <w:rsid w:val="00864ABE"/>
    <w:rsid w:val="00864C92"/>
    <w:rsid w:val="00865057"/>
    <w:rsid w:val="00865149"/>
    <w:rsid w:val="0086560F"/>
    <w:rsid w:val="0086572C"/>
    <w:rsid w:val="00865A63"/>
    <w:rsid w:val="00865E46"/>
    <w:rsid w:val="008660FB"/>
    <w:rsid w:val="00866516"/>
    <w:rsid w:val="00866D0C"/>
    <w:rsid w:val="00867428"/>
    <w:rsid w:val="0086772A"/>
    <w:rsid w:val="00867DE8"/>
    <w:rsid w:val="00867F72"/>
    <w:rsid w:val="00870318"/>
    <w:rsid w:val="0087052A"/>
    <w:rsid w:val="0087056C"/>
    <w:rsid w:val="008708AD"/>
    <w:rsid w:val="00870915"/>
    <w:rsid w:val="00870A99"/>
    <w:rsid w:val="008710C3"/>
    <w:rsid w:val="008711BF"/>
    <w:rsid w:val="008716B3"/>
    <w:rsid w:val="0087170C"/>
    <w:rsid w:val="00871991"/>
    <w:rsid w:val="00871CCB"/>
    <w:rsid w:val="00872160"/>
    <w:rsid w:val="0087259F"/>
    <w:rsid w:val="008725E5"/>
    <w:rsid w:val="008727EC"/>
    <w:rsid w:val="00872BEC"/>
    <w:rsid w:val="00872C5C"/>
    <w:rsid w:val="00872DB5"/>
    <w:rsid w:val="00873348"/>
    <w:rsid w:val="00873673"/>
    <w:rsid w:val="00873959"/>
    <w:rsid w:val="00873ADC"/>
    <w:rsid w:val="00873F55"/>
    <w:rsid w:val="008741B5"/>
    <w:rsid w:val="0087425C"/>
    <w:rsid w:val="0087467C"/>
    <w:rsid w:val="00874ABE"/>
    <w:rsid w:val="00874C5A"/>
    <w:rsid w:val="00874DAA"/>
    <w:rsid w:val="00874FE4"/>
    <w:rsid w:val="0087546B"/>
    <w:rsid w:val="008754DD"/>
    <w:rsid w:val="008755A2"/>
    <w:rsid w:val="00875947"/>
    <w:rsid w:val="00875951"/>
    <w:rsid w:val="0087608D"/>
    <w:rsid w:val="00876B78"/>
    <w:rsid w:val="008770AE"/>
    <w:rsid w:val="0087724A"/>
    <w:rsid w:val="00877374"/>
    <w:rsid w:val="0087760E"/>
    <w:rsid w:val="00877702"/>
    <w:rsid w:val="008777B2"/>
    <w:rsid w:val="00877E23"/>
    <w:rsid w:val="00880171"/>
    <w:rsid w:val="00880300"/>
    <w:rsid w:val="0088077B"/>
    <w:rsid w:val="00880AEC"/>
    <w:rsid w:val="00880BAB"/>
    <w:rsid w:val="008814A9"/>
    <w:rsid w:val="008814C1"/>
    <w:rsid w:val="00881F0F"/>
    <w:rsid w:val="00881F8A"/>
    <w:rsid w:val="008822F5"/>
    <w:rsid w:val="008825AC"/>
    <w:rsid w:val="00882856"/>
    <w:rsid w:val="00882E00"/>
    <w:rsid w:val="00882FB1"/>
    <w:rsid w:val="00883051"/>
    <w:rsid w:val="0088313F"/>
    <w:rsid w:val="00883458"/>
    <w:rsid w:val="00883765"/>
    <w:rsid w:val="00884A85"/>
    <w:rsid w:val="00884BFF"/>
    <w:rsid w:val="00884E66"/>
    <w:rsid w:val="008851BF"/>
    <w:rsid w:val="00885807"/>
    <w:rsid w:val="0088582B"/>
    <w:rsid w:val="008859F8"/>
    <w:rsid w:val="00885D78"/>
    <w:rsid w:val="00885D83"/>
    <w:rsid w:val="00885D88"/>
    <w:rsid w:val="00885F37"/>
    <w:rsid w:val="008860CB"/>
    <w:rsid w:val="008863F4"/>
    <w:rsid w:val="0088658D"/>
    <w:rsid w:val="008869F9"/>
    <w:rsid w:val="00886B9C"/>
    <w:rsid w:val="00886E92"/>
    <w:rsid w:val="008879F9"/>
    <w:rsid w:val="00887C68"/>
    <w:rsid w:val="00887CBB"/>
    <w:rsid w:val="00887E69"/>
    <w:rsid w:val="00890579"/>
    <w:rsid w:val="008905DC"/>
    <w:rsid w:val="008905ED"/>
    <w:rsid w:val="00890868"/>
    <w:rsid w:val="0089086B"/>
    <w:rsid w:val="00890BD7"/>
    <w:rsid w:val="00890DC3"/>
    <w:rsid w:val="00890E03"/>
    <w:rsid w:val="008912A6"/>
    <w:rsid w:val="00891674"/>
    <w:rsid w:val="0089187E"/>
    <w:rsid w:val="008919B4"/>
    <w:rsid w:val="00891BF4"/>
    <w:rsid w:val="00891C18"/>
    <w:rsid w:val="00891F73"/>
    <w:rsid w:val="00892146"/>
    <w:rsid w:val="0089287C"/>
    <w:rsid w:val="00892EDE"/>
    <w:rsid w:val="0089306F"/>
    <w:rsid w:val="00893144"/>
    <w:rsid w:val="008932BB"/>
    <w:rsid w:val="00893AD0"/>
    <w:rsid w:val="00893F14"/>
    <w:rsid w:val="008940CF"/>
    <w:rsid w:val="00894404"/>
    <w:rsid w:val="008944EC"/>
    <w:rsid w:val="0089498A"/>
    <w:rsid w:val="00894A10"/>
    <w:rsid w:val="00894F42"/>
    <w:rsid w:val="008952C3"/>
    <w:rsid w:val="0089533E"/>
    <w:rsid w:val="008953A4"/>
    <w:rsid w:val="00895528"/>
    <w:rsid w:val="00896108"/>
    <w:rsid w:val="00896161"/>
    <w:rsid w:val="00896330"/>
    <w:rsid w:val="0089649D"/>
    <w:rsid w:val="00896585"/>
    <w:rsid w:val="00896625"/>
    <w:rsid w:val="0089665B"/>
    <w:rsid w:val="008968A7"/>
    <w:rsid w:val="00896909"/>
    <w:rsid w:val="00896B54"/>
    <w:rsid w:val="00896CC3"/>
    <w:rsid w:val="00896D69"/>
    <w:rsid w:val="00896F8F"/>
    <w:rsid w:val="00897395"/>
    <w:rsid w:val="00897485"/>
    <w:rsid w:val="00897A68"/>
    <w:rsid w:val="00897CBF"/>
    <w:rsid w:val="00897EF8"/>
    <w:rsid w:val="008A0037"/>
    <w:rsid w:val="008A005F"/>
    <w:rsid w:val="008A0123"/>
    <w:rsid w:val="008A0338"/>
    <w:rsid w:val="008A04EF"/>
    <w:rsid w:val="008A0A5F"/>
    <w:rsid w:val="008A0A98"/>
    <w:rsid w:val="008A0B69"/>
    <w:rsid w:val="008A1448"/>
    <w:rsid w:val="008A19F4"/>
    <w:rsid w:val="008A1B52"/>
    <w:rsid w:val="008A1E9E"/>
    <w:rsid w:val="008A208D"/>
    <w:rsid w:val="008A24FA"/>
    <w:rsid w:val="008A27CD"/>
    <w:rsid w:val="008A2E0B"/>
    <w:rsid w:val="008A3372"/>
    <w:rsid w:val="008A393D"/>
    <w:rsid w:val="008A3C8E"/>
    <w:rsid w:val="008A4060"/>
    <w:rsid w:val="008A432D"/>
    <w:rsid w:val="008A468A"/>
    <w:rsid w:val="008A4762"/>
    <w:rsid w:val="008A4B4E"/>
    <w:rsid w:val="008A56E6"/>
    <w:rsid w:val="008A59F0"/>
    <w:rsid w:val="008A5A78"/>
    <w:rsid w:val="008A5E9E"/>
    <w:rsid w:val="008A623C"/>
    <w:rsid w:val="008A62C9"/>
    <w:rsid w:val="008A78C1"/>
    <w:rsid w:val="008B01C7"/>
    <w:rsid w:val="008B0561"/>
    <w:rsid w:val="008B0571"/>
    <w:rsid w:val="008B064E"/>
    <w:rsid w:val="008B07D5"/>
    <w:rsid w:val="008B09BC"/>
    <w:rsid w:val="008B1361"/>
    <w:rsid w:val="008B1F2F"/>
    <w:rsid w:val="008B2413"/>
    <w:rsid w:val="008B2813"/>
    <w:rsid w:val="008B2E05"/>
    <w:rsid w:val="008B2EE7"/>
    <w:rsid w:val="008B3590"/>
    <w:rsid w:val="008B3827"/>
    <w:rsid w:val="008B395E"/>
    <w:rsid w:val="008B3AB9"/>
    <w:rsid w:val="008B3FA8"/>
    <w:rsid w:val="008B447D"/>
    <w:rsid w:val="008B46F7"/>
    <w:rsid w:val="008B4700"/>
    <w:rsid w:val="008B4A51"/>
    <w:rsid w:val="008B5634"/>
    <w:rsid w:val="008B57D0"/>
    <w:rsid w:val="008B5A6C"/>
    <w:rsid w:val="008B5C55"/>
    <w:rsid w:val="008B5E49"/>
    <w:rsid w:val="008B5E73"/>
    <w:rsid w:val="008B601D"/>
    <w:rsid w:val="008B70E8"/>
    <w:rsid w:val="008B71AB"/>
    <w:rsid w:val="008B7685"/>
    <w:rsid w:val="008B799C"/>
    <w:rsid w:val="008B7BDA"/>
    <w:rsid w:val="008B7CDF"/>
    <w:rsid w:val="008B7D89"/>
    <w:rsid w:val="008C05C0"/>
    <w:rsid w:val="008C0D70"/>
    <w:rsid w:val="008C0FF4"/>
    <w:rsid w:val="008C105D"/>
    <w:rsid w:val="008C1446"/>
    <w:rsid w:val="008C1599"/>
    <w:rsid w:val="008C188E"/>
    <w:rsid w:val="008C283B"/>
    <w:rsid w:val="008C28DB"/>
    <w:rsid w:val="008C2B4F"/>
    <w:rsid w:val="008C2C8D"/>
    <w:rsid w:val="008C2D2D"/>
    <w:rsid w:val="008C42C4"/>
    <w:rsid w:val="008C45C6"/>
    <w:rsid w:val="008C46E5"/>
    <w:rsid w:val="008C5232"/>
    <w:rsid w:val="008C527F"/>
    <w:rsid w:val="008C5A54"/>
    <w:rsid w:val="008C5E6B"/>
    <w:rsid w:val="008C635A"/>
    <w:rsid w:val="008C63EC"/>
    <w:rsid w:val="008C6727"/>
    <w:rsid w:val="008C674C"/>
    <w:rsid w:val="008C67D0"/>
    <w:rsid w:val="008C7186"/>
    <w:rsid w:val="008C76AA"/>
    <w:rsid w:val="008C77B4"/>
    <w:rsid w:val="008C7B33"/>
    <w:rsid w:val="008C7C6F"/>
    <w:rsid w:val="008C7D42"/>
    <w:rsid w:val="008D0542"/>
    <w:rsid w:val="008D0565"/>
    <w:rsid w:val="008D080F"/>
    <w:rsid w:val="008D0A59"/>
    <w:rsid w:val="008D0B8C"/>
    <w:rsid w:val="008D0ECA"/>
    <w:rsid w:val="008D11F3"/>
    <w:rsid w:val="008D13FF"/>
    <w:rsid w:val="008D15C5"/>
    <w:rsid w:val="008D1B51"/>
    <w:rsid w:val="008D1D93"/>
    <w:rsid w:val="008D25BF"/>
    <w:rsid w:val="008D2615"/>
    <w:rsid w:val="008D2863"/>
    <w:rsid w:val="008D2D1D"/>
    <w:rsid w:val="008D34B0"/>
    <w:rsid w:val="008D35F9"/>
    <w:rsid w:val="008D371E"/>
    <w:rsid w:val="008D389C"/>
    <w:rsid w:val="008D4041"/>
    <w:rsid w:val="008D4884"/>
    <w:rsid w:val="008D4D0C"/>
    <w:rsid w:val="008D5213"/>
    <w:rsid w:val="008D532E"/>
    <w:rsid w:val="008D574E"/>
    <w:rsid w:val="008D5B0F"/>
    <w:rsid w:val="008D5DE9"/>
    <w:rsid w:val="008D5FFA"/>
    <w:rsid w:val="008D6498"/>
    <w:rsid w:val="008D68A4"/>
    <w:rsid w:val="008D6AB4"/>
    <w:rsid w:val="008D6E77"/>
    <w:rsid w:val="008D6F59"/>
    <w:rsid w:val="008D6FF8"/>
    <w:rsid w:val="008D779A"/>
    <w:rsid w:val="008D7923"/>
    <w:rsid w:val="008D7C82"/>
    <w:rsid w:val="008E017C"/>
    <w:rsid w:val="008E028F"/>
    <w:rsid w:val="008E073A"/>
    <w:rsid w:val="008E0BBA"/>
    <w:rsid w:val="008E0F94"/>
    <w:rsid w:val="008E10A0"/>
    <w:rsid w:val="008E158C"/>
    <w:rsid w:val="008E1A6F"/>
    <w:rsid w:val="008E1D32"/>
    <w:rsid w:val="008E2599"/>
    <w:rsid w:val="008E354A"/>
    <w:rsid w:val="008E35F7"/>
    <w:rsid w:val="008E3CD4"/>
    <w:rsid w:val="008E4171"/>
    <w:rsid w:val="008E439D"/>
    <w:rsid w:val="008E474F"/>
    <w:rsid w:val="008E48E1"/>
    <w:rsid w:val="008E49F8"/>
    <w:rsid w:val="008E4AF6"/>
    <w:rsid w:val="008E4D6A"/>
    <w:rsid w:val="008E5098"/>
    <w:rsid w:val="008E526B"/>
    <w:rsid w:val="008E53DF"/>
    <w:rsid w:val="008E565C"/>
    <w:rsid w:val="008E5672"/>
    <w:rsid w:val="008E59F9"/>
    <w:rsid w:val="008E5C53"/>
    <w:rsid w:val="008E600D"/>
    <w:rsid w:val="008E6093"/>
    <w:rsid w:val="008E61A3"/>
    <w:rsid w:val="008E66CC"/>
    <w:rsid w:val="008E66F5"/>
    <w:rsid w:val="008E6D23"/>
    <w:rsid w:val="008E7141"/>
    <w:rsid w:val="008E7149"/>
    <w:rsid w:val="008E7307"/>
    <w:rsid w:val="008E73ED"/>
    <w:rsid w:val="008E75E6"/>
    <w:rsid w:val="008E7690"/>
    <w:rsid w:val="008E76DE"/>
    <w:rsid w:val="008E7A7D"/>
    <w:rsid w:val="008E7C76"/>
    <w:rsid w:val="008E7ED9"/>
    <w:rsid w:val="008E7F01"/>
    <w:rsid w:val="008F0C59"/>
    <w:rsid w:val="008F10CA"/>
    <w:rsid w:val="008F1104"/>
    <w:rsid w:val="008F1758"/>
    <w:rsid w:val="008F198B"/>
    <w:rsid w:val="008F19D6"/>
    <w:rsid w:val="008F286E"/>
    <w:rsid w:val="008F2E9F"/>
    <w:rsid w:val="008F2EB0"/>
    <w:rsid w:val="008F2F5C"/>
    <w:rsid w:val="008F3025"/>
    <w:rsid w:val="008F3579"/>
    <w:rsid w:val="008F3BC4"/>
    <w:rsid w:val="008F5710"/>
    <w:rsid w:val="008F5DA2"/>
    <w:rsid w:val="008F6442"/>
    <w:rsid w:val="008F65AF"/>
    <w:rsid w:val="008F68EF"/>
    <w:rsid w:val="008F694B"/>
    <w:rsid w:val="008F6ABB"/>
    <w:rsid w:val="008F6BB8"/>
    <w:rsid w:val="008F6C9B"/>
    <w:rsid w:val="008F76DC"/>
    <w:rsid w:val="00900253"/>
    <w:rsid w:val="00900375"/>
    <w:rsid w:val="0090038E"/>
    <w:rsid w:val="00900559"/>
    <w:rsid w:val="00900B79"/>
    <w:rsid w:val="00900C03"/>
    <w:rsid w:val="00902325"/>
    <w:rsid w:val="0090250D"/>
    <w:rsid w:val="009027E4"/>
    <w:rsid w:val="00902DBC"/>
    <w:rsid w:val="009031BD"/>
    <w:rsid w:val="009032EB"/>
    <w:rsid w:val="00903351"/>
    <w:rsid w:val="0090338A"/>
    <w:rsid w:val="0090411C"/>
    <w:rsid w:val="0090429A"/>
    <w:rsid w:val="0090438A"/>
    <w:rsid w:val="009043CD"/>
    <w:rsid w:val="009047AE"/>
    <w:rsid w:val="009049B2"/>
    <w:rsid w:val="00905701"/>
    <w:rsid w:val="00905889"/>
    <w:rsid w:val="00906048"/>
    <w:rsid w:val="0090654D"/>
    <w:rsid w:val="00906574"/>
    <w:rsid w:val="009066BC"/>
    <w:rsid w:val="009067FE"/>
    <w:rsid w:val="00906A5B"/>
    <w:rsid w:val="00907782"/>
    <w:rsid w:val="00907855"/>
    <w:rsid w:val="00907E45"/>
    <w:rsid w:val="00910062"/>
    <w:rsid w:val="00910178"/>
    <w:rsid w:val="00910277"/>
    <w:rsid w:val="009106B8"/>
    <w:rsid w:val="00910973"/>
    <w:rsid w:val="00910A13"/>
    <w:rsid w:val="00910A79"/>
    <w:rsid w:val="00910C42"/>
    <w:rsid w:val="00911074"/>
    <w:rsid w:val="009110AB"/>
    <w:rsid w:val="00911702"/>
    <w:rsid w:val="00911736"/>
    <w:rsid w:val="00911F6F"/>
    <w:rsid w:val="0091247E"/>
    <w:rsid w:val="00912829"/>
    <w:rsid w:val="00912DED"/>
    <w:rsid w:val="00912EA9"/>
    <w:rsid w:val="00913023"/>
    <w:rsid w:val="0091308E"/>
    <w:rsid w:val="009131C6"/>
    <w:rsid w:val="009134CF"/>
    <w:rsid w:val="00913634"/>
    <w:rsid w:val="009138AE"/>
    <w:rsid w:val="00913FBB"/>
    <w:rsid w:val="0091404F"/>
    <w:rsid w:val="009144B5"/>
    <w:rsid w:val="0091493E"/>
    <w:rsid w:val="00914973"/>
    <w:rsid w:val="00914BF7"/>
    <w:rsid w:val="00914EC1"/>
    <w:rsid w:val="0091527E"/>
    <w:rsid w:val="009153DC"/>
    <w:rsid w:val="009159C4"/>
    <w:rsid w:val="0091655F"/>
    <w:rsid w:val="0091683A"/>
    <w:rsid w:val="009169D9"/>
    <w:rsid w:val="009169EB"/>
    <w:rsid w:val="00916A27"/>
    <w:rsid w:val="009173C1"/>
    <w:rsid w:val="00917F38"/>
    <w:rsid w:val="009201E0"/>
    <w:rsid w:val="00920306"/>
    <w:rsid w:val="009208FF"/>
    <w:rsid w:val="009211B8"/>
    <w:rsid w:val="009217BB"/>
    <w:rsid w:val="0092245B"/>
    <w:rsid w:val="009227E2"/>
    <w:rsid w:val="00922B81"/>
    <w:rsid w:val="00922C0F"/>
    <w:rsid w:val="00922D79"/>
    <w:rsid w:val="00922E11"/>
    <w:rsid w:val="009235E9"/>
    <w:rsid w:val="009237E6"/>
    <w:rsid w:val="00923EEA"/>
    <w:rsid w:val="00923FE7"/>
    <w:rsid w:val="009242BB"/>
    <w:rsid w:val="00924C30"/>
    <w:rsid w:val="00924FB6"/>
    <w:rsid w:val="00925094"/>
    <w:rsid w:val="009255A5"/>
    <w:rsid w:val="009262F0"/>
    <w:rsid w:val="0092663F"/>
    <w:rsid w:val="00926C6F"/>
    <w:rsid w:val="00927007"/>
    <w:rsid w:val="0092703F"/>
    <w:rsid w:val="009271F0"/>
    <w:rsid w:val="009273C3"/>
    <w:rsid w:val="009273E7"/>
    <w:rsid w:val="009278CF"/>
    <w:rsid w:val="00927E3E"/>
    <w:rsid w:val="00927EDD"/>
    <w:rsid w:val="00930193"/>
    <w:rsid w:val="009301BD"/>
    <w:rsid w:val="009305BB"/>
    <w:rsid w:val="009305FF"/>
    <w:rsid w:val="00930631"/>
    <w:rsid w:val="0093075A"/>
    <w:rsid w:val="00930931"/>
    <w:rsid w:val="00930D6E"/>
    <w:rsid w:val="00931338"/>
    <w:rsid w:val="00931349"/>
    <w:rsid w:val="00931432"/>
    <w:rsid w:val="00931518"/>
    <w:rsid w:val="00931716"/>
    <w:rsid w:val="00931943"/>
    <w:rsid w:val="00931AC7"/>
    <w:rsid w:val="00931B5D"/>
    <w:rsid w:val="00931C80"/>
    <w:rsid w:val="00931DA4"/>
    <w:rsid w:val="0093210D"/>
    <w:rsid w:val="009321F6"/>
    <w:rsid w:val="0093284B"/>
    <w:rsid w:val="00932E33"/>
    <w:rsid w:val="00932F48"/>
    <w:rsid w:val="0093342F"/>
    <w:rsid w:val="009338CE"/>
    <w:rsid w:val="00933B39"/>
    <w:rsid w:val="00933CAE"/>
    <w:rsid w:val="009345BD"/>
    <w:rsid w:val="00934607"/>
    <w:rsid w:val="009347E7"/>
    <w:rsid w:val="009348F0"/>
    <w:rsid w:val="0093495C"/>
    <w:rsid w:val="00934B7A"/>
    <w:rsid w:val="0093509A"/>
    <w:rsid w:val="0093518F"/>
    <w:rsid w:val="00935432"/>
    <w:rsid w:val="00936100"/>
    <w:rsid w:val="009368C7"/>
    <w:rsid w:val="0093698D"/>
    <w:rsid w:val="0093702D"/>
    <w:rsid w:val="00937123"/>
    <w:rsid w:val="009373DB"/>
    <w:rsid w:val="00937696"/>
    <w:rsid w:val="00937B23"/>
    <w:rsid w:val="009408BA"/>
    <w:rsid w:val="009409A1"/>
    <w:rsid w:val="00940D62"/>
    <w:rsid w:val="00940E16"/>
    <w:rsid w:val="00940F9D"/>
    <w:rsid w:val="00941016"/>
    <w:rsid w:val="00941140"/>
    <w:rsid w:val="0094149C"/>
    <w:rsid w:val="00941C11"/>
    <w:rsid w:val="009425F5"/>
    <w:rsid w:val="009427FC"/>
    <w:rsid w:val="0094295E"/>
    <w:rsid w:val="00942A92"/>
    <w:rsid w:val="00942DEA"/>
    <w:rsid w:val="00942EEC"/>
    <w:rsid w:val="00942F32"/>
    <w:rsid w:val="009433A6"/>
    <w:rsid w:val="009435BB"/>
    <w:rsid w:val="00943772"/>
    <w:rsid w:val="009438E7"/>
    <w:rsid w:val="009439DA"/>
    <w:rsid w:val="009440C7"/>
    <w:rsid w:val="009443CC"/>
    <w:rsid w:val="009443F7"/>
    <w:rsid w:val="00944635"/>
    <w:rsid w:val="00944945"/>
    <w:rsid w:val="00944BE3"/>
    <w:rsid w:val="00944D0F"/>
    <w:rsid w:val="0094527F"/>
    <w:rsid w:val="009452EF"/>
    <w:rsid w:val="009457B6"/>
    <w:rsid w:val="00946098"/>
    <w:rsid w:val="00946408"/>
    <w:rsid w:val="0094688B"/>
    <w:rsid w:val="00946972"/>
    <w:rsid w:val="00946CDF"/>
    <w:rsid w:val="0094700C"/>
    <w:rsid w:val="009472FD"/>
    <w:rsid w:val="0094740D"/>
    <w:rsid w:val="00947A08"/>
    <w:rsid w:val="00950164"/>
    <w:rsid w:val="0095021F"/>
    <w:rsid w:val="0095044A"/>
    <w:rsid w:val="00950557"/>
    <w:rsid w:val="009507C3"/>
    <w:rsid w:val="00950A87"/>
    <w:rsid w:val="00950ACB"/>
    <w:rsid w:val="00950FA4"/>
    <w:rsid w:val="009511E9"/>
    <w:rsid w:val="0095142D"/>
    <w:rsid w:val="009515D3"/>
    <w:rsid w:val="00951B4A"/>
    <w:rsid w:val="00952696"/>
    <w:rsid w:val="00952720"/>
    <w:rsid w:val="00952815"/>
    <w:rsid w:val="0095290C"/>
    <w:rsid w:val="00953437"/>
    <w:rsid w:val="0095398B"/>
    <w:rsid w:val="00953A41"/>
    <w:rsid w:val="00953E04"/>
    <w:rsid w:val="00954054"/>
    <w:rsid w:val="00954310"/>
    <w:rsid w:val="009546BC"/>
    <w:rsid w:val="00954759"/>
    <w:rsid w:val="00955489"/>
    <w:rsid w:val="009559AC"/>
    <w:rsid w:val="00955BC7"/>
    <w:rsid w:val="00955F86"/>
    <w:rsid w:val="009567CC"/>
    <w:rsid w:val="00956BA3"/>
    <w:rsid w:val="009576B4"/>
    <w:rsid w:val="0095796C"/>
    <w:rsid w:val="00957AF3"/>
    <w:rsid w:val="009601E4"/>
    <w:rsid w:val="009605B7"/>
    <w:rsid w:val="00960924"/>
    <w:rsid w:val="00960AD3"/>
    <w:rsid w:val="00960D61"/>
    <w:rsid w:val="00961120"/>
    <w:rsid w:val="009613AA"/>
    <w:rsid w:val="0096140A"/>
    <w:rsid w:val="00961482"/>
    <w:rsid w:val="00961484"/>
    <w:rsid w:val="0096158D"/>
    <w:rsid w:val="0096194A"/>
    <w:rsid w:val="009619FF"/>
    <w:rsid w:val="00961DCA"/>
    <w:rsid w:val="009620A7"/>
    <w:rsid w:val="009623BB"/>
    <w:rsid w:val="009623D5"/>
    <w:rsid w:val="00962696"/>
    <w:rsid w:val="00962F6C"/>
    <w:rsid w:val="00963096"/>
    <w:rsid w:val="009632CD"/>
    <w:rsid w:val="0096382C"/>
    <w:rsid w:val="00963934"/>
    <w:rsid w:val="00964035"/>
    <w:rsid w:val="00964061"/>
    <w:rsid w:val="009640B9"/>
    <w:rsid w:val="00964249"/>
    <w:rsid w:val="009643FE"/>
    <w:rsid w:val="009649A5"/>
    <w:rsid w:val="00964D9B"/>
    <w:rsid w:val="009650A3"/>
    <w:rsid w:val="00965108"/>
    <w:rsid w:val="0096514C"/>
    <w:rsid w:val="00965209"/>
    <w:rsid w:val="0096545A"/>
    <w:rsid w:val="00965537"/>
    <w:rsid w:val="0096554B"/>
    <w:rsid w:val="00965957"/>
    <w:rsid w:val="00965967"/>
    <w:rsid w:val="00965A5E"/>
    <w:rsid w:val="00965CAD"/>
    <w:rsid w:val="00965CD7"/>
    <w:rsid w:val="00965F29"/>
    <w:rsid w:val="0096677F"/>
    <w:rsid w:val="009669FE"/>
    <w:rsid w:val="00966A3F"/>
    <w:rsid w:val="00966AC7"/>
    <w:rsid w:val="00967215"/>
    <w:rsid w:val="009673E3"/>
    <w:rsid w:val="009677DB"/>
    <w:rsid w:val="00967D06"/>
    <w:rsid w:val="00967F65"/>
    <w:rsid w:val="00967F70"/>
    <w:rsid w:val="00967FC8"/>
    <w:rsid w:val="00970384"/>
    <w:rsid w:val="009704F7"/>
    <w:rsid w:val="00970533"/>
    <w:rsid w:val="00970ABD"/>
    <w:rsid w:val="0097127B"/>
    <w:rsid w:val="0097194C"/>
    <w:rsid w:val="00971A2F"/>
    <w:rsid w:val="00971ECD"/>
    <w:rsid w:val="0097203A"/>
    <w:rsid w:val="00972B1F"/>
    <w:rsid w:val="00972C24"/>
    <w:rsid w:val="0097300A"/>
    <w:rsid w:val="00973391"/>
    <w:rsid w:val="009733A7"/>
    <w:rsid w:val="00973E26"/>
    <w:rsid w:val="009740CA"/>
    <w:rsid w:val="00974194"/>
    <w:rsid w:val="009741BE"/>
    <w:rsid w:val="00974242"/>
    <w:rsid w:val="00974334"/>
    <w:rsid w:val="0097436E"/>
    <w:rsid w:val="00974536"/>
    <w:rsid w:val="00974711"/>
    <w:rsid w:val="00974D70"/>
    <w:rsid w:val="00974E52"/>
    <w:rsid w:val="00975561"/>
    <w:rsid w:val="0097652A"/>
    <w:rsid w:val="00976599"/>
    <w:rsid w:val="009767E5"/>
    <w:rsid w:val="00976890"/>
    <w:rsid w:val="00976A63"/>
    <w:rsid w:val="00976D37"/>
    <w:rsid w:val="00977769"/>
    <w:rsid w:val="009779D3"/>
    <w:rsid w:val="0098079A"/>
    <w:rsid w:val="00980B9E"/>
    <w:rsid w:val="00980EFA"/>
    <w:rsid w:val="00980F04"/>
    <w:rsid w:val="009819D7"/>
    <w:rsid w:val="00981A8B"/>
    <w:rsid w:val="009827EF"/>
    <w:rsid w:val="00982F49"/>
    <w:rsid w:val="00982F8E"/>
    <w:rsid w:val="00983530"/>
    <w:rsid w:val="00983608"/>
    <w:rsid w:val="00983996"/>
    <w:rsid w:val="00983E47"/>
    <w:rsid w:val="009840FD"/>
    <w:rsid w:val="009841AC"/>
    <w:rsid w:val="00984217"/>
    <w:rsid w:val="009846D7"/>
    <w:rsid w:val="0098487C"/>
    <w:rsid w:val="009849C3"/>
    <w:rsid w:val="00984CED"/>
    <w:rsid w:val="00984F1A"/>
    <w:rsid w:val="0098557E"/>
    <w:rsid w:val="00985F2E"/>
    <w:rsid w:val="009860A5"/>
    <w:rsid w:val="009861C6"/>
    <w:rsid w:val="009862D2"/>
    <w:rsid w:val="0098636C"/>
    <w:rsid w:val="009863C6"/>
    <w:rsid w:val="00986406"/>
    <w:rsid w:val="00987151"/>
    <w:rsid w:val="00987813"/>
    <w:rsid w:val="00987865"/>
    <w:rsid w:val="00987F96"/>
    <w:rsid w:val="009901B0"/>
    <w:rsid w:val="00990275"/>
    <w:rsid w:val="0099047E"/>
    <w:rsid w:val="009904A3"/>
    <w:rsid w:val="00990798"/>
    <w:rsid w:val="00990E4C"/>
    <w:rsid w:val="00991061"/>
    <w:rsid w:val="00991298"/>
    <w:rsid w:val="009914AF"/>
    <w:rsid w:val="009915A1"/>
    <w:rsid w:val="0099170D"/>
    <w:rsid w:val="009918D0"/>
    <w:rsid w:val="00991971"/>
    <w:rsid w:val="00991C81"/>
    <w:rsid w:val="00991FA6"/>
    <w:rsid w:val="00992114"/>
    <w:rsid w:val="00992DD4"/>
    <w:rsid w:val="00993983"/>
    <w:rsid w:val="00993EF0"/>
    <w:rsid w:val="009946CD"/>
    <w:rsid w:val="00995482"/>
    <w:rsid w:val="009959A2"/>
    <w:rsid w:val="00995DE5"/>
    <w:rsid w:val="00995E88"/>
    <w:rsid w:val="00995FF9"/>
    <w:rsid w:val="00996118"/>
    <w:rsid w:val="009965E2"/>
    <w:rsid w:val="009967EA"/>
    <w:rsid w:val="009969A9"/>
    <w:rsid w:val="00996D74"/>
    <w:rsid w:val="0099700C"/>
    <w:rsid w:val="00997A76"/>
    <w:rsid w:val="009A0221"/>
    <w:rsid w:val="009A02EC"/>
    <w:rsid w:val="009A03D8"/>
    <w:rsid w:val="009A0426"/>
    <w:rsid w:val="009A06B6"/>
    <w:rsid w:val="009A0934"/>
    <w:rsid w:val="009A1A2E"/>
    <w:rsid w:val="009A1B2C"/>
    <w:rsid w:val="009A1EEE"/>
    <w:rsid w:val="009A23DF"/>
    <w:rsid w:val="009A247B"/>
    <w:rsid w:val="009A2595"/>
    <w:rsid w:val="009A2685"/>
    <w:rsid w:val="009A26BF"/>
    <w:rsid w:val="009A2EB9"/>
    <w:rsid w:val="009A3BC8"/>
    <w:rsid w:val="009A3D8B"/>
    <w:rsid w:val="009A3E1D"/>
    <w:rsid w:val="009A4A92"/>
    <w:rsid w:val="009A4B35"/>
    <w:rsid w:val="009A4F16"/>
    <w:rsid w:val="009A572E"/>
    <w:rsid w:val="009A6125"/>
    <w:rsid w:val="009A6273"/>
    <w:rsid w:val="009A62CB"/>
    <w:rsid w:val="009A6643"/>
    <w:rsid w:val="009A6B26"/>
    <w:rsid w:val="009A6C0F"/>
    <w:rsid w:val="009A70D6"/>
    <w:rsid w:val="009A7311"/>
    <w:rsid w:val="009A73FD"/>
    <w:rsid w:val="009A772D"/>
    <w:rsid w:val="009A7E1C"/>
    <w:rsid w:val="009B034A"/>
    <w:rsid w:val="009B0920"/>
    <w:rsid w:val="009B0A92"/>
    <w:rsid w:val="009B0C85"/>
    <w:rsid w:val="009B0E7D"/>
    <w:rsid w:val="009B0FBD"/>
    <w:rsid w:val="009B121A"/>
    <w:rsid w:val="009B1BD6"/>
    <w:rsid w:val="009B1C0E"/>
    <w:rsid w:val="009B1FE6"/>
    <w:rsid w:val="009B294E"/>
    <w:rsid w:val="009B298E"/>
    <w:rsid w:val="009B2D5F"/>
    <w:rsid w:val="009B3039"/>
    <w:rsid w:val="009B313B"/>
    <w:rsid w:val="009B34F2"/>
    <w:rsid w:val="009B383C"/>
    <w:rsid w:val="009B3D29"/>
    <w:rsid w:val="009B400F"/>
    <w:rsid w:val="009B40D1"/>
    <w:rsid w:val="009B43EE"/>
    <w:rsid w:val="009B4921"/>
    <w:rsid w:val="009B4DFD"/>
    <w:rsid w:val="009B4F16"/>
    <w:rsid w:val="009B53AE"/>
    <w:rsid w:val="009B54F5"/>
    <w:rsid w:val="009B5688"/>
    <w:rsid w:val="009B5E76"/>
    <w:rsid w:val="009B6347"/>
    <w:rsid w:val="009B6517"/>
    <w:rsid w:val="009B6861"/>
    <w:rsid w:val="009B727F"/>
    <w:rsid w:val="009B73BC"/>
    <w:rsid w:val="009B75EF"/>
    <w:rsid w:val="009B7B5C"/>
    <w:rsid w:val="009C0030"/>
    <w:rsid w:val="009C02A0"/>
    <w:rsid w:val="009C0853"/>
    <w:rsid w:val="009C099A"/>
    <w:rsid w:val="009C10FB"/>
    <w:rsid w:val="009C1144"/>
    <w:rsid w:val="009C1224"/>
    <w:rsid w:val="009C177E"/>
    <w:rsid w:val="009C1F10"/>
    <w:rsid w:val="009C20FE"/>
    <w:rsid w:val="009C22E8"/>
    <w:rsid w:val="009C244A"/>
    <w:rsid w:val="009C24D5"/>
    <w:rsid w:val="009C2D94"/>
    <w:rsid w:val="009C314F"/>
    <w:rsid w:val="009C3203"/>
    <w:rsid w:val="009C3902"/>
    <w:rsid w:val="009C39C7"/>
    <w:rsid w:val="009C3B26"/>
    <w:rsid w:val="009C3B6D"/>
    <w:rsid w:val="009C3EA3"/>
    <w:rsid w:val="009C3EF5"/>
    <w:rsid w:val="009C3F0B"/>
    <w:rsid w:val="009C4065"/>
    <w:rsid w:val="009C44D4"/>
    <w:rsid w:val="009C50FA"/>
    <w:rsid w:val="009C51FA"/>
    <w:rsid w:val="009C56D5"/>
    <w:rsid w:val="009C5D86"/>
    <w:rsid w:val="009C5E2D"/>
    <w:rsid w:val="009C6124"/>
    <w:rsid w:val="009C6146"/>
    <w:rsid w:val="009C627C"/>
    <w:rsid w:val="009C6538"/>
    <w:rsid w:val="009C6725"/>
    <w:rsid w:val="009C6956"/>
    <w:rsid w:val="009C6FD5"/>
    <w:rsid w:val="009C7066"/>
    <w:rsid w:val="009C70EB"/>
    <w:rsid w:val="009C72B3"/>
    <w:rsid w:val="009C766F"/>
    <w:rsid w:val="009C76C4"/>
    <w:rsid w:val="009C7B2D"/>
    <w:rsid w:val="009C7E9E"/>
    <w:rsid w:val="009D02FF"/>
    <w:rsid w:val="009D0705"/>
    <w:rsid w:val="009D07DF"/>
    <w:rsid w:val="009D0BFE"/>
    <w:rsid w:val="009D0FF5"/>
    <w:rsid w:val="009D1770"/>
    <w:rsid w:val="009D17E2"/>
    <w:rsid w:val="009D1A3D"/>
    <w:rsid w:val="009D1DB0"/>
    <w:rsid w:val="009D22AD"/>
    <w:rsid w:val="009D23FD"/>
    <w:rsid w:val="009D2839"/>
    <w:rsid w:val="009D2D20"/>
    <w:rsid w:val="009D2EAC"/>
    <w:rsid w:val="009D32BC"/>
    <w:rsid w:val="009D33C3"/>
    <w:rsid w:val="009D3533"/>
    <w:rsid w:val="009D3961"/>
    <w:rsid w:val="009D3DC7"/>
    <w:rsid w:val="009D3F02"/>
    <w:rsid w:val="009D40E1"/>
    <w:rsid w:val="009D4282"/>
    <w:rsid w:val="009D487D"/>
    <w:rsid w:val="009D4A0B"/>
    <w:rsid w:val="009D4F90"/>
    <w:rsid w:val="009D4FFC"/>
    <w:rsid w:val="009D5000"/>
    <w:rsid w:val="009D550E"/>
    <w:rsid w:val="009D575A"/>
    <w:rsid w:val="009D58DE"/>
    <w:rsid w:val="009D5AE5"/>
    <w:rsid w:val="009D5E1E"/>
    <w:rsid w:val="009D5F50"/>
    <w:rsid w:val="009D66E8"/>
    <w:rsid w:val="009D687E"/>
    <w:rsid w:val="009D6AF2"/>
    <w:rsid w:val="009D6CC5"/>
    <w:rsid w:val="009D6EA4"/>
    <w:rsid w:val="009D6FEF"/>
    <w:rsid w:val="009D71A3"/>
    <w:rsid w:val="009D7A03"/>
    <w:rsid w:val="009D7AA9"/>
    <w:rsid w:val="009D7D84"/>
    <w:rsid w:val="009E00AA"/>
    <w:rsid w:val="009E088A"/>
    <w:rsid w:val="009E091A"/>
    <w:rsid w:val="009E0B95"/>
    <w:rsid w:val="009E0C18"/>
    <w:rsid w:val="009E0C90"/>
    <w:rsid w:val="009E1076"/>
    <w:rsid w:val="009E118F"/>
    <w:rsid w:val="009E122C"/>
    <w:rsid w:val="009E157D"/>
    <w:rsid w:val="009E18F8"/>
    <w:rsid w:val="009E1CD9"/>
    <w:rsid w:val="009E1EDE"/>
    <w:rsid w:val="009E2031"/>
    <w:rsid w:val="009E20C8"/>
    <w:rsid w:val="009E213C"/>
    <w:rsid w:val="009E2797"/>
    <w:rsid w:val="009E2A86"/>
    <w:rsid w:val="009E2BDA"/>
    <w:rsid w:val="009E2D64"/>
    <w:rsid w:val="009E3068"/>
    <w:rsid w:val="009E3F44"/>
    <w:rsid w:val="009E48D2"/>
    <w:rsid w:val="009E4916"/>
    <w:rsid w:val="009E49E8"/>
    <w:rsid w:val="009E4B68"/>
    <w:rsid w:val="009E4CAA"/>
    <w:rsid w:val="009E5292"/>
    <w:rsid w:val="009E55ED"/>
    <w:rsid w:val="009E57B1"/>
    <w:rsid w:val="009E589B"/>
    <w:rsid w:val="009E5B1A"/>
    <w:rsid w:val="009E5F23"/>
    <w:rsid w:val="009E60DC"/>
    <w:rsid w:val="009E63F3"/>
    <w:rsid w:val="009E690D"/>
    <w:rsid w:val="009E6C53"/>
    <w:rsid w:val="009E6F3A"/>
    <w:rsid w:val="009E7105"/>
    <w:rsid w:val="009E7CB8"/>
    <w:rsid w:val="009E7E33"/>
    <w:rsid w:val="009F036D"/>
    <w:rsid w:val="009F069D"/>
    <w:rsid w:val="009F0AC9"/>
    <w:rsid w:val="009F0C2D"/>
    <w:rsid w:val="009F0D98"/>
    <w:rsid w:val="009F1039"/>
    <w:rsid w:val="009F103C"/>
    <w:rsid w:val="009F10B9"/>
    <w:rsid w:val="009F12FC"/>
    <w:rsid w:val="009F1982"/>
    <w:rsid w:val="009F273E"/>
    <w:rsid w:val="009F2FD9"/>
    <w:rsid w:val="009F343C"/>
    <w:rsid w:val="009F34C7"/>
    <w:rsid w:val="009F3F35"/>
    <w:rsid w:val="009F3F86"/>
    <w:rsid w:val="009F46FE"/>
    <w:rsid w:val="009F4A70"/>
    <w:rsid w:val="009F4AC3"/>
    <w:rsid w:val="009F4D6F"/>
    <w:rsid w:val="009F549E"/>
    <w:rsid w:val="009F5BF9"/>
    <w:rsid w:val="009F5F33"/>
    <w:rsid w:val="009F60E7"/>
    <w:rsid w:val="009F63F0"/>
    <w:rsid w:val="009F6673"/>
    <w:rsid w:val="009F66DA"/>
    <w:rsid w:val="009F6721"/>
    <w:rsid w:val="009F6752"/>
    <w:rsid w:val="009F69E0"/>
    <w:rsid w:val="009F6E2D"/>
    <w:rsid w:val="009F71A0"/>
    <w:rsid w:val="009F72AE"/>
    <w:rsid w:val="009F7547"/>
    <w:rsid w:val="009F78CE"/>
    <w:rsid w:val="009F792B"/>
    <w:rsid w:val="009F7CB1"/>
    <w:rsid w:val="00A000C1"/>
    <w:rsid w:val="00A00487"/>
    <w:rsid w:val="00A00A01"/>
    <w:rsid w:val="00A01B57"/>
    <w:rsid w:val="00A02268"/>
    <w:rsid w:val="00A02540"/>
    <w:rsid w:val="00A02B1E"/>
    <w:rsid w:val="00A02CE9"/>
    <w:rsid w:val="00A02DDD"/>
    <w:rsid w:val="00A0324F"/>
    <w:rsid w:val="00A0343E"/>
    <w:rsid w:val="00A03BC7"/>
    <w:rsid w:val="00A04781"/>
    <w:rsid w:val="00A04825"/>
    <w:rsid w:val="00A04E28"/>
    <w:rsid w:val="00A05125"/>
    <w:rsid w:val="00A05359"/>
    <w:rsid w:val="00A05E2E"/>
    <w:rsid w:val="00A05EAD"/>
    <w:rsid w:val="00A06575"/>
    <w:rsid w:val="00A06833"/>
    <w:rsid w:val="00A06C9C"/>
    <w:rsid w:val="00A071AC"/>
    <w:rsid w:val="00A07355"/>
    <w:rsid w:val="00A07531"/>
    <w:rsid w:val="00A07769"/>
    <w:rsid w:val="00A077B3"/>
    <w:rsid w:val="00A07A47"/>
    <w:rsid w:val="00A07A54"/>
    <w:rsid w:val="00A1060D"/>
    <w:rsid w:val="00A10E5A"/>
    <w:rsid w:val="00A10F69"/>
    <w:rsid w:val="00A10FF1"/>
    <w:rsid w:val="00A1109C"/>
    <w:rsid w:val="00A1147B"/>
    <w:rsid w:val="00A11592"/>
    <w:rsid w:val="00A11B3D"/>
    <w:rsid w:val="00A11C76"/>
    <w:rsid w:val="00A11CF3"/>
    <w:rsid w:val="00A11E06"/>
    <w:rsid w:val="00A123E2"/>
    <w:rsid w:val="00A1290B"/>
    <w:rsid w:val="00A12C5A"/>
    <w:rsid w:val="00A13078"/>
    <w:rsid w:val="00A13698"/>
    <w:rsid w:val="00A13CDA"/>
    <w:rsid w:val="00A13D0A"/>
    <w:rsid w:val="00A14D14"/>
    <w:rsid w:val="00A14DA0"/>
    <w:rsid w:val="00A15064"/>
    <w:rsid w:val="00A1509C"/>
    <w:rsid w:val="00A1553F"/>
    <w:rsid w:val="00A158D2"/>
    <w:rsid w:val="00A15B0B"/>
    <w:rsid w:val="00A1609C"/>
    <w:rsid w:val="00A161C4"/>
    <w:rsid w:val="00A162F6"/>
    <w:rsid w:val="00A16553"/>
    <w:rsid w:val="00A168CD"/>
    <w:rsid w:val="00A16E1F"/>
    <w:rsid w:val="00A16F93"/>
    <w:rsid w:val="00A172C7"/>
    <w:rsid w:val="00A172F2"/>
    <w:rsid w:val="00A17A6B"/>
    <w:rsid w:val="00A205A2"/>
    <w:rsid w:val="00A2074F"/>
    <w:rsid w:val="00A20B41"/>
    <w:rsid w:val="00A20C87"/>
    <w:rsid w:val="00A21131"/>
    <w:rsid w:val="00A21A4C"/>
    <w:rsid w:val="00A21CBC"/>
    <w:rsid w:val="00A21DDC"/>
    <w:rsid w:val="00A220FD"/>
    <w:rsid w:val="00A221FA"/>
    <w:rsid w:val="00A223C8"/>
    <w:rsid w:val="00A22418"/>
    <w:rsid w:val="00A22825"/>
    <w:rsid w:val="00A2285C"/>
    <w:rsid w:val="00A22A3B"/>
    <w:rsid w:val="00A22A5A"/>
    <w:rsid w:val="00A22C5A"/>
    <w:rsid w:val="00A22E4D"/>
    <w:rsid w:val="00A2318A"/>
    <w:rsid w:val="00A23194"/>
    <w:rsid w:val="00A235CD"/>
    <w:rsid w:val="00A23670"/>
    <w:rsid w:val="00A23895"/>
    <w:rsid w:val="00A238F1"/>
    <w:rsid w:val="00A23903"/>
    <w:rsid w:val="00A23F87"/>
    <w:rsid w:val="00A24365"/>
    <w:rsid w:val="00A2455D"/>
    <w:rsid w:val="00A24B73"/>
    <w:rsid w:val="00A24C02"/>
    <w:rsid w:val="00A24EFC"/>
    <w:rsid w:val="00A25006"/>
    <w:rsid w:val="00A258CF"/>
    <w:rsid w:val="00A25BFC"/>
    <w:rsid w:val="00A25DCA"/>
    <w:rsid w:val="00A263FC"/>
    <w:rsid w:val="00A26561"/>
    <w:rsid w:val="00A27004"/>
    <w:rsid w:val="00A27329"/>
    <w:rsid w:val="00A27623"/>
    <w:rsid w:val="00A277D9"/>
    <w:rsid w:val="00A27A0B"/>
    <w:rsid w:val="00A300B5"/>
    <w:rsid w:val="00A30213"/>
    <w:rsid w:val="00A303B7"/>
    <w:rsid w:val="00A309EA"/>
    <w:rsid w:val="00A30A95"/>
    <w:rsid w:val="00A30FBF"/>
    <w:rsid w:val="00A31144"/>
    <w:rsid w:val="00A31634"/>
    <w:rsid w:val="00A31705"/>
    <w:rsid w:val="00A31E71"/>
    <w:rsid w:val="00A32076"/>
    <w:rsid w:val="00A32100"/>
    <w:rsid w:val="00A323F1"/>
    <w:rsid w:val="00A323FD"/>
    <w:rsid w:val="00A327E4"/>
    <w:rsid w:val="00A32F22"/>
    <w:rsid w:val="00A330D8"/>
    <w:rsid w:val="00A33103"/>
    <w:rsid w:val="00A33B82"/>
    <w:rsid w:val="00A33E0D"/>
    <w:rsid w:val="00A33F69"/>
    <w:rsid w:val="00A342D9"/>
    <w:rsid w:val="00A3461A"/>
    <w:rsid w:val="00A34FE2"/>
    <w:rsid w:val="00A3500E"/>
    <w:rsid w:val="00A35418"/>
    <w:rsid w:val="00A356C7"/>
    <w:rsid w:val="00A3579F"/>
    <w:rsid w:val="00A35A0B"/>
    <w:rsid w:val="00A35A6E"/>
    <w:rsid w:val="00A35A92"/>
    <w:rsid w:val="00A35F0C"/>
    <w:rsid w:val="00A3653E"/>
    <w:rsid w:val="00A36585"/>
    <w:rsid w:val="00A366E3"/>
    <w:rsid w:val="00A36795"/>
    <w:rsid w:val="00A36FD1"/>
    <w:rsid w:val="00A37190"/>
    <w:rsid w:val="00A377AF"/>
    <w:rsid w:val="00A37BB5"/>
    <w:rsid w:val="00A37CD6"/>
    <w:rsid w:val="00A37F92"/>
    <w:rsid w:val="00A400C5"/>
    <w:rsid w:val="00A40160"/>
    <w:rsid w:val="00A40482"/>
    <w:rsid w:val="00A407FD"/>
    <w:rsid w:val="00A408CF"/>
    <w:rsid w:val="00A40B84"/>
    <w:rsid w:val="00A41272"/>
    <w:rsid w:val="00A41DDC"/>
    <w:rsid w:val="00A41EB9"/>
    <w:rsid w:val="00A42145"/>
    <w:rsid w:val="00A42490"/>
    <w:rsid w:val="00A42749"/>
    <w:rsid w:val="00A42A11"/>
    <w:rsid w:val="00A42C0F"/>
    <w:rsid w:val="00A42C34"/>
    <w:rsid w:val="00A42EA3"/>
    <w:rsid w:val="00A43358"/>
    <w:rsid w:val="00A43B49"/>
    <w:rsid w:val="00A4468F"/>
    <w:rsid w:val="00A46197"/>
    <w:rsid w:val="00A467DD"/>
    <w:rsid w:val="00A46A35"/>
    <w:rsid w:val="00A46C26"/>
    <w:rsid w:val="00A46CD4"/>
    <w:rsid w:val="00A47045"/>
    <w:rsid w:val="00A471B5"/>
    <w:rsid w:val="00A471F4"/>
    <w:rsid w:val="00A472B3"/>
    <w:rsid w:val="00A47A2D"/>
    <w:rsid w:val="00A47A7E"/>
    <w:rsid w:val="00A47DD9"/>
    <w:rsid w:val="00A47E23"/>
    <w:rsid w:val="00A502EA"/>
    <w:rsid w:val="00A50963"/>
    <w:rsid w:val="00A50FB4"/>
    <w:rsid w:val="00A5108B"/>
    <w:rsid w:val="00A511B5"/>
    <w:rsid w:val="00A513DB"/>
    <w:rsid w:val="00A51AAC"/>
    <w:rsid w:val="00A51BE2"/>
    <w:rsid w:val="00A51C63"/>
    <w:rsid w:val="00A51E6E"/>
    <w:rsid w:val="00A52887"/>
    <w:rsid w:val="00A52CF1"/>
    <w:rsid w:val="00A5330E"/>
    <w:rsid w:val="00A53721"/>
    <w:rsid w:val="00A53832"/>
    <w:rsid w:val="00A53A39"/>
    <w:rsid w:val="00A53A59"/>
    <w:rsid w:val="00A53A81"/>
    <w:rsid w:val="00A542C9"/>
    <w:rsid w:val="00A54650"/>
    <w:rsid w:val="00A548DE"/>
    <w:rsid w:val="00A54BBE"/>
    <w:rsid w:val="00A54F80"/>
    <w:rsid w:val="00A54FDE"/>
    <w:rsid w:val="00A550EE"/>
    <w:rsid w:val="00A5528D"/>
    <w:rsid w:val="00A5569F"/>
    <w:rsid w:val="00A5570A"/>
    <w:rsid w:val="00A55BEA"/>
    <w:rsid w:val="00A55D0B"/>
    <w:rsid w:val="00A56518"/>
    <w:rsid w:val="00A56863"/>
    <w:rsid w:val="00A56B2D"/>
    <w:rsid w:val="00A56F6A"/>
    <w:rsid w:val="00A56FFA"/>
    <w:rsid w:val="00A5742D"/>
    <w:rsid w:val="00A57A68"/>
    <w:rsid w:val="00A57C0D"/>
    <w:rsid w:val="00A60085"/>
    <w:rsid w:val="00A60163"/>
    <w:rsid w:val="00A6036A"/>
    <w:rsid w:val="00A60CB1"/>
    <w:rsid w:val="00A60D90"/>
    <w:rsid w:val="00A60F47"/>
    <w:rsid w:val="00A6109A"/>
    <w:rsid w:val="00A61282"/>
    <w:rsid w:val="00A61548"/>
    <w:rsid w:val="00A61716"/>
    <w:rsid w:val="00A6207D"/>
    <w:rsid w:val="00A6300E"/>
    <w:rsid w:val="00A63464"/>
    <w:rsid w:val="00A638AD"/>
    <w:rsid w:val="00A6409E"/>
    <w:rsid w:val="00A64685"/>
    <w:rsid w:val="00A64A23"/>
    <w:rsid w:val="00A64B51"/>
    <w:rsid w:val="00A64EAC"/>
    <w:rsid w:val="00A64F13"/>
    <w:rsid w:val="00A6526C"/>
    <w:rsid w:val="00A65389"/>
    <w:rsid w:val="00A654FF"/>
    <w:rsid w:val="00A655C7"/>
    <w:rsid w:val="00A659C6"/>
    <w:rsid w:val="00A65C58"/>
    <w:rsid w:val="00A65D4E"/>
    <w:rsid w:val="00A6618B"/>
    <w:rsid w:val="00A66839"/>
    <w:rsid w:val="00A668A8"/>
    <w:rsid w:val="00A66FE5"/>
    <w:rsid w:val="00A675B0"/>
    <w:rsid w:val="00A67741"/>
    <w:rsid w:val="00A6781A"/>
    <w:rsid w:val="00A701AE"/>
    <w:rsid w:val="00A70549"/>
    <w:rsid w:val="00A706AA"/>
    <w:rsid w:val="00A709E4"/>
    <w:rsid w:val="00A70A3B"/>
    <w:rsid w:val="00A70BEC"/>
    <w:rsid w:val="00A7105B"/>
    <w:rsid w:val="00A71265"/>
    <w:rsid w:val="00A71344"/>
    <w:rsid w:val="00A71651"/>
    <w:rsid w:val="00A716CA"/>
    <w:rsid w:val="00A7180D"/>
    <w:rsid w:val="00A71A41"/>
    <w:rsid w:val="00A71C09"/>
    <w:rsid w:val="00A721B6"/>
    <w:rsid w:val="00A72209"/>
    <w:rsid w:val="00A72692"/>
    <w:rsid w:val="00A72E88"/>
    <w:rsid w:val="00A72EC9"/>
    <w:rsid w:val="00A733F3"/>
    <w:rsid w:val="00A73554"/>
    <w:rsid w:val="00A737DD"/>
    <w:rsid w:val="00A739F1"/>
    <w:rsid w:val="00A73BED"/>
    <w:rsid w:val="00A73D75"/>
    <w:rsid w:val="00A74632"/>
    <w:rsid w:val="00A74692"/>
    <w:rsid w:val="00A74A6D"/>
    <w:rsid w:val="00A74A70"/>
    <w:rsid w:val="00A74ED8"/>
    <w:rsid w:val="00A75622"/>
    <w:rsid w:val="00A7593B"/>
    <w:rsid w:val="00A75C1F"/>
    <w:rsid w:val="00A75C66"/>
    <w:rsid w:val="00A75D66"/>
    <w:rsid w:val="00A76270"/>
    <w:rsid w:val="00A76319"/>
    <w:rsid w:val="00A766C3"/>
    <w:rsid w:val="00A76743"/>
    <w:rsid w:val="00A7677B"/>
    <w:rsid w:val="00A76CD3"/>
    <w:rsid w:val="00A774A7"/>
    <w:rsid w:val="00A77C73"/>
    <w:rsid w:val="00A80126"/>
    <w:rsid w:val="00A8078A"/>
    <w:rsid w:val="00A80B55"/>
    <w:rsid w:val="00A811C6"/>
    <w:rsid w:val="00A81496"/>
    <w:rsid w:val="00A8180A"/>
    <w:rsid w:val="00A81D36"/>
    <w:rsid w:val="00A82005"/>
    <w:rsid w:val="00A820B8"/>
    <w:rsid w:val="00A82665"/>
    <w:rsid w:val="00A82820"/>
    <w:rsid w:val="00A82E05"/>
    <w:rsid w:val="00A8388F"/>
    <w:rsid w:val="00A83E05"/>
    <w:rsid w:val="00A845EC"/>
    <w:rsid w:val="00A84759"/>
    <w:rsid w:val="00A847C7"/>
    <w:rsid w:val="00A84A78"/>
    <w:rsid w:val="00A84E89"/>
    <w:rsid w:val="00A84F02"/>
    <w:rsid w:val="00A85019"/>
    <w:rsid w:val="00A853C4"/>
    <w:rsid w:val="00A85951"/>
    <w:rsid w:val="00A85CAA"/>
    <w:rsid w:val="00A85E61"/>
    <w:rsid w:val="00A8610C"/>
    <w:rsid w:val="00A861B1"/>
    <w:rsid w:val="00A863DA"/>
    <w:rsid w:val="00A86BF1"/>
    <w:rsid w:val="00A86C14"/>
    <w:rsid w:val="00A871DC"/>
    <w:rsid w:val="00A8727C"/>
    <w:rsid w:val="00A87535"/>
    <w:rsid w:val="00A87EE6"/>
    <w:rsid w:val="00A9005F"/>
    <w:rsid w:val="00A9068D"/>
    <w:rsid w:val="00A906E1"/>
    <w:rsid w:val="00A90AB4"/>
    <w:rsid w:val="00A910F7"/>
    <w:rsid w:val="00A912FE"/>
    <w:rsid w:val="00A91564"/>
    <w:rsid w:val="00A915E4"/>
    <w:rsid w:val="00A91667"/>
    <w:rsid w:val="00A9194A"/>
    <w:rsid w:val="00A91B97"/>
    <w:rsid w:val="00A91D96"/>
    <w:rsid w:val="00A92AC5"/>
    <w:rsid w:val="00A92B9E"/>
    <w:rsid w:val="00A9323F"/>
    <w:rsid w:val="00A93479"/>
    <w:rsid w:val="00A936E5"/>
    <w:rsid w:val="00A93E67"/>
    <w:rsid w:val="00A93FD4"/>
    <w:rsid w:val="00A941DB"/>
    <w:rsid w:val="00A942D9"/>
    <w:rsid w:val="00A946E0"/>
    <w:rsid w:val="00A947A1"/>
    <w:rsid w:val="00A94E6D"/>
    <w:rsid w:val="00A95404"/>
    <w:rsid w:val="00A955D2"/>
    <w:rsid w:val="00A9572A"/>
    <w:rsid w:val="00A95827"/>
    <w:rsid w:val="00A959EE"/>
    <w:rsid w:val="00A95BC2"/>
    <w:rsid w:val="00A95C48"/>
    <w:rsid w:val="00A9693E"/>
    <w:rsid w:val="00A969A7"/>
    <w:rsid w:val="00A97366"/>
    <w:rsid w:val="00A9779B"/>
    <w:rsid w:val="00A97D8F"/>
    <w:rsid w:val="00AA036F"/>
    <w:rsid w:val="00AA03EC"/>
    <w:rsid w:val="00AA0962"/>
    <w:rsid w:val="00AA0B79"/>
    <w:rsid w:val="00AA10D1"/>
    <w:rsid w:val="00AA1227"/>
    <w:rsid w:val="00AA12CE"/>
    <w:rsid w:val="00AA158B"/>
    <w:rsid w:val="00AA17F4"/>
    <w:rsid w:val="00AA1F3E"/>
    <w:rsid w:val="00AA2006"/>
    <w:rsid w:val="00AA2328"/>
    <w:rsid w:val="00AA25AB"/>
    <w:rsid w:val="00AA2679"/>
    <w:rsid w:val="00AA2A73"/>
    <w:rsid w:val="00AA2B5F"/>
    <w:rsid w:val="00AA2B98"/>
    <w:rsid w:val="00AA2BFB"/>
    <w:rsid w:val="00AA326C"/>
    <w:rsid w:val="00AA3680"/>
    <w:rsid w:val="00AA3D80"/>
    <w:rsid w:val="00AA42BB"/>
    <w:rsid w:val="00AA431D"/>
    <w:rsid w:val="00AA467B"/>
    <w:rsid w:val="00AA4A60"/>
    <w:rsid w:val="00AA4B04"/>
    <w:rsid w:val="00AA4D8D"/>
    <w:rsid w:val="00AA4F75"/>
    <w:rsid w:val="00AA4FCC"/>
    <w:rsid w:val="00AA5062"/>
    <w:rsid w:val="00AA52F9"/>
    <w:rsid w:val="00AA5625"/>
    <w:rsid w:val="00AA5814"/>
    <w:rsid w:val="00AA6295"/>
    <w:rsid w:val="00AA632F"/>
    <w:rsid w:val="00AA660B"/>
    <w:rsid w:val="00AA6ED9"/>
    <w:rsid w:val="00AA705A"/>
    <w:rsid w:val="00AA714C"/>
    <w:rsid w:val="00AA7269"/>
    <w:rsid w:val="00AA72FA"/>
    <w:rsid w:val="00AA7A49"/>
    <w:rsid w:val="00AA7E34"/>
    <w:rsid w:val="00AB0522"/>
    <w:rsid w:val="00AB0BA2"/>
    <w:rsid w:val="00AB0D54"/>
    <w:rsid w:val="00AB11BB"/>
    <w:rsid w:val="00AB124F"/>
    <w:rsid w:val="00AB14F5"/>
    <w:rsid w:val="00AB1D37"/>
    <w:rsid w:val="00AB1D99"/>
    <w:rsid w:val="00AB1F0B"/>
    <w:rsid w:val="00AB20D4"/>
    <w:rsid w:val="00AB24FD"/>
    <w:rsid w:val="00AB27EB"/>
    <w:rsid w:val="00AB2A90"/>
    <w:rsid w:val="00AB2B59"/>
    <w:rsid w:val="00AB2BD1"/>
    <w:rsid w:val="00AB2C19"/>
    <w:rsid w:val="00AB2EA0"/>
    <w:rsid w:val="00AB39FD"/>
    <w:rsid w:val="00AB3A3F"/>
    <w:rsid w:val="00AB3B47"/>
    <w:rsid w:val="00AB4ABC"/>
    <w:rsid w:val="00AB4ACF"/>
    <w:rsid w:val="00AB5669"/>
    <w:rsid w:val="00AB5707"/>
    <w:rsid w:val="00AB5D5A"/>
    <w:rsid w:val="00AB5F1C"/>
    <w:rsid w:val="00AB6442"/>
    <w:rsid w:val="00AB719D"/>
    <w:rsid w:val="00AB72D9"/>
    <w:rsid w:val="00AB7600"/>
    <w:rsid w:val="00AC07A0"/>
    <w:rsid w:val="00AC0823"/>
    <w:rsid w:val="00AC0A80"/>
    <w:rsid w:val="00AC0B2D"/>
    <w:rsid w:val="00AC0D6F"/>
    <w:rsid w:val="00AC1292"/>
    <w:rsid w:val="00AC1B66"/>
    <w:rsid w:val="00AC1E15"/>
    <w:rsid w:val="00AC1EEA"/>
    <w:rsid w:val="00AC1F27"/>
    <w:rsid w:val="00AC2AFE"/>
    <w:rsid w:val="00AC2D0A"/>
    <w:rsid w:val="00AC30D7"/>
    <w:rsid w:val="00AC350A"/>
    <w:rsid w:val="00AC353C"/>
    <w:rsid w:val="00AC356B"/>
    <w:rsid w:val="00AC361E"/>
    <w:rsid w:val="00AC3884"/>
    <w:rsid w:val="00AC3976"/>
    <w:rsid w:val="00AC3A7C"/>
    <w:rsid w:val="00AC3E4F"/>
    <w:rsid w:val="00AC433A"/>
    <w:rsid w:val="00AC4517"/>
    <w:rsid w:val="00AC4715"/>
    <w:rsid w:val="00AC4F93"/>
    <w:rsid w:val="00AC50F7"/>
    <w:rsid w:val="00AC56ED"/>
    <w:rsid w:val="00AC5746"/>
    <w:rsid w:val="00AC5A7E"/>
    <w:rsid w:val="00AC606E"/>
    <w:rsid w:val="00AC62AF"/>
    <w:rsid w:val="00AC63E6"/>
    <w:rsid w:val="00AC6488"/>
    <w:rsid w:val="00AC64EF"/>
    <w:rsid w:val="00AC65A3"/>
    <w:rsid w:val="00AC661A"/>
    <w:rsid w:val="00AC7627"/>
    <w:rsid w:val="00AC7696"/>
    <w:rsid w:val="00AC7724"/>
    <w:rsid w:val="00AC789F"/>
    <w:rsid w:val="00AC7D6E"/>
    <w:rsid w:val="00AD0284"/>
    <w:rsid w:val="00AD06A7"/>
    <w:rsid w:val="00AD08DB"/>
    <w:rsid w:val="00AD09B0"/>
    <w:rsid w:val="00AD0F85"/>
    <w:rsid w:val="00AD16C3"/>
    <w:rsid w:val="00AD17D2"/>
    <w:rsid w:val="00AD183A"/>
    <w:rsid w:val="00AD1901"/>
    <w:rsid w:val="00AD1B7D"/>
    <w:rsid w:val="00AD1E31"/>
    <w:rsid w:val="00AD2538"/>
    <w:rsid w:val="00AD2729"/>
    <w:rsid w:val="00AD288A"/>
    <w:rsid w:val="00AD348B"/>
    <w:rsid w:val="00AD3730"/>
    <w:rsid w:val="00AD42F1"/>
    <w:rsid w:val="00AD4717"/>
    <w:rsid w:val="00AD47A2"/>
    <w:rsid w:val="00AD48F1"/>
    <w:rsid w:val="00AD4CA1"/>
    <w:rsid w:val="00AD5746"/>
    <w:rsid w:val="00AD5839"/>
    <w:rsid w:val="00AD5C0A"/>
    <w:rsid w:val="00AD5E10"/>
    <w:rsid w:val="00AD60A7"/>
    <w:rsid w:val="00AD60FD"/>
    <w:rsid w:val="00AD61CB"/>
    <w:rsid w:val="00AD61F5"/>
    <w:rsid w:val="00AD65EF"/>
    <w:rsid w:val="00AD6C3C"/>
    <w:rsid w:val="00AD73FB"/>
    <w:rsid w:val="00AD7EED"/>
    <w:rsid w:val="00AD7F8B"/>
    <w:rsid w:val="00AE0220"/>
    <w:rsid w:val="00AE029E"/>
    <w:rsid w:val="00AE0552"/>
    <w:rsid w:val="00AE0B21"/>
    <w:rsid w:val="00AE0C2C"/>
    <w:rsid w:val="00AE0E02"/>
    <w:rsid w:val="00AE0FB4"/>
    <w:rsid w:val="00AE118A"/>
    <w:rsid w:val="00AE1816"/>
    <w:rsid w:val="00AE1E91"/>
    <w:rsid w:val="00AE2429"/>
    <w:rsid w:val="00AE28AC"/>
    <w:rsid w:val="00AE29B1"/>
    <w:rsid w:val="00AE328F"/>
    <w:rsid w:val="00AE3573"/>
    <w:rsid w:val="00AE35AB"/>
    <w:rsid w:val="00AE3604"/>
    <w:rsid w:val="00AE3762"/>
    <w:rsid w:val="00AE39AF"/>
    <w:rsid w:val="00AE39B4"/>
    <w:rsid w:val="00AE3F3D"/>
    <w:rsid w:val="00AE4369"/>
    <w:rsid w:val="00AE4499"/>
    <w:rsid w:val="00AE45EB"/>
    <w:rsid w:val="00AE495C"/>
    <w:rsid w:val="00AE4DFC"/>
    <w:rsid w:val="00AE4F3C"/>
    <w:rsid w:val="00AE55E6"/>
    <w:rsid w:val="00AE5807"/>
    <w:rsid w:val="00AE5B66"/>
    <w:rsid w:val="00AE5CC0"/>
    <w:rsid w:val="00AE5E4C"/>
    <w:rsid w:val="00AE6946"/>
    <w:rsid w:val="00AE6E01"/>
    <w:rsid w:val="00AE6E88"/>
    <w:rsid w:val="00AE6FDC"/>
    <w:rsid w:val="00AE750A"/>
    <w:rsid w:val="00AE7663"/>
    <w:rsid w:val="00AE76BD"/>
    <w:rsid w:val="00AE774F"/>
    <w:rsid w:val="00AE77CB"/>
    <w:rsid w:val="00AE77F6"/>
    <w:rsid w:val="00AE7930"/>
    <w:rsid w:val="00AF00A0"/>
    <w:rsid w:val="00AF015B"/>
    <w:rsid w:val="00AF031A"/>
    <w:rsid w:val="00AF05C5"/>
    <w:rsid w:val="00AF0605"/>
    <w:rsid w:val="00AF078D"/>
    <w:rsid w:val="00AF083C"/>
    <w:rsid w:val="00AF0BDB"/>
    <w:rsid w:val="00AF0C7D"/>
    <w:rsid w:val="00AF0D0A"/>
    <w:rsid w:val="00AF0E94"/>
    <w:rsid w:val="00AF12BA"/>
    <w:rsid w:val="00AF1407"/>
    <w:rsid w:val="00AF1637"/>
    <w:rsid w:val="00AF1F51"/>
    <w:rsid w:val="00AF240B"/>
    <w:rsid w:val="00AF2476"/>
    <w:rsid w:val="00AF2938"/>
    <w:rsid w:val="00AF2AA7"/>
    <w:rsid w:val="00AF2E12"/>
    <w:rsid w:val="00AF33A3"/>
    <w:rsid w:val="00AF3435"/>
    <w:rsid w:val="00AF34F1"/>
    <w:rsid w:val="00AF3504"/>
    <w:rsid w:val="00AF404A"/>
    <w:rsid w:val="00AF4055"/>
    <w:rsid w:val="00AF4A87"/>
    <w:rsid w:val="00AF5389"/>
    <w:rsid w:val="00AF5528"/>
    <w:rsid w:val="00AF5C09"/>
    <w:rsid w:val="00AF5EBC"/>
    <w:rsid w:val="00AF61A8"/>
    <w:rsid w:val="00AF64AC"/>
    <w:rsid w:val="00AF6567"/>
    <w:rsid w:val="00AF68BE"/>
    <w:rsid w:val="00AF6C6F"/>
    <w:rsid w:val="00AF70A5"/>
    <w:rsid w:val="00AF7262"/>
    <w:rsid w:val="00AF74BF"/>
    <w:rsid w:val="00AF75B4"/>
    <w:rsid w:val="00AF78EF"/>
    <w:rsid w:val="00AF7951"/>
    <w:rsid w:val="00AF7BC7"/>
    <w:rsid w:val="00B00210"/>
    <w:rsid w:val="00B002E3"/>
    <w:rsid w:val="00B012D1"/>
    <w:rsid w:val="00B01378"/>
    <w:rsid w:val="00B014CC"/>
    <w:rsid w:val="00B0177E"/>
    <w:rsid w:val="00B01CB4"/>
    <w:rsid w:val="00B01E3E"/>
    <w:rsid w:val="00B01E5D"/>
    <w:rsid w:val="00B02451"/>
    <w:rsid w:val="00B026BC"/>
    <w:rsid w:val="00B02BE6"/>
    <w:rsid w:val="00B03201"/>
    <w:rsid w:val="00B03403"/>
    <w:rsid w:val="00B0359E"/>
    <w:rsid w:val="00B03FC9"/>
    <w:rsid w:val="00B04E0E"/>
    <w:rsid w:val="00B04FB2"/>
    <w:rsid w:val="00B05A93"/>
    <w:rsid w:val="00B06062"/>
    <w:rsid w:val="00B0618D"/>
    <w:rsid w:val="00B06951"/>
    <w:rsid w:val="00B06FCE"/>
    <w:rsid w:val="00B07190"/>
    <w:rsid w:val="00B07563"/>
    <w:rsid w:val="00B07D39"/>
    <w:rsid w:val="00B10324"/>
    <w:rsid w:val="00B103D7"/>
    <w:rsid w:val="00B109EC"/>
    <w:rsid w:val="00B1141F"/>
    <w:rsid w:val="00B126A6"/>
    <w:rsid w:val="00B12987"/>
    <w:rsid w:val="00B12B68"/>
    <w:rsid w:val="00B12BB6"/>
    <w:rsid w:val="00B12C47"/>
    <w:rsid w:val="00B13B24"/>
    <w:rsid w:val="00B13D16"/>
    <w:rsid w:val="00B140FE"/>
    <w:rsid w:val="00B14305"/>
    <w:rsid w:val="00B146DE"/>
    <w:rsid w:val="00B1488C"/>
    <w:rsid w:val="00B14930"/>
    <w:rsid w:val="00B14AF4"/>
    <w:rsid w:val="00B14B39"/>
    <w:rsid w:val="00B14BA7"/>
    <w:rsid w:val="00B15003"/>
    <w:rsid w:val="00B15179"/>
    <w:rsid w:val="00B15E8D"/>
    <w:rsid w:val="00B1602D"/>
    <w:rsid w:val="00B1619C"/>
    <w:rsid w:val="00B165F2"/>
    <w:rsid w:val="00B166D9"/>
    <w:rsid w:val="00B16BDB"/>
    <w:rsid w:val="00B16EB7"/>
    <w:rsid w:val="00B16EFB"/>
    <w:rsid w:val="00B17076"/>
    <w:rsid w:val="00B171FD"/>
    <w:rsid w:val="00B17220"/>
    <w:rsid w:val="00B17422"/>
    <w:rsid w:val="00B179AE"/>
    <w:rsid w:val="00B17C9C"/>
    <w:rsid w:val="00B17E7C"/>
    <w:rsid w:val="00B17ED9"/>
    <w:rsid w:val="00B201E2"/>
    <w:rsid w:val="00B2038B"/>
    <w:rsid w:val="00B20426"/>
    <w:rsid w:val="00B204E6"/>
    <w:rsid w:val="00B2063F"/>
    <w:rsid w:val="00B2077C"/>
    <w:rsid w:val="00B20980"/>
    <w:rsid w:val="00B20DE9"/>
    <w:rsid w:val="00B2107F"/>
    <w:rsid w:val="00B21421"/>
    <w:rsid w:val="00B215CD"/>
    <w:rsid w:val="00B2194B"/>
    <w:rsid w:val="00B21B39"/>
    <w:rsid w:val="00B21C15"/>
    <w:rsid w:val="00B21D8A"/>
    <w:rsid w:val="00B21DAF"/>
    <w:rsid w:val="00B22125"/>
    <w:rsid w:val="00B2258C"/>
    <w:rsid w:val="00B225D4"/>
    <w:rsid w:val="00B2294A"/>
    <w:rsid w:val="00B22ABD"/>
    <w:rsid w:val="00B22FFF"/>
    <w:rsid w:val="00B23042"/>
    <w:rsid w:val="00B23712"/>
    <w:rsid w:val="00B23C37"/>
    <w:rsid w:val="00B23D1E"/>
    <w:rsid w:val="00B24561"/>
    <w:rsid w:val="00B246BE"/>
    <w:rsid w:val="00B252D0"/>
    <w:rsid w:val="00B2548D"/>
    <w:rsid w:val="00B2561D"/>
    <w:rsid w:val="00B25703"/>
    <w:rsid w:val="00B25821"/>
    <w:rsid w:val="00B25AEF"/>
    <w:rsid w:val="00B25F80"/>
    <w:rsid w:val="00B26136"/>
    <w:rsid w:val="00B2623A"/>
    <w:rsid w:val="00B26505"/>
    <w:rsid w:val="00B268F0"/>
    <w:rsid w:val="00B270B0"/>
    <w:rsid w:val="00B275C5"/>
    <w:rsid w:val="00B27DA4"/>
    <w:rsid w:val="00B30461"/>
    <w:rsid w:val="00B3068C"/>
    <w:rsid w:val="00B30D4F"/>
    <w:rsid w:val="00B31168"/>
    <w:rsid w:val="00B31492"/>
    <w:rsid w:val="00B31533"/>
    <w:rsid w:val="00B3188A"/>
    <w:rsid w:val="00B319B1"/>
    <w:rsid w:val="00B319F3"/>
    <w:rsid w:val="00B31D87"/>
    <w:rsid w:val="00B31D96"/>
    <w:rsid w:val="00B31E50"/>
    <w:rsid w:val="00B3222D"/>
    <w:rsid w:val="00B326E8"/>
    <w:rsid w:val="00B32AEB"/>
    <w:rsid w:val="00B332AA"/>
    <w:rsid w:val="00B33472"/>
    <w:rsid w:val="00B338B0"/>
    <w:rsid w:val="00B33A16"/>
    <w:rsid w:val="00B33BA0"/>
    <w:rsid w:val="00B340F5"/>
    <w:rsid w:val="00B3420C"/>
    <w:rsid w:val="00B3507D"/>
    <w:rsid w:val="00B3511B"/>
    <w:rsid w:val="00B35BC6"/>
    <w:rsid w:val="00B36D6A"/>
    <w:rsid w:val="00B36E15"/>
    <w:rsid w:val="00B3710E"/>
    <w:rsid w:val="00B371C5"/>
    <w:rsid w:val="00B37456"/>
    <w:rsid w:val="00B379AA"/>
    <w:rsid w:val="00B379CF"/>
    <w:rsid w:val="00B37F0A"/>
    <w:rsid w:val="00B4006E"/>
    <w:rsid w:val="00B40216"/>
    <w:rsid w:val="00B4046A"/>
    <w:rsid w:val="00B408D4"/>
    <w:rsid w:val="00B40C4E"/>
    <w:rsid w:val="00B40C91"/>
    <w:rsid w:val="00B410A6"/>
    <w:rsid w:val="00B41236"/>
    <w:rsid w:val="00B419F6"/>
    <w:rsid w:val="00B41C0E"/>
    <w:rsid w:val="00B42325"/>
    <w:rsid w:val="00B42970"/>
    <w:rsid w:val="00B42C44"/>
    <w:rsid w:val="00B42C57"/>
    <w:rsid w:val="00B42DF0"/>
    <w:rsid w:val="00B436D6"/>
    <w:rsid w:val="00B437EF"/>
    <w:rsid w:val="00B43BB6"/>
    <w:rsid w:val="00B43F42"/>
    <w:rsid w:val="00B44472"/>
    <w:rsid w:val="00B4458F"/>
    <w:rsid w:val="00B445CF"/>
    <w:rsid w:val="00B44A18"/>
    <w:rsid w:val="00B44C40"/>
    <w:rsid w:val="00B44D10"/>
    <w:rsid w:val="00B451AC"/>
    <w:rsid w:val="00B45640"/>
    <w:rsid w:val="00B460B7"/>
    <w:rsid w:val="00B46D5F"/>
    <w:rsid w:val="00B47339"/>
    <w:rsid w:val="00B474D2"/>
    <w:rsid w:val="00B477E7"/>
    <w:rsid w:val="00B4785A"/>
    <w:rsid w:val="00B479B6"/>
    <w:rsid w:val="00B47C82"/>
    <w:rsid w:val="00B47E50"/>
    <w:rsid w:val="00B50908"/>
    <w:rsid w:val="00B50D92"/>
    <w:rsid w:val="00B51425"/>
    <w:rsid w:val="00B51A7A"/>
    <w:rsid w:val="00B51C3F"/>
    <w:rsid w:val="00B52043"/>
    <w:rsid w:val="00B52295"/>
    <w:rsid w:val="00B522CB"/>
    <w:rsid w:val="00B523DA"/>
    <w:rsid w:val="00B525F7"/>
    <w:rsid w:val="00B52AAB"/>
    <w:rsid w:val="00B53596"/>
    <w:rsid w:val="00B535F0"/>
    <w:rsid w:val="00B536C6"/>
    <w:rsid w:val="00B540E3"/>
    <w:rsid w:val="00B5436E"/>
    <w:rsid w:val="00B54CD2"/>
    <w:rsid w:val="00B54D2A"/>
    <w:rsid w:val="00B5591F"/>
    <w:rsid w:val="00B559AC"/>
    <w:rsid w:val="00B559E0"/>
    <w:rsid w:val="00B559E1"/>
    <w:rsid w:val="00B55A80"/>
    <w:rsid w:val="00B55DDA"/>
    <w:rsid w:val="00B566B6"/>
    <w:rsid w:val="00B56877"/>
    <w:rsid w:val="00B56CB9"/>
    <w:rsid w:val="00B56E0E"/>
    <w:rsid w:val="00B56F6D"/>
    <w:rsid w:val="00B57021"/>
    <w:rsid w:val="00B5798E"/>
    <w:rsid w:val="00B57CF8"/>
    <w:rsid w:val="00B60694"/>
    <w:rsid w:val="00B60711"/>
    <w:rsid w:val="00B60A5B"/>
    <w:rsid w:val="00B60B26"/>
    <w:rsid w:val="00B60E92"/>
    <w:rsid w:val="00B60EF7"/>
    <w:rsid w:val="00B6126D"/>
    <w:rsid w:val="00B61FE4"/>
    <w:rsid w:val="00B62191"/>
    <w:rsid w:val="00B6221D"/>
    <w:rsid w:val="00B628A4"/>
    <w:rsid w:val="00B62E64"/>
    <w:rsid w:val="00B62F44"/>
    <w:rsid w:val="00B630AF"/>
    <w:rsid w:val="00B63544"/>
    <w:rsid w:val="00B638F5"/>
    <w:rsid w:val="00B63A54"/>
    <w:rsid w:val="00B63EDA"/>
    <w:rsid w:val="00B640D4"/>
    <w:rsid w:val="00B646A8"/>
    <w:rsid w:val="00B6498C"/>
    <w:rsid w:val="00B64B03"/>
    <w:rsid w:val="00B65263"/>
    <w:rsid w:val="00B6528A"/>
    <w:rsid w:val="00B65686"/>
    <w:rsid w:val="00B65718"/>
    <w:rsid w:val="00B657EA"/>
    <w:rsid w:val="00B65997"/>
    <w:rsid w:val="00B660F4"/>
    <w:rsid w:val="00B66180"/>
    <w:rsid w:val="00B6626C"/>
    <w:rsid w:val="00B66615"/>
    <w:rsid w:val="00B66A76"/>
    <w:rsid w:val="00B66CE3"/>
    <w:rsid w:val="00B66CF0"/>
    <w:rsid w:val="00B66F9F"/>
    <w:rsid w:val="00B6738A"/>
    <w:rsid w:val="00B67822"/>
    <w:rsid w:val="00B67A2D"/>
    <w:rsid w:val="00B67CE3"/>
    <w:rsid w:val="00B67D62"/>
    <w:rsid w:val="00B70003"/>
    <w:rsid w:val="00B70244"/>
    <w:rsid w:val="00B7070E"/>
    <w:rsid w:val="00B7076C"/>
    <w:rsid w:val="00B70AC2"/>
    <w:rsid w:val="00B70B03"/>
    <w:rsid w:val="00B70BDB"/>
    <w:rsid w:val="00B70CBE"/>
    <w:rsid w:val="00B70D90"/>
    <w:rsid w:val="00B70DCB"/>
    <w:rsid w:val="00B70DFA"/>
    <w:rsid w:val="00B70F7A"/>
    <w:rsid w:val="00B71064"/>
    <w:rsid w:val="00B71568"/>
    <w:rsid w:val="00B7161D"/>
    <w:rsid w:val="00B716C7"/>
    <w:rsid w:val="00B72065"/>
    <w:rsid w:val="00B72158"/>
    <w:rsid w:val="00B723F6"/>
    <w:rsid w:val="00B72663"/>
    <w:rsid w:val="00B72780"/>
    <w:rsid w:val="00B72C91"/>
    <w:rsid w:val="00B7315D"/>
    <w:rsid w:val="00B73BA2"/>
    <w:rsid w:val="00B73BEE"/>
    <w:rsid w:val="00B73DCF"/>
    <w:rsid w:val="00B73F04"/>
    <w:rsid w:val="00B746A1"/>
    <w:rsid w:val="00B74F94"/>
    <w:rsid w:val="00B75504"/>
    <w:rsid w:val="00B759C5"/>
    <w:rsid w:val="00B75A97"/>
    <w:rsid w:val="00B761F4"/>
    <w:rsid w:val="00B7638B"/>
    <w:rsid w:val="00B769C5"/>
    <w:rsid w:val="00B76D4B"/>
    <w:rsid w:val="00B77274"/>
    <w:rsid w:val="00B7733C"/>
    <w:rsid w:val="00B77582"/>
    <w:rsid w:val="00B776C1"/>
    <w:rsid w:val="00B778AE"/>
    <w:rsid w:val="00B801D4"/>
    <w:rsid w:val="00B803FB"/>
    <w:rsid w:val="00B8082D"/>
    <w:rsid w:val="00B81121"/>
    <w:rsid w:val="00B81271"/>
    <w:rsid w:val="00B81658"/>
    <w:rsid w:val="00B81DC6"/>
    <w:rsid w:val="00B823C6"/>
    <w:rsid w:val="00B82A2A"/>
    <w:rsid w:val="00B82AAE"/>
    <w:rsid w:val="00B82FFE"/>
    <w:rsid w:val="00B831EB"/>
    <w:rsid w:val="00B83237"/>
    <w:rsid w:val="00B83293"/>
    <w:rsid w:val="00B832C6"/>
    <w:rsid w:val="00B836D5"/>
    <w:rsid w:val="00B8379B"/>
    <w:rsid w:val="00B83A1C"/>
    <w:rsid w:val="00B83D38"/>
    <w:rsid w:val="00B83EA0"/>
    <w:rsid w:val="00B840E7"/>
    <w:rsid w:val="00B84293"/>
    <w:rsid w:val="00B8448D"/>
    <w:rsid w:val="00B84537"/>
    <w:rsid w:val="00B8453B"/>
    <w:rsid w:val="00B845DE"/>
    <w:rsid w:val="00B84703"/>
    <w:rsid w:val="00B8496E"/>
    <w:rsid w:val="00B84983"/>
    <w:rsid w:val="00B849CD"/>
    <w:rsid w:val="00B84AD9"/>
    <w:rsid w:val="00B84C10"/>
    <w:rsid w:val="00B84D76"/>
    <w:rsid w:val="00B85253"/>
    <w:rsid w:val="00B859CD"/>
    <w:rsid w:val="00B86221"/>
    <w:rsid w:val="00B8682E"/>
    <w:rsid w:val="00B86881"/>
    <w:rsid w:val="00B86D39"/>
    <w:rsid w:val="00B8731E"/>
    <w:rsid w:val="00B878B0"/>
    <w:rsid w:val="00B87AAE"/>
    <w:rsid w:val="00B87BF7"/>
    <w:rsid w:val="00B87E12"/>
    <w:rsid w:val="00B87E26"/>
    <w:rsid w:val="00B87E5A"/>
    <w:rsid w:val="00B87EC7"/>
    <w:rsid w:val="00B87FCB"/>
    <w:rsid w:val="00B9021C"/>
    <w:rsid w:val="00B9064F"/>
    <w:rsid w:val="00B9066D"/>
    <w:rsid w:val="00B90CB6"/>
    <w:rsid w:val="00B90F37"/>
    <w:rsid w:val="00B91130"/>
    <w:rsid w:val="00B91216"/>
    <w:rsid w:val="00B91224"/>
    <w:rsid w:val="00B917C3"/>
    <w:rsid w:val="00B91AA0"/>
    <w:rsid w:val="00B91BB5"/>
    <w:rsid w:val="00B91DF3"/>
    <w:rsid w:val="00B91EBE"/>
    <w:rsid w:val="00B92543"/>
    <w:rsid w:val="00B926B2"/>
    <w:rsid w:val="00B930B2"/>
    <w:rsid w:val="00B934D3"/>
    <w:rsid w:val="00B93928"/>
    <w:rsid w:val="00B93B0F"/>
    <w:rsid w:val="00B93B2E"/>
    <w:rsid w:val="00B93CED"/>
    <w:rsid w:val="00B946F2"/>
    <w:rsid w:val="00B949DC"/>
    <w:rsid w:val="00B94F7C"/>
    <w:rsid w:val="00B9533E"/>
    <w:rsid w:val="00B95622"/>
    <w:rsid w:val="00B959C9"/>
    <w:rsid w:val="00B959F7"/>
    <w:rsid w:val="00B95C66"/>
    <w:rsid w:val="00B95FAC"/>
    <w:rsid w:val="00B961CF"/>
    <w:rsid w:val="00B9624F"/>
    <w:rsid w:val="00B9672A"/>
    <w:rsid w:val="00B967B2"/>
    <w:rsid w:val="00B97B38"/>
    <w:rsid w:val="00B97FA0"/>
    <w:rsid w:val="00BA026F"/>
    <w:rsid w:val="00BA0467"/>
    <w:rsid w:val="00BA04EC"/>
    <w:rsid w:val="00BA08B8"/>
    <w:rsid w:val="00BA0B94"/>
    <w:rsid w:val="00BA0BFB"/>
    <w:rsid w:val="00BA0D4D"/>
    <w:rsid w:val="00BA136C"/>
    <w:rsid w:val="00BA1CC2"/>
    <w:rsid w:val="00BA22F6"/>
    <w:rsid w:val="00BA231B"/>
    <w:rsid w:val="00BA23EB"/>
    <w:rsid w:val="00BA24AD"/>
    <w:rsid w:val="00BA2A47"/>
    <w:rsid w:val="00BA3592"/>
    <w:rsid w:val="00BA39FA"/>
    <w:rsid w:val="00BA3CEE"/>
    <w:rsid w:val="00BA3EDD"/>
    <w:rsid w:val="00BA4285"/>
    <w:rsid w:val="00BA43FD"/>
    <w:rsid w:val="00BA4689"/>
    <w:rsid w:val="00BA4821"/>
    <w:rsid w:val="00BA4D1A"/>
    <w:rsid w:val="00BA4E49"/>
    <w:rsid w:val="00BA4F9B"/>
    <w:rsid w:val="00BA5459"/>
    <w:rsid w:val="00BA60B7"/>
    <w:rsid w:val="00BA6217"/>
    <w:rsid w:val="00BA6613"/>
    <w:rsid w:val="00BA6894"/>
    <w:rsid w:val="00BA6B7B"/>
    <w:rsid w:val="00BA6BEF"/>
    <w:rsid w:val="00BA6C2B"/>
    <w:rsid w:val="00BA6C5E"/>
    <w:rsid w:val="00BA6E3F"/>
    <w:rsid w:val="00BA6F81"/>
    <w:rsid w:val="00BA7D15"/>
    <w:rsid w:val="00BA7E6D"/>
    <w:rsid w:val="00BB07BF"/>
    <w:rsid w:val="00BB13D2"/>
    <w:rsid w:val="00BB1D90"/>
    <w:rsid w:val="00BB1F5A"/>
    <w:rsid w:val="00BB2512"/>
    <w:rsid w:val="00BB278D"/>
    <w:rsid w:val="00BB2991"/>
    <w:rsid w:val="00BB3D1B"/>
    <w:rsid w:val="00BB4597"/>
    <w:rsid w:val="00BB5142"/>
    <w:rsid w:val="00BB52DA"/>
    <w:rsid w:val="00BB531E"/>
    <w:rsid w:val="00BB557F"/>
    <w:rsid w:val="00BB5ACF"/>
    <w:rsid w:val="00BB5C89"/>
    <w:rsid w:val="00BB5DE1"/>
    <w:rsid w:val="00BB63BF"/>
    <w:rsid w:val="00BB65B2"/>
    <w:rsid w:val="00BB6643"/>
    <w:rsid w:val="00BB6AB2"/>
    <w:rsid w:val="00BB6AF0"/>
    <w:rsid w:val="00BB77AE"/>
    <w:rsid w:val="00BB7CD5"/>
    <w:rsid w:val="00BB7EEE"/>
    <w:rsid w:val="00BC016B"/>
    <w:rsid w:val="00BC01B4"/>
    <w:rsid w:val="00BC0241"/>
    <w:rsid w:val="00BC027B"/>
    <w:rsid w:val="00BC0283"/>
    <w:rsid w:val="00BC0305"/>
    <w:rsid w:val="00BC0766"/>
    <w:rsid w:val="00BC09D5"/>
    <w:rsid w:val="00BC0B56"/>
    <w:rsid w:val="00BC0CD9"/>
    <w:rsid w:val="00BC151B"/>
    <w:rsid w:val="00BC1667"/>
    <w:rsid w:val="00BC1C7E"/>
    <w:rsid w:val="00BC1DAB"/>
    <w:rsid w:val="00BC1E99"/>
    <w:rsid w:val="00BC21E6"/>
    <w:rsid w:val="00BC25C1"/>
    <w:rsid w:val="00BC2CBB"/>
    <w:rsid w:val="00BC3829"/>
    <w:rsid w:val="00BC3C39"/>
    <w:rsid w:val="00BC3DE3"/>
    <w:rsid w:val="00BC3FC5"/>
    <w:rsid w:val="00BC468B"/>
    <w:rsid w:val="00BC46D8"/>
    <w:rsid w:val="00BC4A6C"/>
    <w:rsid w:val="00BC518E"/>
    <w:rsid w:val="00BC5418"/>
    <w:rsid w:val="00BC551C"/>
    <w:rsid w:val="00BC5A2D"/>
    <w:rsid w:val="00BC5E9A"/>
    <w:rsid w:val="00BC5F0E"/>
    <w:rsid w:val="00BC6118"/>
    <w:rsid w:val="00BC61FA"/>
    <w:rsid w:val="00BC622E"/>
    <w:rsid w:val="00BC63E3"/>
    <w:rsid w:val="00BC64C2"/>
    <w:rsid w:val="00BC6917"/>
    <w:rsid w:val="00BC6D60"/>
    <w:rsid w:val="00BC767A"/>
    <w:rsid w:val="00BC7746"/>
    <w:rsid w:val="00BC776F"/>
    <w:rsid w:val="00BC7BD3"/>
    <w:rsid w:val="00BC7CB8"/>
    <w:rsid w:val="00BC7D30"/>
    <w:rsid w:val="00BC7F9D"/>
    <w:rsid w:val="00BD006A"/>
    <w:rsid w:val="00BD01C7"/>
    <w:rsid w:val="00BD0467"/>
    <w:rsid w:val="00BD0511"/>
    <w:rsid w:val="00BD051B"/>
    <w:rsid w:val="00BD065F"/>
    <w:rsid w:val="00BD0743"/>
    <w:rsid w:val="00BD0A13"/>
    <w:rsid w:val="00BD0D33"/>
    <w:rsid w:val="00BD0DE2"/>
    <w:rsid w:val="00BD1009"/>
    <w:rsid w:val="00BD131F"/>
    <w:rsid w:val="00BD141D"/>
    <w:rsid w:val="00BD1ABD"/>
    <w:rsid w:val="00BD1BF3"/>
    <w:rsid w:val="00BD2B3E"/>
    <w:rsid w:val="00BD2D67"/>
    <w:rsid w:val="00BD33F0"/>
    <w:rsid w:val="00BD3BBA"/>
    <w:rsid w:val="00BD4293"/>
    <w:rsid w:val="00BD440F"/>
    <w:rsid w:val="00BD4BA6"/>
    <w:rsid w:val="00BD4C82"/>
    <w:rsid w:val="00BD5324"/>
    <w:rsid w:val="00BD5554"/>
    <w:rsid w:val="00BD5BD3"/>
    <w:rsid w:val="00BD5C44"/>
    <w:rsid w:val="00BD5DEC"/>
    <w:rsid w:val="00BD5FE9"/>
    <w:rsid w:val="00BD6291"/>
    <w:rsid w:val="00BD679A"/>
    <w:rsid w:val="00BD6C30"/>
    <w:rsid w:val="00BD70DA"/>
    <w:rsid w:val="00BD7605"/>
    <w:rsid w:val="00BD7786"/>
    <w:rsid w:val="00BD78FB"/>
    <w:rsid w:val="00BD7C0B"/>
    <w:rsid w:val="00BE00B8"/>
    <w:rsid w:val="00BE01E2"/>
    <w:rsid w:val="00BE091C"/>
    <w:rsid w:val="00BE0CC3"/>
    <w:rsid w:val="00BE0EFB"/>
    <w:rsid w:val="00BE0FB4"/>
    <w:rsid w:val="00BE1279"/>
    <w:rsid w:val="00BE1C9A"/>
    <w:rsid w:val="00BE31CF"/>
    <w:rsid w:val="00BE31E6"/>
    <w:rsid w:val="00BE321D"/>
    <w:rsid w:val="00BE39CC"/>
    <w:rsid w:val="00BE3A53"/>
    <w:rsid w:val="00BE3B8E"/>
    <w:rsid w:val="00BE4020"/>
    <w:rsid w:val="00BE40DA"/>
    <w:rsid w:val="00BE4290"/>
    <w:rsid w:val="00BE43C7"/>
    <w:rsid w:val="00BE4486"/>
    <w:rsid w:val="00BE47EE"/>
    <w:rsid w:val="00BE4825"/>
    <w:rsid w:val="00BE4C1D"/>
    <w:rsid w:val="00BE4C28"/>
    <w:rsid w:val="00BE4D9A"/>
    <w:rsid w:val="00BE52DE"/>
    <w:rsid w:val="00BE548F"/>
    <w:rsid w:val="00BE59E9"/>
    <w:rsid w:val="00BE5F91"/>
    <w:rsid w:val="00BE6250"/>
    <w:rsid w:val="00BE66C9"/>
    <w:rsid w:val="00BE68F1"/>
    <w:rsid w:val="00BE6935"/>
    <w:rsid w:val="00BE6AD1"/>
    <w:rsid w:val="00BE6B46"/>
    <w:rsid w:val="00BE6CD5"/>
    <w:rsid w:val="00BE6E84"/>
    <w:rsid w:val="00BE746F"/>
    <w:rsid w:val="00BE759D"/>
    <w:rsid w:val="00BE768D"/>
    <w:rsid w:val="00BE78BC"/>
    <w:rsid w:val="00BE794E"/>
    <w:rsid w:val="00BE79B5"/>
    <w:rsid w:val="00BE7C01"/>
    <w:rsid w:val="00BF0728"/>
    <w:rsid w:val="00BF0957"/>
    <w:rsid w:val="00BF10BA"/>
    <w:rsid w:val="00BF17A2"/>
    <w:rsid w:val="00BF1B24"/>
    <w:rsid w:val="00BF2234"/>
    <w:rsid w:val="00BF2476"/>
    <w:rsid w:val="00BF25A5"/>
    <w:rsid w:val="00BF2973"/>
    <w:rsid w:val="00BF31D3"/>
    <w:rsid w:val="00BF3641"/>
    <w:rsid w:val="00BF3ADD"/>
    <w:rsid w:val="00BF3FB6"/>
    <w:rsid w:val="00BF4332"/>
    <w:rsid w:val="00BF4862"/>
    <w:rsid w:val="00BF4E7E"/>
    <w:rsid w:val="00BF5B39"/>
    <w:rsid w:val="00BF5B7B"/>
    <w:rsid w:val="00BF5C4B"/>
    <w:rsid w:val="00BF5D2F"/>
    <w:rsid w:val="00BF5D73"/>
    <w:rsid w:val="00BF61E4"/>
    <w:rsid w:val="00BF6596"/>
    <w:rsid w:val="00BF6648"/>
    <w:rsid w:val="00BF6B7B"/>
    <w:rsid w:val="00BF6CCE"/>
    <w:rsid w:val="00BF6DB5"/>
    <w:rsid w:val="00BF701B"/>
    <w:rsid w:val="00BF7137"/>
    <w:rsid w:val="00BF715E"/>
    <w:rsid w:val="00BF72C0"/>
    <w:rsid w:val="00BF73FA"/>
    <w:rsid w:val="00BF757B"/>
    <w:rsid w:val="00BF767C"/>
    <w:rsid w:val="00BF7ADD"/>
    <w:rsid w:val="00C007D1"/>
    <w:rsid w:val="00C00ADE"/>
    <w:rsid w:val="00C00B97"/>
    <w:rsid w:val="00C01234"/>
    <w:rsid w:val="00C0139A"/>
    <w:rsid w:val="00C019C8"/>
    <w:rsid w:val="00C01B3B"/>
    <w:rsid w:val="00C01CB6"/>
    <w:rsid w:val="00C01CF6"/>
    <w:rsid w:val="00C01DC3"/>
    <w:rsid w:val="00C0234E"/>
    <w:rsid w:val="00C02BD2"/>
    <w:rsid w:val="00C02C01"/>
    <w:rsid w:val="00C02C24"/>
    <w:rsid w:val="00C02E16"/>
    <w:rsid w:val="00C031CF"/>
    <w:rsid w:val="00C03317"/>
    <w:rsid w:val="00C0333A"/>
    <w:rsid w:val="00C03697"/>
    <w:rsid w:val="00C036F2"/>
    <w:rsid w:val="00C04497"/>
    <w:rsid w:val="00C044F2"/>
    <w:rsid w:val="00C048C9"/>
    <w:rsid w:val="00C04CE3"/>
    <w:rsid w:val="00C05357"/>
    <w:rsid w:val="00C05AD8"/>
    <w:rsid w:val="00C0632B"/>
    <w:rsid w:val="00C06561"/>
    <w:rsid w:val="00C06B9F"/>
    <w:rsid w:val="00C06FAD"/>
    <w:rsid w:val="00C07160"/>
    <w:rsid w:val="00C071F2"/>
    <w:rsid w:val="00C072A0"/>
    <w:rsid w:val="00C07486"/>
    <w:rsid w:val="00C0763D"/>
    <w:rsid w:val="00C077DF"/>
    <w:rsid w:val="00C078B4"/>
    <w:rsid w:val="00C078EE"/>
    <w:rsid w:val="00C079E6"/>
    <w:rsid w:val="00C101B0"/>
    <w:rsid w:val="00C102D6"/>
    <w:rsid w:val="00C10463"/>
    <w:rsid w:val="00C10AE3"/>
    <w:rsid w:val="00C10BC3"/>
    <w:rsid w:val="00C10E49"/>
    <w:rsid w:val="00C1185B"/>
    <w:rsid w:val="00C11992"/>
    <w:rsid w:val="00C11E75"/>
    <w:rsid w:val="00C11ED3"/>
    <w:rsid w:val="00C11FF7"/>
    <w:rsid w:val="00C12159"/>
    <w:rsid w:val="00C12165"/>
    <w:rsid w:val="00C123FD"/>
    <w:rsid w:val="00C1276E"/>
    <w:rsid w:val="00C12B24"/>
    <w:rsid w:val="00C12F37"/>
    <w:rsid w:val="00C12FB2"/>
    <w:rsid w:val="00C1332D"/>
    <w:rsid w:val="00C133F8"/>
    <w:rsid w:val="00C13A85"/>
    <w:rsid w:val="00C13F19"/>
    <w:rsid w:val="00C14A4A"/>
    <w:rsid w:val="00C1547D"/>
    <w:rsid w:val="00C1559A"/>
    <w:rsid w:val="00C15E15"/>
    <w:rsid w:val="00C15E93"/>
    <w:rsid w:val="00C15FC6"/>
    <w:rsid w:val="00C160C5"/>
    <w:rsid w:val="00C16120"/>
    <w:rsid w:val="00C168D2"/>
    <w:rsid w:val="00C16965"/>
    <w:rsid w:val="00C16CD0"/>
    <w:rsid w:val="00C16FBE"/>
    <w:rsid w:val="00C172B9"/>
    <w:rsid w:val="00C17350"/>
    <w:rsid w:val="00C17407"/>
    <w:rsid w:val="00C17D2F"/>
    <w:rsid w:val="00C21279"/>
    <w:rsid w:val="00C2157C"/>
    <w:rsid w:val="00C217C0"/>
    <w:rsid w:val="00C2253D"/>
    <w:rsid w:val="00C226E7"/>
    <w:rsid w:val="00C228A1"/>
    <w:rsid w:val="00C22B2B"/>
    <w:rsid w:val="00C233FF"/>
    <w:rsid w:val="00C23634"/>
    <w:rsid w:val="00C236F9"/>
    <w:rsid w:val="00C2444A"/>
    <w:rsid w:val="00C246A9"/>
    <w:rsid w:val="00C246B5"/>
    <w:rsid w:val="00C24FBD"/>
    <w:rsid w:val="00C255D0"/>
    <w:rsid w:val="00C26283"/>
    <w:rsid w:val="00C262D3"/>
    <w:rsid w:val="00C266F4"/>
    <w:rsid w:val="00C27119"/>
    <w:rsid w:val="00C271FF"/>
    <w:rsid w:val="00C2763B"/>
    <w:rsid w:val="00C27AE8"/>
    <w:rsid w:val="00C27D1B"/>
    <w:rsid w:val="00C30022"/>
    <w:rsid w:val="00C3023B"/>
    <w:rsid w:val="00C3052A"/>
    <w:rsid w:val="00C30617"/>
    <w:rsid w:val="00C30639"/>
    <w:rsid w:val="00C3065A"/>
    <w:rsid w:val="00C30AD4"/>
    <w:rsid w:val="00C30C39"/>
    <w:rsid w:val="00C30E0D"/>
    <w:rsid w:val="00C31130"/>
    <w:rsid w:val="00C316F4"/>
    <w:rsid w:val="00C31A68"/>
    <w:rsid w:val="00C32577"/>
    <w:rsid w:val="00C327BA"/>
    <w:rsid w:val="00C32950"/>
    <w:rsid w:val="00C32988"/>
    <w:rsid w:val="00C331FE"/>
    <w:rsid w:val="00C33286"/>
    <w:rsid w:val="00C339A3"/>
    <w:rsid w:val="00C33A5D"/>
    <w:rsid w:val="00C33AF2"/>
    <w:rsid w:val="00C33DD3"/>
    <w:rsid w:val="00C34040"/>
    <w:rsid w:val="00C340AA"/>
    <w:rsid w:val="00C3451A"/>
    <w:rsid w:val="00C34C58"/>
    <w:rsid w:val="00C34CBB"/>
    <w:rsid w:val="00C35189"/>
    <w:rsid w:val="00C357D8"/>
    <w:rsid w:val="00C358D7"/>
    <w:rsid w:val="00C361CF"/>
    <w:rsid w:val="00C36744"/>
    <w:rsid w:val="00C36CFC"/>
    <w:rsid w:val="00C36F81"/>
    <w:rsid w:val="00C36FD9"/>
    <w:rsid w:val="00C37304"/>
    <w:rsid w:val="00C37371"/>
    <w:rsid w:val="00C37E45"/>
    <w:rsid w:val="00C40409"/>
    <w:rsid w:val="00C404B2"/>
    <w:rsid w:val="00C40619"/>
    <w:rsid w:val="00C40670"/>
    <w:rsid w:val="00C40761"/>
    <w:rsid w:val="00C40A64"/>
    <w:rsid w:val="00C40E9D"/>
    <w:rsid w:val="00C4110F"/>
    <w:rsid w:val="00C414F5"/>
    <w:rsid w:val="00C415A3"/>
    <w:rsid w:val="00C41941"/>
    <w:rsid w:val="00C41B2F"/>
    <w:rsid w:val="00C41B88"/>
    <w:rsid w:val="00C42132"/>
    <w:rsid w:val="00C426B5"/>
    <w:rsid w:val="00C4292A"/>
    <w:rsid w:val="00C42B83"/>
    <w:rsid w:val="00C42DFC"/>
    <w:rsid w:val="00C42EC3"/>
    <w:rsid w:val="00C43029"/>
    <w:rsid w:val="00C4391D"/>
    <w:rsid w:val="00C43FA8"/>
    <w:rsid w:val="00C4467E"/>
    <w:rsid w:val="00C447DE"/>
    <w:rsid w:val="00C448E8"/>
    <w:rsid w:val="00C44A24"/>
    <w:rsid w:val="00C44CA7"/>
    <w:rsid w:val="00C44FF2"/>
    <w:rsid w:val="00C450B6"/>
    <w:rsid w:val="00C450F1"/>
    <w:rsid w:val="00C450FC"/>
    <w:rsid w:val="00C45320"/>
    <w:rsid w:val="00C453FA"/>
    <w:rsid w:val="00C45AF1"/>
    <w:rsid w:val="00C45E59"/>
    <w:rsid w:val="00C4626E"/>
    <w:rsid w:val="00C462CE"/>
    <w:rsid w:val="00C46717"/>
    <w:rsid w:val="00C46770"/>
    <w:rsid w:val="00C46924"/>
    <w:rsid w:val="00C46ABC"/>
    <w:rsid w:val="00C46E30"/>
    <w:rsid w:val="00C46E70"/>
    <w:rsid w:val="00C46F92"/>
    <w:rsid w:val="00C47358"/>
    <w:rsid w:val="00C47888"/>
    <w:rsid w:val="00C47932"/>
    <w:rsid w:val="00C47A9B"/>
    <w:rsid w:val="00C50407"/>
    <w:rsid w:val="00C5063B"/>
    <w:rsid w:val="00C507F2"/>
    <w:rsid w:val="00C50BA9"/>
    <w:rsid w:val="00C50CE8"/>
    <w:rsid w:val="00C50E88"/>
    <w:rsid w:val="00C50F1A"/>
    <w:rsid w:val="00C51084"/>
    <w:rsid w:val="00C51285"/>
    <w:rsid w:val="00C51491"/>
    <w:rsid w:val="00C51913"/>
    <w:rsid w:val="00C51BAC"/>
    <w:rsid w:val="00C522DC"/>
    <w:rsid w:val="00C52347"/>
    <w:rsid w:val="00C524E9"/>
    <w:rsid w:val="00C52562"/>
    <w:rsid w:val="00C529A3"/>
    <w:rsid w:val="00C52A79"/>
    <w:rsid w:val="00C52C43"/>
    <w:rsid w:val="00C52E8C"/>
    <w:rsid w:val="00C5335A"/>
    <w:rsid w:val="00C535C3"/>
    <w:rsid w:val="00C53A2B"/>
    <w:rsid w:val="00C53BC5"/>
    <w:rsid w:val="00C542C6"/>
    <w:rsid w:val="00C54964"/>
    <w:rsid w:val="00C549BB"/>
    <w:rsid w:val="00C54A8A"/>
    <w:rsid w:val="00C54BA0"/>
    <w:rsid w:val="00C54BAC"/>
    <w:rsid w:val="00C5538C"/>
    <w:rsid w:val="00C55443"/>
    <w:rsid w:val="00C55714"/>
    <w:rsid w:val="00C55DDA"/>
    <w:rsid w:val="00C55E7A"/>
    <w:rsid w:val="00C566CA"/>
    <w:rsid w:val="00C56C2E"/>
    <w:rsid w:val="00C570A8"/>
    <w:rsid w:val="00C571CC"/>
    <w:rsid w:val="00C57628"/>
    <w:rsid w:val="00C5762F"/>
    <w:rsid w:val="00C578B7"/>
    <w:rsid w:val="00C57E67"/>
    <w:rsid w:val="00C6038C"/>
    <w:rsid w:val="00C6043C"/>
    <w:rsid w:val="00C60E06"/>
    <w:rsid w:val="00C60F96"/>
    <w:rsid w:val="00C610BB"/>
    <w:rsid w:val="00C611CA"/>
    <w:rsid w:val="00C61CF2"/>
    <w:rsid w:val="00C61D3E"/>
    <w:rsid w:val="00C61D6D"/>
    <w:rsid w:val="00C6214D"/>
    <w:rsid w:val="00C622D1"/>
    <w:rsid w:val="00C627F6"/>
    <w:rsid w:val="00C6293A"/>
    <w:rsid w:val="00C63483"/>
    <w:rsid w:val="00C637C4"/>
    <w:rsid w:val="00C639D0"/>
    <w:rsid w:val="00C63E26"/>
    <w:rsid w:val="00C641A7"/>
    <w:rsid w:val="00C64921"/>
    <w:rsid w:val="00C651F7"/>
    <w:rsid w:val="00C65260"/>
    <w:rsid w:val="00C65584"/>
    <w:rsid w:val="00C65EE2"/>
    <w:rsid w:val="00C67328"/>
    <w:rsid w:val="00C67384"/>
    <w:rsid w:val="00C67943"/>
    <w:rsid w:val="00C67AED"/>
    <w:rsid w:val="00C67BC7"/>
    <w:rsid w:val="00C705EB"/>
    <w:rsid w:val="00C7099D"/>
    <w:rsid w:val="00C709E4"/>
    <w:rsid w:val="00C70A54"/>
    <w:rsid w:val="00C70AED"/>
    <w:rsid w:val="00C710A7"/>
    <w:rsid w:val="00C71146"/>
    <w:rsid w:val="00C711B3"/>
    <w:rsid w:val="00C71D3C"/>
    <w:rsid w:val="00C7203C"/>
    <w:rsid w:val="00C72210"/>
    <w:rsid w:val="00C723A0"/>
    <w:rsid w:val="00C72473"/>
    <w:rsid w:val="00C72635"/>
    <w:rsid w:val="00C729D3"/>
    <w:rsid w:val="00C72ABC"/>
    <w:rsid w:val="00C73704"/>
    <w:rsid w:val="00C73899"/>
    <w:rsid w:val="00C739C1"/>
    <w:rsid w:val="00C73C7D"/>
    <w:rsid w:val="00C740A5"/>
    <w:rsid w:val="00C74205"/>
    <w:rsid w:val="00C74401"/>
    <w:rsid w:val="00C7454E"/>
    <w:rsid w:val="00C74AD3"/>
    <w:rsid w:val="00C74EF2"/>
    <w:rsid w:val="00C751E4"/>
    <w:rsid w:val="00C7544B"/>
    <w:rsid w:val="00C755A3"/>
    <w:rsid w:val="00C759BA"/>
    <w:rsid w:val="00C75BAB"/>
    <w:rsid w:val="00C75CD5"/>
    <w:rsid w:val="00C75DA0"/>
    <w:rsid w:val="00C760C5"/>
    <w:rsid w:val="00C766C0"/>
    <w:rsid w:val="00C7689C"/>
    <w:rsid w:val="00C76AF0"/>
    <w:rsid w:val="00C771F5"/>
    <w:rsid w:val="00C772F3"/>
    <w:rsid w:val="00C776AD"/>
    <w:rsid w:val="00C77A40"/>
    <w:rsid w:val="00C77B65"/>
    <w:rsid w:val="00C77C5F"/>
    <w:rsid w:val="00C80003"/>
    <w:rsid w:val="00C802F6"/>
    <w:rsid w:val="00C803C9"/>
    <w:rsid w:val="00C80CF1"/>
    <w:rsid w:val="00C80E45"/>
    <w:rsid w:val="00C80EA5"/>
    <w:rsid w:val="00C81C8B"/>
    <w:rsid w:val="00C81E16"/>
    <w:rsid w:val="00C81F3E"/>
    <w:rsid w:val="00C821C0"/>
    <w:rsid w:val="00C82480"/>
    <w:rsid w:val="00C82597"/>
    <w:rsid w:val="00C82B41"/>
    <w:rsid w:val="00C82C45"/>
    <w:rsid w:val="00C82C8E"/>
    <w:rsid w:val="00C83268"/>
    <w:rsid w:val="00C832A1"/>
    <w:rsid w:val="00C833B9"/>
    <w:rsid w:val="00C8360F"/>
    <w:rsid w:val="00C837C5"/>
    <w:rsid w:val="00C83AA8"/>
    <w:rsid w:val="00C83EA5"/>
    <w:rsid w:val="00C83F24"/>
    <w:rsid w:val="00C8414E"/>
    <w:rsid w:val="00C84CAC"/>
    <w:rsid w:val="00C8591F"/>
    <w:rsid w:val="00C85C28"/>
    <w:rsid w:val="00C86304"/>
    <w:rsid w:val="00C87ECF"/>
    <w:rsid w:val="00C87F10"/>
    <w:rsid w:val="00C90053"/>
    <w:rsid w:val="00C90211"/>
    <w:rsid w:val="00C904B0"/>
    <w:rsid w:val="00C9074C"/>
    <w:rsid w:val="00C90818"/>
    <w:rsid w:val="00C908D9"/>
    <w:rsid w:val="00C90C77"/>
    <w:rsid w:val="00C90DCE"/>
    <w:rsid w:val="00C91305"/>
    <w:rsid w:val="00C9152A"/>
    <w:rsid w:val="00C915FB"/>
    <w:rsid w:val="00C91EBA"/>
    <w:rsid w:val="00C91FF3"/>
    <w:rsid w:val="00C92265"/>
    <w:rsid w:val="00C92406"/>
    <w:rsid w:val="00C926CB"/>
    <w:rsid w:val="00C926D6"/>
    <w:rsid w:val="00C9297D"/>
    <w:rsid w:val="00C92A5C"/>
    <w:rsid w:val="00C92DE8"/>
    <w:rsid w:val="00C92FC4"/>
    <w:rsid w:val="00C9349F"/>
    <w:rsid w:val="00C93602"/>
    <w:rsid w:val="00C937DA"/>
    <w:rsid w:val="00C9380D"/>
    <w:rsid w:val="00C93AD0"/>
    <w:rsid w:val="00C93E34"/>
    <w:rsid w:val="00C941B7"/>
    <w:rsid w:val="00C94502"/>
    <w:rsid w:val="00C947AC"/>
    <w:rsid w:val="00C94E1D"/>
    <w:rsid w:val="00C95233"/>
    <w:rsid w:val="00C9584A"/>
    <w:rsid w:val="00C95C45"/>
    <w:rsid w:val="00C95DB0"/>
    <w:rsid w:val="00C95F0A"/>
    <w:rsid w:val="00C95FCA"/>
    <w:rsid w:val="00C96526"/>
    <w:rsid w:val="00C9681E"/>
    <w:rsid w:val="00C96AF9"/>
    <w:rsid w:val="00C9702B"/>
    <w:rsid w:val="00C9763B"/>
    <w:rsid w:val="00C976E2"/>
    <w:rsid w:val="00C97874"/>
    <w:rsid w:val="00C97C28"/>
    <w:rsid w:val="00CA000F"/>
    <w:rsid w:val="00CA01FB"/>
    <w:rsid w:val="00CA0622"/>
    <w:rsid w:val="00CA0769"/>
    <w:rsid w:val="00CA0A41"/>
    <w:rsid w:val="00CA0F7A"/>
    <w:rsid w:val="00CA100B"/>
    <w:rsid w:val="00CA1187"/>
    <w:rsid w:val="00CA11A5"/>
    <w:rsid w:val="00CA19D0"/>
    <w:rsid w:val="00CA1A72"/>
    <w:rsid w:val="00CA2155"/>
    <w:rsid w:val="00CA215B"/>
    <w:rsid w:val="00CA21CF"/>
    <w:rsid w:val="00CA3163"/>
    <w:rsid w:val="00CA334A"/>
    <w:rsid w:val="00CA38C5"/>
    <w:rsid w:val="00CA3D29"/>
    <w:rsid w:val="00CA4037"/>
    <w:rsid w:val="00CA4245"/>
    <w:rsid w:val="00CA503B"/>
    <w:rsid w:val="00CA55FF"/>
    <w:rsid w:val="00CA582A"/>
    <w:rsid w:val="00CA59F8"/>
    <w:rsid w:val="00CA5D00"/>
    <w:rsid w:val="00CA5D27"/>
    <w:rsid w:val="00CA5FB0"/>
    <w:rsid w:val="00CA6134"/>
    <w:rsid w:val="00CA6170"/>
    <w:rsid w:val="00CA6679"/>
    <w:rsid w:val="00CA6A06"/>
    <w:rsid w:val="00CA6BBB"/>
    <w:rsid w:val="00CA795B"/>
    <w:rsid w:val="00CA7AD1"/>
    <w:rsid w:val="00CB05BA"/>
    <w:rsid w:val="00CB0793"/>
    <w:rsid w:val="00CB09F4"/>
    <w:rsid w:val="00CB0B91"/>
    <w:rsid w:val="00CB0FFE"/>
    <w:rsid w:val="00CB12DA"/>
    <w:rsid w:val="00CB1740"/>
    <w:rsid w:val="00CB176D"/>
    <w:rsid w:val="00CB1CE5"/>
    <w:rsid w:val="00CB2275"/>
    <w:rsid w:val="00CB2841"/>
    <w:rsid w:val="00CB30AD"/>
    <w:rsid w:val="00CB3261"/>
    <w:rsid w:val="00CB32FF"/>
    <w:rsid w:val="00CB34A5"/>
    <w:rsid w:val="00CB3609"/>
    <w:rsid w:val="00CB37B2"/>
    <w:rsid w:val="00CB3947"/>
    <w:rsid w:val="00CB3B07"/>
    <w:rsid w:val="00CB3D63"/>
    <w:rsid w:val="00CB3F02"/>
    <w:rsid w:val="00CB425C"/>
    <w:rsid w:val="00CB4318"/>
    <w:rsid w:val="00CB4454"/>
    <w:rsid w:val="00CB483E"/>
    <w:rsid w:val="00CB48D6"/>
    <w:rsid w:val="00CB4A3E"/>
    <w:rsid w:val="00CB4DF4"/>
    <w:rsid w:val="00CB4ED2"/>
    <w:rsid w:val="00CB55D0"/>
    <w:rsid w:val="00CB566D"/>
    <w:rsid w:val="00CB5778"/>
    <w:rsid w:val="00CB599B"/>
    <w:rsid w:val="00CB5AC3"/>
    <w:rsid w:val="00CB5D34"/>
    <w:rsid w:val="00CB68AF"/>
    <w:rsid w:val="00CB6F3B"/>
    <w:rsid w:val="00CB700D"/>
    <w:rsid w:val="00CB706F"/>
    <w:rsid w:val="00CB769F"/>
    <w:rsid w:val="00CB77B5"/>
    <w:rsid w:val="00CB78C6"/>
    <w:rsid w:val="00CB79EC"/>
    <w:rsid w:val="00CB7A20"/>
    <w:rsid w:val="00CB7A68"/>
    <w:rsid w:val="00CB7E43"/>
    <w:rsid w:val="00CC07C4"/>
    <w:rsid w:val="00CC1128"/>
    <w:rsid w:val="00CC1155"/>
    <w:rsid w:val="00CC1465"/>
    <w:rsid w:val="00CC16AF"/>
    <w:rsid w:val="00CC1A69"/>
    <w:rsid w:val="00CC1B91"/>
    <w:rsid w:val="00CC1E2A"/>
    <w:rsid w:val="00CC224C"/>
    <w:rsid w:val="00CC251F"/>
    <w:rsid w:val="00CC25B4"/>
    <w:rsid w:val="00CC2DC6"/>
    <w:rsid w:val="00CC32F4"/>
    <w:rsid w:val="00CC35C3"/>
    <w:rsid w:val="00CC38D5"/>
    <w:rsid w:val="00CC3EB1"/>
    <w:rsid w:val="00CC4375"/>
    <w:rsid w:val="00CC46EA"/>
    <w:rsid w:val="00CC515A"/>
    <w:rsid w:val="00CC5214"/>
    <w:rsid w:val="00CC540F"/>
    <w:rsid w:val="00CC56E4"/>
    <w:rsid w:val="00CC5CCE"/>
    <w:rsid w:val="00CC6329"/>
    <w:rsid w:val="00CC66BA"/>
    <w:rsid w:val="00CC6AD8"/>
    <w:rsid w:val="00CC7066"/>
    <w:rsid w:val="00CC7111"/>
    <w:rsid w:val="00CC7602"/>
    <w:rsid w:val="00CC7DEE"/>
    <w:rsid w:val="00CC7EE2"/>
    <w:rsid w:val="00CD0460"/>
    <w:rsid w:val="00CD0A0B"/>
    <w:rsid w:val="00CD0AB3"/>
    <w:rsid w:val="00CD0DA4"/>
    <w:rsid w:val="00CD12FB"/>
    <w:rsid w:val="00CD1397"/>
    <w:rsid w:val="00CD1B62"/>
    <w:rsid w:val="00CD1BD4"/>
    <w:rsid w:val="00CD1C6A"/>
    <w:rsid w:val="00CD1FD9"/>
    <w:rsid w:val="00CD2801"/>
    <w:rsid w:val="00CD2906"/>
    <w:rsid w:val="00CD296F"/>
    <w:rsid w:val="00CD2FDE"/>
    <w:rsid w:val="00CD2FF8"/>
    <w:rsid w:val="00CD34DB"/>
    <w:rsid w:val="00CD3527"/>
    <w:rsid w:val="00CD36C3"/>
    <w:rsid w:val="00CD39E5"/>
    <w:rsid w:val="00CD3AE9"/>
    <w:rsid w:val="00CD3DCF"/>
    <w:rsid w:val="00CD4194"/>
    <w:rsid w:val="00CD41A9"/>
    <w:rsid w:val="00CD499F"/>
    <w:rsid w:val="00CD536F"/>
    <w:rsid w:val="00CD5696"/>
    <w:rsid w:val="00CD5A12"/>
    <w:rsid w:val="00CD5BA4"/>
    <w:rsid w:val="00CD5CA2"/>
    <w:rsid w:val="00CD5D37"/>
    <w:rsid w:val="00CD6994"/>
    <w:rsid w:val="00CD6BE9"/>
    <w:rsid w:val="00CD6C47"/>
    <w:rsid w:val="00CD6ED5"/>
    <w:rsid w:val="00CD6F2D"/>
    <w:rsid w:val="00CD6F4F"/>
    <w:rsid w:val="00CD7A7A"/>
    <w:rsid w:val="00CD7FF4"/>
    <w:rsid w:val="00CE0B3F"/>
    <w:rsid w:val="00CE0D52"/>
    <w:rsid w:val="00CE0E22"/>
    <w:rsid w:val="00CE0EEE"/>
    <w:rsid w:val="00CE0EF9"/>
    <w:rsid w:val="00CE15FA"/>
    <w:rsid w:val="00CE178C"/>
    <w:rsid w:val="00CE1BCD"/>
    <w:rsid w:val="00CE1CAB"/>
    <w:rsid w:val="00CE230E"/>
    <w:rsid w:val="00CE26E4"/>
    <w:rsid w:val="00CE2C89"/>
    <w:rsid w:val="00CE303A"/>
    <w:rsid w:val="00CE30B2"/>
    <w:rsid w:val="00CE3649"/>
    <w:rsid w:val="00CE372B"/>
    <w:rsid w:val="00CE3E36"/>
    <w:rsid w:val="00CE3FDB"/>
    <w:rsid w:val="00CE42D3"/>
    <w:rsid w:val="00CE47EA"/>
    <w:rsid w:val="00CE56E7"/>
    <w:rsid w:val="00CE57B6"/>
    <w:rsid w:val="00CE57CE"/>
    <w:rsid w:val="00CE58A2"/>
    <w:rsid w:val="00CE59D6"/>
    <w:rsid w:val="00CE5E3F"/>
    <w:rsid w:val="00CE5E77"/>
    <w:rsid w:val="00CE610B"/>
    <w:rsid w:val="00CE66FB"/>
    <w:rsid w:val="00CE6A4D"/>
    <w:rsid w:val="00CE6A6D"/>
    <w:rsid w:val="00CE6AA0"/>
    <w:rsid w:val="00CE70E9"/>
    <w:rsid w:val="00CE7149"/>
    <w:rsid w:val="00CE71F7"/>
    <w:rsid w:val="00CF0637"/>
    <w:rsid w:val="00CF0643"/>
    <w:rsid w:val="00CF070C"/>
    <w:rsid w:val="00CF072C"/>
    <w:rsid w:val="00CF0ABE"/>
    <w:rsid w:val="00CF0B9F"/>
    <w:rsid w:val="00CF0C53"/>
    <w:rsid w:val="00CF0C5E"/>
    <w:rsid w:val="00CF10D7"/>
    <w:rsid w:val="00CF14C5"/>
    <w:rsid w:val="00CF160E"/>
    <w:rsid w:val="00CF168F"/>
    <w:rsid w:val="00CF1A0B"/>
    <w:rsid w:val="00CF1DD7"/>
    <w:rsid w:val="00CF2CDC"/>
    <w:rsid w:val="00CF314E"/>
    <w:rsid w:val="00CF33DA"/>
    <w:rsid w:val="00CF35B3"/>
    <w:rsid w:val="00CF3A87"/>
    <w:rsid w:val="00CF3F7B"/>
    <w:rsid w:val="00CF40BD"/>
    <w:rsid w:val="00CF415D"/>
    <w:rsid w:val="00CF421A"/>
    <w:rsid w:val="00CF45B7"/>
    <w:rsid w:val="00CF5206"/>
    <w:rsid w:val="00CF5453"/>
    <w:rsid w:val="00CF54A6"/>
    <w:rsid w:val="00CF5716"/>
    <w:rsid w:val="00CF596C"/>
    <w:rsid w:val="00CF5B12"/>
    <w:rsid w:val="00CF5CC1"/>
    <w:rsid w:val="00CF5D38"/>
    <w:rsid w:val="00CF5F2B"/>
    <w:rsid w:val="00CF6060"/>
    <w:rsid w:val="00CF6192"/>
    <w:rsid w:val="00CF6644"/>
    <w:rsid w:val="00CF69FF"/>
    <w:rsid w:val="00CF6B48"/>
    <w:rsid w:val="00CF6BE9"/>
    <w:rsid w:val="00CF6C46"/>
    <w:rsid w:val="00CF6C49"/>
    <w:rsid w:val="00CF6C7D"/>
    <w:rsid w:val="00CF6E63"/>
    <w:rsid w:val="00CF6FE3"/>
    <w:rsid w:val="00CF738F"/>
    <w:rsid w:val="00CF7420"/>
    <w:rsid w:val="00CF748B"/>
    <w:rsid w:val="00CF776A"/>
    <w:rsid w:val="00CF7A63"/>
    <w:rsid w:val="00CF7B2B"/>
    <w:rsid w:val="00CF7C36"/>
    <w:rsid w:val="00D00325"/>
    <w:rsid w:val="00D00BB0"/>
    <w:rsid w:val="00D00C02"/>
    <w:rsid w:val="00D013A9"/>
    <w:rsid w:val="00D013DC"/>
    <w:rsid w:val="00D01A80"/>
    <w:rsid w:val="00D01B57"/>
    <w:rsid w:val="00D01C48"/>
    <w:rsid w:val="00D0200C"/>
    <w:rsid w:val="00D0269F"/>
    <w:rsid w:val="00D0271F"/>
    <w:rsid w:val="00D02835"/>
    <w:rsid w:val="00D02BBA"/>
    <w:rsid w:val="00D02F8E"/>
    <w:rsid w:val="00D02FAF"/>
    <w:rsid w:val="00D02FB3"/>
    <w:rsid w:val="00D03F1C"/>
    <w:rsid w:val="00D046D0"/>
    <w:rsid w:val="00D046F7"/>
    <w:rsid w:val="00D04809"/>
    <w:rsid w:val="00D0488F"/>
    <w:rsid w:val="00D050F5"/>
    <w:rsid w:val="00D0532F"/>
    <w:rsid w:val="00D05529"/>
    <w:rsid w:val="00D05829"/>
    <w:rsid w:val="00D05E9C"/>
    <w:rsid w:val="00D0694F"/>
    <w:rsid w:val="00D06B35"/>
    <w:rsid w:val="00D06C0B"/>
    <w:rsid w:val="00D07348"/>
    <w:rsid w:val="00D07678"/>
    <w:rsid w:val="00D076D7"/>
    <w:rsid w:val="00D07EAA"/>
    <w:rsid w:val="00D100A0"/>
    <w:rsid w:val="00D1017F"/>
    <w:rsid w:val="00D101FA"/>
    <w:rsid w:val="00D10ABE"/>
    <w:rsid w:val="00D110E7"/>
    <w:rsid w:val="00D1134A"/>
    <w:rsid w:val="00D1170B"/>
    <w:rsid w:val="00D123B5"/>
    <w:rsid w:val="00D12494"/>
    <w:rsid w:val="00D124A0"/>
    <w:rsid w:val="00D126F2"/>
    <w:rsid w:val="00D12B45"/>
    <w:rsid w:val="00D12D19"/>
    <w:rsid w:val="00D12F46"/>
    <w:rsid w:val="00D133A1"/>
    <w:rsid w:val="00D1346B"/>
    <w:rsid w:val="00D1350B"/>
    <w:rsid w:val="00D1420D"/>
    <w:rsid w:val="00D1422A"/>
    <w:rsid w:val="00D14554"/>
    <w:rsid w:val="00D15065"/>
    <w:rsid w:val="00D151D4"/>
    <w:rsid w:val="00D15823"/>
    <w:rsid w:val="00D15A72"/>
    <w:rsid w:val="00D1606B"/>
    <w:rsid w:val="00D1621F"/>
    <w:rsid w:val="00D16668"/>
    <w:rsid w:val="00D16B94"/>
    <w:rsid w:val="00D16C1E"/>
    <w:rsid w:val="00D16CD5"/>
    <w:rsid w:val="00D16F7F"/>
    <w:rsid w:val="00D17120"/>
    <w:rsid w:val="00D171FF"/>
    <w:rsid w:val="00D1742D"/>
    <w:rsid w:val="00D17827"/>
    <w:rsid w:val="00D179CD"/>
    <w:rsid w:val="00D17A7B"/>
    <w:rsid w:val="00D17BE5"/>
    <w:rsid w:val="00D20020"/>
    <w:rsid w:val="00D20324"/>
    <w:rsid w:val="00D203A0"/>
    <w:rsid w:val="00D20677"/>
    <w:rsid w:val="00D20A3B"/>
    <w:rsid w:val="00D20F62"/>
    <w:rsid w:val="00D212B9"/>
    <w:rsid w:val="00D21335"/>
    <w:rsid w:val="00D21581"/>
    <w:rsid w:val="00D217EC"/>
    <w:rsid w:val="00D22076"/>
    <w:rsid w:val="00D22319"/>
    <w:rsid w:val="00D22635"/>
    <w:rsid w:val="00D2296A"/>
    <w:rsid w:val="00D22AB3"/>
    <w:rsid w:val="00D2313F"/>
    <w:rsid w:val="00D23214"/>
    <w:rsid w:val="00D23784"/>
    <w:rsid w:val="00D24560"/>
    <w:rsid w:val="00D24967"/>
    <w:rsid w:val="00D24A6A"/>
    <w:rsid w:val="00D24AC9"/>
    <w:rsid w:val="00D2540D"/>
    <w:rsid w:val="00D2542C"/>
    <w:rsid w:val="00D25611"/>
    <w:rsid w:val="00D25BAB"/>
    <w:rsid w:val="00D25EF6"/>
    <w:rsid w:val="00D26278"/>
    <w:rsid w:val="00D262E5"/>
    <w:rsid w:val="00D263F3"/>
    <w:rsid w:val="00D26535"/>
    <w:rsid w:val="00D26743"/>
    <w:rsid w:val="00D267F1"/>
    <w:rsid w:val="00D26A3B"/>
    <w:rsid w:val="00D26DCA"/>
    <w:rsid w:val="00D271BE"/>
    <w:rsid w:val="00D272DE"/>
    <w:rsid w:val="00D274CF"/>
    <w:rsid w:val="00D274E7"/>
    <w:rsid w:val="00D2754D"/>
    <w:rsid w:val="00D27F82"/>
    <w:rsid w:val="00D300EA"/>
    <w:rsid w:val="00D305C6"/>
    <w:rsid w:val="00D30645"/>
    <w:rsid w:val="00D30905"/>
    <w:rsid w:val="00D30B12"/>
    <w:rsid w:val="00D30BDA"/>
    <w:rsid w:val="00D30BE6"/>
    <w:rsid w:val="00D30BF0"/>
    <w:rsid w:val="00D30CB5"/>
    <w:rsid w:val="00D31C2F"/>
    <w:rsid w:val="00D32081"/>
    <w:rsid w:val="00D325AD"/>
    <w:rsid w:val="00D327D6"/>
    <w:rsid w:val="00D32946"/>
    <w:rsid w:val="00D32B99"/>
    <w:rsid w:val="00D3379A"/>
    <w:rsid w:val="00D33F43"/>
    <w:rsid w:val="00D34786"/>
    <w:rsid w:val="00D349E2"/>
    <w:rsid w:val="00D351D4"/>
    <w:rsid w:val="00D35416"/>
    <w:rsid w:val="00D35B33"/>
    <w:rsid w:val="00D362D0"/>
    <w:rsid w:val="00D36870"/>
    <w:rsid w:val="00D36E9B"/>
    <w:rsid w:val="00D37196"/>
    <w:rsid w:val="00D37197"/>
    <w:rsid w:val="00D37E46"/>
    <w:rsid w:val="00D4049B"/>
    <w:rsid w:val="00D404E1"/>
    <w:rsid w:val="00D4054C"/>
    <w:rsid w:val="00D40E80"/>
    <w:rsid w:val="00D40FC0"/>
    <w:rsid w:val="00D41113"/>
    <w:rsid w:val="00D418C1"/>
    <w:rsid w:val="00D41DD6"/>
    <w:rsid w:val="00D4205E"/>
    <w:rsid w:val="00D421E6"/>
    <w:rsid w:val="00D4245D"/>
    <w:rsid w:val="00D42709"/>
    <w:rsid w:val="00D42AA7"/>
    <w:rsid w:val="00D42BA7"/>
    <w:rsid w:val="00D43498"/>
    <w:rsid w:val="00D434FC"/>
    <w:rsid w:val="00D43769"/>
    <w:rsid w:val="00D43BCC"/>
    <w:rsid w:val="00D44545"/>
    <w:rsid w:val="00D44756"/>
    <w:rsid w:val="00D44854"/>
    <w:rsid w:val="00D4488C"/>
    <w:rsid w:val="00D44925"/>
    <w:rsid w:val="00D44E5C"/>
    <w:rsid w:val="00D45286"/>
    <w:rsid w:val="00D452D9"/>
    <w:rsid w:val="00D45331"/>
    <w:rsid w:val="00D45A14"/>
    <w:rsid w:val="00D45BF9"/>
    <w:rsid w:val="00D45D6F"/>
    <w:rsid w:val="00D462E2"/>
    <w:rsid w:val="00D46720"/>
    <w:rsid w:val="00D46AAB"/>
    <w:rsid w:val="00D46C69"/>
    <w:rsid w:val="00D46C6A"/>
    <w:rsid w:val="00D470DA"/>
    <w:rsid w:val="00D47126"/>
    <w:rsid w:val="00D474DC"/>
    <w:rsid w:val="00D47589"/>
    <w:rsid w:val="00D4764F"/>
    <w:rsid w:val="00D4767C"/>
    <w:rsid w:val="00D47B4B"/>
    <w:rsid w:val="00D47DAF"/>
    <w:rsid w:val="00D47E35"/>
    <w:rsid w:val="00D50414"/>
    <w:rsid w:val="00D5086A"/>
    <w:rsid w:val="00D50A35"/>
    <w:rsid w:val="00D50C0E"/>
    <w:rsid w:val="00D50CAA"/>
    <w:rsid w:val="00D50EFD"/>
    <w:rsid w:val="00D51021"/>
    <w:rsid w:val="00D517A5"/>
    <w:rsid w:val="00D51DB4"/>
    <w:rsid w:val="00D52242"/>
    <w:rsid w:val="00D522C3"/>
    <w:rsid w:val="00D5231A"/>
    <w:rsid w:val="00D52662"/>
    <w:rsid w:val="00D531F1"/>
    <w:rsid w:val="00D533EF"/>
    <w:rsid w:val="00D535D7"/>
    <w:rsid w:val="00D537E4"/>
    <w:rsid w:val="00D5383F"/>
    <w:rsid w:val="00D53B39"/>
    <w:rsid w:val="00D53CF7"/>
    <w:rsid w:val="00D53FCE"/>
    <w:rsid w:val="00D540D8"/>
    <w:rsid w:val="00D541C6"/>
    <w:rsid w:val="00D545AC"/>
    <w:rsid w:val="00D549D6"/>
    <w:rsid w:val="00D54DCD"/>
    <w:rsid w:val="00D54FA8"/>
    <w:rsid w:val="00D54FBA"/>
    <w:rsid w:val="00D55073"/>
    <w:rsid w:val="00D552BF"/>
    <w:rsid w:val="00D55413"/>
    <w:rsid w:val="00D55703"/>
    <w:rsid w:val="00D55907"/>
    <w:rsid w:val="00D5592A"/>
    <w:rsid w:val="00D55B64"/>
    <w:rsid w:val="00D5614E"/>
    <w:rsid w:val="00D56215"/>
    <w:rsid w:val="00D56302"/>
    <w:rsid w:val="00D5644B"/>
    <w:rsid w:val="00D56CD6"/>
    <w:rsid w:val="00D5769A"/>
    <w:rsid w:val="00D57EA7"/>
    <w:rsid w:val="00D600E2"/>
    <w:rsid w:val="00D60884"/>
    <w:rsid w:val="00D60A51"/>
    <w:rsid w:val="00D60A8B"/>
    <w:rsid w:val="00D60B78"/>
    <w:rsid w:val="00D61191"/>
    <w:rsid w:val="00D61510"/>
    <w:rsid w:val="00D6190F"/>
    <w:rsid w:val="00D61AF7"/>
    <w:rsid w:val="00D61B62"/>
    <w:rsid w:val="00D61CC5"/>
    <w:rsid w:val="00D61EBB"/>
    <w:rsid w:val="00D61F24"/>
    <w:rsid w:val="00D620C9"/>
    <w:rsid w:val="00D6234B"/>
    <w:rsid w:val="00D62407"/>
    <w:rsid w:val="00D6276D"/>
    <w:rsid w:val="00D632B6"/>
    <w:rsid w:val="00D637EE"/>
    <w:rsid w:val="00D639FC"/>
    <w:rsid w:val="00D63E2F"/>
    <w:rsid w:val="00D63F94"/>
    <w:rsid w:val="00D63FB5"/>
    <w:rsid w:val="00D640D3"/>
    <w:rsid w:val="00D64952"/>
    <w:rsid w:val="00D64A8A"/>
    <w:rsid w:val="00D64AD1"/>
    <w:rsid w:val="00D64F76"/>
    <w:rsid w:val="00D65567"/>
    <w:rsid w:val="00D65C6D"/>
    <w:rsid w:val="00D6614D"/>
    <w:rsid w:val="00D66207"/>
    <w:rsid w:val="00D66309"/>
    <w:rsid w:val="00D66709"/>
    <w:rsid w:val="00D66DC5"/>
    <w:rsid w:val="00D66EC2"/>
    <w:rsid w:val="00D674E9"/>
    <w:rsid w:val="00D67BFA"/>
    <w:rsid w:val="00D67E5D"/>
    <w:rsid w:val="00D67FE5"/>
    <w:rsid w:val="00D70012"/>
    <w:rsid w:val="00D7001A"/>
    <w:rsid w:val="00D7027F"/>
    <w:rsid w:val="00D703AB"/>
    <w:rsid w:val="00D70B5D"/>
    <w:rsid w:val="00D70C84"/>
    <w:rsid w:val="00D70CFD"/>
    <w:rsid w:val="00D70E7C"/>
    <w:rsid w:val="00D71324"/>
    <w:rsid w:val="00D715B5"/>
    <w:rsid w:val="00D715BB"/>
    <w:rsid w:val="00D717A0"/>
    <w:rsid w:val="00D718DE"/>
    <w:rsid w:val="00D71986"/>
    <w:rsid w:val="00D71ACB"/>
    <w:rsid w:val="00D71E1C"/>
    <w:rsid w:val="00D72042"/>
    <w:rsid w:val="00D721C2"/>
    <w:rsid w:val="00D72400"/>
    <w:rsid w:val="00D72411"/>
    <w:rsid w:val="00D727A8"/>
    <w:rsid w:val="00D72CDA"/>
    <w:rsid w:val="00D72DE0"/>
    <w:rsid w:val="00D72E0D"/>
    <w:rsid w:val="00D72EF4"/>
    <w:rsid w:val="00D73318"/>
    <w:rsid w:val="00D73B18"/>
    <w:rsid w:val="00D7419A"/>
    <w:rsid w:val="00D741A7"/>
    <w:rsid w:val="00D74299"/>
    <w:rsid w:val="00D74725"/>
    <w:rsid w:val="00D74AF1"/>
    <w:rsid w:val="00D75229"/>
    <w:rsid w:val="00D75784"/>
    <w:rsid w:val="00D75830"/>
    <w:rsid w:val="00D75963"/>
    <w:rsid w:val="00D7598A"/>
    <w:rsid w:val="00D75E82"/>
    <w:rsid w:val="00D76132"/>
    <w:rsid w:val="00D76160"/>
    <w:rsid w:val="00D76915"/>
    <w:rsid w:val="00D76927"/>
    <w:rsid w:val="00D76BB0"/>
    <w:rsid w:val="00D775A4"/>
    <w:rsid w:val="00D77645"/>
    <w:rsid w:val="00D777B9"/>
    <w:rsid w:val="00D7791F"/>
    <w:rsid w:val="00D779CE"/>
    <w:rsid w:val="00D77B37"/>
    <w:rsid w:val="00D77B9F"/>
    <w:rsid w:val="00D80225"/>
    <w:rsid w:val="00D8029F"/>
    <w:rsid w:val="00D80653"/>
    <w:rsid w:val="00D808CE"/>
    <w:rsid w:val="00D80C1A"/>
    <w:rsid w:val="00D81129"/>
    <w:rsid w:val="00D811EC"/>
    <w:rsid w:val="00D81384"/>
    <w:rsid w:val="00D813C4"/>
    <w:rsid w:val="00D818AD"/>
    <w:rsid w:val="00D81B47"/>
    <w:rsid w:val="00D81C48"/>
    <w:rsid w:val="00D81F15"/>
    <w:rsid w:val="00D81F5B"/>
    <w:rsid w:val="00D82079"/>
    <w:rsid w:val="00D82678"/>
    <w:rsid w:val="00D826E7"/>
    <w:rsid w:val="00D82B40"/>
    <w:rsid w:val="00D82C56"/>
    <w:rsid w:val="00D82FCB"/>
    <w:rsid w:val="00D8330D"/>
    <w:rsid w:val="00D836A7"/>
    <w:rsid w:val="00D836D9"/>
    <w:rsid w:val="00D83BB6"/>
    <w:rsid w:val="00D83D6F"/>
    <w:rsid w:val="00D8409D"/>
    <w:rsid w:val="00D84397"/>
    <w:rsid w:val="00D8477F"/>
    <w:rsid w:val="00D84942"/>
    <w:rsid w:val="00D84A1C"/>
    <w:rsid w:val="00D84BD8"/>
    <w:rsid w:val="00D84C59"/>
    <w:rsid w:val="00D85586"/>
    <w:rsid w:val="00D857A7"/>
    <w:rsid w:val="00D85F79"/>
    <w:rsid w:val="00D86592"/>
    <w:rsid w:val="00D86646"/>
    <w:rsid w:val="00D86902"/>
    <w:rsid w:val="00D8702B"/>
    <w:rsid w:val="00D87C9E"/>
    <w:rsid w:val="00D87E14"/>
    <w:rsid w:val="00D90421"/>
    <w:rsid w:val="00D91299"/>
    <w:rsid w:val="00D913FE"/>
    <w:rsid w:val="00D91503"/>
    <w:rsid w:val="00D916BD"/>
    <w:rsid w:val="00D918B9"/>
    <w:rsid w:val="00D919CA"/>
    <w:rsid w:val="00D91B10"/>
    <w:rsid w:val="00D91B8A"/>
    <w:rsid w:val="00D92268"/>
    <w:rsid w:val="00D9264C"/>
    <w:rsid w:val="00D926C6"/>
    <w:rsid w:val="00D928E9"/>
    <w:rsid w:val="00D93173"/>
    <w:rsid w:val="00D93491"/>
    <w:rsid w:val="00D934B0"/>
    <w:rsid w:val="00D936C1"/>
    <w:rsid w:val="00D93BFD"/>
    <w:rsid w:val="00D93CDC"/>
    <w:rsid w:val="00D93ECE"/>
    <w:rsid w:val="00D94122"/>
    <w:rsid w:val="00D94963"/>
    <w:rsid w:val="00D95026"/>
    <w:rsid w:val="00D95243"/>
    <w:rsid w:val="00D952B2"/>
    <w:rsid w:val="00D953BE"/>
    <w:rsid w:val="00D95730"/>
    <w:rsid w:val="00D95D13"/>
    <w:rsid w:val="00D95DF2"/>
    <w:rsid w:val="00D9600D"/>
    <w:rsid w:val="00D9621B"/>
    <w:rsid w:val="00D964BA"/>
    <w:rsid w:val="00D9656A"/>
    <w:rsid w:val="00D967D8"/>
    <w:rsid w:val="00D96986"/>
    <w:rsid w:val="00D96BDF"/>
    <w:rsid w:val="00D97125"/>
    <w:rsid w:val="00DA0657"/>
    <w:rsid w:val="00DA0902"/>
    <w:rsid w:val="00DA099E"/>
    <w:rsid w:val="00DA0A24"/>
    <w:rsid w:val="00DA16BE"/>
    <w:rsid w:val="00DA1816"/>
    <w:rsid w:val="00DA1D92"/>
    <w:rsid w:val="00DA2045"/>
    <w:rsid w:val="00DA235D"/>
    <w:rsid w:val="00DA2565"/>
    <w:rsid w:val="00DA25C3"/>
    <w:rsid w:val="00DA2992"/>
    <w:rsid w:val="00DA2A66"/>
    <w:rsid w:val="00DA2BDB"/>
    <w:rsid w:val="00DA2FB3"/>
    <w:rsid w:val="00DA3308"/>
    <w:rsid w:val="00DA335C"/>
    <w:rsid w:val="00DA3409"/>
    <w:rsid w:val="00DA3C6D"/>
    <w:rsid w:val="00DA3CB5"/>
    <w:rsid w:val="00DA40C4"/>
    <w:rsid w:val="00DA4B99"/>
    <w:rsid w:val="00DA4FEA"/>
    <w:rsid w:val="00DA50B6"/>
    <w:rsid w:val="00DA57D1"/>
    <w:rsid w:val="00DA5B6A"/>
    <w:rsid w:val="00DA5C06"/>
    <w:rsid w:val="00DA6098"/>
    <w:rsid w:val="00DA657C"/>
    <w:rsid w:val="00DA6A20"/>
    <w:rsid w:val="00DA6D1F"/>
    <w:rsid w:val="00DA7496"/>
    <w:rsid w:val="00DA78A3"/>
    <w:rsid w:val="00DA7B68"/>
    <w:rsid w:val="00DB0978"/>
    <w:rsid w:val="00DB19C5"/>
    <w:rsid w:val="00DB1F2B"/>
    <w:rsid w:val="00DB254E"/>
    <w:rsid w:val="00DB2A4E"/>
    <w:rsid w:val="00DB2C6B"/>
    <w:rsid w:val="00DB2F31"/>
    <w:rsid w:val="00DB2F9D"/>
    <w:rsid w:val="00DB3598"/>
    <w:rsid w:val="00DB397C"/>
    <w:rsid w:val="00DB3E46"/>
    <w:rsid w:val="00DB3F78"/>
    <w:rsid w:val="00DB401E"/>
    <w:rsid w:val="00DB409E"/>
    <w:rsid w:val="00DB40FC"/>
    <w:rsid w:val="00DB4440"/>
    <w:rsid w:val="00DB4B4E"/>
    <w:rsid w:val="00DB4B92"/>
    <w:rsid w:val="00DB4D38"/>
    <w:rsid w:val="00DB4D8B"/>
    <w:rsid w:val="00DB4E57"/>
    <w:rsid w:val="00DB54C6"/>
    <w:rsid w:val="00DB5740"/>
    <w:rsid w:val="00DB5C03"/>
    <w:rsid w:val="00DB5DFD"/>
    <w:rsid w:val="00DB5EBB"/>
    <w:rsid w:val="00DB5FA7"/>
    <w:rsid w:val="00DB629D"/>
    <w:rsid w:val="00DB6670"/>
    <w:rsid w:val="00DB689A"/>
    <w:rsid w:val="00DB6F82"/>
    <w:rsid w:val="00DB77A6"/>
    <w:rsid w:val="00DC036B"/>
    <w:rsid w:val="00DC03EC"/>
    <w:rsid w:val="00DC0541"/>
    <w:rsid w:val="00DC0544"/>
    <w:rsid w:val="00DC0734"/>
    <w:rsid w:val="00DC08B8"/>
    <w:rsid w:val="00DC097B"/>
    <w:rsid w:val="00DC097D"/>
    <w:rsid w:val="00DC099D"/>
    <w:rsid w:val="00DC1179"/>
    <w:rsid w:val="00DC133E"/>
    <w:rsid w:val="00DC1405"/>
    <w:rsid w:val="00DC16F7"/>
    <w:rsid w:val="00DC1BE3"/>
    <w:rsid w:val="00DC1CFA"/>
    <w:rsid w:val="00DC1D32"/>
    <w:rsid w:val="00DC20DA"/>
    <w:rsid w:val="00DC2361"/>
    <w:rsid w:val="00DC23A8"/>
    <w:rsid w:val="00DC28B0"/>
    <w:rsid w:val="00DC2BB2"/>
    <w:rsid w:val="00DC2C79"/>
    <w:rsid w:val="00DC3221"/>
    <w:rsid w:val="00DC344E"/>
    <w:rsid w:val="00DC346F"/>
    <w:rsid w:val="00DC35BF"/>
    <w:rsid w:val="00DC3C3E"/>
    <w:rsid w:val="00DC3CA2"/>
    <w:rsid w:val="00DC3D02"/>
    <w:rsid w:val="00DC41F0"/>
    <w:rsid w:val="00DC4424"/>
    <w:rsid w:val="00DC46B1"/>
    <w:rsid w:val="00DC4960"/>
    <w:rsid w:val="00DC4E36"/>
    <w:rsid w:val="00DC4F9B"/>
    <w:rsid w:val="00DC5722"/>
    <w:rsid w:val="00DC583D"/>
    <w:rsid w:val="00DC594D"/>
    <w:rsid w:val="00DC5B2D"/>
    <w:rsid w:val="00DC636F"/>
    <w:rsid w:val="00DC64D5"/>
    <w:rsid w:val="00DC6686"/>
    <w:rsid w:val="00DC71AB"/>
    <w:rsid w:val="00DC724A"/>
    <w:rsid w:val="00DC7D49"/>
    <w:rsid w:val="00DC7EEF"/>
    <w:rsid w:val="00DC7F34"/>
    <w:rsid w:val="00DD0934"/>
    <w:rsid w:val="00DD0989"/>
    <w:rsid w:val="00DD0BC2"/>
    <w:rsid w:val="00DD0E84"/>
    <w:rsid w:val="00DD1AE5"/>
    <w:rsid w:val="00DD1C89"/>
    <w:rsid w:val="00DD1EE5"/>
    <w:rsid w:val="00DD2232"/>
    <w:rsid w:val="00DD245C"/>
    <w:rsid w:val="00DD2AB7"/>
    <w:rsid w:val="00DD2FE8"/>
    <w:rsid w:val="00DD308C"/>
    <w:rsid w:val="00DD30F0"/>
    <w:rsid w:val="00DD4074"/>
    <w:rsid w:val="00DD4F40"/>
    <w:rsid w:val="00DD5288"/>
    <w:rsid w:val="00DD58FC"/>
    <w:rsid w:val="00DD5C25"/>
    <w:rsid w:val="00DD5D6B"/>
    <w:rsid w:val="00DD5E89"/>
    <w:rsid w:val="00DD6233"/>
    <w:rsid w:val="00DD6787"/>
    <w:rsid w:val="00DD6E7C"/>
    <w:rsid w:val="00DD7199"/>
    <w:rsid w:val="00DD732D"/>
    <w:rsid w:val="00DD7422"/>
    <w:rsid w:val="00DD7954"/>
    <w:rsid w:val="00DD796C"/>
    <w:rsid w:val="00DD7BB9"/>
    <w:rsid w:val="00DD7DCC"/>
    <w:rsid w:val="00DD7EDA"/>
    <w:rsid w:val="00DD7F61"/>
    <w:rsid w:val="00DD7FA8"/>
    <w:rsid w:val="00DE00AB"/>
    <w:rsid w:val="00DE037B"/>
    <w:rsid w:val="00DE0674"/>
    <w:rsid w:val="00DE1088"/>
    <w:rsid w:val="00DE12AE"/>
    <w:rsid w:val="00DE1554"/>
    <w:rsid w:val="00DE1671"/>
    <w:rsid w:val="00DE17AF"/>
    <w:rsid w:val="00DE1983"/>
    <w:rsid w:val="00DE1AD7"/>
    <w:rsid w:val="00DE1E8E"/>
    <w:rsid w:val="00DE2151"/>
    <w:rsid w:val="00DE2423"/>
    <w:rsid w:val="00DE24AF"/>
    <w:rsid w:val="00DE2ABB"/>
    <w:rsid w:val="00DE2AD7"/>
    <w:rsid w:val="00DE2D8E"/>
    <w:rsid w:val="00DE2FE3"/>
    <w:rsid w:val="00DE3390"/>
    <w:rsid w:val="00DE3670"/>
    <w:rsid w:val="00DE3939"/>
    <w:rsid w:val="00DE3C24"/>
    <w:rsid w:val="00DE4065"/>
    <w:rsid w:val="00DE407A"/>
    <w:rsid w:val="00DE4110"/>
    <w:rsid w:val="00DE45B6"/>
    <w:rsid w:val="00DE47E0"/>
    <w:rsid w:val="00DE4949"/>
    <w:rsid w:val="00DE4A88"/>
    <w:rsid w:val="00DE4B06"/>
    <w:rsid w:val="00DE4D21"/>
    <w:rsid w:val="00DE525C"/>
    <w:rsid w:val="00DE5608"/>
    <w:rsid w:val="00DE57D1"/>
    <w:rsid w:val="00DE5A45"/>
    <w:rsid w:val="00DE63CD"/>
    <w:rsid w:val="00DE6983"/>
    <w:rsid w:val="00DE6F85"/>
    <w:rsid w:val="00DE724E"/>
    <w:rsid w:val="00DE7A59"/>
    <w:rsid w:val="00DE7BC5"/>
    <w:rsid w:val="00DF015C"/>
    <w:rsid w:val="00DF01C1"/>
    <w:rsid w:val="00DF0374"/>
    <w:rsid w:val="00DF04D8"/>
    <w:rsid w:val="00DF08CF"/>
    <w:rsid w:val="00DF0D91"/>
    <w:rsid w:val="00DF0F6A"/>
    <w:rsid w:val="00DF109C"/>
    <w:rsid w:val="00DF177F"/>
    <w:rsid w:val="00DF1D79"/>
    <w:rsid w:val="00DF2327"/>
    <w:rsid w:val="00DF233D"/>
    <w:rsid w:val="00DF2368"/>
    <w:rsid w:val="00DF267B"/>
    <w:rsid w:val="00DF2791"/>
    <w:rsid w:val="00DF34F2"/>
    <w:rsid w:val="00DF391F"/>
    <w:rsid w:val="00DF3B85"/>
    <w:rsid w:val="00DF4362"/>
    <w:rsid w:val="00DF43FA"/>
    <w:rsid w:val="00DF44BF"/>
    <w:rsid w:val="00DF477F"/>
    <w:rsid w:val="00DF4814"/>
    <w:rsid w:val="00DF4BC9"/>
    <w:rsid w:val="00DF4CDE"/>
    <w:rsid w:val="00DF4F31"/>
    <w:rsid w:val="00DF5362"/>
    <w:rsid w:val="00DF55D5"/>
    <w:rsid w:val="00DF572F"/>
    <w:rsid w:val="00DF584C"/>
    <w:rsid w:val="00DF586E"/>
    <w:rsid w:val="00DF5BB3"/>
    <w:rsid w:val="00DF5EC7"/>
    <w:rsid w:val="00DF6090"/>
    <w:rsid w:val="00DF609F"/>
    <w:rsid w:val="00DF65BD"/>
    <w:rsid w:val="00DF66A8"/>
    <w:rsid w:val="00DF68DA"/>
    <w:rsid w:val="00DF6E3D"/>
    <w:rsid w:val="00DF787B"/>
    <w:rsid w:val="00DF7F2C"/>
    <w:rsid w:val="00E0037C"/>
    <w:rsid w:val="00E00692"/>
    <w:rsid w:val="00E0093E"/>
    <w:rsid w:val="00E00B71"/>
    <w:rsid w:val="00E00C76"/>
    <w:rsid w:val="00E01684"/>
    <w:rsid w:val="00E0192B"/>
    <w:rsid w:val="00E01CFD"/>
    <w:rsid w:val="00E01DAB"/>
    <w:rsid w:val="00E01DE3"/>
    <w:rsid w:val="00E01FA5"/>
    <w:rsid w:val="00E022D2"/>
    <w:rsid w:val="00E023FD"/>
    <w:rsid w:val="00E02478"/>
    <w:rsid w:val="00E0371A"/>
    <w:rsid w:val="00E03836"/>
    <w:rsid w:val="00E039C9"/>
    <w:rsid w:val="00E03B12"/>
    <w:rsid w:val="00E03F5A"/>
    <w:rsid w:val="00E045BB"/>
    <w:rsid w:val="00E048CE"/>
    <w:rsid w:val="00E049E5"/>
    <w:rsid w:val="00E04F7D"/>
    <w:rsid w:val="00E0500C"/>
    <w:rsid w:val="00E050BA"/>
    <w:rsid w:val="00E051A5"/>
    <w:rsid w:val="00E056CB"/>
    <w:rsid w:val="00E05EC7"/>
    <w:rsid w:val="00E06065"/>
    <w:rsid w:val="00E060D5"/>
    <w:rsid w:val="00E061DA"/>
    <w:rsid w:val="00E0629D"/>
    <w:rsid w:val="00E06F25"/>
    <w:rsid w:val="00E075D4"/>
    <w:rsid w:val="00E07923"/>
    <w:rsid w:val="00E07A28"/>
    <w:rsid w:val="00E10141"/>
    <w:rsid w:val="00E1032F"/>
    <w:rsid w:val="00E1039F"/>
    <w:rsid w:val="00E10559"/>
    <w:rsid w:val="00E1100B"/>
    <w:rsid w:val="00E11119"/>
    <w:rsid w:val="00E11316"/>
    <w:rsid w:val="00E116C5"/>
    <w:rsid w:val="00E11775"/>
    <w:rsid w:val="00E11B14"/>
    <w:rsid w:val="00E11CCA"/>
    <w:rsid w:val="00E12096"/>
    <w:rsid w:val="00E122FE"/>
    <w:rsid w:val="00E124CD"/>
    <w:rsid w:val="00E127B4"/>
    <w:rsid w:val="00E12D34"/>
    <w:rsid w:val="00E13172"/>
    <w:rsid w:val="00E1366C"/>
    <w:rsid w:val="00E1394F"/>
    <w:rsid w:val="00E13AFB"/>
    <w:rsid w:val="00E13E44"/>
    <w:rsid w:val="00E13F8F"/>
    <w:rsid w:val="00E14347"/>
    <w:rsid w:val="00E14612"/>
    <w:rsid w:val="00E14679"/>
    <w:rsid w:val="00E1494D"/>
    <w:rsid w:val="00E14E5C"/>
    <w:rsid w:val="00E150E4"/>
    <w:rsid w:val="00E1513D"/>
    <w:rsid w:val="00E151CC"/>
    <w:rsid w:val="00E1592E"/>
    <w:rsid w:val="00E15A56"/>
    <w:rsid w:val="00E165CC"/>
    <w:rsid w:val="00E16666"/>
    <w:rsid w:val="00E16888"/>
    <w:rsid w:val="00E1690E"/>
    <w:rsid w:val="00E16F57"/>
    <w:rsid w:val="00E170D5"/>
    <w:rsid w:val="00E170E3"/>
    <w:rsid w:val="00E17266"/>
    <w:rsid w:val="00E173AC"/>
    <w:rsid w:val="00E174F6"/>
    <w:rsid w:val="00E17515"/>
    <w:rsid w:val="00E17539"/>
    <w:rsid w:val="00E177E9"/>
    <w:rsid w:val="00E2042A"/>
    <w:rsid w:val="00E20896"/>
    <w:rsid w:val="00E208B3"/>
    <w:rsid w:val="00E21171"/>
    <w:rsid w:val="00E21281"/>
    <w:rsid w:val="00E212EC"/>
    <w:rsid w:val="00E215B2"/>
    <w:rsid w:val="00E219C3"/>
    <w:rsid w:val="00E21BA7"/>
    <w:rsid w:val="00E21F76"/>
    <w:rsid w:val="00E22153"/>
    <w:rsid w:val="00E2220A"/>
    <w:rsid w:val="00E2227B"/>
    <w:rsid w:val="00E2229E"/>
    <w:rsid w:val="00E22942"/>
    <w:rsid w:val="00E22B28"/>
    <w:rsid w:val="00E22C81"/>
    <w:rsid w:val="00E22E9C"/>
    <w:rsid w:val="00E2355B"/>
    <w:rsid w:val="00E2381F"/>
    <w:rsid w:val="00E23C12"/>
    <w:rsid w:val="00E2407B"/>
    <w:rsid w:val="00E240EE"/>
    <w:rsid w:val="00E241B0"/>
    <w:rsid w:val="00E24442"/>
    <w:rsid w:val="00E246AA"/>
    <w:rsid w:val="00E246D8"/>
    <w:rsid w:val="00E247E0"/>
    <w:rsid w:val="00E24A14"/>
    <w:rsid w:val="00E24C2F"/>
    <w:rsid w:val="00E25162"/>
    <w:rsid w:val="00E253DA"/>
    <w:rsid w:val="00E2541C"/>
    <w:rsid w:val="00E25E60"/>
    <w:rsid w:val="00E26137"/>
    <w:rsid w:val="00E2646C"/>
    <w:rsid w:val="00E26CDA"/>
    <w:rsid w:val="00E26DC9"/>
    <w:rsid w:val="00E26DEC"/>
    <w:rsid w:val="00E26F30"/>
    <w:rsid w:val="00E270B6"/>
    <w:rsid w:val="00E2723E"/>
    <w:rsid w:val="00E27420"/>
    <w:rsid w:val="00E27C27"/>
    <w:rsid w:val="00E27DB8"/>
    <w:rsid w:val="00E27DED"/>
    <w:rsid w:val="00E27E6F"/>
    <w:rsid w:val="00E27FC8"/>
    <w:rsid w:val="00E3046F"/>
    <w:rsid w:val="00E30C2B"/>
    <w:rsid w:val="00E30CC6"/>
    <w:rsid w:val="00E317ED"/>
    <w:rsid w:val="00E318BB"/>
    <w:rsid w:val="00E320AF"/>
    <w:rsid w:val="00E3233D"/>
    <w:rsid w:val="00E32766"/>
    <w:rsid w:val="00E32ADA"/>
    <w:rsid w:val="00E33608"/>
    <w:rsid w:val="00E33831"/>
    <w:rsid w:val="00E33F7D"/>
    <w:rsid w:val="00E344BF"/>
    <w:rsid w:val="00E3453F"/>
    <w:rsid w:val="00E345E8"/>
    <w:rsid w:val="00E347EC"/>
    <w:rsid w:val="00E34E94"/>
    <w:rsid w:val="00E3518A"/>
    <w:rsid w:val="00E3547F"/>
    <w:rsid w:val="00E35614"/>
    <w:rsid w:val="00E3573F"/>
    <w:rsid w:val="00E3615D"/>
    <w:rsid w:val="00E36754"/>
    <w:rsid w:val="00E36D95"/>
    <w:rsid w:val="00E36E4D"/>
    <w:rsid w:val="00E36E79"/>
    <w:rsid w:val="00E36F88"/>
    <w:rsid w:val="00E374B0"/>
    <w:rsid w:val="00E37784"/>
    <w:rsid w:val="00E377F1"/>
    <w:rsid w:val="00E37953"/>
    <w:rsid w:val="00E37A9E"/>
    <w:rsid w:val="00E37BBE"/>
    <w:rsid w:val="00E37E43"/>
    <w:rsid w:val="00E37F8C"/>
    <w:rsid w:val="00E40E52"/>
    <w:rsid w:val="00E40E8C"/>
    <w:rsid w:val="00E412A8"/>
    <w:rsid w:val="00E41413"/>
    <w:rsid w:val="00E41907"/>
    <w:rsid w:val="00E41A9B"/>
    <w:rsid w:val="00E42E7C"/>
    <w:rsid w:val="00E430E6"/>
    <w:rsid w:val="00E43371"/>
    <w:rsid w:val="00E4361B"/>
    <w:rsid w:val="00E438FA"/>
    <w:rsid w:val="00E43AC2"/>
    <w:rsid w:val="00E43BCC"/>
    <w:rsid w:val="00E44023"/>
    <w:rsid w:val="00E4435D"/>
    <w:rsid w:val="00E446EB"/>
    <w:rsid w:val="00E447FB"/>
    <w:rsid w:val="00E4498E"/>
    <w:rsid w:val="00E44B7E"/>
    <w:rsid w:val="00E44F68"/>
    <w:rsid w:val="00E4529A"/>
    <w:rsid w:val="00E45300"/>
    <w:rsid w:val="00E4563D"/>
    <w:rsid w:val="00E4574E"/>
    <w:rsid w:val="00E45BA3"/>
    <w:rsid w:val="00E4670E"/>
    <w:rsid w:val="00E46830"/>
    <w:rsid w:val="00E46B74"/>
    <w:rsid w:val="00E46DD4"/>
    <w:rsid w:val="00E46DEF"/>
    <w:rsid w:val="00E46E8A"/>
    <w:rsid w:val="00E47C7E"/>
    <w:rsid w:val="00E47DC9"/>
    <w:rsid w:val="00E47F11"/>
    <w:rsid w:val="00E50195"/>
    <w:rsid w:val="00E50788"/>
    <w:rsid w:val="00E50B83"/>
    <w:rsid w:val="00E50E34"/>
    <w:rsid w:val="00E50F1E"/>
    <w:rsid w:val="00E512D1"/>
    <w:rsid w:val="00E5132A"/>
    <w:rsid w:val="00E51396"/>
    <w:rsid w:val="00E513E6"/>
    <w:rsid w:val="00E51422"/>
    <w:rsid w:val="00E51EE4"/>
    <w:rsid w:val="00E52446"/>
    <w:rsid w:val="00E528A8"/>
    <w:rsid w:val="00E52965"/>
    <w:rsid w:val="00E52C5D"/>
    <w:rsid w:val="00E5322A"/>
    <w:rsid w:val="00E5351B"/>
    <w:rsid w:val="00E53538"/>
    <w:rsid w:val="00E535AE"/>
    <w:rsid w:val="00E53922"/>
    <w:rsid w:val="00E53EC3"/>
    <w:rsid w:val="00E545B1"/>
    <w:rsid w:val="00E5464F"/>
    <w:rsid w:val="00E54665"/>
    <w:rsid w:val="00E546BA"/>
    <w:rsid w:val="00E5478F"/>
    <w:rsid w:val="00E549A0"/>
    <w:rsid w:val="00E54A1A"/>
    <w:rsid w:val="00E54AC3"/>
    <w:rsid w:val="00E54B6B"/>
    <w:rsid w:val="00E54D8A"/>
    <w:rsid w:val="00E5522D"/>
    <w:rsid w:val="00E5539F"/>
    <w:rsid w:val="00E5568D"/>
    <w:rsid w:val="00E55AB5"/>
    <w:rsid w:val="00E55C84"/>
    <w:rsid w:val="00E562FA"/>
    <w:rsid w:val="00E567B9"/>
    <w:rsid w:val="00E56C1D"/>
    <w:rsid w:val="00E56C84"/>
    <w:rsid w:val="00E5703C"/>
    <w:rsid w:val="00E57B3A"/>
    <w:rsid w:val="00E57DDE"/>
    <w:rsid w:val="00E60398"/>
    <w:rsid w:val="00E604CE"/>
    <w:rsid w:val="00E60AB0"/>
    <w:rsid w:val="00E61495"/>
    <w:rsid w:val="00E614F2"/>
    <w:rsid w:val="00E615A0"/>
    <w:rsid w:val="00E61746"/>
    <w:rsid w:val="00E617D2"/>
    <w:rsid w:val="00E621D0"/>
    <w:rsid w:val="00E62282"/>
    <w:rsid w:val="00E62408"/>
    <w:rsid w:val="00E62443"/>
    <w:rsid w:val="00E6280F"/>
    <w:rsid w:val="00E63184"/>
    <w:rsid w:val="00E6318B"/>
    <w:rsid w:val="00E6329B"/>
    <w:rsid w:val="00E63A9B"/>
    <w:rsid w:val="00E63B6A"/>
    <w:rsid w:val="00E63CE8"/>
    <w:rsid w:val="00E63E66"/>
    <w:rsid w:val="00E63ECA"/>
    <w:rsid w:val="00E64055"/>
    <w:rsid w:val="00E650FB"/>
    <w:rsid w:val="00E65166"/>
    <w:rsid w:val="00E65292"/>
    <w:rsid w:val="00E65365"/>
    <w:rsid w:val="00E654A5"/>
    <w:rsid w:val="00E65674"/>
    <w:rsid w:val="00E65882"/>
    <w:rsid w:val="00E659A1"/>
    <w:rsid w:val="00E65A9F"/>
    <w:rsid w:val="00E66183"/>
    <w:rsid w:val="00E66AB7"/>
    <w:rsid w:val="00E6733F"/>
    <w:rsid w:val="00E6734B"/>
    <w:rsid w:val="00E67585"/>
    <w:rsid w:val="00E67BB5"/>
    <w:rsid w:val="00E67D29"/>
    <w:rsid w:val="00E67E64"/>
    <w:rsid w:val="00E7006F"/>
    <w:rsid w:val="00E7007F"/>
    <w:rsid w:val="00E701F9"/>
    <w:rsid w:val="00E7044D"/>
    <w:rsid w:val="00E709DC"/>
    <w:rsid w:val="00E70CB4"/>
    <w:rsid w:val="00E71006"/>
    <w:rsid w:val="00E71016"/>
    <w:rsid w:val="00E71635"/>
    <w:rsid w:val="00E717E3"/>
    <w:rsid w:val="00E71978"/>
    <w:rsid w:val="00E71DB2"/>
    <w:rsid w:val="00E72025"/>
    <w:rsid w:val="00E7217D"/>
    <w:rsid w:val="00E722D4"/>
    <w:rsid w:val="00E731AA"/>
    <w:rsid w:val="00E73351"/>
    <w:rsid w:val="00E73A58"/>
    <w:rsid w:val="00E73B0B"/>
    <w:rsid w:val="00E73CD5"/>
    <w:rsid w:val="00E7471D"/>
    <w:rsid w:val="00E74734"/>
    <w:rsid w:val="00E7483B"/>
    <w:rsid w:val="00E74E84"/>
    <w:rsid w:val="00E75673"/>
    <w:rsid w:val="00E757B5"/>
    <w:rsid w:val="00E75CBB"/>
    <w:rsid w:val="00E75D5D"/>
    <w:rsid w:val="00E75F5B"/>
    <w:rsid w:val="00E76781"/>
    <w:rsid w:val="00E76DCC"/>
    <w:rsid w:val="00E77379"/>
    <w:rsid w:val="00E7754A"/>
    <w:rsid w:val="00E776BE"/>
    <w:rsid w:val="00E77EDE"/>
    <w:rsid w:val="00E807F3"/>
    <w:rsid w:val="00E8098F"/>
    <w:rsid w:val="00E80DB8"/>
    <w:rsid w:val="00E81A86"/>
    <w:rsid w:val="00E81E8A"/>
    <w:rsid w:val="00E824E6"/>
    <w:rsid w:val="00E82C89"/>
    <w:rsid w:val="00E83107"/>
    <w:rsid w:val="00E8322F"/>
    <w:rsid w:val="00E83293"/>
    <w:rsid w:val="00E83B4D"/>
    <w:rsid w:val="00E83EC4"/>
    <w:rsid w:val="00E83F4F"/>
    <w:rsid w:val="00E843CC"/>
    <w:rsid w:val="00E84625"/>
    <w:rsid w:val="00E84896"/>
    <w:rsid w:val="00E848D4"/>
    <w:rsid w:val="00E848E3"/>
    <w:rsid w:val="00E84A4A"/>
    <w:rsid w:val="00E84AAC"/>
    <w:rsid w:val="00E84BD8"/>
    <w:rsid w:val="00E85706"/>
    <w:rsid w:val="00E85848"/>
    <w:rsid w:val="00E860AF"/>
    <w:rsid w:val="00E8665E"/>
    <w:rsid w:val="00E86902"/>
    <w:rsid w:val="00E869D9"/>
    <w:rsid w:val="00E87407"/>
    <w:rsid w:val="00E87717"/>
    <w:rsid w:val="00E87C0C"/>
    <w:rsid w:val="00E87C74"/>
    <w:rsid w:val="00E90329"/>
    <w:rsid w:val="00E90A2A"/>
    <w:rsid w:val="00E90E3C"/>
    <w:rsid w:val="00E91488"/>
    <w:rsid w:val="00E9174C"/>
    <w:rsid w:val="00E918C6"/>
    <w:rsid w:val="00E91AF3"/>
    <w:rsid w:val="00E91CAB"/>
    <w:rsid w:val="00E925B4"/>
    <w:rsid w:val="00E92BFA"/>
    <w:rsid w:val="00E93752"/>
    <w:rsid w:val="00E93832"/>
    <w:rsid w:val="00E93E81"/>
    <w:rsid w:val="00E93EDF"/>
    <w:rsid w:val="00E94128"/>
    <w:rsid w:val="00E94734"/>
    <w:rsid w:val="00E9486E"/>
    <w:rsid w:val="00E94A6C"/>
    <w:rsid w:val="00E94D36"/>
    <w:rsid w:val="00E94F15"/>
    <w:rsid w:val="00E95103"/>
    <w:rsid w:val="00E95918"/>
    <w:rsid w:val="00E959AD"/>
    <w:rsid w:val="00E95C32"/>
    <w:rsid w:val="00E95D6E"/>
    <w:rsid w:val="00E95EDF"/>
    <w:rsid w:val="00E95FB4"/>
    <w:rsid w:val="00E96024"/>
    <w:rsid w:val="00E9631A"/>
    <w:rsid w:val="00E96527"/>
    <w:rsid w:val="00E96A0B"/>
    <w:rsid w:val="00E970CC"/>
    <w:rsid w:val="00E977DA"/>
    <w:rsid w:val="00E9786C"/>
    <w:rsid w:val="00EA037D"/>
    <w:rsid w:val="00EA03BB"/>
    <w:rsid w:val="00EA03FB"/>
    <w:rsid w:val="00EA043C"/>
    <w:rsid w:val="00EA0CBF"/>
    <w:rsid w:val="00EA0D06"/>
    <w:rsid w:val="00EA10C7"/>
    <w:rsid w:val="00EA1139"/>
    <w:rsid w:val="00EA152C"/>
    <w:rsid w:val="00EA2013"/>
    <w:rsid w:val="00EA21F2"/>
    <w:rsid w:val="00EA25FB"/>
    <w:rsid w:val="00EA2608"/>
    <w:rsid w:val="00EA27DA"/>
    <w:rsid w:val="00EA2B31"/>
    <w:rsid w:val="00EA2BCE"/>
    <w:rsid w:val="00EA3137"/>
    <w:rsid w:val="00EA3163"/>
    <w:rsid w:val="00EA3B0B"/>
    <w:rsid w:val="00EA3B3D"/>
    <w:rsid w:val="00EA3F83"/>
    <w:rsid w:val="00EA3F8E"/>
    <w:rsid w:val="00EA40FE"/>
    <w:rsid w:val="00EA43A5"/>
    <w:rsid w:val="00EA464A"/>
    <w:rsid w:val="00EA4DA1"/>
    <w:rsid w:val="00EA5713"/>
    <w:rsid w:val="00EA59DE"/>
    <w:rsid w:val="00EA5FAC"/>
    <w:rsid w:val="00EA633D"/>
    <w:rsid w:val="00EA63DB"/>
    <w:rsid w:val="00EA6915"/>
    <w:rsid w:val="00EA695F"/>
    <w:rsid w:val="00EA6A7D"/>
    <w:rsid w:val="00EA6CCD"/>
    <w:rsid w:val="00EA6F6C"/>
    <w:rsid w:val="00EA71A3"/>
    <w:rsid w:val="00EA7431"/>
    <w:rsid w:val="00EA7B4A"/>
    <w:rsid w:val="00EA7DF7"/>
    <w:rsid w:val="00EB0378"/>
    <w:rsid w:val="00EB047B"/>
    <w:rsid w:val="00EB04FE"/>
    <w:rsid w:val="00EB0557"/>
    <w:rsid w:val="00EB089A"/>
    <w:rsid w:val="00EB0B75"/>
    <w:rsid w:val="00EB15ED"/>
    <w:rsid w:val="00EB2C94"/>
    <w:rsid w:val="00EB2D2C"/>
    <w:rsid w:val="00EB2D9B"/>
    <w:rsid w:val="00EB2E8C"/>
    <w:rsid w:val="00EB2FD2"/>
    <w:rsid w:val="00EB3298"/>
    <w:rsid w:val="00EB32E4"/>
    <w:rsid w:val="00EB335C"/>
    <w:rsid w:val="00EB3566"/>
    <w:rsid w:val="00EB358A"/>
    <w:rsid w:val="00EB4732"/>
    <w:rsid w:val="00EB4A8F"/>
    <w:rsid w:val="00EB4B9F"/>
    <w:rsid w:val="00EB51D8"/>
    <w:rsid w:val="00EB52FD"/>
    <w:rsid w:val="00EB5882"/>
    <w:rsid w:val="00EB5ED0"/>
    <w:rsid w:val="00EB5F1E"/>
    <w:rsid w:val="00EB66E3"/>
    <w:rsid w:val="00EB69D4"/>
    <w:rsid w:val="00EB76CD"/>
    <w:rsid w:val="00EB7D57"/>
    <w:rsid w:val="00EB7EF0"/>
    <w:rsid w:val="00EC0118"/>
    <w:rsid w:val="00EC0396"/>
    <w:rsid w:val="00EC0494"/>
    <w:rsid w:val="00EC06E7"/>
    <w:rsid w:val="00EC07A7"/>
    <w:rsid w:val="00EC0863"/>
    <w:rsid w:val="00EC0C0B"/>
    <w:rsid w:val="00EC0EC1"/>
    <w:rsid w:val="00EC0F2C"/>
    <w:rsid w:val="00EC0FF7"/>
    <w:rsid w:val="00EC1338"/>
    <w:rsid w:val="00EC1C8E"/>
    <w:rsid w:val="00EC1CAB"/>
    <w:rsid w:val="00EC1DEE"/>
    <w:rsid w:val="00EC1FE6"/>
    <w:rsid w:val="00EC2B6C"/>
    <w:rsid w:val="00EC2BB7"/>
    <w:rsid w:val="00EC2D4D"/>
    <w:rsid w:val="00EC2EE9"/>
    <w:rsid w:val="00EC3282"/>
    <w:rsid w:val="00EC41C0"/>
    <w:rsid w:val="00EC427C"/>
    <w:rsid w:val="00EC45C4"/>
    <w:rsid w:val="00EC47FA"/>
    <w:rsid w:val="00EC4D2E"/>
    <w:rsid w:val="00EC4DF1"/>
    <w:rsid w:val="00EC4FD5"/>
    <w:rsid w:val="00EC5005"/>
    <w:rsid w:val="00EC5870"/>
    <w:rsid w:val="00EC5992"/>
    <w:rsid w:val="00EC59CB"/>
    <w:rsid w:val="00EC5CB6"/>
    <w:rsid w:val="00EC5FFC"/>
    <w:rsid w:val="00EC61FA"/>
    <w:rsid w:val="00EC63E1"/>
    <w:rsid w:val="00EC650A"/>
    <w:rsid w:val="00EC6643"/>
    <w:rsid w:val="00EC673D"/>
    <w:rsid w:val="00EC68C6"/>
    <w:rsid w:val="00EC69D9"/>
    <w:rsid w:val="00EC6BC5"/>
    <w:rsid w:val="00EC6EEF"/>
    <w:rsid w:val="00EC70D3"/>
    <w:rsid w:val="00EC75EE"/>
    <w:rsid w:val="00EC7676"/>
    <w:rsid w:val="00EC77A2"/>
    <w:rsid w:val="00EC77C9"/>
    <w:rsid w:val="00EC78B4"/>
    <w:rsid w:val="00EC7EC6"/>
    <w:rsid w:val="00EC7EE9"/>
    <w:rsid w:val="00ED003E"/>
    <w:rsid w:val="00ED09ED"/>
    <w:rsid w:val="00ED0AAC"/>
    <w:rsid w:val="00ED0CF2"/>
    <w:rsid w:val="00ED1001"/>
    <w:rsid w:val="00ED14F8"/>
    <w:rsid w:val="00ED1619"/>
    <w:rsid w:val="00ED181C"/>
    <w:rsid w:val="00ED234F"/>
    <w:rsid w:val="00ED2442"/>
    <w:rsid w:val="00ED2653"/>
    <w:rsid w:val="00ED27D2"/>
    <w:rsid w:val="00ED2C64"/>
    <w:rsid w:val="00ED2CB7"/>
    <w:rsid w:val="00ED302A"/>
    <w:rsid w:val="00ED3744"/>
    <w:rsid w:val="00ED3B9E"/>
    <w:rsid w:val="00ED3EAA"/>
    <w:rsid w:val="00ED3EB9"/>
    <w:rsid w:val="00ED3FAA"/>
    <w:rsid w:val="00ED4197"/>
    <w:rsid w:val="00ED430B"/>
    <w:rsid w:val="00ED471E"/>
    <w:rsid w:val="00ED47A2"/>
    <w:rsid w:val="00ED49CB"/>
    <w:rsid w:val="00ED4A36"/>
    <w:rsid w:val="00ED4CD4"/>
    <w:rsid w:val="00ED4DA7"/>
    <w:rsid w:val="00ED4E62"/>
    <w:rsid w:val="00ED5105"/>
    <w:rsid w:val="00ED52CD"/>
    <w:rsid w:val="00ED5C1E"/>
    <w:rsid w:val="00ED5E95"/>
    <w:rsid w:val="00ED60A3"/>
    <w:rsid w:val="00ED618F"/>
    <w:rsid w:val="00ED65B7"/>
    <w:rsid w:val="00ED69F9"/>
    <w:rsid w:val="00ED701C"/>
    <w:rsid w:val="00ED7168"/>
    <w:rsid w:val="00ED734E"/>
    <w:rsid w:val="00ED79F1"/>
    <w:rsid w:val="00ED7CBA"/>
    <w:rsid w:val="00ED7E9D"/>
    <w:rsid w:val="00EE04C0"/>
    <w:rsid w:val="00EE06BE"/>
    <w:rsid w:val="00EE07FD"/>
    <w:rsid w:val="00EE0813"/>
    <w:rsid w:val="00EE0E45"/>
    <w:rsid w:val="00EE0E4C"/>
    <w:rsid w:val="00EE110E"/>
    <w:rsid w:val="00EE1263"/>
    <w:rsid w:val="00EE17DF"/>
    <w:rsid w:val="00EE18AD"/>
    <w:rsid w:val="00EE206D"/>
    <w:rsid w:val="00EE212A"/>
    <w:rsid w:val="00EE2872"/>
    <w:rsid w:val="00EE28C8"/>
    <w:rsid w:val="00EE2B14"/>
    <w:rsid w:val="00EE3231"/>
    <w:rsid w:val="00EE32CB"/>
    <w:rsid w:val="00EE3400"/>
    <w:rsid w:val="00EE3583"/>
    <w:rsid w:val="00EE39CD"/>
    <w:rsid w:val="00EE3A03"/>
    <w:rsid w:val="00EE3C73"/>
    <w:rsid w:val="00EE422B"/>
    <w:rsid w:val="00EE4391"/>
    <w:rsid w:val="00EE4AAF"/>
    <w:rsid w:val="00EE50E9"/>
    <w:rsid w:val="00EE52F3"/>
    <w:rsid w:val="00EE5EFE"/>
    <w:rsid w:val="00EE5FAA"/>
    <w:rsid w:val="00EE6904"/>
    <w:rsid w:val="00EE6D08"/>
    <w:rsid w:val="00EE6DEF"/>
    <w:rsid w:val="00EE7170"/>
    <w:rsid w:val="00EE756B"/>
    <w:rsid w:val="00EE791A"/>
    <w:rsid w:val="00EE7BEB"/>
    <w:rsid w:val="00EE7EE6"/>
    <w:rsid w:val="00EE7FF5"/>
    <w:rsid w:val="00EF09BC"/>
    <w:rsid w:val="00EF0EF6"/>
    <w:rsid w:val="00EF11B1"/>
    <w:rsid w:val="00EF12F5"/>
    <w:rsid w:val="00EF25FE"/>
    <w:rsid w:val="00EF2648"/>
    <w:rsid w:val="00EF2684"/>
    <w:rsid w:val="00EF2CB8"/>
    <w:rsid w:val="00EF2D87"/>
    <w:rsid w:val="00EF2EFB"/>
    <w:rsid w:val="00EF2FA1"/>
    <w:rsid w:val="00EF2FA5"/>
    <w:rsid w:val="00EF30F4"/>
    <w:rsid w:val="00EF358C"/>
    <w:rsid w:val="00EF35E6"/>
    <w:rsid w:val="00EF3C1F"/>
    <w:rsid w:val="00EF3D81"/>
    <w:rsid w:val="00EF405D"/>
    <w:rsid w:val="00EF424C"/>
    <w:rsid w:val="00EF45CA"/>
    <w:rsid w:val="00EF4AE5"/>
    <w:rsid w:val="00EF4FEE"/>
    <w:rsid w:val="00EF506A"/>
    <w:rsid w:val="00EF535C"/>
    <w:rsid w:val="00EF5FFF"/>
    <w:rsid w:val="00EF6391"/>
    <w:rsid w:val="00EF6447"/>
    <w:rsid w:val="00EF6641"/>
    <w:rsid w:val="00EF67FD"/>
    <w:rsid w:val="00EF6AC6"/>
    <w:rsid w:val="00EF6CA1"/>
    <w:rsid w:val="00EF6FE4"/>
    <w:rsid w:val="00EF7085"/>
    <w:rsid w:val="00EF7971"/>
    <w:rsid w:val="00EF79EB"/>
    <w:rsid w:val="00EF7B7D"/>
    <w:rsid w:val="00EF7C57"/>
    <w:rsid w:val="00EF7D2E"/>
    <w:rsid w:val="00F004CB"/>
    <w:rsid w:val="00F009DF"/>
    <w:rsid w:val="00F00B92"/>
    <w:rsid w:val="00F00BF1"/>
    <w:rsid w:val="00F00D09"/>
    <w:rsid w:val="00F00EBE"/>
    <w:rsid w:val="00F01029"/>
    <w:rsid w:val="00F011A1"/>
    <w:rsid w:val="00F01253"/>
    <w:rsid w:val="00F01496"/>
    <w:rsid w:val="00F0193C"/>
    <w:rsid w:val="00F01D68"/>
    <w:rsid w:val="00F01ECB"/>
    <w:rsid w:val="00F02059"/>
    <w:rsid w:val="00F03342"/>
    <w:rsid w:val="00F0362B"/>
    <w:rsid w:val="00F03BB7"/>
    <w:rsid w:val="00F03D8A"/>
    <w:rsid w:val="00F03E55"/>
    <w:rsid w:val="00F04844"/>
    <w:rsid w:val="00F04B8B"/>
    <w:rsid w:val="00F0528E"/>
    <w:rsid w:val="00F0534E"/>
    <w:rsid w:val="00F05620"/>
    <w:rsid w:val="00F05BD7"/>
    <w:rsid w:val="00F05D78"/>
    <w:rsid w:val="00F05F40"/>
    <w:rsid w:val="00F05FD5"/>
    <w:rsid w:val="00F060EE"/>
    <w:rsid w:val="00F063BA"/>
    <w:rsid w:val="00F06848"/>
    <w:rsid w:val="00F06ADE"/>
    <w:rsid w:val="00F06AE2"/>
    <w:rsid w:val="00F06B19"/>
    <w:rsid w:val="00F06BA5"/>
    <w:rsid w:val="00F06F36"/>
    <w:rsid w:val="00F06F87"/>
    <w:rsid w:val="00F07122"/>
    <w:rsid w:val="00F07218"/>
    <w:rsid w:val="00F07287"/>
    <w:rsid w:val="00F07AEF"/>
    <w:rsid w:val="00F10235"/>
    <w:rsid w:val="00F103DC"/>
    <w:rsid w:val="00F1069F"/>
    <w:rsid w:val="00F1097C"/>
    <w:rsid w:val="00F10A2C"/>
    <w:rsid w:val="00F11185"/>
    <w:rsid w:val="00F11453"/>
    <w:rsid w:val="00F11561"/>
    <w:rsid w:val="00F115ED"/>
    <w:rsid w:val="00F1194A"/>
    <w:rsid w:val="00F119FC"/>
    <w:rsid w:val="00F11D09"/>
    <w:rsid w:val="00F12009"/>
    <w:rsid w:val="00F122E2"/>
    <w:rsid w:val="00F124F2"/>
    <w:rsid w:val="00F1274D"/>
    <w:rsid w:val="00F1282F"/>
    <w:rsid w:val="00F12E5E"/>
    <w:rsid w:val="00F133D6"/>
    <w:rsid w:val="00F135C7"/>
    <w:rsid w:val="00F138C3"/>
    <w:rsid w:val="00F13A0F"/>
    <w:rsid w:val="00F13F12"/>
    <w:rsid w:val="00F1435F"/>
    <w:rsid w:val="00F14734"/>
    <w:rsid w:val="00F1490E"/>
    <w:rsid w:val="00F1562C"/>
    <w:rsid w:val="00F15795"/>
    <w:rsid w:val="00F1599F"/>
    <w:rsid w:val="00F15A01"/>
    <w:rsid w:val="00F15BEC"/>
    <w:rsid w:val="00F15D6C"/>
    <w:rsid w:val="00F16363"/>
    <w:rsid w:val="00F16839"/>
    <w:rsid w:val="00F16B36"/>
    <w:rsid w:val="00F16EF3"/>
    <w:rsid w:val="00F17970"/>
    <w:rsid w:val="00F2018F"/>
    <w:rsid w:val="00F204E8"/>
    <w:rsid w:val="00F207C9"/>
    <w:rsid w:val="00F207FC"/>
    <w:rsid w:val="00F2087F"/>
    <w:rsid w:val="00F20E1F"/>
    <w:rsid w:val="00F2122C"/>
    <w:rsid w:val="00F213B4"/>
    <w:rsid w:val="00F21633"/>
    <w:rsid w:val="00F225A8"/>
    <w:rsid w:val="00F22619"/>
    <w:rsid w:val="00F2270F"/>
    <w:rsid w:val="00F2294C"/>
    <w:rsid w:val="00F22B09"/>
    <w:rsid w:val="00F22B57"/>
    <w:rsid w:val="00F22F12"/>
    <w:rsid w:val="00F23025"/>
    <w:rsid w:val="00F230FD"/>
    <w:rsid w:val="00F23219"/>
    <w:rsid w:val="00F24112"/>
    <w:rsid w:val="00F247F2"/>
    <w:rsid w:val="00F24B8C"/>
    <w:rsid w:val="00F24C0D"/>
    <w:rsid w:val="00F24D50"/>
    <w:rsid w:val="00F24D7B"/>
    <w:rsid w:val="00F2500C"/>
    <w:rsid w:val="00F253C0"/>
    <w:rsid w:val="00F25462"/>
    <w:rsid w:val="00F254EF"/>
    <w:rsid w:val="00F25632"/>
    <w:rsid w:val="00F25D8F"/>
    <w:rsid w:val="00F261D6"/>
    <w:rsid w:val="00F26909"/>
    <w:rsid w:val="00F26D83"/>
    <w:rsid w:val="00F27AA9"/>
    <w:rsid w:val="00F27E67"/>
    <w:rsid w:val="00F301FD"/>
    <w:rsid w:val="00F304B8"/>
    <w:rsid w:val="00F304DD"/>
    <w:rsid w:val="00F30B98"/>
    <w:rsid w:val="00F31738"/>
    <w:rsid w:val="00F3194F"/>
    <w:rsid w:val="00F31C4E"/>
    <w:rsid w:val="00F31EEA"/>
    <w:rsid w:val="00F31F38"/>
    <w:rsid w:val="00F3257E"/>
    <w:rsid w:val="00F32A7C"/>
    <w:rsid w:val="00F336B1"/>
    <w:rsid w:val="00F33904"/>
    <w:rsid w:val="00F33ADB"/>
    <w:rsid w:val="00F33DAC"/>
    <w:rsid w:val="00F33E8B"/>
    <w:rsid w:val="00F33EFB"/>
    <w:rsid w:val="00F34677"/>
    <w:rsid w:val="00F34788"/>
    <w:rsid w:val="00F34D7A"/>
    <w:rsid w:val="00F3540C"/>
    <w:rsid w:val="00F3540E"/>
    <w:rsid w:val="00F357BF"/>
    <w:rsid w:val="00F3592D"/>
    <w:rsid w:val="00F35E52"/>
    <w:rsid w:val="00F3651D"/>
    <w:rsid w:val="00F365E2"/>
    <w:rsid w:val="00F3669C"/>
    <w:rsid w:val="00F3689A"/>
    <w:rsid w:val="00F36A4A"/>
    <w:rsid w:val="00F36AF4"/>
    <w:rsid w:val="00F36FC5"/>
    <w:rsid w:val="00F36FF2"/>
    <w:rsid w:val="00F37600"/>
    <w:rsid w:val="00F37613"/>
    <w:rsid w:val="00F37622"/>
    <w:rsid w:val="00F377B6"/>
    <w:rsid w:val="00F378B5"/>
    <w:rsid w:val="00F37B1D"/>
    <w:rsid w:val="00F37E61"/>
    <w:rsid w:val="00F401E9"/>
    <w:rsid w:val="00F4029F"/>
    <w:rsid w:val="00F403B7"/>
    <w:rsid w:val="00F4043A"/>
    <w:rsid w:val="00F4048D"/>
    <w:rsid w:val="00F40F23"/>
    <w:rsid w:val="00F4132A"/>
    <w:rsid w:val="00F4138D"/>
    <w:rsid w:val="00F418EA"/>
    <w:rsid w:val="00F41990"/>
    <w:rsid w:val="00F41BF0"/>
    <w:rsid w:val="00F41D65"/>
    <w:rsid w:val="00F41DE1"/>
    <w:rsid w:val="00F420AD"/>
    <w:rsid w:val="00F42AA9"/>
    <w:rsid w:val="00F42E10"/>
    <w:rsid w:val="00F42FE4"/>
    <w:rsid w:val="00F43541"/>
    <w:rsid w:val="00F43777"/>
    <w:rsid w:val="00F4393C"/>
    <w:rsid w:val="00F43D1A"/>
    <w:rsid w:val="00F4444C"/>
    <w:rsid w:val="00F44990"/>
    <w:rsid w:val="00F44BCB"/>
    <w:rsid w:val="00F44C4E"/>
    <w:rsid w:val="00F44C5F"/>
    <w:rsid w:val="00F458AB"/>
    <w:rsid w:val="00F45B0F"/>
    <w:rsid w:val="00F45B70"/>
    <w:rsid w:val="00F45C6F"/>
    <w:rsid w:val="00F45E64"/>
    <w:rsid w:val="00F462FC"/>
    <w:rsid w:val="00F466C3"/>
    <w:rsid w:val="00F4687D"/>
    <w:rsid w:val="00F46BD0"/>
    <w:rsid w:val="00F46DBA"/>
    <w:rsid w:val="00F470E2"/>
    <w:rsid w:val="00F474C0"/>
    <w:rsid w:val="00F4796B"/>
    <w:rsid w:val="00F47B1F"/>
    <w:rsid w:val="00F47DC8"/>
    <w:rsid w:val="00F47E83"/>
    <w:rsid w:val="00F5000A"/>
    <w:rsid w:val="00F5027E"/>
    <w:rsid w:val="00F50560"/>
    <w:rsid w:val="00F50986"/>
    <w:rsid w:val="00F50AD6"/>
    <w:rsid w:val="00F5193D"/>
    <w:rsid w:val="00F51B57"/>
    <w:rsid w:val="00F51DE9"/>
    <w:rsid w:val="00F52883"/>
    <w:rsid w:val="00F52931"/>
    <w:rsid w:val="00F52D1F"/>
    <w:rsid w:val="00F53506"/>
    <w:rsid w:val="00F5385C"/>
    <w:rsid w:val="00F53F8B"/>
    <w:rsid w:val="00F54555"/>
    <w:rsid w:val="00F547F9"/>
    <w:rsid w:val="00F551BC"/>
    <w:rsid w:val="00F553BB"/>
    <w:rsid w:val="00F554AB"/>
    <w:rsid w:val="00F554EE"/>
    <w:rsid w:val="00F557DE"/>
    <w:rsid w:val="00F55862"/>
    <w:rsid w:val="00F55F27"/>
    <w:rsid w:val="00F565D2"/>
    <w:rsid w:val="00F56E89"/>
    <w:rsid w:val="00F56EE4"/>
    <w:rsid w:val="00F5746D"/>
    <w:rsid w:val="00F5749C"/>
    <w:rsid w:val="00F6011C"/>
    <w:rsid w:val="00F60517"/>
    <w:rsid w:val="00F6064F"/>
    <w:rsid w:val="00F607FB"/>
    <w:rsid w:val="00F608F7"/>
    <w:rsid w:val="00F60FFE"/>
    <w:rsid w:val="00F61115"/>
    <w:rsid w:val="00F6177E"/>
    <w:rsid w:val="00F618E5"/>
    <w:rsid w:val="00F61A1F"/>
    <w:rsid w:val="00F61DFC"/>
    <w:rsid w:val="00F62210"/>
    <w:rsid w:val="00F62346"/>
    <w:rsid w:val="00F6267B"/>
    <w:rsid w:val="00F626CA"/>
    <w:rsid w:val="00F635C6"/>
    <w:rsid w:val="00F63B4C"/>
    <w:rsid w:val="00F63EAA"/>
    <w:rsid w:val="00F64193"/>
    <w:rsid w:val="00F643DC"/>
    <w:rsid w:val="00F6466D"/>
    <w:rsid w:val="00F648BB"/>
    <w:rsid w:val="00F64917"/>
    <w:rsid w:val="00F64A0A"/>
    <w:rsid w:val="00F64DA7"/>
    <w:rsid w:val="00F658F7"/>
    <w:rsid w:val="00F6599F"/>
    <w:rsid w:val="00F6620C"/>
    <w:rsid w:val="00F6657B"/>
    <w:rsid w:val="00F665E8"/>
    <w:rsid w:val="00F66C96"/>
    <w:rsid w:val="00F66DF8"/>
    <w:rsid w:val="00F67633"/>
    <w:rsid w:val="00F6786E"/>
    <w:rsid w:val="00F67994"/>
    <w:rsid w:val="00F67AD8"/>
    <w:rsid w:val="00F67BD1"/>
    <w:rsid w:val="00F701BD"/>
    <w:rsid w:val="00F7036A"/>
    <w:rsid w:val="00F7047C"/>
    <w:rsid w:val="00F70525"/>
    <w:rsid w:val="00F70E74"/>
    <w:rsid w:val="00F711C3"/>
    <w:rsid w:val="00F712E6"/>
    <w:rsid w:val="00F713C9"/>
    <w:rsid w:val="00F71488"/>
    <w:rsid w:val="00F718C9"/>
    <w:rsid w:val="00F71AFC"/>
    <w:rsid w:val="00F71F35"/>
    <w:rsid w:val="00F72176"/>
    <w:rsid w:val="00F72307"/>
    <w:rsid w:val="00F724E7"/>
    <w:rsid w:val="00F7254C"/>
    <w:rsid w:val="00F726AF"/>
    <w:rsid w:val="00F7272A"/>
    <w:rsid w:val="00F72888"/>
    <w:rsid w:val="00F73955"/>
    <w:rsid w:val="00F73E6F"/>
    <w:rsid w:val="00F73F66"/>
    <w:rsid w:val="00F74408"/>
    <w:rsid w:val="00F74597"/>
    <w:rsid w:val="00F745AE"/>
    <w:rsid w:val="00F74841"/>
    <w:rsid w:val="00F74D5C"/>
    <w:rsid w:val="00F74F23"/>
    <w:rsid w:val="00F75060"/>
    <w:rsid w:val="00F75E76"/>
    <w:rsid w:val="00F75F1F"/>
    <w:rsid w:val="00F75FF4"/>
    <w:rsid w:val="00F76012"/>
    <w:rsid w:val="00F76059"/>
    <w:rsid w:val="00F76310"/>
    <w:rsid w:val="00F7665D"/>
    <w:rsid w:val="00F76AD7"/>
    <w:rsid w:val="00F7703F"/>
    <w:rsid w:val="00F770B6"/>
    <w:rsid w:val="00F77642"/>
    <w:rsid w:val="00F7771E"/>
    <w:rsid w:val="00F77DC4"/>
    <w:rsid w:val="00F801C6"/>
    <w:rsid w:val="00F810D6"/>
    <w:rsid w:val="00F8131C"/>
    <w:rsid w:val="00F817E2"/>
    <w:rsid w:val="00F8181F"/>
    <w:rsid w:val="00F81ADB"/>
    <w:rsid w:val="00F81BCC"/>
    <w:rsid w:val="00F8221D"/>
    <w:rsid w:val="00F822A6"/>
    <w:rsid w:val="00F826A3"/>
    <w:rsid w:val="00F82A4E"/>
    <w:rsid w:val="00F830E8"/>
    <w:rsid w:val="00F833A5"/>
    <w:rsid w:val="00F834F6"/>
    <w:rsid w:val="00F83510"/>
    <w:rsid w:val="00F83589"/>
    <w:rsid w:val="00F8366E"/>
    <w:rsid w:val="00F836B6"/>
    <w:rsid w:val="00F83791"/>
    <w:rsid w:val="00F838EF"/>
    <w:rsid w:val="00F839D7"/>
    <w:rsid w:val="00F84687"/>
    <w:rsid w:val="00F846D8"/>
    <w:rsid w:val="00F84E99"/>
    <w:rsid w:val="00F850A2"/>
    <w:rsid w:val="00F8558C"/>
    <w:rsid w:val="00F85ECB"/>
    <w:rsid w:val="00F860DF"/>
    <w:rsid w:val="00F86105"/>
    <w:rsid w:val="00F87896"/>
    <w:rsid w:val="00F878D4"/>
    <w:rsid w:val="00F90C27"/>
    <w:rsid w:val="00F90F71"/>
    <w:rsid w:val="00F91203"/>
    <w:rsid w:val="00F91D99"/>
    <w:rsid w:val="00F92216"/>
    <w:rsid w:val="00F9236C"/>
    <w:rsid w:val="00F92EE4"/>
    <w:rsid w:val="00F92F3A"/>
    <w:rsid w:val="00F93258"/>
    <w:rsid w:val="00F932B5"/>
    <w:rsid w:val="00F9338C"/>
    <w:rsid w:val="00F936F7"/>
    <w:rsid w:val="00F937A3"/>
    <w:rsid w:val="00F9386A"/>
    <w:rsid w:val="00F93DFD"/>
    <w:rsid w:val="00F942BF"/>
    <w:rsid w:val="00F94308"/>
    <w:rsid w:val="00F943C4"/>
    <w:rsid w:val="00F946E1"/>
    <w:rsid w:val="00F94708"/>
    <w:rsid w:val="00F9499C"/>
    <w:rsid w:val="00F94A56"/>
    <w:rsid w:val="00F94F28"/>
    <w:rsid w:val="00F952CB"/>
    <w:rsid w:val="00F95905"/>
    <w:rsid w:val="00F95929"/>
    <w:rsid w:val="00F95C9F"/>
    <w:rsid w:val="00F9653D"/>
    <w:rsid w:val="00F968B5"/>
    <w:rsid w:val="00F972E6"/>
    <w:rsid w:val="00F974FE"/>
    <w:rsid w:val="00F9779C"/>
    <w:rsid w:val="00F979C5"/>
    <w:rsid w:val="00F97C3C"/>
    <w:rsid w:val="00F97C59"/>
    <w:rsid w:val="00F97D25"/>
    <w:rsid w:val="00F97DF1"/>
    <w:rsid w:val="00FA0721"/>
    <w:rsid w:val="00FA0875"/>
    <w:rsid w:val="00FA0BE2"/>
    <w:rsid w:val="00FA0F08"/>
    <w:rsid w:val="00FA0F4F"/>
    <w:rsid w:val="00FA0F82"/>
    <w:rsid w:val="00FA12F5"/>
    <w:rsid w:val="00FA16C6"/>
    <w:rsid w:val="00FA1D78"/>
    <w:rsid w:val="00FA2FFC"/>
    <w:rsid w:val="00FA30FB"/>
    <w:rsid w:val="00FA3174"/>
    <w:rsid w:val="00FA3446"/>
    <w:rsid w:val="00FA380A"/>
    <w:rsid w:val="00FA383A"/>
    <w:rsid w:val="00FA3A90"/>
    <w:rsid w:val="00FA3CD1"/>
    <w:rsid w:val="00FA4138"/>
    <w:rsid w:val="00FA4881"/>
    <w:rsid w:val="00FA4DE9"/>
    <w:rsid w:val="00FA4E62"/>
    <w:rsid w:val="00FA520B"/>
    <w:rsid w:val="00FA5EC1"/>
    <w:rsid w:val="00FA6950"/>
    <w:rsid w:val="00FA6BAE"/>
    <w:rsid w:val="00FA6BB7"/>
    <w:rsid w:val="00FA6D88"/>
    <w:rsid w:val="00FA6FFE"/>
    <w:rsid w:val="00FA7069"/>
    <w:rsid w:val="00FA76F2"/>
    <w:rsid w:val="00FA7E2C"/>
    <w:rsid w:val="00FB0440"/>
    <w:rsid w:val="00FB0886"/>
    <w:rsid w:val="00FB0AA1"/>
    <w:rsid w:val="00FB0ACF"/>
    <w:rsid w:val="00FB1056"/>
    <w:rsid w:val="00FB117E"/>
    <w:rsid w:val="00FB2148"/>
    <w:rsid w:val="00FB22E8"/>
    <w:rsid w:val="00FB2F22"/>
    <w:rsid w:val="00FB30CC"/>
    <w:rsid w:val="00FB315F"/>
    <w:rsid w:val="00FB328B"/>
    <w:rsid w:val="00FB32F0"/>
    <w:rsid w:val="00FB38E9"/>
    <w:rsid w:val="00FB3EAA"/>
    <w:rsid w:val="00FB4081"/>
    <w:rsid w:val="00FB4929"/>
    <w:rsid w:val="00FB49B2"/>
    <w:rsid w:val="00FB4A34"/>
    <w:rsid w:val="00FB4D51"/>
    <w:rsid w:val="00FB4DA6"/>
    <w:rsid w:val="00FB4F46"/>
    <w:rsid w:val="00FB5108"/>
    <w:rsid w:val="00FB51DC"/>
    <w:rsid w:val="00FB5245"/>
    <w:rsid w:val="00FB54CD"/>
    <w:rsid w:val="00FB5511"/>
    <w:rsid w:val="00FB56B0"/>
    <w:rsid w:val="00FB5801"/>
    <w:rsid w:val="00FB5904"/>
    <w:rsid w:val="00FB5C90"/>
    <w:rsid w:val="00FB62E9"/>
    <w:rsid w:val="00FB6313"/>
    <w:rsid w:val="00FB6608"/>
    <w:rsid w:val="00FB6675"/>
    <w:rsid w:val="00FB66CD"/>
    <w:rsid w:val="00FB67FA"/>
    <w:rsid w:val="00FB6AED"/>
    <w:rsid w:val="00FB70A1"/>
    <w:rsid w:val="00FB70CA"/>
    <w:rsid w:val="00FB724C"/>
    <w:rsid w:val="00FB7404"/>
    <w:rsid w:val="00FB74E1"/>
    <w:rsid w:val="00FB7779"/>
    <w:rsid w:val="00FB7847"/>
    <w:rsid w:val="00FB7B05"/>
    <w:rsid w:val="00FC03DB"/>
    <w:rsid w:val="00FC0508"/>
    <w:rsid w:val="00FC05B4"/>
    <w:rsid w:val="00FC0852"/>
    <w:rsid w:val="00FC087F"/>
    <w:rsid w:val="00FC08B1"/>
    <w:rsid w:val="00FC1718"/>
    <w:rsid w:val="00FC1C56"/>
    <w:rsid w:val="00FC1CE2"/>
    <w:rsid w:val="00FC1D1E"/>
    <w:rsid w:val="00FC1F51"/>
    <w:rsid w:val="00FC1F98"/>
    <w:rsid w:val="00FC1FE8"/>
    <w:rsid w:val="00FC2214"/>
    <w:rsid w:val="00FC23FD"/>
    <w:rsid w:val="00FC2601"/>
    <w:rsid w:val="00FC284E"/>
    <w:rsid w:val="00FC2952"/>
    <w:rsid w:val="00FC2EE8"/>
    <w:rsid w:val="00FC324C"/>
    <w:rsid w:val="00FC3CE2"/>
    <w:rsid w:val="00FC3FC4"/>
    <w:rsid w:val="00FC411B"/>
    <w:rsid w:val="00FC4669"/>
    <w:rsid w:val="00FC4984"/>
    <w:rsid w:val="00FC4CEA"/>
    <w:rsid w:val="00FC4FAB"/>
    <w:rsid w:val="00FC58F0"/>
    <w:rsid w:val="00FC5C53"/>
    <w:rsid w:val="00FC5CC8"/>
    <w:rsid w:val="00FC5E44"/>
    <w:rsid w:val="00FC6324"/>
    <w:rsid w:val="00FC63F7"/>
    <w:rsid w:val="00FC6426"/>
    <w:rsid w:val="00FC64CF"/>
    <w:rsid w:val="00FC672B"/>
    <w:rsid w:val="00FC679A"/>
    <w:rsid w:val="00FC67BA"/>
    <w:rsid w:val="00FC6C78"/>
    <w:rsid w:val="00FC6EAA"/>
    <w:rsid w:val="00FC6EB3"/>
    <w:rsid w:val="00FC6F29"/>
    <w:rsid w:val="00FC7558"/>
    <w:rsid w:val="00FC7721"/>
    <w:rsid w:val="00FC7753"/>
    <w:rsid w:val="00FC77A6"/>
    <w:rsid w:val="00FC796C"/>
    <w:rsid w:val="00FC7A12"/>
    <w:rsid w:val="00FC7B2B"/>
    <w:rsid w:val="00FD0C10"/>
    <w:rsid w:val="00FD0DF3"/>
    <w:rsid w:val="00FD129C"/>
    <w:rsid w:val="00FD14EE"/>
    <w:rsid w:val="00FD194C"/>
    <w:rsid w:val="00FD1DBB"/>
    <w:rsid w:val="00FD2043"/>
    <w:rsid w:val="00FD28AE"/>
    <w:rsid w:val="00FD2F39"/>
    <w:rsid w:val="00FD3745"/>
    <w:rsid w:val="00FD37B4"/>
    <w:rsid w:val="00FD3DCD"/>
    <w:rsid w:val="00FD3E93"/>
    <w:rsid w:val="00FD4017"/>
    <w:rsid w:val="00FD4254"/>
    <w:rsid w:val="00FD4343"/>
    <w:rsid w:val="00FD448E"/>
    <w:rsid w:val="00FD46AB"/>
    <w:rsid w:val="00FD4BD3"/>
    <w:rsid w:val="00FD4D07"/>
    <w:rsid w:val="00FD4EA0"/>
    <w:rsid w:val="00FD534C"/>
    <w:rsid w:val="00FD5A0F"/>
    <w:rsid w:val="00FD6229"/>
    <w:rsid w:val="00FD6DC6"/>
    <w:rsid w:val="00FD744F"/>
    <w:rsid w:val="00FD7AD1"/>
    <w:rsid w:val="00FD7EA3"/>
    <w:rsid w:val="00FE01AF"/>
    <w:rsid w:val="00FE07AF"/>
    <w:rsid w:val="00FE0939"/>
    <w:rsid w:val="00FE10F2"/>
    <w:rsid w:val="00FE15B0"/>
    <w:rsid w:val="00FE1697"/>
    <w:rsid w:val="00FE1E07"/>
    <w:rsid w:val="00FE1FE5"/>
    <w:rsid w:val="00FE2276"/>
    <w:rsid w:val="00FE2936"/>
    <w:rsid w:val="00FE2A83"/>
    <w:rsid w:val="00FE3262"/>
    <w:rsid w:val="00FE3734"/>
    <w:rsid w:val="00FE39D0"/>
    <w:rsid w:val="00FE3F15"/>
    <w:rsid w:val="00FE42E9"/>
    <w:rsid w:val="00FE4A9C"/>
    <w:rsid w:val="00FE4C6C"/>
    <w:rsid w:val="00FE4F1B"/>
    <w:rsid w:val="00FE4FAC"/>
    <w:rsid w:val="00FE547F"/>
    <w:rsid w:val="00FE56DB"/>
    <w:rsid w:val="00FE58BB"/>
    <w:rsid w:val="00FE5A22"/>
    <w:rsid w:val="00FE5B7F"/>
    <w:rsid w:val="00FE5CCE"/>
    <w:rsid w:val="00FE6134"/>
    <w:rsid w:val="00FE6D30"/>
    <w:rsid w:val="00FE76B7"/>
    <w:rsid w:val="00FE7F46"/>
    <w:rsid w:val="00FF01FD"/>
    <w:rsid w:val="00FF08A7"/>
    <w:rsid w:val="00FF0A65"/>
    <w:rsid w:val="00FF0C91"/>
    <w:rsid w:val="00FF0CA0"/>
    <w:rsid w:val="00FF0E83"/>
    <w:rsid w:val="00FF161E"/>
    <w:rsid w:val="00FF1781"/>
    <w:rsid w:val="00FF1970"/>
    <w:rsid w:val="00FF1A26"/>
    <w:rsid w:val="00FF1C6D"/>
    <w:rsid w:val="00FF1DCE"/>
    <w:rsid w:val="00FF20D4"/>
    <w:rsid w:val="00FF2401"/>
    <w:rsid w:val="00FF2BC1"/>
    <w:rsid w:val="00FF3298"/>
    <w:rsid w:val="00FF3551"/>
    <w:rsid w:val="00FF39A8"/>
    <w:rsid w:val="00FF43D5"/>
    <w:rsid w:val="00FF4806"/>
    <w:rsid w:val="00FF48C5"/>
    <w:rsid w:val="00FF4CAE"/>
    <w:rsid w:val="00FF5A71"/>
    <w:rsid w:val="00FF5DEB"/>
    <w:rsid w:val="00FF6408"/>
    <w:rsid w:val="00FF64A0"/>
    <w:rsid w:val="00FF64EE"/>
    <w:rsid w:val="00FF6579"/>
    <w:rsid w:val="00FF677D"/>
    <w:rsid w:val="00FF6812"/>
    <w:rsid w:val="00FF69BD"/>
    <w:rsid w:val="00FF6A58"/>
    <w:rsid w:val="00FF6BC0"/>
    <w:rsid w:val="00FF6CD8"/>
    <w:rsid w:val="00FF70D1"/>
    <w:rsid w:val="00FF755B"/>
    <w:rsid w:val="00FF797D"/>
    <w:rsid w:val="00FF798D"/>
    <w:rsid w:val="00FF7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944FB7B"/>
  <w15:docId w15:val="{BE0761A0-2C9E-44AE-8EFD-B7A34E0AC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0C52"/>
  </w:style>
  <w:style w:type="paragraph" w:styleId="Heading1">
    <w:name w:val="heading 1"/>
    <w:basedOn w:val="Normal"/>
    <w:next w:val="Normal"/>
    <w:link w:val="Heading1Char"/>
    <w:qFormat/>
    <w:rsid w:val="00E35B79"/>
    <w:pPr>
      <w:keepNext/>
      <w:tabs>
        <w:tab w:val="left" w:pos="360"/>
      </w:tabs>
      <w:spacing w:after="240"/>
      <w:outlineLvl w:val="0"/>
    </w:pPr>
    <w:rPr>
      <w:rFonts w:ascii="Arial" w:hAnsi="Arial"/>
      <w:b/>
      <w:caps/>
      <w:szCs w:val="24"/>
    </w:rPr>
  </w:style>
  <w:style w:type="paragraph" w:styleId="Heading2">
    <w:name w:val="heading 2"/>
    <w:basedOn w:val="Normal"/>
    <w:next w:val="Normal"/>
    <w:link w:val="Heading2Char"/>
    <w:qFormat/>
    <w:rsid w:val="00E35B79"/>
    <w:pPr>
      <w:keepNext/>
      <w:tabs>
        <w:tab w:val="left" w:pos="720"/>
      </w:tabs>
      <w:spacing w:after="240"/>
      <w:ind w:left="720" w:hanging="360"/>
      <w:outlineLvl w:val="1"/>
    </w:pPr>
    <w:rPr>
      <w:rFonts w:ascii="Arial" w:hAnsi="Arial" w:cs="Arial"/>
      <w:b/>
    </w:rPr>
  </w:style>
  <w:style w:type="paragraph" w:styleId="Heading3">
    <w:name w:val="heading 3"/>
    <w:basedOn w:val="Normal"/>
    <w:next w:val="Normal"/>
    <w:link w:val="Heading3Char"/>
    <w:qFormat/>
    <w:rsid w:val="00E35B79"/>
    <w:pPr>
      <w:keepNext/>
      <w:tabs>
        <w:tab w:val="left" w:pos="1080"/>
      </w:tabs>
      <w:spacing w:after="240"/>
      <w:ind w:left="1080" w:hanging="360"/>
      <w:outlineLvl w:val="2"/>
    </w:pPr>
    <w:rPr>
      <w:rFonts w:ascii="Arial" w:hAnsi="Arial"/>
      <w:b/>
    </w:rPr>
  </w:style>
  <w:style w:type="paragraph" w:styleId="Heading4">
    <w:name w:val="heading 4"/>
    <w:basedOn w:val="Normal"/>
    <w:next w:val="Normal"/>
    <w:link w:val="Heading4Char"/>
    <w:uiPriority w:val="9"/>
    <w:qFormat/>
    <w:rsid w:val="00E35B79"/>
    <w:pPr>
      <w:keepNext/>
      <w:ind w:left="1080"/>
      <w:outlineLvl w:val="3"/>
    </w:pPr>
    <w:rPr>
      <w:rFonts w:ascii="Calibri" w:hAnsi="Calibri"/>
      <w:b/>
      <w:bCs/>
      <w:sz w:val="28"/>
      <w:szCs w:val="28"/>
    </w:rPr>
  </w:style>
  <w:style w:type="paragraph" w:styleId="Heading5">
    <w:name w:val="heading 5"/>
    <w:basedOn w:val="Normal"/>
    <w:next w:val="Normal"/>
    <w:link w:val="Heading5Char"/>
    <w:uiPriority w:val="9"/>
    <w:qFormat/>
    <w:rsid w:val="00E35B79"/>
    <w:pPr>
      <w:keepNext/>
      <w:tabs>
        <w:tab w:val="left" w:pos="1170"/>
      </w:tabs>
      <w:ind w:left="1170" w:firstLine="10"/>
      <w:outlineLvl w:val="4"/>
    </w:pPr>
    <w:rPr>
      <w:rFonts w:ascii="Calibri" w:hAnsi="Calibri"/>
      <w:b/>
      <w:bCs/>
      <w:i/>
      <w:iCs/>
      <w:sz w:val="26"/>
      <w:szCs w:val="26"/>
    </w:rPr>
  </w:style>
  <w:style w:type="paragraph" w:styleId="Heading6">
    <w:name w:val="heading 6"/>
    <w:basedOn w:val="Normal"/>
    <w:next w:val="Normal"/>
    <w:link w:val="Heading6Char"/>
    <w:uiPriority w:val="9"/>
    <w:qFormat/>
    <w:rsid w:val="00E35B79"/>
    <w:pPr>
      <w:keepNext/>
      <w:tabs>
        <w:tab w:val="left" w:pos="7560"/>
      </w:tabs>
      <w:ind w:firstLine="7560"/>
      <w:outlineLvl w:val="5"/>
    </w:pPr>
    <w:rPr>
      <w:rFonts w:ascii="Calibri" w:hAnsi="Calibri"/>
      <w:b/>
      <w:bCs/>
      <w:sz w:val="22"/>
      <w:szCs w:val="22"/>
    </w:rPr>
  </w:style>
  <w:style w:type="paragraph" w:styleId="Heading7">
    <w:name w:val="heading 7"/>
    <w:basedOn w:val="Normal"/>
    <w:next w:val="Normal"/>
    <w:link w:val="Heading7Char"/>
    <w:uiPriority w:val="9"/>
    <w:qFormat/>
    <w:rsid w:val="00E35B79"/>
    <w:pPr>
      <w:keepNext/>
      <w:tabs>
        <w:tab w:val="left" w:pos="2232"/>
        <w:tab w:val="left" w:pos="3960"/>
        <w:tab w:val="left" w:pos="6120"/>
        <w:tab w:val="left" w:pos="6480"/>
        <w:tab w:val="left" w:pos="8100"/>
        <w:tab w:val="left" w:pos="9720"/>
      </w:tabs>
      <w:ind w:right="360" w:firstLine="1653"/>
      <w:outlineLvl w:val="6"/>
    </w:pPr>
    <w:rPr>
      <w:rFonts w:ascii="Calibri" w:hAnsi="Calibri"/>
      <w:szCs w:val="24"/>
    </w:rPr>
  </w:style>
  <w:style w:type="paragraph" w:styleId="Heading8">
    <w:name w:val="heading 8"/>
    <w:basedOn w:val="Normal"/>
    <w:next w:val="Normal"/>
    <w:link w:val="Heading8Char"/>
    <w:uiPriority w:val="9"/>
    <w:qFormat/>
    <w:rsid w:val="00E35B79"/>
    <w:pPr>
      <w:keepNext/>
      <w:tabs>
        <w:tab w:val="left" w:pos="1080"/>
      </w:tabs>
      <w:ind w:right="360"/>
      <w:outlineLvl w:val="7"/>
    </w:pPr>
    <w:rPr>
      <w:rFonts w:ascii="Calibri" w:hAnsi="Calibri"/>
      <w:i/>
      <w:iCs/>
      <w:szCs w:val="24"/>
    </w:rPr>
  </w:style>
  <w:style w:type="paragraph" w:styleId="Heading9">
    <w:name w:val="heading 9"/>
    <w:basedOn w:val="Normal"/>
    <w:next w:val="Normal"/>
    <w:link w:val="Heading9Char"/>
    <w:uiPriority w:val="9"/>
    <w:qFormat/>
    <w:rsid w:val="00E35B79"/>
    <w:pPr>
      <w:keepNext/>
      <w:numPr>
        <w:numId w:val="5"/>
      </w:numPr>
      <w:ind w:right="360"/>
      <w:outlineLvl w:val="8"/>
    </w:pPr>
    <w:rPr>
      <w:color w:va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35B79"/>
    <w:rPr>
      <w:rFonts w:ascii="Arial" w:hAnsi="Arial" w:cs="Arial"/>
      <w:b/>
      <w:caps/>
      <w:sz w:val="24"/>
      <w:szCs w:val="24"/>
    </w:rPr>
  </w:style>
  <w:style w:type="character" w:customStyle="1" w:styleId="Heading2Char">
    <w:name w:val="Heading 2 Char"/>
    <w:link w:val="Heading2"/>
    <w:rsid w:val="00E35B79"/>
    <w:rPr>
      <w:rFonts w:ascii="Arial" w:hAnsi="Arial" w:cs="Arial"/>
      <w:b/>
      <w:sz w:val="24"/>
      <w:lang w:val="en-US" w:eastAsia="en-US" w:bidi="ar-SA"/>
    </w:rPr>
  </w:style>
  <w:style w:type="character" w:customStyle="1" w:styleId="Heading3Char">
    <w:name w:val="Heading 3 Char"/>
    <w:link w:val="Heading3"/>
    <w:rsid w:val="00E35B79"/>
    <w:rPr>
      <w:rFonts w:ascii="Arial" w:hAnsi="Arial" w:cs="Arial"/>
      <w:b/>
      <w:sz w:val="24"/>
    </w:rPr>
  </w:style>
  <w:style w:type="character" w:customStyle="1" w:styleId="Heading4Char">
    <w:name w:val="Heading 4 Char"/>
    <w:link w:val="Heading4"/>
    <w:uiPriority w:val="9"/>
    <w:rsid w:val="00410D08"/>
    <w:rPr>
      <w:rFonts w:ascii="Calibri" w:eastAsia="Times New Roman" w:hAnsi="Calibri" w:cs="Times New Roman"/>
      <w:b/>
      <w:bCs/>
      <w:sz w:val="28"/>
      <w:szCs w:val="28"/>
    </w:rPr>
  </w:style>
  <w:style w:type="character" w:customStyle="1" w:styleId="Heading5Char">
    <w:name w:val="Heading 5 Char"/>
    <w:link w:val="Heading5"/>
    <w:uiPriority w:val="9"/>
    <w:rsid w:val="00410D08"/>
    <w:rPr>
      <w:rFonts w:ascii="Calibri" w:eastAsia="Times New Roman" w:hAnsi="Calibri" w:cs="Times New Roman"/>
      <w:b/>
      <w:bCs/>
      <w:i/>
      <w:iCs/>
      <w:sz w:val="26"/>
      <w:szCs w:val="26"/>
    </w:rPr>
  </w:style>
  <w:style w:type="character" w:customStyle="1" w:styleId="Heading6Char">
    <w:name w:val="Heading 6 Char"/>
    <w:link w:val="Heading6"/>
    <w:uiPriority w:val="9"/>
    <w:rsid w:val="00410D08"/>
    <w:rPr>
      <w:rFonts w:ascii="Calibri" w:eastAsia="Times New Roman" w:hAnsi="Calibri" w:cs="Times New Roman"/>
      <w:b/>
      <w:bCs/>
      <w:sz w:val="22"/>
      <w:szCs w:val="22"/>
    </w:rPr>
  </w:style>
  <w:style w:type="character" w:customStyle="1" w:styleId="Heading7Char">
    <w:name w:val="Heading 7 Char"/>
    <w:link w:val="Heading7"/>
    <w:uiPriority w:val="9"/>
    <w:rsid w:val="00410D08"/>
    <w:rPr>
      <w:rFonts w:ascii="Calibri" w:eastAsia="Times New Roman" w:hAnsi="Calibri" w:cs="Times New Roman"/>
      <w:sz w:val="24"/>
      <w:szCs w:val="24"/>
    </w:rPr>
  </w:style>
  <w:style w:type="character" w:customStyle="1" w:styleId="Heading8Char">
    <w:name w:val="Heading 8 Char"/>
    <w:link w:val="Heading8"/>
    <w:uiPriority w:val="9"/>
    <w:rsid w:val="00410D08"/>
    <w:rPr>
      <w:rFonts w:ascii="Calibri" w:eastAsia="Times New Roman" w:hAnsi="Calibri" w:cs="Times New Roman"/>
      <w:i/>
      <w:iCs/>
      <w:sz w:val="24"/>
      <w:szCs w:val="24"/>
    </w:rPr>
  </w:style>
  <w:style w:type="character" w:customStyle="1" w:styleId="Heading9Char">
    <w:name w:val="Heading 9 Char"/>
    <w:link w:val="Heading9"/>
    <w:uiPriority w:val="9"/>
    <w:rsid w:val="00410D08"/>
    <w:rPr>
      <w:color w:val="FFFFFF"/>
    </w:rPr>
  </w:style>
  <w:style w:type="character" w:styleId="FootnoteReference">
    <w:name w:val="footnote reference"/>
    <w:semiHidden/>
    <w:rsid w:val="00E35B79"/>
    <w:rPr>
      <w:rFonts w:cs="Times New Roman"/>
      <w:vertAlign w:val="superscript"/>
    </w:rPr>
  </w:style>
  <w:style w:type="paragraph" w:styleId="Header">
    <w:name w:val="header"/>
    <w:basedOn w:val="Normal"/>
    <w:link w:val="HeaderChar"/>
    <w:uiPriority w:val="99"/>
    <w:rsid w:val="00E35B79"/>
    <w:pPr>
      <w:tabs>
        <w:tab w:val="center" w:pos="4320"/>
        <w:tab w:val="right" w:pos="8640"/>
      </w:tabs>
    </w:pPr>
  </w:style>
  <w:style w:type="character" w:customStyle="1" w:styleId="HeaderChar">
    <w:name w:val="Header Char"/>
    <w:link w:val="Header"/>
    <w:uiPriority w:val="99"/>
    <w:rsid w:val="00410D08"/>
    <w:rPr>
      <w:sz w:val="24"/>
    </w:rPr>
  </w:style>
  <w:style w:type="paragraph" w:styleId="Footer">
    <w:name w:val="footer"/>
    <w:basedOn w:val="Normal"/>
    <w:link w:val="FooterChar"/>
    <w:uiPriority w:val="99"/>
    <w:rsid w:val="00E35B79"/>
    <w:pPr>
      <w:tabs>
        <w:tab w:val="center" w:pos="4320"/>
        <w:tab w:val="right" w:pos="8640"/>
      </w:tabs>
    </w:pPr>
  </w:style>
  <w:style w:type="character" w:customStyle="1" w:styleId="FooterChar">
    <w:name w:val="Footer Char"/>
    <w:link w:val="Footer"/>
    <w:uiPriority w:val="99"/>
    <w:rsid w:val="00410D08"/>
    <w:rPr>
      <w:sz w:val="24"/>
    </w:rPr>
  </w:style>
  <w:style w:type="character" w:styleId="PageNumber">
    <w:name w:val="page number"/>
    <w:rsid w:val="00E35B79"/>
    <w:rPr>
      <w:rFonts w:cs="Times New Roman"/>
    </w:rPr>
  </w:style>
  <w:style w:type="paragraph" w:styleId="Title">
    <w:name w:val="Title"/>
    <w:basedOn w:val="Normal"/>
    <w:link w:val="TitleChar"/>
    <w:qFormat/>
    <w:rsid w:val="00E35B79"/>
    <w:pPr>
      <w:tabs>
        <w:tab w:val="center" w:pos="5040"/>
      </w:tabs>
      <w:spacing w:after="240"/>
      <w:jc w:val="center"/>
    </w:pPr>
    <w:rPr>
      <w:rFonts w:ascii="Cambria" w:hAnsi="Cambria"/>
      <w:b/>
      <w:bCs/>
      <w:kern w:val="28"/>
      <w:sz w:val="32"/>
      <w:szCs w:val="32"/>
    </w:rPr>
  </w:style>
  <w:style w:type="character" w:customStyle="1" w:styleId="TitleChar">
    <w:name w:val="Title Char"/>
    <w:link w:val="Title"/>
    <w:uiPriority w:val="10"/>
    <w:rsid w:val="00410D08"/>
    <w:rPr>
      <w:rFonts w:ascii="Cambria" w:eastAsia="Times New Roman" w:hAnsi="Cambria" w:cs="Times New Roman"/>
      <w:b/>
      <w:bCs/>
      <w:kern w:val="28"/>
      <w:sz w:val="32"/>
      <w:szCs w:val="32"/>
    </w:rPr>
  </w:style>
  <w:style w:type="paragraph" w:styleId="BodyText">
    <w:name w:val="Body Text"/>
    <w:basedOn w:val="Normal"/>
    <w:link w:val="BodyTextChar"/>
    <w:uiPriority w:val="99"/>
    <w:rsid w:val="00E35B79"/>
    <w:pPr>
      <w:spacing w:after="240"/>
    </w:pPr>
    <w:rPr>
      <w:rFonts w:ascii="Arial" w:hAnsi="Arial" w:cs="Arial"/>
      <w:szCs w:val="24"/>
    </w:rPr>
  </w:style>
  <w:style w:type="character" w:customStyle="1" w:styleId="BodyTextChar">
    <w:name w:val="Body Text Char"/>
    <w:link w:val="BodyText"/>
    <w:uiPriority w:val="99"/>
    <w:locked/>
    <w:rsid w:val="00E35B79"/>
    <w:rPr>
      <w:rFonts w:ascii="Arial" w:hAnsi="Arial" w:cs="Arial"/>
      <w:sz w:val="24"/>
      <w:szCs w:val="24"/>
      <w:lang w:val="en-US" w:eastAsia="en-US" w:bidi="ar-SA"/>
    </w:rPr>
  </w:style>
  <w:style w:type="character" w:styleId="CommentReference">
    <w:name w:val="annotation reference"/>
    <w:uiPriority w:val="99"/>
    <w:rsid w:val="00E35B79"/>
    <w:rPr>
      <w:rFonts w:cs="Times New Roman"/>
      <w:sz w:val="16"/>
      <w:szCs w:val="16"/>
    </w:rPr>
  </w:style>
  <w:style w:type="paragraph" w:styleId="TOAHeading">
    <w:name w:val="toa heading"/>
    <w:basedOn w:val="Normal"/>
    <w:next w:val="Normal"/>
    <w:rsid w:val="00E35B79"/>
    <w:pPr>
      <w:tabs>
        <w:tab w:val="left" w:pos="9000"/>
        <w:tab w:val="right" w:pos="9360"/>
      </w:tabs>
      <w:suppressAutoHyphens/>
      <w:overflowPunct w:val="0"/>
      <w:autoSpaceDE w:val="0"/>
      <w:autoSpaceDN w:val="0"/>
      <w:adjustRightInd w:val="0"/>
      <w:spacing w:after="240"/>
      <w:textAlignment w:val="baseline"/>
    </w:pPr>
    <w:rPr>
      <w:rFonts w:ascii="Arial" w:hAnsi="Arial" w:cs="Arial"/>
      <w:b/>
    </w:rPr>
  </w:style>
  <w:style w:type="paragraph" w:styleId="CommentText">
    <w:name w:val="annotation text"/>
    <w:basedOn w:val="Normal"/>
    <w:link w:val="CommentTextChar"/>
    <w:uiPriority w:val="99"/>
    <w:rsid w:val="00E35B79"/>
  </w:style>
  <w:style w:type="character" w:customStyle="1" w:styleId="CommentTextChar">
    <w:name w:val="Comment Text Char"/>
    <w:link w:val="CommentText"/>
    <w:uiPriority w:val="99"/>
    <w:locked/>
    <w:rsid w:val="002362CE"/>
    <w:rPr>
      <w:rFonts w:cs="Times New Roman"/>
    </w:rPr>
  </w:style>
  <w:style w:type="paragraph" w:styleId="FootnoteText">
    <w:name w:val="footnote text"/>
    <w:basedOn w:val="Normal"/>
    <w:link w:val="FootnoteTextChar"/>
    <w:autoRedefine/>
    <w:rsid w:val="00D779CE"/>
    <w:pPr>
      <w:tabs>
        <w:tab w:val="left" w:pos="0"/>
      </w:tabs>
    </w:pPr>
  </w:style>
  <w:style w:type="character" w:customStyle="1" w:styleId="FootnoteTextChar">
    <w:name w:val="Footnote Text Char"/>
    <w:link w:val="FootnoteText"/>
    <w:locked/>
    <w:rsid w:val="00D779CE"/>
  </w:style>
  <w:style w:type="character" w:customStyle="1" w:styleId="CharChar">
    <w:name w:val="Char Char"/>
    <w:rsid w:val="00E35B79"/>
    <w:rPr>
      <w:rFonts w:cs="Times New Roman"/>
      <w:sz w:val="18"/>
      <w:szCs w:val="18"/>
    </w:rPr>
  </w:style>
  <w:style w:type="paragraph" w:customStyle="1" w:styleId="Bodytext-numbering">
    <w:name w:val="Body text - numbering"/>
    <w:basedOn w:val="Normal"/>
    <w:rsid w:val="00E35B79"/>
    <w:pPr>
      <w:ind w:left="720" w:hanging="360"/>
    </w:pPr>
    <w:rPr>
      <w:rFonts w:cs="Arial"/>
    </w:rPr>
  </w:style>
  <w:style w:type="paragraph" w:customStyle="1" w:styleId="TableText">
    <w:name w:val="Table Text"/>
    <w:rsid w:val="00E35B79"/>
    <w:pPr>
      <w:spacing w:before="20" w:after="20"/>
      <w:jc w:val="center"/>
    </w:pPr>
    <w:rPr>
      <w:rFonts w:ascii="Arial" w:hAnsi="Arial" w:cs="Arial"/>
    </w:rPr>
  </w:style>
  <w:style w:type="character" w:styleId="Hyperlink">
    <w:name w:val="Hyperlink"/>
    <w:uiPriority w:val="99"/>
    <w:rsid w:val="00E35B79"/>
    <w:rPr>
      <w:rFonts w:cs="Times New Roman"/>
      <w:color w:val="0000FF"/>
      <w:u w:val="single"/>
    </w:rPr>
  </w:style>
  <w:style w:type="paragraph" w:styleId="CommentSubject">
    <w:name w:val="annotation subject"/>
    <w:basedOn w:val="CommentText"/>
    <w:next w:val="CommentText"/>
    <w:link w:val="CommentSubjectChar"/>
    <w:uiPriority w:val="99"/>
    <w:rsid w:val="00E35B79"/>
    <w:rPr>
      <w:b/>
      <w:bCs/>
    </w:rPr>
  </w:style>
  <w:style w:type="character" w:customStyle="1" w:styleId="CommentSubjectChar">
    <w:name w:val="Comment Subject Char"/>
    <w:link w:val="CommentSubject"/>
    <w:uiPriority w:val="99"/>
    <w:locked/>
    <w:rsid w:val="002362CE"/>
    <w:rPr>
      <w:rFonts w:cs="Times New Roman"/>
      <w:b/>
      <w:bCs/>
    </w:rPr>
  </w:style>
  <w:style w:type="paragraph" w:styleId="TOC6">
    <w:name w:val="toc 6"/>
    <w:basedOn w:val="Normal"/>
    <w:next w:val="Normal"/>
    <w:autoRedefine/>
    <w:uiPriority w:val="39"/>
    <w:rsid w:val="00E35B79"/>
    <w:pPr>
      <w:widowControl w:val="0"/>
      <w:tabs>
        <w:tab w:val="left" w:pos="-720"/>
        <w:tab w:val="left" w:pos="0"/>
        <w:tab w:val="right" w:pos="9360"/>
      </w:tabs>
      <w:suppressAutoHyphens/>
      <w:overflowPunct w:val="0"/>
      <w:autoSpaceDE w:val="0"/>
      <w:autoSpaceDN w:val="0"/>
      <w:adjustRightInd w:val="0"/>
      <w:jc w:val="both"/>
      <w:textAlignment w:val="baseline"/>
    </w:pPr>
  </w:style>
  <w:style w:type="paragraph" w:styleId="TOC1">
    <w:name w:val="toc 1"/>
    <w:basedOn w:val="Normal"/>
    <w:next w:val="Normal"/>
    <w:autoRedefine/>
    <w:uiPriority w:val="39"/>
    <w:qFormat/>
    <w:rsid w:val="004A5527"/>
    <w:pPr>
      <w:tabs>
        <w:tab w:val="left" w:pos="90"/>
        <w:tab w:val="left" w:pos="540"/>
        <w:tab w:val="right" w:leader="dot" w:pos="10080"/>
      </w:tabs>
    </w:pPr>
    <w:rPr>
      <w:noProof/>
    </w:rPr>
  </w:style>
  <w:style w:type="paragraph" w:styleId="TOC2">
    <w:name w:val="toc 2"/>
    <w:basedOn w:val="Normal"/>
    <w:next w:val="Normal"/>
    <w:autoRedefine/>
    <w:uiPriority w:val="39"/>
    <w:qFormat/>
    <w:rsid w:val="002A2128"/>
    <w:pPr>
      <w:tabs>
        <w:tab w:val="left" w:pos="990"/>
        <w:tab w:val="right" w:leader="dot" w:pos="10080"/>
      </w:tabs>
      <w:ind w:left="993" w:right="29" w:hanging="446"/>
    </w:pPr>
    <w:rPr>
      <w:noProof/>
      <w:szCs w:val="24"/>
    </w:rPr>
  </w:style>
  <w:style w:type="paragraph" w:styleId="TOC3">
    <w:name w:val="toc 3"/>
    <w:basedOn w:val="Normal"/>
    <w:next w:val="Normal"/>
    <w:autoRedefine/>
    <w:uiPriority w:val="39"/>
    <w:qFormat/>
    <w:rsid w:val="002F62D3"/>
    <w:pPr>
      <w:tabs>
        <w:tab w:val="left" w:pos="1080"/>
        <w:tab w:val="left" w:pos="1350"/>
        <w:tab w:val="right" w:leader="dot" w:pos="10080"/>
      </w:tabs>
      <w:ind w:left="1354" w:hanging="360"/>
    </w:pPr>
    <w:rPr>
      <w:noProof/>
      <w:szCs w:val="24"/>
    </w:rPr>
  </w:style>
  <w:style w:type="paragraph" w:styleId="TOC4">
    <w:name w:val="toc 4"/>
    <w:basedOn w:val="Normal"/>
    <w:next w:val="Normal"/>
    <w:autoRedefine/>
    <w:uiPriority w:val="39"/>
    <w:rsid w:val="00E35B79"/>
    <w:pPr>
      <w:ind w:left="1325" w:hanging="720"/>
    </w:pPr>
    <w:rPr>
      <w:rFonts w:ascii="ar" w:hAnsi="ar"/>
    </w:rPr>
  </w:style>
  <w:style w:type="paragraph" w:styleId="TOC5">
    <w:name w:val="toc 5"/>
    <w:basedOn w:val="Normal"/>
    <w:next w:val="Normal"/>
    <w:autoRedefine/>
    <w:uiPriority w:val="39"/>
    <w:rsid w:val="00E35B79"/>
    <w:pPr>
      <w:ind w:left="800"/>
    </w:pPr>
  </w:style>
  <w:style w:type="paragraph" w:styleId="TOC7">
    <w:name w:val="toc 7"/>
    <w:basedOn w:val="Normal"/>
    <w:next w:val="Normal"/>
    <w:autoRedefine/>
    <w:uiPriority w:val="39"/>
    <w:rsid w:val="00E35B79"/>
    <w:pPr>
      <w:ind w:left="1200"/>
    </w:pPr>
  </w:style>
  <w:style w:type="paragraph" w:styleId="TOC8">
    <w:name w:val="toc 8"/>
    <w:basedOn w:val="Normal"/>
    <w:next w:val="Normal"/>
    <w:autoRedefine/>
    <w:uiPriority w:val="39"/>
    <w:rsid w:val="00E35B79"/>
    <w:pPr>
      <w:ind w:left="1400"/>
    </w:pPr>
  </w:style>
  <w:style w:type="paragraph" w:styleId="TOC9">
    <w:name w:val="toc 9"/>
    <w:basedOn w:val="Normal"/>
    <w:next w:val="Normal"/>
    <w:autoRedefine/>
    <w:uiPriority w:val="39"/>
    <w:rsid w:val="00E35B79"/>
    <w:pPr>
      <w:ind w:left="1600"/>
    </w:pPr>
  </w:style>
  <w:style w:type="paragraph" w:styleId="Subtitle">
    <w:name w:val="Subtitle"/>
    <w:basedOn w:val="Normal"/>
    <w:link w:val="SubtitleChar"/>
    <w:uiPriority w:val="11"/>
    <w:qFormat/>
    <w:rsid w:val="00E35B79"/>
    <w:pPr>
      <w:tabs>
        <w:tab w:val="center" w:pos="5040"/>
      </w:tabs>
      <w:jc w:val="center"/>
      <w:outlineLvl w:val="0"/>
    </w:pPr>
    <w:rPr>
      <w:rFonts w:ascii="Cambria" w:hAnsi="Cambria"/>
      <w:szCs w:val="24"/>
    </w:rPr>
  </w:style>
  <w:style w:type="character" w:customStyle="1" w:styleId="SubtitleChar">
    <w:name w:val="Subtitle Char"/>
    <w:link w:val="Subtitle"/>
    <w:uiPriority w:val="11"/>
    <w:rsid w:val="00410D08"/>
    <w:rPr>
      <w:rFonts w:ascii="Cambria" w:eastAsia="Times New Roman" w:hAnsi="Cambria" w:cs="Times New Roman"/>
      <w:sz w:val="24"/>
      <w:szCs w:val="24"/>
    </w:rPr>
  </w:style>
  <w:style w:type="paragraph" w:customStyle="1" w:styleId="Bodytext-subnumber">
    <w:name w:val="Body text - sub number"/>
    <w:basedOn w:val="Bodytext-numbering"/>
    <w:rsid w:val="00E35B79"/>
    <w:pPr>
      <w:tabs>
        <w:tab w:val="left" w:pos="1080"/>
      </w:tabs>
      <w:ind w:left="1080"/>
    </w:pPr>
  </w:style>
  <w:style w:type="paragraph" w:customStyle="1" w:styleId="paratextindented">
    <w:name w:val="para_text_indented"/>
    <w:rsid w:val="00E35B79"/>
    <w:pPr>
      <w:spacing w:after="240"/>
      <w:ind w:left="360"/>
    </w:pPr>
    <w:rPr>
      <w:rFonts w:ascii="Arial" w:hAnsi="Arial" w:cs="Arial"/>
      <w:sz w:val="24"/>
    </w:rPr>
  </w:style>
  <w:style w:type="paragraph" w:customStyle="1" w:styleId="textbox-example">
    <w:name w:val="text box - example"/>
    <w:basedOn w:val="Normal"/>
    <w:rsid w:val="00E35B79"/>
    <w:pPr>
      <w:pBdr>
        <w:top w:val="single" w:sz="4" w:space="1" w:color="auto"/>
        <w:left w:val="single" w:sz="4" w:space="4" w:color="auto"/>
        <w:bottom w:val="single" w:sz="4" w:space="1" w:color="auto"/>
        <w:right w:val="single" w:sz="4" w:space="4" w:color="auto"/>
      </w:pBdr>
      <w:shd w:val="clear" w:color="auto" w:fill="E6E6E6"/>
    </w:pPr>
    <w:rPr>
      <w:b/>
      <w:bCs/>
      <w:i/>
      <w:iCs/>
      <w:spacing w:val="-2"/>
    </w:rPr>
  </w:style>
  <w:style w:type="paragraph" w:customStyle="1" w:styleId="textbox-bulletexample">
    <w:name w:val="text box - bullet example"/>
    <w:basedOn w:val="textbox-example"/>
    <w:rsid w:val="00E35B79"/>
    <w:rPr>
      <w:spacing w:val="-3"/>
    </w:rPr>
  </w:style>
  <w:style w:type="paragraph" w:customStyle="1" w:styleId="TableHeader">
    <w:name w:val="Table Header"/>
    <w:basedOn w:val="Normal"/>
    <w:rsid w:val="00E35B79"/>
    <w:rPr>
      <w:rFonts w:cs="Arial"/>
      <w:b/>
      <w:bCs/>
    </w:rPr>
  </w:style>
  <w:style w:type="paragraph" w:customStyle="1" w:styleId="Bodytext-numbering2">
    <w:name w:val="Body text - numbering 2"/>
    <w:basedOn w:val="Bodytext-numbering"/>
    <w:rsid w:val="00E35B79"/>
    <w:pPr>
      <w:tabs>
        <w:tab w:val="left" w:pos="1440"/>
      </w:tabs>
      <w:ind w:left="1440"/>
    </w:pPr>
  </w:style>
  <w:style w:type="paragraph" w:customStyle="1" w:styleId="bulletss">
    <w:name w:val="bullet_ss"/>
    <w:rsid w:val="00E35B79"/>
    <w:pPr>
      <w:numPr>
        <w:numId w:val="1"/>
      </w:numPr>
      <w:ind w:left="1440"/>
    </w:pPr>
    <w:rPr>
      <w:sz w:val="24"/>
      <w:szCs w:val="24"/>
    </w:rPr>
  </w:style>
  <w:style w:type="paragraph" w:customStyle="1" w:styleId="TableHeadings">
    <w:name w:val="Table Headings"/>
    <w:basedOn w:val="Normal"/>
    <w:rsid w:val="00E35B79"/>
    <w:pPr>
      <w:tabs>
        <w:tab w:val="left" w:pos="360"/>
        <w:tab w:val="left" w:pos="720"/>
        <w:tab w:val="left" w:pos="1080"/>
        <w:tab w:val="left" w:pos="1440"/>
        <w:tab w:val="left" w:pos="2160"/>
      </w:tabs>
      <w:spacing w:before="120"/>
    </w:pPr>
    <w:rPr>
      <w:rFonts w:ascii="Times New Roman Bold" w:hAnsi="Times New Roman Bold"/>
      <w:sz w:val="22"/>
    </w:rPr>
  </w:style>
  <w:style w:type="character" w:customStyle="1" w:styleId="Bodytext-numberingChar">
    <w:name w:val="Body text - numbering Char"/>
    <w:rsid w:val="00E35B79"/>
    <w:rPr>
      <w:rFonts w:cs="Arial"/>
      <w:sz w:val="24"/>
      <w:lang w:val="en-US" w:eastAsia="en-US" w:bidi="ar-SA"/>
    </w:rPr>
  </w:style>
  <w:style w:type="character" w:customStyle="1" w:styleId="content1">
    <w:name w:val="content1"/>
    <w:rsid w:val="00E35B79"/>
    <w:rPr>
      <w:rFonts w:ascii="Arial" w:hAnsi="Arial" w:cs="Arial"/>
      <w:color w:val="000000"/>
      <w:sz w:val="17"/>
      <w:szCs w:val="17"/>
    </w:rPr>
  </w:style>
  <w:style w:type="character" w:styleId="FollowedHyperlink">
    <w:name w:val="FollowedHyperlink"/>
    <w:uiPriority w:val="99"/>
    <w:rsid w:val="00E35B79"/>
    <w:rPr>
      <w:rFonts w:cs="Times New Roman"/>
      <w:color w:val="800080"/>
      <w:u w:val="single"/>
    </w:rPr>
  </w:style>
  <w:style w:type="paragraph" w:styleId="Caption">
    <w:name w:val="caption"/>
    <w:basedOn w:val="Normal"/>
    <w:next w:val="Normal"/>
    <w:qFormat/>
    <w:rsid w:val="00E35B79"/>
    <w:rPr>
      <w:b/>
      <w:bCs/>
    </w:rPr>
  </w:style>
  <w:style w:type="paragraph" w:styleId="TableofFigures">
    <w:name w:val="table of figures"/>
    <w:basedOn w:val="Normal"/>
    <w:next w:val="Normal"/>
    <w:uiPriority w:val="99"/>
    <w:rsid w:val="00E35B79"/>
    <w:pPr>
      <w:ind w:left="1224" w:right="576" w:hanging="1224"/>
    </w:pPr>
    <w:rPr>
      <w:szCs w:val="24"/>
    </w:rPr>
  </w:style>
  <w:style w:type="paragraph" w:customStyle="1" w:styleId="bullet1">
    <w:name w:val="bullet1"/>
    <w:rsid w:val="00E35B79"/>
    <w:pPr>
      <w:numPr>
        <w:numId w:val="2"/>
      </w:numPr>
      <w:tabs>
        <w:tab w:val="clear" w:pos="720"/>
        <w:tab w:val="num" w:pos="1890"/>
      </w:tabs>
      <w:spacing w:after="240"/>
      <w:ind w:left="1890"/>
    </w:pPr>
    <w:rPr>
      <w:rFonts w:ascii="Arial" w:hAnsi="Arial" w:cs="Arial"/>
      <w:sz w:val="24"/>
      <w:szCs w:val="24"/>
    </w:rPr>
  </w:style>
  <w:style w:type="paragraph" w:customStyle="1" w:styleId="BulletsDash">
    <w:name w:val="Bullets_Dash"/>
    <w:rsid w:val="00E35B79"/>
    <w:pPr>
      <w:tabs>
        <w:tab w:val="num" w:pos="2160"/>
      </w:tabs>
      <w:spacing w:after="240"/>
      <w:ind w:left="2160" w:hanging="360"/>
    </w:pPr>
    <w:rPr>
      <w:sz w:val="24"/>
    </w:rPr>
  </w:style>
  <w:style w:type="paragraph" w:customStyle="1" w:styleId="H-indent2525">
    <w:name w:val="H-indent .25/.25"/>
    <w:basedOn w:val="Normal"/>
    <w:rsid w:val="00E35B79"/>
    <w:pPr>
      <w:tabs>
        <w:tab w:val="left" w:pos="720"/>
      </w:tabs>
      <w:spacing w:after="240"/>
      <w:ind w:left="720" w:hanging="360"/>
    </w:pPr>
    <w:rPr>
      <w:rFonts w:ascii="Arial" w:hAnsi="Arial" w:cs="Arial"/>
      <w:bCs/>
      <w:spacing w:val="-3"/>
      <w:szCs w:val="24"/>
    </w:rPr>
  </w:style>
  <w:style w:type="paragraph" w:customStyle="1" w:styleId="H-indent5025">
    <w:name w:val="H-indent .50/.25"/>
    <w:uiPriority w:val="99"/>
    <w:rsid w:val="00E35B79"/>
    <w:pPr>
      <w:tabs>
        <w:tab w:val="left" w:pos="1080"/>
      </w:tabs>
      <w:spacing w:after="240"/>
      <w:ind w:left="1080" w:hanging="360"/>
    </w:pPr>
    <w:rPr>
      <w:rFonts w:ascii="Arial" w:hAnsi="Arial" w:cs="Arial"/>
      <w:sz w:val="24"/>
      <w:szCs w:val="24"/>
    </w:rPr>
  </w:style>
  <w:style w:type="paragraph" w:customStyle="1" w:styleId="H-indent7525">
    <w:name w:val="H-indent .75/.25"/>
    <w:rsid w:val="00E35B79"/>
    <w:pPr>
      <w:spacing w:after="240"/>
      <w:ind w:left="1440" w:hanging="360"/>
    </w:pPr>
    <w:rPr>
      <w:sz w:val="24"/>
      <w:szCs w:val="24"/>
    </w:rPr>
  </w:style>
  <w:style w:type="paragraph" w:customStyle="1" w:styleId="H-indent1025">
    <w:name w:val="H-indent 1.0/.25"/>
    <w:rsid w:val="00E35B79"/>
    <w:pPr>
      <w:tabs>
        <w:tab w:val="left" w:pos="1800"/>
      </w:tabs>
      <w:spacing w:after="240"/>
      <w:ind w:left="1800" w:hanging="360"/>
    </w:pPr>
    <w:rPr>
      <w:sz w:val="24"/>
      <w:szCs w:val="24"/>
    </w:rPr>
  </w:style>
  <w:style w:type="paragraph" w:customStyle="1" w:styleId="Indent75">
    <w:name w:val="Indent .75"/>
    <w:rsid w:val="00E35B79"/>
    <w:pPr>
      <w:spacing w:after="240"/>
      <w:ind w:left="1080"/>
    </w:pPr>
    <w:rPr>
      <w:sz w:val="24"/>
      <w:szCs w:val="24"/>
    </w:rPr>
  </w:style>
  <w:style w:type="paragraph" w:customStyle="1" w:styleId="Indent10">
    <w:name w:val="Indent 1.0"/>
    <w:rsid w:val="00E35B79"/>
    <w:pPr>
      <w:spacing w:after="240"/>
      <w:ind w:left="1440"/>
    </w:pPr>
    <w:rPr>
      <w:sz w:val="24"/>
      <w:szCs w:val="24"/>
    </w:rPr>
  </w:style>
  <w:style w:type="paragraph" w:customStyle="1" w:styleId="Indent125">
    <w:name w:val="Indent 1.25"/>
    <w:basedOn w:val="Normal"/>
    <w:rsid w:val="00E35B79"/>
    <w:pPr>
      <w:ind w:left="720"/>
    </w:pPr>
  </w:style>
  <w:style w:type="paragraph" w:styleId="DocumentMap">
    <w:name w:val="Document Map"/>
    <w:basedOn w:val="Normal"/>
    <w:link w:val="DocumentMapChar"/>
    <w:uiPriority w:val="99"/>
    <w:rsid w:val="00E35B79"/>
    <w:pPr>
      <w:shd w:val="clear" w:color="auto" w:fill="000080"/>
    </w:pPr>
    <w:rPr>
      <w:sz w:val="0"/>
      <w:szCs w:val="0"/>
    </w:rPr>
  </w:style>
  <w:style w:type="character" w:customStyle="1" w:styleId="DocumentMapChar">
    <w:name w:val="Document Map Char"/>
    <w:link w:val="DocumentMap"/>
    <w:uiPriority w:val="99"/>
    <w:rsid w:val="00410D08"/>
    <w:rPr>
      <w:sz w:val="0"/>
      <w:szCs w:val="0"/>
    </w:rPr>
  </w:style>
  <w:style w:type="paragraph" w:customStyle="1" w:styleId="TableHeader1">
    <w:name w:val="Table Header1"/>
    <w:basedOn w:val="Normal"/>
    <w:uiPriority w:val="99"/>
    <w:rsid w:val="00E35B79"/>
    <w:pPr>
      <w:keepNext/>
      <w:shd w:val="clear" w:color="auto" w:fill="FFFFFF"/>
    </w:pPr>
    <w:rPr>
      <w:rFonts w:ascii="Arial" w:hAnsi="Arial" w:cs="Arial"/>
      <w:b/>
    </w:rPr>
  </w:style>
  <w:style w:type="paragraph" w:customStyle="1" w:styleId="TableHeader2">
    <w:name w:val="Table Header2"/>
    <w:basedOn w:val="Normal"/>
    <w:uiPriority w:val="99"/>
    <w:rsid w:val="00E35B79"/>
    <w:rPr>
      <w:rFonts w:ascii="Arial" w:hAnsi="Arial" w:cs="Arial"/>
      <w:b/>
      <w:bCs/>
    </w:rPr>
  </w:style>
  <w:style w:type="paragraph" w:styleId="EndnoteText">
    <w:name w:val="endnote text"/>
    <w:basedOn w:val="Normal"/>
    <w:link w:val="EndnoteTextChar"/>
    <w:rsid w:val="00E35B79"/>
    <w:pPr>
      <w:widowControl w:val="0"/>
    </w:pPr>
    <w:rPr>
      <w:rFonts w:ascii="Courier" w:hAnsi="Courier"/>
    </w:rPr>
  </w:style>
  <w:style w:type="character" w:customStyle="1" w:styleId="EndnoteTextChar">
    <w:name w:val="Endnote Text Char"/>
    <w:basedOn w:val="DefaultParagraphFont"/>
    <w:link w:val="EndnoteText"/>
    <w:rsid w:val="00410D08"/>
  </w:style>
  <w:style w:type="paragraph" w:customStyle="1" w:styleId="Heading1-D">
    <w:name w:val="Heading 1-D"/>
    <w:basedOn w:val="Heading1"/>
    <w:next w:val="Heading2-D"/>
    <w:rsid w:val="00E35B79"/>
  </w:style>
  <w:style w:type="paragraph" w:customStyle="1" w:styleId="Heading2-D">
    <w:name w:val="Heading 2-D"/>
    <w:basedOn w:val="Heading2"/>
    <w:rsid w:val="00E35B79"/>
  </w:style>
  <w:style w:type="paragraph" w:customStyle="1" w:styleId="Heading1-A">
    <w:name w:val="Heading 1-A"/>
    <w:basedOn w:val="Heading1"/>
    <w:rsid w:val="00E35B79"/>
    <w:pPr>
      <w:ind w:hanging="360"/>
    </w:pPr>
  </w:style>
  <w:style w:type="paragraph" w:customStyle="1" w:styleId="Heading1-B">
    <w:name w:val="Heading 1-B"/>
    <w:basedOn w:val="Heading1"/>
    <w:rsid w:val="00E35B79"/>
    <w:pPr>
      <w:ind w:hanging="360"/>
    </w:pPr>
  </w:style>
  <w:style w:type="paragraph" w:customStyle="1" w:styleId="Heading1-C">
    <w:name w:val="Heading 1-C"/>
    <w:basedOn w:val="Heading1"/>
    <w:rsid w:val="00E35B79"/>
    <w:pPr>
      <w:ind w:left="360" w:hanging="360"/>
    </w:pPr>
  </w:style>
  <w:style w:type="paragraph" w:customStyle="1" w:styleId="Heading1-E">
    <w:name w:val="Heading 1-E"/>
    <w:basedOn w:val="Heading1"/>
    <w:rsid w:val="00E35B79"/>
  </w:style>
  <w:style w:type="paragraph" w:customStyle="1" w:styleId="Heading1-F">
    <w:name w:val="Heading 1-F"/>
    <w:basedOn w:val="Heading1"/>
    <w:rsid w:val="00E35B79"/>
    <w:rPr>
      <w:lang w:val="en-CA"/>
    </w:rPr>
  </w:style>
  <w:style w:type="paragraph" w:customStyle="1" w:styleId="Heading2-E">
    <w:name w:val="Heading 2-E"/>
    <w:basedOn w:val="Heading2"/>
    <w:rsid w:val="00E35B79"/>
  </w:style>
  <w:style w:type="paragraph" w:customStyle="1" w:styleId="Heading2-F">
    <w:name w:val="Heading 2-F"/>
    <w:basedOn w:val="Heading2"/>
    <w:rsid w:val="00E35B79"/>
    <w:pPr>
      <w:tabs>
        <w:tab w:val="clear" w:pos="720"/>
      </w:tabs>
      <w:ind w:left="360" w:firstLine="0"/>
    </w:pPr>
  </w:style>
  <w:style w:type="paragraph" w:customStyle="1" w:styleId="Heading3-E">
    <w:name w:val="Heading 3-E"/>
    <w:basedOn w:val="Heading3"/>
    <w:rsid w:val="00E35B79"/>
    <w:pPr>
      <w:tabs>
        <w:tab w:val="left" w:pos="6840"/>
      </w:tabs>
    </w:pPr>
    <w:rPr>
      <w:bCs/>
      <w:szCs w:val="24"/>
    </w:rPr>
  </w:style>
  <w:style w:type="paragraph" w:customStyle="1" w:styleId="Heading3-F">
    <w:name w:val="Heading 3-F"/>
    <w:basedOn w:val="Heading3"/>
    <w:rsid w:val="002C30DF"/>
    <w:pPr>
      <w:tabs>
        <w:tab w:val="left" w:pos="6840"/>
      </w:tabs>
      <w:ind w:left="720" w:firstLine="0"/>
    </w:pPr>
    <w:rPr>
      <w:rFonts w:ascii="Times New Roman" w:hAnsi="Times New Roman"/>
      <w:bCs/>
      <w:szCs w:val="24"/>
    </w:rPr>
  </w:style>
  <w:style w:type="paragraph" w:customStyle="1" w:styleId="H-indent12525">
    <w:name w:val="H-indent 1.25/.25"/>
    <w:rsid w:val="00E35B79"/>
    <w:pPr>
      <w:spacing w:after="240"/>
      <w:ind w:left="2160" w:hanging="360"/>
    </w:pPr>
    <w:rPr>
      <w:sz w:val="24"/>
      <w:szCs w:val="24"/>
    </w:rPr>
  </w:style>
  <w:style w:type="paragraph" w:customStyle="1" w:styleId="Indent50">
    <w:name w:val="Indent .50"/>
    <w:basedOn w:val="H-indent2525"/>
    <w:rsid w:val="00E35B79"/>
    <w:pPr>
      <w:tabs>
        <w:tab w:val="clear" w:pos="720"/>
      </w:tabs>
      <w:ind w:firstLine="0"/>
    </w:pPr>
    <w:rPr>
      <w:rFonts w:ascii="Times New Roman" w:hAnsi="Times New Roman" w:cs="Times New Roman"/>
    </w:rPr>
  </w:style>
  <w:style w:type="paragraph" w:customStyle="1" w:styleId="Indent15">
    <w:name w:val="Indent 1.5"/>
    <w:rsid w:val="00E35B79"/>
    <w:pPr>
      <w:spacing w:after="240"/>
      <w:ind w:left="2160"/>
    </w:pPr>
    <w:rPr>
      <w:sz w:val="24"/>
      <w:szCs w:val="24"/>
    </w:rPr>
  </w:style>
  <w:style w:type="paragraph" w:customStyle="1" w:styleId="Paratext">
    <w:name w:val="Para_text"/>
    <w:rsid w:val="00E35B79"/>
    <w:pPr>
      <w:spacing w:after="240"/>
    </w:pPr>
    <w:rPr>
      <w:sz w:val="24"/>
      <w:szCs w:val="24"/>
    </w:rPr>
  </w:style>
  <w:style w:type="paragraph" w:customStyle="1" w:styleId="TableFootnotes">
    <w:name w:val="Table_Footnotes"/>
    <w:rsid w:val="00E35B79"/>
    <w:pPr>
      <w:spacing w:before="60" w:after="60"/>
    </w:pPr>
    <w:rPr>
      <w:rFonts w:ascii="Arial" w:hAnsi="Arial" w:cs="Arial"/>
      <w:iCs/>
      <w:sz w:val="18"/>
      <w:szCs w:val="18"/>
    </w:rPr>
  </w:style>
  <w:style w:type="paragraph" w:customStyle="1" w:styleId="TableHeader1F">
    <w:name w:val="Table Header1F"/>
    <w:basedOn w:val="Normal"/>
    <w:rsid w:val="00E35B79"/>
    <w:pPr>
      <w:shd w:val="clear" w:color="auto" w:fill="FFFFFF"/>
    </w:pPr>
    <w:rPr>
      <w:rFonts w:ascii="Arial" w:hAnsi="Arial" w:cs="Arial"/>
      <w:b/>
    </w:rPr>
  </w:style>
  <w:style w:type="paragraph" w:customStyle="1" w:styleId="TableHeader1E">
    <w:name w:val="Table Header1E"/>
    <w:basedOn w:val="TableHeader1"/>
    <w:rsid w:val="00E35B79"/>
  </w:style>
  <w:style w:type="paragraph" w:customStyle="1" w:styleId="TitleCover">
    <w:name w:val="Title_Cover"/>
    <w:rsid w:val="00E35B79"/>
    <w:pPr>
      <w:jc w:val="center"/>
    </w:pPr>
    <w:rPr>
      <w:rFonts w:ascii="Arial" w:hAnsi="Arial"/>
      <w:b/>
      <w:sz w:val="24"/>
    </w:rPr>
  </w:style>
  <w:style w:type="paragraph" w:customStyle="1" w:styleId="AttachmentHeading">
    <w:name w:val="Attachment Heading"/>
    <w:rsid w:val="00E35B79"/>
    <w:pPr>
      <w:spacing w:after="240"/>
    </w:pPr>
    <w:rPr>
      <w:rFonts w:ascii="Arial Bold" w:hAnsi="Arial Bold"/>
      <w:b/>
      <w:bCs/>
      <w:caps/>
      <w:sz w:val="24"/>
    </w:rPr>
  </w:style>
  <w:style w:type="paragraph" w:customStyle="1" w:styleId="Heading1APX-E">
    <w:name w:val="Heading 1_APX-E"/>
    <w:rsid w:val="00E35B79"/>
    <w:pPr>
      <w:keepNext/>
      <w:tabs>
        <w:tab w:val="left" w:pos="360"/>
      </w:tabs>
      <w:spacing w:after="240"/>
    </w:pPr>
    <w:rPr>
      <w:rFonts w:ascii="Arial" w:hAnsi="Arial" w:cs="Arial"/>
      <w:b/>
      <w:bCs/>
      <w:sz w:val="24"/>
      <w:szCs w:val="24"/>
    </w:rPr>
  </w:style>
  <w:style w:type="paragraph" w:customStyle="1" w:styleId="Default">
    <w:name w:val="Default"/>
    <w:rsid w:val="00E35B79"/>
    <w:pPr>
      <w:autoSpaceDE w:val="0"/>
      <w:autoSpaceDN w:val="0"/>
      <w:adjustRightInd w:val="0"/>
    </w:pPr>
    <w:rPr>
      <w:color w:val="000000"/>
      <w:sz w:val="24"/>
      <w:szCs w:val="24"/>
    </w:rPr>
  </w:style>
  <w:style w:type="paragraph" w:customStyle="1" w:styleId="TableTitle">
    <w:name w:val="Table Title"/>
    <w:basedOn w:val="Normal"/>
    <w:rsid w:val="00E35B79"/>
    <w:pPr>
      <w:tabs>
        <w:tab w:val="left" w:pos="360"/>
        <w:tab w:val="left" w:pos="720"/>
        <w:tab w:val="left" w:pos="1080"/>
        <w:tab w:val="left" w:pos="1440"/>
        <w:tab w:val="left" w:pos="2160"/>
      </w:tabs>
      <w:spacing w:before="200" w:after="240"/>
      <w:ind w:left="720"/>
      <w:jc w:val="center"/>
    </w:pPr>
    <w:rPr>
      <w:rFonts w:ascii="Times New Roman Bold" w:hAnsi="Times New Roman Bold"/>
      <w:b/>
      <w:sz w:val="22"/>
    </w:rPr>
  </w:style>
  <w:style w:type="paragraph" w:customStyle="1" w:styleId="blankspacesaftertables">
    <w:name w:val="blank spaces after tables"/>
    <w:rsid w:val="00E35B79"/>
    <w:rPr>
      <w:bCs/>
      <w:sz w:val="24"/>
    </w:rPr>
  </w:style>
  <w:style w:type="paragraph" w:customStyle="1" w:styleId="TitleAPX-E">
    <w:name w:val="Title_APX-E"/>
    <w:rsid w:val="00E35B79"/>
    <w:pPr>
      <w:spacing w:after="240"/>
      <w:jc w:val="center"/>
    </w:pPr>
    <w:rPr>
      <w:rFonts w:ascii="Times New Roman Bold" w:hAnsi="Times New Roman Bold"/>
      <w:b/>
      <w:caps/>
      <w:sz w:val="24"/>
    </w:rPr>
  </w:style>
  <w:style w:type="paragraph" w:styleId="BodyTextIndent">
    <w:name w:val="Body Text Indent"/>
    <w:basedOn w:val="Normal"/>
    <w:link w:val="BodyTextIndentChar"/>
    <w:uiPriority w:val="99"/>
    <w:rsid w:val="00E35B79"/>
    <w:pPr>
      <w:spacing w:after="120"/>
      <w:ind w:left="360"/>
    </w:pPr>
  </w:style>
  <w:style w:type="character" w:customStyle="1" w:styleId="BodyTextIndentChar">
    <w:name w:val="Body Text Indent Char"/>
    <w:link w:val="BodyTextIndent"/>
    <w:uiPriority w:val="99"/>
    <w:locked/>
    <w:rsid w:val="00E35B79"/>
    <w:rPr>
      <w:rFonts w:cs="Times New Roman"/>
      <w:sz w:val="24"/>
      <w:lang w:val="en-US" w:eastAsia="en-US" w:bidi="ar-SA"/>
    </w:rPr>
  </w:style>
  <w:style w:type="paragraph" w:styleId="BalloonText">
    <w:name w:val="Balloon Text"/>
    <w:basedOn w:val="Normal"/>
    <w:link w:val="BalloonTextChar"/>
    <w:uiPriority w:val="99"/>
    <w:rsid w:val="00E35B79"/>
    <w:rPr>
      <w:rFonts w:ascii="Tahoma" w:hAnsi="Tahoma"/>
      <w:sz w:val="16"/>
      <w:szCs w:val="16"/>
    </w:rPr>
  </w:style>
  <w:style w:type="character" w:customStyle="1" w:styleId="BalloonTextChar">
    <w:name w:val="Balloon Text Char"/>
    <w:link w:val="BalloonText"/>
    <w:uiPriority w:val="99"/>
    <w:locked/>
    <w:rsid w:val="002362CE"/>
    <w:rPr>
      <w:rFonts w:ascii="Tahoma" w:hAnsi="Tahoma" w:cs="Tahoma"/>
      <w:sz w:val="16"/>
      <w:szCs w:val="16"/>
    </w:rPr>
  </w:style>
  <w:style w:type="paragraph" w:customStyle="1" w:styleId="NORMALFORTABLE">
    <w:name w:val="NORMALFORTABLE"/>
    <w:basedOn w:val="Normal"/>
    <w:rsid w:val="00E35B79"/>
    <w:pPr>
      <w:tabs>
        <w:tab w:val="left" w:pos="720"/>
        <w:tab w:val="left" w:pos="1440"/>
      </w:tabs>
      <w:spacing w:after="240"/>
    </w:pPr>
    <w:rPr>
      <w:b/>
      <w:sz w:val="22"/>
    </w:rPr>
  </w:style>
  <w:style w:type="paragraph" w:styleId="PlainText">
    <w:name w:val="Plain Text"/>
    <w:basedOn w:val="Normal"/>
    <w:link w:val="PlainTextChar"/>
    <w:uiPriority w:val="99"/>
    <w:rsid w:val="00E35B79"/>
    <w:pPr>
      <w:overflowPunct w:val="0"/>
      <w:autoSpaceDE w:val="0"/>
      <w:autoSpaceDN w:val="0"/>
      <w:adjustRightInd w:val="0"/>
      <w:textAlignment w:val="baseline"/>
    </w:pPr>
    <w:rPr>
      <w:rFonts w:ascii="Courier New" w:hAnsi="Courier New"/>
    </w:rPr>
  </w:style>
  <w:style w:type="character" w:customStyle="1" w:styleId="PlainTextChar">
    <w:name w:val="Plain Text Char"/>
    <w:link w:val="PlainText"/>
    <w:uiPriority w:val="99"/>
    <w:locked/>
    <w:rsid w:val="002362CE"/>
    <w:rPr>
      <w:rFonts w:ascii="Courier New" w:hAnsi="Courier New" w:cs="Times New Roman"/>
    </w:rPr>
  </w:style>
  <w:style w:type="paragraph" w:styleId="List">
    <w:name w:val="List"/>
    <w:basedOn w:val="Normal"/>
    <w:uiPriority w:val="99"/>
    <w:rsid w:val="00E35B79"/>
    <w:pPr>
      <w:numPr>
        <w:numId w:val="3"/>
      </w:numPr>
      <w:spacing w:after="120"/>
    </w:pPr>
  </w:style>
  <w:style w:type="paragraph" w:customStyle="1" w:styleId="Numbers2">
    <w:name w:val="Numbers 2"/>
    <w:basedOn w:val="Normal"/>
    <w:rsid w:val="00E35B79"/>
    <w:pPr>
      <w:numPr>
        <w:numId w:val="4"/>
      </w:numPr>
      <w:tabs>
        <w:tab w:val="num" w:pos="2520"/>
      </w:tabs>
      <w:spacing w:after="240"/>
      <w:ind w:left="2520"/>
    </w:pPr>
    <w:rPr>
      <w:szCs w:val="24"/>
    </w:rPr>
  </w:style>
  <w:style w:type="paragraph" w:customStyle="1" w:styleId="Normal2">
    <w:name w:val="Normal2"/>
    <w:basedOn w:val="Normal"/>
    <w:rsid w:val="00E35B79"/>
    <w:pPr>
      <w:keepNext/>
      <w:tabs>
        <w:tab w:val="left" w:pos="990"/>
        <w:tab w:val="right" w:leader="dot" w:pos="10080"/>
      </w:tabs>
      <w:spacing w:after="240"/>
      <w:outlineLvl w:val="0"/>
    </w:pPr>
    <w:rPr>
      <w:rFonts w:ascii="Arial" w:hAnsi="Arial" w:cs="Arial"/>
    </w:rPr>
  </w:style>
  <w:style w:type="paragraph" w:customStyle="1" w:styleId="HeadingPara">
    <w:name w:val="Heading Para"/>
    <w:basedOn w:val="Heading2"/>
    <w:rsid w:val="00E35B79"/>
    <w:rPr>
      <w:lang w:val="en-CA"/>
    </w:rPr>
  </w:style>
  <w:style w:type="paragraph" w:styleId="BodyTextIndent2">
    <w:name w:val="Body Text Indent 2"/>
    <w:basedOn w:val="Normal"/>
    <w:link w:val="BodyTextIndent2Char"/>
    <w:uiPriority w:val="99"/>
    <w:rsid w:val="00E35B79"/>
    <w:pPr>
      <w:autoSpaceDE w:val="0"/>
      <w:autoSpaceDN w:val="0"/>
      <w:adjustRightInd w:val="0"/>
      <w:spacing w:after="240"/>
      <w:ind w:left="1080"/>
    </w:pPr>
  </w:style>
  <w:style w:type="character" w:customStyle="1" w:styleId="BodyTextIndent2Char">
    <w:name w:val="Body Text Indent 2 Char"/>
    <w:link w:val="BodyTextIndent2"/>
    <w:uiPriority w:val="99"/>
    <w:rsid w:val="00410D08"/>
    <w:rPr>
      <w:sz w:val="24"/>
    </w:rPr>
  </w:style>
  <w:style w:type="character" w:customStyle="1" w:styleId="TableTextChar">
    <w:name w:val="Table Text Char"/>
    <w:uiPriority w:val="99"/>
    <w:locked/>
    <w:rsid w:val="00E35B79"/>
    <w:rPr>
      <w:rFonts w:ascii="Arial" w:hAnsi="Arial" w:cs="Arial"/>
      <w:lang w:val="en-US" w:eastAsia="en-US" w:bidi="ar-SA"/>
    </w:rPr>
  </w:style>
  <w:style w:type="paragraph" w:styleId="BodyTextIndent3">
    <w:name w:val="Body Text Indent 3"/>
    <w:basedOn w:val="Normal"/>
    <w:link w:val="BodyTextIndent3Char"/>
    <w:uiPriority w:val="99"/>
    <w:rsid w:val="00E35B79"/>
    <w:pPr>
      <w:autoSpaceDE w:val="0"/>
      <w:autoSpaceDN w:val="0"/>
      <w:adjustRightInd w:val="0"/>
      <w:spacing w:after="240"/>
      <w:ind w:left="1710" w:hanging="270"/>
    </w:pPr>
    <w:rPr>
      <w:rFonts w:ascii="Arial" w:hAnsi="Arial" w:cs="Arial"/>
      <w:i/>
    </w:rPr>
  </w:style>
  <w:style w:type="character" w:customStyle="1" w:styleId="BodyTextIndent3Char">
    <w:name w:val="Body Text Indent 3 Char"/>
    <w:link w:val="BodyTextIndent3"/>
    <w:uiPriority w:val="99"/>
    <w:locked/>
    <w:rsid w:val="00E35B79"/>
    <w:rPr>
      <w:rFonts w:ascii="Arial" w:hAnsi="Arial" w:cs="Arial"/>
      <w:i/>
      <w:sz w:val="24"/>
      <w:lang w:val="en-US" w:eastAsia="en-US" w:bidi="ar-SA"/>
    </w:rPr>
  </w:style>
  <w:style w:type="paragraph" w:customStyle="1" w:styleId="Indent75timesnewroman">
    <w:name w:val="Indent .75 + times new roman"/>
    <w:basedOn w:val="Normal"/>
    <w:rsid w:val="00E35B79"/>
    <w:pPr>
      <w:spacing w:after="240"/>
      <w:ind w:left="1080"/>
    </w:pPr>
  </w:style>
  <w:style w:type="paragraph" w:customStyle="1" w:styleId="TableHead">
    <w:name w:val="Table Head"/>
    <w:basedOn w:val="Normal"/>
    <w:uiPriority w:val="99"/>
    <w:rsid w:val="00E35B79"/>
    <w:pPr>
      <w:shd w:val="clear" w:color="auto" w:fill="FFFFFF"/>
      <w:ind w:left="360"/>
      <w:outlineLvl w:val="4"/>
    </w:pPr>
    <w:rPr>
      <w:rFonts w:ascii="Arial" w:hAnsi="Arial" w:cs="Arial"/>
      <w:b/>
      <w:bCs/>
      <w:szCs w:val="24"/>
    </w:rPr>
  </w:style>
  <w:style w:type="character" w:customStyle="1" w:styleId="Indent75timesnewromanChar">
    <w:name w:val="Indent .75 + times new roman Char"/>
    <w:rsid w:val="00E35B79"/>
    <w:rPr>
      <w:rFonts w:cs="Times New Roman"/>
      <w:sz w:val="24"/>
      <w:lang w:val="en-US" w:eastAsia="en-US" w:bidi="ar-SA"/>
    </w:rPr>
  </w:style>
  <w:style w:type="paragraph" w:customStyle="1" w:styleId="CM7">
    <w:name w:val="CM7"/>
    <w:basedOn w:val="Normal"/>
    <w:next w:val="Normal"/>
    <w:rsid w:val="00E35B79"/>
    <w:pPr>
      <w:widowControl w:val="0"/>
      <w:autoSpaceDE w:val="0"/>
      <w:autoSpaceDN w:val="0"/>
      <w:adjustRightInd w:val="0"/>
    </w:pPr>
    <w:rPr>
      <w:rFonts w:ascii="Arial" w:hAnsi="Arial" w:cs="Arial"/>
      <w:szCs w:val="24"/>
    </w:rPr>
  </w:style>
  <w:style w:type="character" w:customStyle="1" w:styleId="H-indent7525Char">
    <w:name w:val="H-indent .75/.25 Char"/>
    <w:rsid w:val="00E35B79"/>
    <w:rPr>
      <w:rFonts w:ascii="Arial" w:hAnsi="Arial" w:cs="Arial"/>
      <w:sz w:val="24"/>
      <w:szCs w:val="24"/>
      <w:lang w:val="en-US" w:eastAsia="en-US" w:bidi="ar-SA"/>
    </w:rPr>
  </w:style>
  <w:style w:type="paragraph" w:customStyle="1" w:styleId="indent500">
    <w:name w:val="indent50"/>
    <w:basedOn w:val="Normal"/>
    <w:rsid w:val="00E35B79"/>
    <w:pPr>
      <w:spacing w:after="240"/>
      <w:ind w:left="720"/>
    </w:pPr>
    <w:rPr>
      <w:rFonts w:ascii="Arial" w:hAnsi="Arial" w:cs="Arial"/>
      <w:spacing w:val="-3"/>
      <w:szCs w:val="24"/>
    </w:rPr>
  </w:style>
  <w:style w:type="paragraph" w:customStyle="1" w:styleId="h-indent50250">
    <w:name w:val="h-indent5025"/>
    <w:basedOn w:val="Normal"/>
    <w:rsid w:val="00E35B79"/>
    <w:pPr>
      <w:spacing w:after="240"/>
      <w:ind w:left="1080" w:hanging="360"/>
    </w:pPr>
    <w:rPr>
      <w:rFonts w:ascii="Arial" w:hAnsi="Arial" w:cs="Arial"/>
      <w:szCs w:val="24"/>
    </w:rPr>
  </w:style>
  <w:style w:type="paragraph" w:styleId="BodyText3">
    <w:name w:val="Body Text 3"/>
    <w:basedOn w:val="Normal"/>
    <w:link w:val="BodyText3Char"/>
    <w:uiPriority w:val="99"/>
    <w:rsid w:val="00E35B79"/>
    <w:pPr>
      <w:spacing w:after="120"/>
    </w:pPr>
    <w:rPr>
      <w:sz w:val="16"/>
      <w:szCs w:val="16"/>
    </w:rPr>
  </w:style>
  <w:style w:type="character" w:customStyle="1" w:styleId="BodyText3Char">
    <w:name w:val="Body Text 3 Char"/>
    <w:link w:val="BodyText3"/>
    <w:uiPriority w:val="99"/>
    <w:rsid w:val="00E35B79"/>
    <w:rPr>
      <w:rFonts w:cs="Times New Roman"/>
      <w:sz w:val="16"/>
      <w:szCs w:val="16"/>
    </w:rPr>
  </w:style>
  <w:style w:type="paragraph" w:styleId="BodyText2">
    <w:name w:val="Body Text 2"/>
    <w:basedOn w:val="Normal"/>
    <w:link w:val="BodyText2Char"/>
    <w:uiPriority w:val="99"/>
    <w:rsid w:val="00E35B79"/>
    <w:pPr>
      <w:tabs>
        <w:tab w:val="left" w:pos="540"/>
        <w:tab w:val="left" w:pos="1080"/>
        <w:tab w:val="left" w:pos="1620"/>
        <w:tab w:val="left" w:pos="2160"/>
        <w:tab w:val="left" w:pos="2700"/>
      </w:tabs>
      <w:overflowPunct w:val="0"/>
      <w:autoSpaceDE w:val="0"/>
      <w:autoSpaceDN w:val="0"/>
      <w:adjustRightInd w:val="0"/>
      <w:ind w:left="540"/>
      <w:textAlignment w:val="baseline"/>
    </w:pPr>
    <w:rPr>
      <w:rFonts w:ascii="1Stone Serif" w:hAnsi="1Stone Serif"/>
      <w:noProof/>
    </w:rPr>
  </w:style>
  <w:style w:type="character" w:customStyle="1" w:styleId="BodyText2Char">
    <w:name w:val="Body Text 2 Char"/>
    <w:link w:val="BodyText2"/>
    <w:uiPriority w:val="99"/>
    <w:rsid w:val="00E35B79"/>
    <w:rPr>
      <w:rFonts w:ascii="1Stone Serif" w:hAnsi="1Stone Serif" w:cs="Times New Roman"/>
      <w:noProof/>
    </w:rPr>
  </w:style>
  <w:style w:type="paragraph" w:customStyle="1" w:styleId="PStreetLetterhead">
    <w:name w:val="P Street Letterhead"/>
    <w:rsid w:val="00E35B79"/>
    <w:pPr>
      <w:tabs>
        <w:tab w:val="right" w:pos="11280"/>
      </w:tabs>
      <w:suppressAutoHyphens/>
      <w:overflowPunct w:val="0"/>
      <w:autoSpaceDE w:val="0"/>
      <w:autoSpaceDN w:val="0"/>
      <w:adjustRightInd w:val="0"/>
      <w:spacing w:line="144" w:lineRule="auto"/>
      <w:textAlignment w:val="baseline"/>
    </w:pPr>
    <w:rPr>
      <w:rFonts w:ascii="Arial Narrow" w:hAnsi="Arial Narrow"/>
      <w:sz w:val="24"/>
    </w:rPr>
  </w:style>
  <w:style w:type="paragraph" w:customStyle="1" w:styleId="Document1">
    <w:name w:val="Document 1"/>
    <w:rsid w:val="00E35B79"/>
    <w:pPr>
      <w:keepNext/>
      <w:keepLines/>
      <w:tabs>
        <w:tab w:val="left" w:pos="-720"/>
      </w:tabs>
      <w:suppressAutoHyphens/>
      <w:overflowPunct w:val="0"/>
      <w:autoSpaceDE w:val="0"/>
      <w:autoSpaceDN w:val="0"/>
      <w:adjustRightInd w:val="0"/>
      <w:textAlignment w:val="baseline"/>
    </w:pPr>
    <w:rPr>
      <w:rFonts w:ascii="Courier" w:hAnsi="Courier"/>
      <w:sz w:val="22"/>
    </w:rPr>
  </w:style>
  <w:style w:type="paragraph" w:customStyle="1" w:styleId="Body">
    <w:name w:val="Body"/>
    <w:rsid w:val="00E35B79"/>
    <w:pPr>
      <w:tabs>
        <w:tab w:val="left" w:pos="-1440"/>
        <w:tab w:val="left" w:pos="-720"/>
        <w:tab w:val="left" w:pos="450"/>
        <w:tab w:val="left" w:pos="9360"/>
        <w:tab w:val="left" w:pos="11520"/>
      </w:tabs>
      <w:suppressAutoHyphens/>
      <w:overflowPunct w:val="0"/>
      <w:autoSpaceDE w:val="0"/>
      <w:autoSpaceDN w:val="0"/>
      <w:adjustRightInd w:val="0"/>
      <w:textAlignment w:val="baseline"/>
    </w:pPr>
    <w:rPr>
      <w:rFonts w:ascii="Courier" w:hAnsi="Courier"/>
      <w:sz w:val="22"/>
    </w:rPr>
  </w:style>
  <w:style w:type="character" w:customStyle="1" w:styleId="Bibliogrphy">
    <w:name w:val="Bibliogrphy"/>
    <w:rsid w:val="00E35B79"/>
    <w:rPr>
      <w:rFonts w:cs="Times New Roman"/>
    </w:rPr>
  </w:style>
  <w:style w:type="character" w:customStyle="1" w:styleId="BulletList">
    <w:name w:val="Bullet List"/>
    <w:rsid w:val="00E35B79"/>
    <w:rPr>
      <w:rFonts w:cs="Times New Roman"/>
    </w:rPr>
  </w:style>
  <w:style w:type="character" w:customStyle="1" w:styleId="audience">
    <w:name w:val="audience"/>
    <w:rsid w:val="00E35B79"/>
    <w:rPr>
      <w:rFonts w:ascii="Courier" w:hAnsi="Courier" w:cs="Times New Roman"/>
      <w:sz w:val="22"/>
      <w:lang w:val="en-US"/>
    </w:rPr>
  </w:style>
  <w:style w:type="character" w:customStyle="1" w:styleId="Document8">
    <w:name w:val="Document 8"/>
    <w:rsid w:val="00E35B79"/>
    <w:rPr>
      <w:rFonts w:cs="Times New Roman"/>
    </w:rPr>
  </w:style>
  <w:style w:type="character" w:customStyle="1" w:styleId="Document4">
    <w:name w:val="Document 4"/>
    <w:rsid w:val="00E35B79"/>
    <w:rPr>
      <w:rFonts w:cs="Times New Roman"/>
      <w:b/>
      <w:i/>
      <w:sz w:val="22"/>
    </w:rPr>
  </w:style>
  <w:style w:type="character" w:customStyle="1" w:styleId="Document6">
    <w:name w:val="Document 6"/>
    <w:rsid w:val="00E35B79"/>
    <w:rPr>
      <w:rFonts w:cs="Times New Roman"/>
    </w:rPr>
  </w:style>
  <w:style w:type="character" w:customStyle="1" w:styleId="Document5">
    <w:name w:val="Document 5"/>
    <w:rsid w:val="00E35B79"/>
    <w:rPr>
      <w:rFonts w:cs="Times New Roman"/>
    </w:rPr>
  </w:style>
  <w:style w:type="character" w:customStyle="1" w:styleId="Document2">
    <w:name w:val="Document 2"/>
    <w:rsid w:val="00E35B79"/>
    <w:rPr>
      <w:rFonts w:ascii="Courier" w:hAnsi="Courier" w:cs="Times New Roman"/>
      <w:sz w:val="22"/>
      <w:lang w:val="en-US"/>
    </w:rPr>
  </w:style>
  <w:style w:type="character" w:customStyle="1" w:styleId="Document7">
    <w:name w:val="Document 7"/>
    <w:rsid w:val="00E35B79"/>
    <w:rPr>
      <w:rFonts w:cs="Times New Roman"/>
    </w:rPr>
  </w:style>
  <w:style w:type="character" w:customStyle="1" w:styleId="Document3">
    <w:name w:val="Document 3"/>
    <w:rsid w:val="00E35B79"/>
    <w:rPr>
      <w:rFonts w:ascii="Courier" w:hAnsi="Courier" w:cs="Times New Roman"/>
      <w:sz w:val="22"/>
      <w:lang w:val="en-US"/>
    </w:rPr>
  </w:style>
  <w:style w:type="character" w:customStyle="1" w:styleId="RightPar3">
    <w:name w:val="Right Par 3"/>
    <w:rsid w:val="00E35B79"/>
    <w:rPr>
      <w:rFonts w:cs="Times New Roman"/>
    </w:rPr>
  </w:style>
  <w:style w:type="character" w:customStyle="1" w:styleId="RightPar7">
    <w:name w:val="Right Par 7"/>
    <w:rsid w:val="00E35B79"/>
    <w:rPr>
      <w:rFonts w:cs="Times New Roman"/>
    </w:rPr>
  </w:style>
  <w:style w:type="character" w:customStyle="1" w:styleId="RightPar8">
    <w:name w:val="Right Par 8"/>
    <w:rsid w:val="00E35B79"/>
    <w:rPr>
      <w:rFonts w:cs="Times New Roman"/>
    </w:rPr>
  </w:style>
  <w:style w:type="character" w:customStyle="1" w:styleId="Technical5">
    <w:name w:val="Technical 5"/>
    <w:rsid w:val="00E35B79"/>
    <w:rPr>
      <w:rFonts w:cs="Times New Roman"/>
    </w:rPr>
  </w:style>
  <w:style w:type="character" w:customStyle="1" w:styleId="Technical6">
    <w:name w:val="Technical 6"/>
    <w:rsid w:val="00E35B79"/>
    <w:rPr>
      <w:rFonts w:cs="Times New Roman"/>
    </w:rPr>
  </w:style>
  <w:style w:type="character" w:customStyle="1" w:styleId="Technical2">
    <w:name w:val="Technical 2"/>
    <w:rsid w:val="00E35B79"/>
    <w:rPr>
      <w:rFonts w:ascii="Courier" w:hAnsi="Courier" w:cs="Times New Roman"/>
      <w:sz w:val="22"/>
      <w:lang w:val="en-US"/>
    </w:rPr>
  </w:style>
  <w:style w:type="character" w:customStyle="1" w:styleId="Technical3">
    <w:name w:val="Technical 3"/>
    <w:rsid w:val="00E35B79"/>
    <w:rPr>
      <w:rFonts w:ascii="Courier" w:hAnsi="Courier" w:cs="Times New Roman"/>
      <w:sz w:val="22"/>
      <w:lang w:val="en-US"/>
    </w:rPr>
  </w:style>
  <w:style w:type="character" w:customStyle="1" w:styleId="Technical4">
    <w:name w:val="Technical 4"/>
    <w:rsid w:val="00E35B79"/>
    <w:rPr>
      <w:rFonts w:cs="Times New Roman"/>
    </w:rPr>
  </w:style>
  <w:style w:type="character" w:customStyle="1" w:styleId="Technical1">
    <w:name w:val="Technical 1"/>
    <w:rsid w:val="00E35B79"/>
    <w:rPr>
      <w:rFonts w:ascii="Courier" w:hAnsi="Courier" w:cs="Times New Roman"/>
      <w:sz w:val="22"/>
      <w:lang w:val="en-US"/>
    </w:rPr>
  </w:style>
  <w:style w:type="character" w:customStyle="1" w:styleId="Technical7">
    <w:name w:val="Technical 7"/>
    <w:rsid w:val="00E35B79"/>
    <w:rPr>
      <w:rFonts w:cs="Times New Roman"/>
    </w:rPr>
  </w:style>
  <w:style w:type="character" w:customStyle="1" w:styleId="Technical8">
    <w:name w:val="Technical 8"/>
    <w:rsid w:val="00E35B79"/>
    <w:rPr>
      <w:rFonts w:cs="Times New Roman"/>
    </w:rPr>
  </w:style>
  <w:style w:type="character" w:customStyle="1" w:styleId="RightPar2">
    <w:name w:val="Right Par 2"/>
    <w:rsid w:val="00E35B79"/>
    <w:rPr>
      <w:rFonts w:cs="Times New Roman"/>
    </w:rPr>
  </w:style>
  <w:style w:type="paragraph" w:customStyle="1" w:styleId="RightPar1">
    <w:name w:val="Right Par 1"/>
    <w:rsid w:val="00E35B79"/>
    <w:pPr>
      <w:tabs>
        <w:tab w:val="decimal" w:pos="-72"/>
        <w:tab w:val="decimal" w:pos="0"/>
        <w:tab w:val="decimal" w:pos="720"/>
        <w:tab w:val="decimal" w:pos="1171"/>
        <w:tab w:val="decimal" w:pos="1627"/>
        <w:tab w:val="decimal" w:pos="2074"/>
        <w:tab w:val="decimal" w:pos="2606"/>
        <w:tab w:val="decimal" w:pos="3154"/>
        <w:tab w:val="decimal" w:pos="4320"/>
        <w:tab w:val="decimal" w:pos="5040"/>
        <w:tab w:val="decimal" w:pos="5760"/>
        <w:tab w:val="decimal" w:pos="6480"/>
        <w:tab w:val="decimal" w:pos="7200"/>
        <w:tab w:val="decimal" w:pos="7920"/>
        <w:tab w:val="decimal" w:pos="8640"/>
        <w:tab w:val="decimal" w:pos="9360"/>
        <w:tab w:val="decimal" w:pos="10080"/>
        <w:tab w:val="decimal" w:pos="10800"/>
        <w:tab w:val="decimal" w:pos="11520"/>
        <w:tab w:val="decimal" w:pos="12240"/>
      </w:tabs>
      <w:suppressAutoHyphens/>
      <w:overflowPunct w:val="0"/>
      <w:autoSpaceDE w:val="0"/>
      <w:autoSpaceDN w:val="0"/>
      <w:adjustRightInd w:val="0"/>
      <w:ind w:left="720" w:hanging="720"/>
      <w:textAlignment w:val="baseline"/>
    </w:pPr>
    <w:rPr>
      <w:rFonts w:ascii="Courier" w:hAnsi="Courier"/>
      <w:sz w:val="22"/>
    </w:rPr>
  </w:style>
  <w:style w:type="character" w:customStyle="1" w:styleId="RightPar4">
    <w:name w:val="Right Par 4"/>
    <w:rsid w:val="00E35B79"/>
    <w:rPr>
      <w:rFonts w:cs="Times New Roman"/>
    </w:rPr>
  </w:style>
  <w:style w:type="character" w:customStyle="1" w:styleId="RightPar5">
    <w:name w:val="Right Par 5"/>
    <w:rsid w:val="00E35B79"/>
    <w:rPr>
      <w:rFonts w:cs="Times New Roman"/>
    </w:rPr>
  </w:style>
  <w:style w:type="character" w:customStyle="1" w:styleId="RightPar6">
    <w:name w:val="Right Par 6"/>
    <w:rsid w:val="00E35B79"/>
    <w:rPr>
      <w:rFonts w:cs="Times New Roman"/>
    </w:rPr>
  </w:style>
  <w:style w:type="paragraph" w:customStyle="1" w:styleId="APMFORMATONE">
    <w:name w:val="APM FORMAT ONE"/>
    <w:rsid w:val="00E35B79"/>
    <w:pPr>
      <w:tabs>
        <w:tab w:val="left" w:pos="-1440"/>
        <w:tab w:val="left" w:pos="-720"/>
        <w:tab w:val="left" w:pos="-90"/>
        <w:tab w:val="left" w:pos="630"/>
        <w:tab w:val="left" w:pos="1260"/>
        <w:tab w:val="left" w:pos="2160"/>
      </w:tabs>
      <w:suppressAutoHyphens/>
      <w:overflowPunct w:val="0"/>
      <w:autoSpaceDE w:val="0"/>
      <w:autoSpaceDN w:val="0"/>
      <w:adjustRightInd w:val="0"/>
      <w:textAlignment w:val="baseline"/>
    </w:pPr>
    <w:rPr>
      <w:rFonts w:ascii="Courier" w:hAnsi="Courier"/>
      <w:sz w:val="22"/>
    </w:rPr>
  </w:style>
  <w:style w:type="character" w:customStyle="1" w:styleId="EquationCaption">
    <w:name w:val="_Equation Caption"/>
    <w:rsid w:val="00E35B79"/>
  </w:style>
  <w:style w:type="paragraph" w:customStyle="1" w:styleId="MYSTYLE">
    <w:name w:val="MYSTYLE"/>
    <w:basedOn w:val="Normal"/>
    <w:rsid w:val="00E35B79"/>
    <w:pPr>
      <w:tabs>
        <w:tab w:val="left" w:pos="-1440"/>
        <w:tab w:val="left" w:pos="-720"/>
        <w:tab w:val="right" w:pos="90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val="0"/>
      <w:autoSpaceDE w:val="0"/>
      <w:autoSpaceDN w:val="0"/>
      <w:adjustRightInd w:val="0"/>
      <w:ind w:left="1339" w:hanging="1339"/>
      <w:textAlignment w:val="baseline"/>
    </w:pPr>
    <w:rPr>
      <w:rFonts w:ascii="Courier New" w:hAnsi="Courier New"/>
    </w:rPr>
  </w:style>
  <w:style w:type="paragraph" w:styleId="ListBullet2">
    <w:name w:val="List Bullet 2"/>
    <w:basedOn w:val="Normal"/>
    <w:rsid w:val="00E35B79"/>
    <w:pPr>
      <w:tabs>
        <w:tab w:val="left" w:pos="720"/>
      </w:tabs>
      <w:overflowPunct w:val="0"/>
      <w:autoSpaceDE w:val="0"/>
      <w:autoSpaceDN w:val="0"/>
      <w:adjustRightInd w:val="0"/>
      <w:ind w:left="720" w:hanging="360"/>
      <w:textAlignment w:val="baseline"/>
    </w:pPr>
  </w:style>
  <w:style w:type="paragraph" w:customStyle="1" w:styleId="Finding2">
    <w:name w:val="Finding 2"/>
    <w:basedOn w:val="Normal"/>
    <w:link w:val="Finding2Char"/>
    <w:rsid w:val="00E35B79"/>
    <w:pPr>
      <w:tabs>
        <w:tab w:val="left" w:pos="-720"/>
        <w:tab w:val="left" w:pos="720"/>
      </w:tabs>
      <w:overflowPunct w:val="0"/>
      <w:autoSpaceDE w:val="0"/>
      <w:autoSpaceDN w:val="0"/>
      <w:adjustRightInd w:val="0"/>
      <w:spacing w:after="120"/>
      <w:ind w:left="720" w:hanging="360"/>
      <w:textAlignment w:val="baseline"/>
    </w:pPr>
  </w:style>
  <w:style w:type="paragraph" w:customStyle="1" w:styleId="Prohibitions1">
    <w:name w:val="Prohibitions 1"/>
    <w:basedOn w:val="Normal"/>
    <w:rsid w:val="00E35B79"/>
    <w:pPr>
      <w:tabs>
        <w:tab w:val="left" w:pos="-1440"/>
        <w:tab w:val="left" w:pos="-720"/>
        <w:tab w:val="left" w:pos="1"/>
        <w:tab w:val="left" w:pos="360"/>
        <w:tab w:val="left" w:pos="810"/>
        <w:tab w:val="left" w:pos="1440"/>
        <w:tab w:val="left" w:pos="2160"/>
        <w:tab w:val="left" w:pos="2880"/>
        <w:tab w:val="left" w:pos="3600"/>
        <w:tab w:val="left" w:pos="4320"/>
        <w:tab w:val="left" w:pos="5040"/>
        <w:tab w:val="left" w:pos="5760"/>
        <w:tab w:val="left" w:pos="6480"/>
        <w:tab w:val="left" w:pos="7200"/>
        <w:tab w:val="left" w:pos="75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120"/>
      <w:ind w:left="360" w:hanging="360"/>
      <w:textAlignment w:val="baseline"/>
    </w:pPr>
  </w:style>
  <w:style w:type="paragraph" w:customStyle="1" w:styleId="Provisions1">
    <w:name w:val="Provisions 1"/>
    <w:basedOn w:val="Normal"/>
    <w:rsid w:val="00E35B79"/>
    <w:pPr>
      <w:tabs>
        <w:tab w:val="left" w:pos="-2160"/>
        <w:tab w:val="left" w:pos="-720"/>
      </w:tabs>
      <w:overflowPunct w:val="0"/>
      <w:autoSpaceDE w:val="0"/>
      <w:autoSpaceDN w:val="0"/>
      <w:adjustRightInd w:val="0"/>
      <w:spacing w:after="120"/>
      <w:ind w:left="360" w:hanging="360"/>
      <w:textAlignment w:val="baseline"/>
    </w:pPr>
    <w:rPr>
      <w:b/>
    </w:rPr>
  </w:style>
  <w:style w:type="paragraph" w:customStyle="1" w:styleId="xl26">
    <w:name w:val="xl26"/>
    <w:basedOn w:val="Normal"/>
    <w:rsid w:val="00E35B79"/>
    <w:pPr>
      <w:pBdr>
        <w:bottom w:val="single" w:sz="6" w:space="0" w:color="auto"/>
      </w:pBdr>
      <w:overflowPunct w:val="0"/>
      <w:autoSpaceDE w:val="0"/>
      <w:autoSpaceDN w:val="0"/>
      <w:adjustRightInd w:val="0"/>
      <w:spacing w:before="100" w:after="100"/>
      <w:jc w:val="center"/>
      <w:textAlignment w:val="baseline"/>
    </w:pPr>
    <w:rPr>
      <w:sz w:val="22"/>
    </w:rPr>
  </w:style>
  <w:style w:type="paragraph" w:customStyle="1" w:styleId="Level1">
    <w:name w:val="Level 1"/>
    <w:basedOn w:val="Normal"/>
    <w:rsid w:val="00E35B79"/>
    <w:pPr>
      <w:widowControl w:val="0"/>
      <w:overflowPunct w:val="0"/>
      <w:autoSpaceDE w:val="0"/>
      <w:autoSpaceDN w:val="0"/>
      <w:adjustRightInd w:val="0"/>
      <w:ind w:left="1440" w:hanging="720"/>
      <w:textAlignment w:val="baseline"/>
    </w:pPr>
  </w:style>
  <w:style w:type="paragraph" w:customStyle="1" w:styleId="Style1">
    <w:name w:val="Style1"/>
    <w:basedOn w:val="Normal"/>
    <w:rsid w:val="00E35B79"/>
    <w:pPr>
      <w:tabs>
        <w:tab w:val="left" w:pos="1620"/>
      </w:tabs>
    </w:pPr>
    <w:rPr>
      <w:rFonts w:ascii="Times New Roman Bold" w:hAnsi="Times New Roman Bold"/>
      <w:b/>
      <w:sz w:val="22"/>
      <w:szCs w:val="24"/>
    </w:rPr>
  </w:style>
  <w:style w:type="paragraph" w:customStyle="1" w:styleId="Style2">
    <w:name w:val="Style2"/>
    <w:basedOn w:val="TOC3"/>
    <w:rsid w:val="00E35B79"/>
    <w:pPr>
      <w:tabs>
        <w:tab w:val="clear" w:pos="1350"/>
        <w:tab w:val="right" w:leader="dot" w:pos="9350"/>
      </w:tabs>
      <w:ind w:left="720" w:firstLine="0"/>
    </w:pPr>
  </w:style>
  <w:style w:type="paragraph" w:customStyle="1" w:styleId="Style3">
    <w:name w:val="Style3"/>
    <w:basedOn w:val="TOC3"/>
    <w:rsid w:val="00E35B79"/>
    <w:pPr>
      <w:tabs>
        <w:tab w:val="clear" w:pos="1350"/>
        <w:tab w:val="right" w:leader="dot" w:pos="9350"/>
      </w:tabs>
      <w:ind w:left="720" w:firstLine="0"/>
    </w:pPr>
  </w:style>
  <w:style w:type="paragraph" w:customStyle="1" w:styleId="StyleHeadingParaTimesNewRoman">
    <w:name w:val="Style Heading Para + Times New Roman"/>
    <w:basedOn w:val="HeadingPara"/>
    <w:rsid w:val="00E35B79"/>
    <w:pPr>
      <w:numPr>
        <w:numId w:val="6"/>
      </w:numPr>
    </w:pPr>
    <w:rPr>
      <w:rFonts w:ascii="Times New Roman" w:hAnsi="Times New Roman"/>
      <w:bCs/>
    </w:rPr>
  </w:style>
  <w:style w:type="paragraph" w:customStyle="1" w:styleId="Heading1-G">
    <w:name w:val="Heading 1-G"/>
    <w:basedOn w:val="StyleHeadingParaTimesNewRoman"/>
    <w:link w:val="Heading1-GChar"/>
    <w:qFormat/>
    <w:rsid w:val="00E35B79"/>
    <w:pPr>
      <w:tabs>
        <w:tab w:val="clear" w:pos="720"/>
        <w:tab w:val="left" w:pos="360"/>
      </w:tabs>
      <w:ind w:left="360"/>
    </w:pPr>
  </w:style>
  <w:style w:type="paragraph" w:customStyle="1" w:styleId="Heading2-G">
    <w:name w:val="Heading 2-G"/>
    <w:basedOn w:val="HeadingPara"/>
    <w:link w:val="Heading2-GChar1"/>
    <w:qFormat/>
    <w:rsid w:val="00E35B79"/>
    <w:rPr>
      <w:rFonts w:ascii="Times New Roman" w:hAnsi="Times New Roman"/>
      <w:bCs/>
    </w:rPr>
  </w:style>
  <w:style w:type="character" w:customStyle="1" w:styleId="Heading2Char1">
    <w:name w:val="Heading 2 Char1"/>
    <w:rsid w:val="00E35B79"/>
    <w:rPr>
      <w:rFonts w:ascii="Arial" w:hAnsi="Arial" w:cs="Arial"/>
      <w:b/>
      <w:sz w:val="24"/>
    </w:rPr>
  </w:style>
  <w:style w:type="character" w:customStyle="1" w:styleId="HeadingParaChar">
    <w:name w:val="Heading Para Char"/>
    <w:rsid w:val="00E35B79"/>
    <w:rPr>
      <w:rFonts w:ascii="Arial" w:hAnsi="Arial" w:cs="Arial"/>
      <w:b/>
      <w:sz w:val="24"/>
      <w:lang w:val="en-CA"/>
    </w:rPr>
  </w:style>
  <w:style w:type="character" w:customStyle="1" w:styleId="StyleHeadingParaTimesNewRomanChar">
    <w:name w:val="Style Heading Para + Times New Roman Char"/>
    <w:rsid w:val="00E35B79"/>
    <w:rPr>
      <w:rFonts w:ascii="Arial" w:hAnsi="Arial" w:cs="Arial"/>
      <w:b/>
      <w:bCs/>
      <w:sz w:val="24"/>
      <w:lang w:val="en-CA"/>
    </w:rPr>
  </w:style>
  <w:style w:type="character" w:customStyle="1" w:styleId="HeadingG-1Char">
    <w:name w:val="Heading G-1 Char"/>
    <w:rsid w:val="00E35B79"/>
    <w:rPr>
      <w:rFonts w:ascii="Arial" w:hAnsi="Arial" w:cs="Arial"/>
      <w:b/>
      <w:bCs/>
      <w:sz w:val="24"/>
      <w:lang w:val="en-CA"/>
    </w:rPr>
  </w:style>
  <w:style w:type="paragraph" w:customStyle="1" w:styleId="Heading3-G">
    <w:name w:val="Heading 3-G"/>
    <w:basedOn w:val="Normal"/>
    <w:link w:val="Heading3-GChar1"/>
    <w:qFormat/>
    <w:rsid w:val="00E35B79"/>
    <w:pPr>
      <w:tabs>
        <w:tab w:val="left" w:pos="1080"/>
      </w:tabs>
      <w:ind w:left="1080" w:hanging="360"/>
    </w:pPr>
  </w:style>
  <w:style w:type="character" w:customStyle="1" w:styleId="Heading2-GChar">
    <w:name w:val="Heading 2-G Char"/>
    <w:rsid w:val="00E35B79"/>
    <w:rPr>
      <w:rFonts w:ascii="Arial" w:hAnsi="Arial" w:cs="Arial"/>
      <w:b/>
      <w:bCs/>
      <w:sz w:val="24"/>
      <w:lang w:val="en-CA"/>
    </w:rPr>
  </w:style>
  <w:style w:type="paragraph" w:customStyle="1" w:styleId="TableContents">
    <w:name w:val="Table Contents"/>
    <w:basedOn w:val="Normal"/>
    <w:rsid w:val="00E35B79"/>
    <w:pPr>
      <w:widowControl w:val="0"/>
      <w:spacing w:before="60" w:after="60"/>
      <w:jc w:val="both"/>
    </w:pPr>
    <w:rPr>
      <w:rFonts w:eastAsia="SimSun"/>
    </w:rPr>
  </w:style>
  <w:style w:type="character" w:customStyle="1" w:styleId="Heading3-GChar">
    <w:name w:val="Heading 3-G Char"/>
    <w:rsid w:val="00E35B79"/>
    <w:rPr>
      <w:rFonts w:cs="Times New Roman"/>
      <w:sz w:val="24"/>
    </w:rPr>
  </w:style>
  <w:style w:type="paragraph" w:styleId="List3">
    <w:name w:val="List 3"/>
    <w:basedOn w:val="Normal"/>
    <w:uiPriority w:val="99"/>
    <w:rsid w:val="00E35B79"/>
    <w:pPr>
      <w:ind w:left="1080" w:hanging="360"/>
    </w:pPr>
  </w:style>
  <w:style w:type="paragraph" w:customStyle="1" w:styleId="Para2">
    <w:name w:val="Para2"/>
    <w:basedOn w:val="Normal"/>
    <w:rsid w:val="00E35B79"/>
    <w:pPr>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1080" w:hanging="360"/>
    </w:pPr>
  </w:style>
  <w:style w:type="character" w:customStyle="1" w:styleId="Char2">
    <w:name w:val="Char2"/>
    <w:rsid w:val="00E35B79"/>
    <w:rPr>
      <w:rFonts w:cs="Times New Roman"/>
      <w:b/>
      <w:color w:val="000000"/>
      <w:sz w:val="22"/>
      <w:lang w:val="en-US" w:eastAsia="en-US" w:bidi="ar-SA"/>
    </w:rPr>
  </w:style>
  <w:style w:type="paragraph" w:styleId="ListParagraph">
    <w:name w:val="List Paragraph"/>
    <w:basedOn w:val="Normal"/>
    <w:uiPriority w:val="99"/>
    <w:qFormat/>
    <w:rsid w:val="00E35B79"/>
    <w:pPr>
      <w:ind w:left="720"/>
      <w:contextualSpacing/>
    </w:pPr>
  </w:style>
  <w:style w:type="paragraph" w:customStyle="1" w:styleId="BodyTextIndent050">
    <w:name w:val="BodyTextIndent0.50&quot;"/>
    <w:basedOn w:val="Default"/>
    <w:next w:val="Default"/>
    <w:rsid w:val="00E35B79"/>
    <w:pPr>
      <w:spacing w:after="240"/>
    </w:pPr>
    <w:rPr>
      <w:color w:val="auto"/>
    </w:rPr>
  </w:style>
  <w:style w:type="paragraph" w:customStyle="1" w:styleId="Findings">
    <w:name w:val="Findings"/>
    <w:basedOn w:val="Normal"/>
    <w:rsid w:val="00E35B79"/>
    <w:pPr>
      <w:numPr>
        <w:numId w:val="7"/>
      </w:numPr>
      <w:tabs>
        <w:tab w:val="num" w:pos="1080"/>
      </w:tabs>
      <w:spacing w:after="240"/>
      <w:ind w:left="720"/>
    </w:pPr>
    <w:rPr>
      <w:sz w:val="22"/>
    </w:rPr>
  </w:style>
  <w:style w:type="paragraph" w:customStyle="1" w:styleId="Tables">
    <w:name w:val="Tables"/>
    <w:basedOn w:val="Normal"/>
    <w:next w:val="Normal"/>
    <w:rsid w:val="00E35B79"/>
    <w:pPr>
      <w:numPr>
        <w:numId w:val="16"/>
      </w:numPr>
      <w:spacing w:after="240"/>
    </w:pPr>
    <w:rPr>
      <w:sz w:val="22"/>
    </w:rPr>
  </w:style>
  <w:style w:type="character" w:customStyle="1" w:styleId="StyleArial9pt">
    <w:name w:val="Style Arial 9 pt"/>
    <w:rsid w:val="00E35B79"/>
    <w:rPr>
      <w:rFonts w:ascii="Times New Roman" w:hAnsi="Times New Roman" w:cs="Times New Roman"/>
      <w:sz w:val="18"/>
    </w:rPr>
  </w:style>
  <w:style w:type="paragraph" w:customStyle="1" w:styleId="MEMO">
    <w:name w:val="MEMO"/>
    <w:rsid w:val="00E35B79"/>
    <w:pPr>
      <w:numPr>
        <w:numId w:val="8"/>
      </w:numPr>
      <w:tabs>
        <w:tab w:val="clear" w:pos="1080"/>
        <w:tab w:val="left" w:pos="240"/>
        <w:tab w:val="left" w:pos="720"/>
        <w:tab w:val="left" w:pos="4924"/>
        <w:tab w:val="left" w:pos="5760"/>
      </w:tabs>
      <w:overflowPunct w:val="0"/>
      <w:autoSpaceDE w:val="0"/>
      <w:autoSpaceDN w:val="0"/>
      <w:adjustRightInd w:val="0"/>
      <w:ind w:left="-360" w:right="-360" w:firstLine="0"/>
      <w:jc w:val="center"/>
      <w:textAlignment w:val="baseline"/>
    </w:pPr>
    <w:rPr>
      <w:rFonts w:ascii="Avant Garde" w:eastAsia="SimSun" w:hAnsi="Avant Garde"/>
      <w:sz w:val="22"/>
    </w:rPr>
  </w:style>
  <w:style w:type="character" w:customStyle="1" w:styleId="A6">
    <w:name w:val="A6"/>
    <w:rsid w:val="00E35B79"/>
    <w:rPr>
      <w:color w:val="221E1F"/>
      <w:sz w:val="20"/>
    </w:rPr>
  </w:style>
  <w:style w:type="paragraph" w:customStyle="1" w:styleId="TableNotes">
    <w:name w:val="Table Notes"/>
    <w:rsid w:val="00E35B79"/>
    <w:pPr>
      <w:tabs>
        <w:tab w:val="left" w:pos="360"/>
      </w:tabs>
      <w:spacing w:before="40" w:after="40"/>
    </w:pPr>
    <w:rPr>
      <w:rFonts w:ascii="Times" w:eastAsia="SimSun" w:hAnsi="Times"/>
      <w:iCs/>
    </w:rPr>
  </w:style>
  <w:style w:type="paragraph" w:customStyle="1" w:styleId="TableCaptionAtt-E">
    <w:name w:val="TableCaption_Att-E"/>
    <w:next w:val="Normal"/>
    <w:rsid w:val="00E35B79"/>
    <w:pPr>
      <w:keepNext/>
      <w:spacing w:after="60"/>
    </w:pPr>
    <w:rPr>
      <w:rFonts w:ascii="Arial Bold" w:eastAsia="SimSun" w:hAnsi="Arial Bold"/>
      <w:b/>
      <w:sz w:val="24"/>
    </w:rPr>
  </w:style>
  <w:style w:type="paragraph" w:customStyle="1" w:styleId="Headings2">
    <w:name w:val="Headings 2"/>
    <w:basedOn w:val="Normal"/>
    <w:qFormat/>
    <w:rsid w:val="00E35B79"/>
    <w:pPr>
      <w:keepNext/>
      <w:spacing w:after="240"/>
      <w:outlineLvl w:val="1"/>
    </w:pPr>
    <w:rPr>
      <w:rFonts w:eastAsia="SimSun"/>
      <w:b/>
    </w:rPr>
  </w:style>
  <w:style w:type="paragraph" w:customStyle="1" w:styleId="APPHeadings">
    <w:name w:val="APP_Headings"/>
    <w:rsid w:val="007F2088"/>
    <w:pPr>
      <w:tabs>
        <w:tab w:val="left" w:pos="1080"/>
      </w:tabs>
      <w:spacing w:after="120"/>
      <w:jc w:val="center"/>
      <w:outlineLvl w:val="0"/>
    </w:pPr>
    <w:rPr>
      <w:rFonts w:ascii="Arial" w:hAnsi="Arial"/>
      <w:b/>
      <w:sz w:val="24"/>
    </w:rPr>
  </w:style>
  <w:style w:type="character" w:customStyle="1" w:styleId="CharChar1">
    <w:name w:val="Char Char1"/>
    <w:rsid w:val="002362CE"/>
    <w:rPr>
      <w:rFonts w:cs="Times New Roman"/>
      <w:sz w:val="18"/>
      <w:szCs w:val="18"/>
    </w:rPr>
  </w:style>
  <w:style w:type="paragraph" w:customStyle="1" w:styleId="Default1">
    <w:name w:val="Default1"/>
    <w:basedOn w:val="Default"/>
    <w:next w:val="Default"/>
    <w:uiPriority w:val="99"/>
    <w:rsid w:val="002362CE"/>
    <w:rPr>
      <w:color w:val="auto"/>
    </w:rPr>
  </w:style>
  <w:style w:type="table" w:styleId="TableGrid">
    <w:name w:val="Table Grid"/>
    <w:basedOn w:val="TableNormal"/>
    <w:uiPriority w:val="99"/>
    <w:rsid w:val="002A4D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BD17B9"/>
    <w:rPr>
      <w:sz w:val="24"/>
    </w:rPr>
  </w:style>
  <w:style w:type="character" w:customStyle="1" w:styleId="DeltaViewInsertion">
    <w:name w:val="DeltaView Insertion"/>
    <w:rsid w:val="00FC0F69"/>
    <w:rPr>
      <w:color w:val="0000FF"/>
      <w:spacing w:val="0"/>
      <w:u w:val="double"/>
    </w:rPr>
  </w:style>
  <w:style w:type="character" w:styleId="Emphasis">
    <w:name w:val="Emphasis"/>
    <w:uiPriority w:val="20"/>
    <w:qFormat/>
    <w:rsid w:val="00F06F9B"/>
    <w:rPr>
      <w:i/>
      <w:iCs/>
    </w:rPr>
  </w:style>
  <w:style w:type="numbering" w:customStyle="1" w:styleId="NoList1">
    <w:name w:val="No List1"/>
    <w:next w:val="NoList"/>
    <w:uiPriority w:val="99"/>
    <w:semiHidden/>
    <w:rsid w:val="00A44C95"/>
  </w:style>
  <w:style w:type="table" w:customStyle="1" w:styleId="TableGrid1">
    <w:name w:val="Table Grid1"/>
    <w:basedOn w:val="TableNormal"/>
    <w:next w:val="TableGrid"/>
    <w:rsid w:val="00A44C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rsid w:val="00A44C95"/>
    <w:rPr>
      <w:vertAlign w:val="superscript"/>
    </w:rPr>
  </w:style>
  <w:style w:type="paragraph" w:styleId="Index1">
    <w:name w:val="index 1"/>
    <w:basedOn w:val="Normal"/>
    <w:next w:val="Normal"/>
    <w:rsid w:val="00A44C95"/>
    <w:pPr>
      <w:tabs>
        <w:tab w:val="right" w:leader="dot" w:pos="9360"/>
      </w:tabs>
      <w:suppressAutoHyphens/>
      <w:overflowPunct w:val="0"/>
      <w:autoSpaceDE w:val="0"/>
      <w:autoSpaceDN w:val="0"/>
      <w:adjustRightInd w:val="0"/>
      <w:ind w:left="1440" w:right="720" w:hanging="1440"/>
      <w:textAlignment w:val="baseline"/>
    </w:pPr>
    <w:rPr>
      <w:rFonts w:ascii="Courier" w:hAnsi="Courier"/>
      <w:sz w:val="22"/>
    </w:rPr>
  </w:style>
  <w:style w:type="paragraph" w:styleId="Index2">
    <w:name w:val="index 2"/>
    <w:basedOn w:val="Normal"/>
    <w:next w:val="Normal"/>
    <w:rsid w:val="00A44C95"/>
    <w:pPr>
      <w:tabs>
        <w:tab w:val="right" w:leader="dot" w:pos="9360"/>
      </w:tabs>
      <w:suppressAutoHyphens/>
      <w:overflowPunct w:val="0"/>
      <w:autoSpaceDE w:val="0"/>
      <w:autoSpaceDN w:val="0"/>
      <w:adjustRightInd w:val="0"/>
      <w:ind w:left="1440" w:right="720" w:hanging="720"/>
      <w:textAlignment w:val="baseline"/>
    </w:pPr>
    <w:rPr>
      <w:rFonts w:ascii="Courier" w:hAnsi="Courier"/>
      <w:sz w:val="22"/>
    </w:rPr>
  </w:style>
  <w:style w:type="paragraph" w:customStyle="1" w:styleId="NormalArial">
    <w:name w:val="Normal + Arial"/>
    <w:basedOn w:val="Normal"/>
    <w:rsid w:val="00A44C95"/>
    <w:pPr>
      <w:numPr>
        <w:numId w:val="9"/>
      </w:numPr>
      <w:overflowPunct w:val="0"/>
      <w:autoSpaceDE w:val="0"/>
      <w:autoSpaceDN w:val="0"/>
      <w:adjustRightInd w:val="0"/>
      <w:textAlignment w:val="baseline"/>
    </w:pPr>
    <w:rPr>
      <w:rFonts w:ascii="Arial" w:hAnsi="Arial" w:cs="Arial"/>
      <w:sz w:val="22"/>
    </w:rPr>
  </w:style>
  <w:style w:type="character" w:customStyle="1" w:styleId="Finding2Char">
    <w:name w:val="Finding 2 Char"/>
    <w:link w:val="Finding2"/>
    <w:rsid w:val="00A44C95"/>
    <w:rPr>
      <w:sz w:val="24"/>
    </w:rPr>
  </w:style>
  <w:style w:type="numbering" w:customStyle="1" w:styleId="NoList2">
    <w:name w:val="No List2"/>
    <w:next w:val="NoList"/>
    <w:uiPriority w:val="99"/>
    <w:semiHidden/>
    <w:unhideWhenUsed/>
    <w:rsid w:val="0034086D"/>
  </w:style>
  <w:style w:type="numbering" w:customStyle="1" w:styleId="NoList11">
    <w:name w:val="No List11"/>
    <w:next w:val="NoList"/>
    <w:uiPriority w:val="99"/>
    <w:semiHidden/>
    <w:unhideWhenUsed/>
    <w:rsid w:val="00700D92"/>
  </w:style>
  <w:style w:type="table" w:customStyle="1" w:styleId="TableGrid2">
    <w:name w:val="Table Grid2"/>
    <w:basedOn w:val="TableNormal"/>
    <w:next w:val="TableGrid"/>
    <w:rsid w:val="00700D92"/>
    <w:rPr>
      <w:rFonts w:eastAsia="PMingLi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700D92"/>
    <w:rPr>
      <w:rFonts w:ascii="Calibri" w:eastAsia="Calibri" w:hAnsi="Calibri"/>
      <w:sz w:val="22"/>
      <w:szCs w:val="22"/>
    </w:rPr>
  </w:style>
  <w:style w:type="character" w:customStyle="1" w:styleId="Heading2-GChar1">
    <w:name w:val="Heading 2-G Char1"/>
    <w:link w:val="Heading2-G"/>
    <w:rsid w:val="00700D92"/>
    <w:rPr>
      <w:rFonts w:cs="Arial"/>
      <w:b/>
      <w:bCs/>
      <w:sz w:val="24"/>
      <w:lang w:val="en-CA"/>
    </w:rPr>
  </w:style>
  <w:style w:type="character" w:customStyle="1" w:styleId="Heading3-GChar1">
    <w:name w:val="Heading 3-G Char1"/>
    <w:link w:val="Heading3-G"/>
    <w:rsid w:val="00700D92"/>
    <w:rPr>
      <w:sz w:val="24"/>
    </w:rPr>
  </w:style>
  <w:style w:type="character" w:customStyle="1" w:styleId="Heading1-GChar">
    <w:name w:val="Heading 1-G Char"/>
    <w:link w:val="Heading1-G"/>
    <w:rsid w:val="00700D92"/>
    <w:rPr>
      <w:rFonts w:cs="Arial"/>
      <w:b/>
      <w:bCs/>
      <w:lang w:val="en-CA"/>
    </w:rPr>
  </w:style>
  <w:style w:type="character" w:customStyle="1" w:styleId="ptext-35">
    <w:name w:val="ptext-35"/>
    <w:basedOn w:val="DefaultParagraphFont"/>
    <w:rsid w:val="00700D92"/>
  </w:style>
  <w:style w:type="paragraph" w:customStyle="1" w:styleId="StyleH-indent5025Left1">
    <w:name w:val="Style H-indent .50/.25 + Left:  1&quot;"/>
    <w:basedOn w:val="H-indent5025"/>
    <w:rsid w:val="009F5F33"/>
    <w:pPr>
      <w:ind w:left="1800"/>
    </w:pPr>
    <w:rPr>
      <w:rFonts w:ascii="Times New Roman" w:hAnsi="Times New Roman" w:cs="Times New Roman"/>
      <w:szCs w:val="20"/>
    </w:rPr>
  </w:style>
  <w:style w:type="paragraph" w:customStyle="1" w:styleId="BodyNumber0325">
    <w:name w:val="Body Number 0.325"/>
    <w:basedOn w:val="Normal"/>
    <w:link w:val="BodyNumber0325Char"/>
    <w:rsid w:val="0016072C"/>
    <w:pPr>
      <w:numPr>
        <w:numId w:val="11"/>
      </w:numPr>
      <w:tabs>
        <w:tab w:val="left" w:pos="936"/>
      </w:tabs>
      <w:spacing w:after="120"/>
      <w:ind w:left="950" w:hanging="475"/>
      <w:outlineLvl w:val="1"/>
    </w:pPr>
    <w:rPr>
      <w:rFonts w:ascii="Arial" w:hAnsi="Arial" w:cs="Arial"/>
      <w:sz w:val="22"/>
      <w:szCs w:val="22"/>
    </w:rPr>
  </w:style>
  <w:style w:type="character" w:customStyle="1" w:styleId="BodyNumber0325Char">
    <w:name w:val="Body Number 0.325 Char"/>
    <w:link w:val="BodyNumber0325"/>
    <w:rsid w:val="0016072C"/>
    <w:rPr>
      <w:rFonts w:ascii="Arial" w:hAnsi="Arial" w:cs="Arial"/>
      <w:sz w:val="22"/>
      <w:szCs w:val="22"/>
    </w:rPr>
  </w:style>
  <w:style w:type="paragraph" w:customStyle="1" w:styleId="BodyNumber0975">
    <w:name w:val="Body Number 0.975"/>
    <w:basedOn w:val="BodyText"/>
    <w:link w:val="BodyNumber0975Char"/>
    <w:rsid w:val="0016072C"/>
    <w:pPr>
      <w:numPr>
        <w:ilvl w:val="2"/>
        <w:numId w:val="11"/>
      </w:numPr>
      <w:spacing w:after="120"/>
    </w:pPr>
    <w:rPr>
      <w:rFonts w:cs="Times New Roman"/>
      <w:sz w:val="22"/>
      <w:szCs w:val="22"/>
    </w:rPr>
  </w:style>
  <w:style w:type="paragraph" w:customStyle="1" w:styleId="BodyNumber13">
    <w:name w:val="Body Number 1.3"/>
    <w:basedOn w:val="Normal"/>
    <w:rsid w:val="0016072C"/>
    <w:pPr>
      <w:numPr>
        <w:ilvl w:val="3"/>
        <w:numId w:val="11"/>
      </w:numPr>
      <w:spacing w:after="120"/>
      <w:ind w:left="3297" w:hanging="475"/>
    </w:pPr>
    <w:rPr>
      <w:rFonts w:ascii="Arial" w:hAnsi="Arial" w:cs="Arial"/>
      <w:sz w:val="22"/>
      <w:szCs w:val="22"/>
    </w:rPr>
  </w:style>
  <w:style w:type="paragraph" w:customStyle="1" w:styleId="BodyNumber1625">
    <w:name w:val="Body Number 1.625"/>
    <w:basedOn w:val="BodyNumber13"/>
    <w:rsid w:val="0016072C"/>
    <w:pPr>
      <w:numPr>
        <w:ilvl w:val="4"/>
      </w:numPr>
    </w:pPr>
  </w:style>
  <w:style w:type="paragraph" w:customStyle="1" w:styleId="BodyNumber195">
    <w:name w:val="Body Number 1.95"/>
    <w:basedOn w:val="BodyNumber1625"/>
    <w:rsid w:val="0016072C"/>
    <w:pPr>
      <w:numPr>
        <w:ilvl w:val="5"/>
      </w:numPr>
      <w:ind w:left="3283" w:hanging="475"/>
    </w:pPr>
  </w:style>
  <w:style w:type="paragraph" w:customStyle="1" w:styleId="Definitions">
    <w:name w:val="Definitions"/>
    <w:basedOn w:val="BodyText"/>
    <w:rsid w:val="00C73704"/>
    <w:pPr>
      <w:spacing w:after="0"/>
      <w:outlineLvl w:val="1"/>
    </w:pPr>
    <w:rPr>
      <w:rFonts w:cs="Times New Roman"/>
      <w:b/>
      <w:sz w:val="22"/>
      <w:szCs w:val="22"/>
    </w:rPr>
  </w:style>
  <w:style w:type="paragraph" w:customStyle="1" w:styleId="BodyNumber065">
    <w:name w:val="Body Number 0.65"/>
    <w:basedOn w:val="BodyText"/>
    <w:rsid w:val="007320F1"/>
    <w:pPr>
      <w:numPr>
        <w:numId w:val="13"/>
      </w:numPr>
      <w:spacing w:after="120"/>
      <w:ind w:left="1411" w:hanging="475"/>
    </w:pPr>
    <w:rPr>
      <w:rFonts w:cs="Times New Roman"/>
      <w:sz w:val="22"/>
      <w:szCs w:val="22"/>
    </w:rPr>
  </w:style>
  <w:style w:type="paragraph" w:customStyle="1" w:styleId="BodyText065">
    <w:name w:val="Body Text 0.65"/>
    <w:basedOn w:val="BodyText"/>
    <w:rsid w:val="007320F1"/>
    <w:pPr>
      <w:spacing w:after="120"/>
      <w:ind w:left="936"/>
    </w:pPr>
    <w:rPr>
      <w:rFonts w:cs="Times New Roman"/>
      <w:sz w:val="22"/>
      <w:szCs w:val="22"/>
    </w:rPr>
  </w:style>
  <w:style w:type="character" w:customStyle="1" w:styleId="BodyNumber0975Char">
    <w:name w:val="Body Number 0.975 Char"/>
    <w:basedOn w:val="BodyTextChar"/>
    <w:link w:val="BodyNumber0975"/>
    <w:rsid w:val="00C74AD3"/>
    <w:rPr>
      <w:rFonts w:ascii="Arial" w:hAnsi="Arial" w:cs="Arial"/>
      <w:sz w:val="22"/>
      <w:szCs w:val="22"/>
      <w:lang w:val="en-US" w:eastAsia="en-US" w:bidi="ar-SA"/>
    </w:rPr>
  </w:style>
  <w:style w:type="paragraph" w:customStyle="1" w:styleId="Headings2-D">
    <w:name w:val="Headings 2-D"/>
    <w:basedOn w:val="Normal"/>
    <w:qFormat/>
    <w:rsid w:val="00C74AD3"/>
    <w:pPr>
      <w:numPr>
        <w:numId w:val="14"/>
      </w:numPr>
      <w:spacing w:after="120"/>
    </w:pPr>
    <w:rPr>
      <w:rFonts w:ascii="Arial Bold" w:hAnsi="Arial Bold"/>
      <w:b/>
      <w:sz w:val="22"/>
      <w:szCs w:val="22"/>
    </w:rPr>
  </w:style>
  <w:style w:type="paragraph" w:customStyle="1" w:styleId="BodyText0975">
    <w:name w:val="Body Text 0.975&quot;"/>
    <w:basedOn w:val="BodyText065"/>
    <w:rsid w:val="000047CE"/>
    <w:pPr>
      <w:ind w:left="1404"/>
    </w:pPr>
  </w:style>
  <w:style w:type="paragraph" w:customStyle="1" w:styleId="BodyNumber065Bold">
    <w:name w:val="Body Number 0.65 Bold"/>
    <w:basedOn w:val="Normal"/>
    <w:rsid w:val="00760B52"/>
    <w:pPr>
      <w:numPr>
        <w:numId w:val="17"/>
      </w:numPr>
      <w:spacing w:after="120"/>
    </w:pPr>
    <w:rPr>
      <w:rFonts w:ascii="Arial Bold" w:hAnsi="Arial Bold"/>
      <w:b/>
    </w:rPr>
  </w:style>
  <w:style w:type="paragraph" w:customStyle="1" w:styleId="BodyText0325">
    <w:name w:val="BodyText 0.325"/>
    <w:basedOn w:val="Normal"/>
    <w:rsid w:val="00760B52"/>
    <w:pPr>
      <w:spacing w:after="120"/>
      <w:ind w:left="475"/>
    </w:pPr>
    <w:rPr>
      <w:rFonts w:ascii="Arial" w:hAnsi="Arial"/>
    </w:rPr>
  </w:style>
  <w:style w:type="paragraph" w:customStyle="1" w:styleId="BodyText0650">
    <w:name w:val="BodyText 0.65&quot;"/>
    <w:basedOn w:val="Normal"/>
    <w:rsid w:val="00760B52"/>
    <w:pPr>
      <w:spacing w:after="120"/>
      <w:ind w:left="936"/>
    </w:pPr>
    <w:rPr>
      <w:rFonts w:ascii="Arial" w:hAnsi="Arial"/>
    </w:rPr>
  </w:style>
  <w:style w:type="paragraph" w:customStyle="1" w:styleId="BodyText09750">
    <w:name w:val="BodyText 0.975"/>
    <w:basedOn w:val="BodyText0650"/>
    <w:qFormat/>
    <w:rsid w:val="00760B52"/>
    <w:pPr>
      <w:ind w:left="1404"/>
    </w:pPr>
  </w:style>
  <w:style w:type="paragraph" w:customStyle="1" w:styleId="BodyText13">
    <w:name w:val="BodyText 1.3"/>
    <w:basedOn w:val="Normal"/>
    <w:rsid w:val="00760B52"/>
    <w:pPr>
      <w:spacing w:after="240"/>
      <w:ind w:left="1872"/>
    </w:pPr>
    <w:rPr>
      <w:rFonts w:ascii="Arial" w:hAnsi="Arial"/>
    </w:rPr>
  </w:style>
  <w:style w:type="paragraph" w:customStyle="1" w:styleId="BodyTextCenter8">
    <w:name w:val="BodyTextCenter8"/>
    <w:basedOn w:val="Normal"/>
    <w:rsid w:val="00760B52"/>
    <w:pPr>
      <w:jc w:val="center"/>
    </w:pPr>
    <w:rPr>
      <w:rFonts w:ascii="Arial" w:hAnsi="Arial"/>
      <w:sz w:val="16"/>
    </w:rPr>
  </w:style>
  <w:style w:type="paragraph" w:customStyle="1" w:styleId="BodyTextIndent075">
    <w:name w:val="BodyTextIndent0.75&quot;"/>
    <w:basedOn w:val="Normal"/>
    <w:rsid w:val="00760B52"/>
    <w:pPr>
      <w:spacing w:after="240"/>
      <w:ind w:left="1080"/>
    </w:pPr>
    <w:rPr>
      <w:rFonts w:ascii="Arial" w:hAnsi="Arial"/>
    </w:rPr>
  </w:style>
  <w:style w:type="paragraph" w:customStyle="1" w:styleId="BodyTextIndent1">
    <w:name w:val="BodyTextIndent1&quot;"/>
    <w:basedOn w:val="Normal"/>
    <w:rsid w:val="00760B52"/>
    <w:pPr>
      <w:spacing w:after="240"/>
      <w:ind w:left="1440"/>
    </w:pPr>
    <w:rPr>
      <w:rFonts w:ascii="Arial" w:hAnsi="Arial"/>
    </w:rPr>
  </w:style>
  <w:style w:type="paragraph" w:customStyle="1" w:styleId="BodyTextNumber25">
    <w:name w:val="BodyTextNumber.25"/>
    <w:basedOn w:val="BodyText"/>
    <w:link w:val="BodyTextNumber25CharChar"/>
    <w:rsid w:val="00760B52"/>
    <w:pPr>
      <w:numPr>
        <w:numId w:val="18"/>
      </w:numPr>
      <w:outlineLvl w:val="1"/>
    </w:pPr>
    <w:rPr>
      <w:rFonts w:cs="Times New Roman"/>
      <w:szCs w:val="20"/>
    </w:rPr>
  </w:style>
  <w:style w:type="character" w:customStyle="1" w:styleId="BodyTextNumber25CharChar">
    <w:name w:val="BodyTextNumber.25 Char Char"/>
    <w:link w:val="BodyTextNumber25"/>
    <w:rsid w:val="00760B52"/>
    <w:rPr>
      <w:rFonts w:ascii="Arial" w:hAnsi="Arial"/>
    </w:rPr>
  </w:style>
  <w:style w:type="paragraph" w:customStyle="1" w:styleId="BodyTextNumber50">
    <w:name w:val="BodyTextNumber.50"/>
    <w:basedOn w:val="BodyText"/>
    <w:rsid w:val="00760B52"/>
    <w:pPr>
      <w:numPr>
        <w:ilvl w:val="1"/>
        <w:numId w:val="18"/>
      </w:numPr>
    </w:pPr>
    <w:rPr>
      <w:rFonts w:cs="Times New Roman"/>
      <w:szCs w:val="20"/>
    </w:rPr>
  </w:style>
  <w:style w:type="paragraph" w:customStyle="1" w:styleId="BodyTextNumber75">
    <w:name w:val="BodyTextNumber.75"/>
    <w:basedOn w:val="BodyText"/>
    <w:link w:val="BodyTextNumber75CharChar"/>
    <w:rsid w:val="00760B52"/>
    <w:pPr>
      <w:numPr>
        <w:ilvl w:val="2"/>
        <w:numId w:val="18"/>
      </w:numPr>
    </w:pPr>
  </w:style>
  <w:style w:type="character" w:customStyle="1" w:styleId="BodyTextNumber75CharChar">
    <w:name w:val="BodyTextNumber.75 Char Char"/>
    <w:basedOn w:val="BodyTextChar"/>
    <w:link w:val="BodyTextNumber75"/>
    <w:rsid w:val="00760B52"/>
    <w:rPr>
      <w:rFonts w:ascii="Arial" w:hAnsi="Arial" w:cs="Arial"/>
      <w:sz w:val="24"/>
      <w:szCs w:val="24"/>
      <w:lang w:val="en-US" w:eastAsia="en-US" w:bidi="ar-SA"/>
    </w:rPr>
  </w:style>
  <w:style w:type="paragraph" w:customStyle="1" w:styleId="BodyTextNumber1">
    <w:name w:val="BodyTextNumber1&quot;"/>
    <w:basedOn w:val="Normal"/>
    <w:rsid w:val="00760B52"/>
    <w:pPr>
      <w:numPr>
        <w:ilvl w:val="3"/>
        <w:numId w:val="18"/>
      </w:numPr>
      <w:spacing w:after="240"/>
    </w:pPr>
    <w:rPr>
      <w:rFonts w:ascii="Arial" w:hAnsi="Arial" w:cs="Arial"/>
    </w:rPr>
  </w:style>
  <w:style w:type="paragraph" w:customStyle="1" w:styleId="BodyTextNumber125">
    <w:name w:val="BodyTextNumber1.25"/>
    <w:basedOn w:val="BodyTextNumber1"/>
    <w:rsid w:val="00760B52"/>
    <w:pPr>
      <w:numPr>
        <w:ilvl w:val="4"/>
      </w:numPr>
    </w:pPr>
  </w:style>
  <w:style w:type="paragraph" w:customStyle="1" w:styleId="BodyTextNumber150">
    <w:name w:val="BodyTextNumber1.50"/>
    <w:basedOn w:val="BodyTextNumber125"/>
    <w:rsid w:val="00760B52"/>
    <w:pPr>
      <w:numPr>
        <w:ilvl w:val="5"/>
      </w:numPr>
    </w:pPr>
  </w:style>
  <w:style w:type="paragraph" w:customStyle="1" w:styleId="HeadingE">
    <w:name w:val="Heading E"/>
    <w:basedOn w:val="Normal"/>
    <w:rsid w:val="00760B52"/>
    <w:pPr>
      <w:keepNext/>
      <w:spacing w:after="240"/>
      <w:outlineLvl w:val="0"/>
    </w:pPr>
    <w:rPr>
      <w:rFonts w:ascii="Arial" w:hAnsi="Arial" w:cs="Arial"/>
      <w:b/>
      <w:bCs/>
      <w:caps/>
    </w:rPr>
  </w:style>
  <w:style w:type="paragraph" w:customStyle="1" w:styleId="HeadingF">
    <w:name w:val="Heading F"/>
    <w:basedOn w:val="HeadingE"/>
    <w:rsid w:val="00760B52"/>
  </w:style>
  <w:style w:type="paragraph" w:customStyle="1" w:styleId="Headings1">
    <w:name w:val="Headings 1"/>
    <w:basedOn w:val="Normal"/>
    <w:rsid w:val="00760B52"/>
    <w:pPr>
      <w:keepNext/>
      <w:numPr>
        <w:numId w:val="19"/>
      </w:numPr>
      <w:spacing w:after="120"/>
      <w:outlineLvl w:val="0"/>
    </w:pPr>
    <w:rPr>
      <w:rFonts w:ascii="Arial Bold" w:hAnsi="Arial Bold" w:cs="Arial"/>
      <w:b/>
      <w:caps/>
    </w:rPr>
  </w:style>
  <w:style w:type="paragraph" w:customStyle="1" w:styleId="Headings1-D">
    <w:name w:val="Headings 1-D"/>
    <w:basedOn w:val="Normal"/>
    <w:qFormat/>
    <w:rsid w:val="00760B52"/>
    <w:pPr>
      <w:numPr>
        <w:numId w:val="20"/>
      </w:numPr>
      <w:tabs>
        <w:tab w:val="left" w:pos="936"/>
      </w:tabs>
      <w:spacing w:after="120"/>
      <w:outlineLvl w:val="0"/>
    </w:pPr>
    <w:rPr>
      <w:rFonts w:ascii="Arial Bold" w:hAnsi="Arial Bold"/>
      <w:b/>
      <w:caps/>
    </w:rPr>
  </w:style>
  <w:style w:type="paragraph" w:customStyle="1" w:styleId="Headings1-E">
    <w:name w:val="Headings 1-E"/>
    <w:basedOn w:val="Normal"/>
    <w:qFormat/>
    <w:rsid w:val="00760B52"/>
    <w:pPr>
      <w:numPr>
        <w:numId w:val="21"/>
      </w:numPr>
      <w:spacing w:after="120"/>
      <w:outlineLvl w:val="0"/>
    </w:pPr>
    <w:rPr>
      <w:rFonts w:ascii="Arial Bold" w:hAnsi="Arial Bold"/>
      <w:b/>
      <w:caps/>
    </w:rPr>
  </w:style>
  <w:style w:type="paragraph" w:customStyle="1" w:styleId="Headings1-F">
    <w:name w:val="Headings 1-F"/>
    <w:basedOn w:val="Normal"/>
    <w:qFormat/>
    <w:rsid w:val="00760B52"/>
    <w:pPr>
      <w:numPr>
        <w:numId w:val="22"/>
      </w:numPr>
      <w:spacing w:after="120"/>
      <w:outlineLvl w:val="0"/>
    </w:pPr>
    <w:rPr>
      <w:rFonts w:ascii="Arial Bold" w:hAnsi="Arial Bold"/>
      <w:b/>
      <w:caps/>
    </w:rPr>
  </w:style>
  <w:style w:type="paragraph" w:customStyle="1" w:styleId="Headings2-E">
    <w:name w:val="Headings 2-E"/>
    <w:basedOn w:val="Normal"/>
    <w:qFormat/>
    <w:rsid w:val="00760B52"/>
    <w:pPr>
      <w:numPr>
        <w:numId w:val="23"/>
      </w:numPr>
      <w:spacing w:after="120"/>
      <w:outlineLvl w:val="1"/>
    </w:pPr>
    <w:rPr>
      <w:rFonts w:ascii="Arial Bold" w:hAnsi="Arial Bold"/>
      <w:b/>
    </w:rPr>
  </w:style>
  <w:style w:type="paragraph" w:customStyle="1" w:styleId="Headings2-F">
    <w:name w:val="Headings 2-F"/>
    <w:basedOn w:val="Normal"/>
    <w:qFormat/>
    <w:rsid w:val="00760B52"/>
    <w:pPr>
      <w:numPr>
        <w:numId w:val="24"/>
      </w:numPr>
      <w:spacing w:after="120"/>
      <w:outlineLvl w:val="1"/>
    </w:pPr>
    <w:rPr>
      <w:rFonts w:ascii="Arial Bold" w:hAnsi="Arial Bold"/>
      <w:b/>
    </w:rPr>
  </w:style>
  <w:style w:type="paragraph" w:customStyle="1" w:styleId="Headings3">
    <w:name w:val="Headings 3"/>
    <w:basedOn w:val="Normal"/>
    <w:rsid w:val="00760B52"/>
    <w:pPr>
      <w:keepNext/>
      <w:numPr>
        <w:ilvl w:val="2"/>
        <w:numId w:val="25"/>
      </w:numPr>
      <w:spacing w:after="120"/>
    </w:pPr>
    <w:rPr>
      <w:rFonts w:ascii="Arial Bold" w:hAnsi="Arial Bold"/>
      <w:b/>
    </w:rPr>
  </w:style>
  <w:style w:type="paragraph" w:customStyle="1" w:styleId="Headings3-F">
    <w:name w:val="Headings 3-F"/>
    <w:basedOn w:val="Normal"/>
    <w:rsid w:val="00760B52"/>
    <w:pPr>
      <w:numPr>
        <w:numId w:val="26"/>
      </w:numPr>
      <w:spacing w:after="120"/>
      <w:outlineLvl w:val="2"/>
    </w:pPr>
    <w:rPr>
      <w:rFonts w:ascii="Arial Bold" w:hAnsi="Arial Bold"/>
      <w:b/>
    </w:rPr>
  </w:style>
  <w:style w:type="paragraph" w:styleId="TOCHeading">
    <w:name w:val="TOC Heading"/>
    <w:basedOn w:val="Heading1"/>
    <w:next w:val="Normal"/>
    <w:uiPriority w:val="39"/>
    <w:semiHidden/>
    <w:unhideWhenUsed/>
    <w:qFormat/>
    <w:rsid w:val="0051747F"/>
    <w:pPr>
      <w:keepLines/>
      <w:tabs>
        <w:tab w:val="clear" w:pos="360"/>
      </w:tabs>
      <w:spacing w:before="480" w:after="0" w:line="276" w:lineRule="auto"/>
      <w:outlineLvl w:val="9"/>
    </w:pPr>
    <w:rPr>
      <w:rFonts w:asciiTheme="majorHAnsi" w:eastAsiaTheme="majorEastAsia" w:hAnsiTheme="majorHAnsi" w:cstheme="majorBidi"/>
      <w:bCs/>
      <w:caps w:val="0"/>
      <w:color w:val="365F91" w:themeColor="accent1" w:themeShade="BF"/>
      <w:sz w:val="28"/>
      <w:szCs w:val="28"/>
      <w:lang w:eastAsia="ja-JP"/>
    </w:rPr>
  </w:style>
  <w:style w:type="numbering" w:customStyle="1" w:styleId="NoList3">
    <w:name w:val="No List3"/>
    <w:next w:val="NoList"/>
    <w:uiPriority w:val="99"/>
    <w:semiHidden/>
    <w:unhideWhenUsed/>
    <w:rsid w:val="00382CE0"/>
  </w:style>
  <w:style w:type="numbering" w:customStyle="1" w:styleId="NoList12">
    <w:name w:val="No List12"/>
    <w:next w:val="NoList"/>
    <w:uiPriority w:val="99"/>
    <w:semiHidden/>
    <w:unhideWhenUsed/>
    <w:rsid w:val="00382CE0"/>
  </w:style>
  <w:style w:type="paragraph" w:customStyle="1" w:styleId="BodyTextCenter80">
    <w:name w:val="Body Text Center 8"/>
    <w:basedOn w:val="Normal"/>
    <w:rsid w:val="00382CE0"/>
    <w:pPr>
      <w:jc w:val="center"/>
    </w:pPr>
    <w:rPr>
      <w:sz w:val="16"/>
      <w:szCs w:val="22"/>
    </w:rPr>
  </w:style>
  <w:style w:type="paragraph" w:customStyle="1" w:styleId="BodyTextRight">
    <w:name w:val="Body Text Right"/>
    <w:basedOn w:val="Normal"/>
    <w:rsid w:val="00382CE0"/>
    <w:pPr>
      <w:jc w:val="right"/>
    </w:pPr>
    <w:rPr>
      <w:szCs w:val="22"/>
    </w:rPr>
  </w:style>
  <w:style w:type="paragraph" w:customStyle="1" w:styleId="NotesTmp">
    <w:name w:val="NotesTmp"/>
    <w:basedOn w:val="Normal"/>
    <w:link w:val="NotesTmpChar"/>
    <w:rsid w:val="00382CE0"/>
    <w:pPr>
      <w:keepLines/>
      <w:widowControl w:val="0"/>
      <w:pBdr>
        <w:top w:val="single" w:sz="18" w:space="4" w:color="FF0000"/>
        <w:left w:val="single" w:sz="18" w:space="4" w:color="FF0000"/>
        <w:bottom w:val="single" w:sz="18" w:space="4" w:color="FF0000"/>
        <w:right w:val="single" w:sz="18" w:space="4" w:color="FF0000"/>
      </w:pBdr>
      <w:spacing w:after="120"/>
    </w:pPr>
    <w:rPr>
      <w:b/>
      <w:bCs/>
      <w:szCs w:val="22"/>
    </w:rPr>
  </w:style>
  <w:style w:type="character" w:customStyle="1" w:styleId="NotesTmpChar">
    <w:name w:val="NotesTmp Char"/>
    <w:link w:val="NotesTmp"/>
    <w:rsid w:val="00382CE0"/>
    <w:rPr>
      <w:b/>
      <w:bCs/>
      <w:szCs w:val="22"/>
    </w:rPr>
  </w:style>
  <w:style w:type="paragraph" w:customStyle="1" w:styleId="BodyText03250">
    <w:name w:val="Body Text 0.325&quot;"/>
    <w:basedOn w:val="BodyText"/>
    <w:qFormat/>
    <w:rsid w:val="00382CE0"/>
    <w:pPr>
      <w:spacing w:after="120"/>
      <w:ind w:left="475"/>
    </w:pPr>
    <w:rPr>
      <w:rFonts w:ascii="Times New Roman" w:hAnsi="Times New Roman" w:cs="Times New Roman"/>
      <w:szCs w:val="22"/>
    </w:rPr>
  </w:style>
  <w:style w:type="paragraph" w:customStyle="1" w:styleId="BodyText130">
    <w:name w:val="Body Text 1.3"/>
    <w:basedOn w:val="Normal"/>
    <w:rsid w:val="00382CE0"/>
    <w:pPr>
      <w:spacing w:after="120"/>
      <w:ind w:left="1872"/>
    </w:pPr>
    <w:rPr>
      <w:szCs w:val="22"/>
    </w:rPr>
  </w:style>
  <w:style w:type="paragraph" w:customStyle="1" w:styleId="NormalAttachments">
    <w:name w:val="Normal Attachments"/>
    <w:basedOn w:val="Heading1"/>
    <w:rsid w:val="00382CE0"/>
    <w:pPr>
      <w:spacing w:after="120"/>
      <w:jc w:val="center"/>
    </w:pPr>
    <w:rPr>
      <w:rFonts w:ascii="Times New Roman" w:hAnsi="Times New Roman" w:cs="Arial"/>
      <w:szCs w:val="22"/>
    </w:rPr>
  </w:style>
  <w:style w:type="paragraph" w:customStyle="1" w:styleId="TableE">
    <w:name w:val="Table E"/>
    <w:basedOn w:val="TableHead"/>
    <w:rsid w:val="00382CE0"/>
    <w:pPr>
      <w:spacing w:after="60"/>
      <w:jc w:val="center"/>
    </w:pPr>
    <w:rPr>
      <w:rFonts w:ascii="Times New Roman" w:hAnsi="Times New Roman"/>
      <w:bCs w:val="0"/>
      <w:szCs w:val="22"/>
    </w:rPr>
  </w:style>
  <w:style w:type="paragraph" w:customStyle="1" w:styleId="TableF">
    <w:name w:val="Table F"/>
    <w:basedOn w:val="TableE"/>
    <w:rsid w:val="00382CE0"/>
  </w:style>
  <w:style w:type="paragraph" w:customStyle="1" w:styleId="TableTextBoldLeft">
    <w:name w:val="Table Text Bold Left"/>
    <w:basedOn w:val="TableText"/>
    <w:rsid w:val="00382CE0"/>
    <w:pPr>
      <w:jc w:val="left"/>
    </w:pPr>
    <w:rPr>
      <w:rFonts w:cs="Times New Roman"/>
      <w:b/>
      <w:bCs/>
      <w:sz w:val="22"/>
      <w:szCs w:val="22"/>
    </w:rPr>
  </w:style>
  <w:style w:type="paragraph" w:customStyle="1" w:styleId="FooterLandscape">
    <w:name w:val="FooterLandscape"/>
    <w:basedOn w:val="Normal"/>
    <w:rsid w:val="00382CE0"/>
    <w:pPr>
      <w:tabs>
        <w:tab w:val="right" w:pos="13680"/>
      </w:tabs>
    </w:pPr>
    <w:rPr>
      <w:szCs w:val="22"/>
    </w:rPr>
  </w:style>
  <w:style w:type="paragraph" w:customStyle="1" w:styleId="dash">
    <w:name w:val="dash"/>
    <w:basedOn w:val="BodyText"/>
    <w:semiHidden/>
    <w:rsid w:val="00382CE0"/>
    <w:pPr>
      <w:tabs>
        <w:tab w:val="num" w:pos="945"/>
        <w:tab w:val="num" w:pos="1080"/>
      </w:tabs>
      <w:spacing w:after="0"/>
      <w:ind w:left="965" w:hanging="274"/>
    </w:pPr>
    <w:rPr>
      <w:rFonts w:ascii="Times New Roman" w:hAnsi="Times New Roman" w:cs="Times New Roman"/>
      <w:sz w:val="23"/>
    </w:rPr>
  </w:style>
  <w:style w:type="paragraph" w:customStyle="1" w:styleId="dasha">
    <w:name w:val="dasha"/>
    <w:basedOn w:val="dash"/>
    <w:semiHidden/>
    <w:rsid w:val="00382CE0"/>
    <w:pPr>
      <w:spacing w:after="160"/>
    </w:pPr>
  </w:style>
  <w:style w:type="paragraph" w:customStyle="1" w:styleId="SpecialChar">
    <w:name w:val="Special Char"/>
    <w:rsid w:val="00382CE0"/>
    <w:pPr>
      <w:overflowPunct w:val="0"/>
      <w:autoSpaceDE w:val="0"/>
      <w:autoSpaceDN w:val="0"/>
      <w:adjustRightInd w:val="0"/>
      <w:textAlignment w:val="baseline"/>
    </w:pPr>
    <w:rPr>
      <w:rFonts w:ascii="Book Antiqua" w:hAnsi="Book Antiqua"/>
      <w:sz w:val="22"/>
      <w:szCs w:val="22"/>
    </w:rPr>
  </w:style>
  <w:style w:type="paragraph" w:customStyle="1" w:styleId="RIGHTMARGIN">
    <w:name w:val="RIGHT MARGIN"/>
    <w:basedOn w:val="Normal"/>
    <w:next w:val="Normal"/>
    <w:rsid w:val="00382CE0"/>
    <w:pPr>
      <w:framePr w:w="720" w:hSpace="180" w:vSpace="180" w:wrap="auto" w:vAnchor="page" w:hAnchor="page" w:xAlign="right" w:yAlign="center"/>
      <w:overflowPunct w:val="0"/>
      <w:autoSpaceDE w:val="0"/>
      <w:autoSpaceDN w:val="0"/>
      <w:adjustRightInd w:val="0"/>
      <w:spacing w:line="1440" w:lineRule="atLeast"/>
      <w:ind w:left="547" w:right="8640" w:hanging="547"/>
      <w:textAlignment w:val="baseline"/>
    </w:pPr>
    <w:rPr>
      <w:rFonts w:ascii="Helvetica" w:hAnsi="Helvetica"/>
      <w:b/>
      <w:caps/>
      <w:outline/>
      <w:color w:val="000000"/>
      <w:sz w:val="72"/>
      <w:szCs w:val="22"/>
      <w14:textOutline w14:w="9525" w14:cap="flat" w14:cmpd="sng" w14:algn="ctr">
        <w14:solidFill>
          <w14:srgbClr w14:val="000000"/>
        </w14:solidFill>
        <w14:prstDash w14:val="solid"/>
        <w14:round/>
      </w14:textOutline>
      <w14:textFill>
        <w14:noFill/>
      </w14:textFill>
    </w:rPr>
  </w:style>
  <w:style w:type="paragraph" w:customStyle="1" w:styleId="tablename">
    <w:name w:val="table name"/>
    <w:basedOn w:val="Normal"/>
    <w:rsid w:val="00382CE0"/>
    <w:pPr>
      <w:spacing w:after="120"/>
      <w:jc w:val="center"/>
    </w:pPr>
    <w:rPr>
      <w:rFonts w:cs="Arial"/>
      <w:b/>
      <w:bCs/>
      <w:smallCaps/>
      <w:szCs w:val="24"/>
    </w:rPr>
  </w:style>
  <w:style w:type="paragraph" w:customStyle="1" w:styleId="Tabletext0">
    <w:name w:val="Table text"/>
    <w:rsid w:val="00382CE0"/>
    <w:pPr>
      <w:spacing w:before="60" w:after="60"/>
    </w:pPr>
    <w:rPr>
      <w:rFonts w:ascii="Arial" w:hAnsi="Arial"/>
      <w:sz w:val="18"/>
      <w:szCs w:val="22"/>
    </w:rPr>
  </w:style>
  <w:style w:type="paragraph" w:customStyle="1" w:styleId="tabletext1">
    <w:name w:val="table text"/>
    <w:basedOn w:val="Normal"/>
    <w:rsid w:val="00382CE0"/>
    <w:pPr>
      <w:spacing w:before="60" w:after="60"/>
    </w:pPr>
    <w:rPr>
      <w:rFonts w:cs="Arial"/>
      <w:sz w:val="18"/>
      <w:szCs w:val="24"/>
    </w:rPr>
  </w:style>
  <w:style w:type="paragraph" w:customStyle="1" w:styleId="notes">
    <w:name w:val="notes"/>
    <w:basedOn w:val="tablename"/>
    <w:rsid w:val="00382CE0"/>
    <w:pPr>
      <w:jc w:val="left"/>
    </w:pPr>
    <w:rPr>
      <w:rFonts w:cs="Times New Roman"/>
      <w:b w:val="0"/>
      <w:bCs w:val="0"/>
      <w:caps/>
      <w:snapToGrid w:val="0"/>
    </w:rPr>
  </w:style>
  <w:style w:type="paragraph" w:customStyle="1" w:styleId="textcontent">
    <w:name w:val="textcontent"/>
    <w:basedOn w:val="Normal"/>
    <w:rsid w:val="00382CE0"/>
    <w:pPr>
      <w:spacing w:before="100" w:beforeAutospacing="1" w:after="100" w:afterAutospacing="1"/>
    </w:pPr>
    <w:rPr>
      <w:rFonts w:eastAsia="Arial Unicode MS"/>
      <w:szCs w:val="24"/>
    </w:rPr>
  </w:style>
  <w:style w:type="paragraph" w:customStyle="1" w:styleId="Normal8">
    <w:name w:val="Normal8"/>
    <w:basedOn w:val="Normal"/>
    <w:rsid w:val="00382CE0"/>
    <w:rPr>
      <w:sz w:val="16"/>
      <w:szCs w:val="24"/>
    </w:rPr>
  </w:style>
  <w:style w:type="table" w:customStyle="1" w:styleId="TableGrid3">
    <w:name w:val="Table Grid3"/>
    <w:basedOn w:val="TableNormal"/>
    <w:next w:val="TableGrid"/>
    <w:uiPriority w:val="99"/>
    <w:rsid w:val="00382CE0"/>
    <w:rPr>
      <w:rFonts w:ascii="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382CE0"/>
  </w:style>
  <w:style w:type="numbering" w:customStyle="1" w:styleId="NoList1111">
    <w:name w:val="No List1111"/>
    <w:next w:val="NoList"/>
    <w:uiPriority w:val="99"/>
    <w:semiHidden/>
    <w:rsid w:val="00382CE0"/>
  </w:style>
  <w:style w:type="table" w:customStyle="1" w:styleId="TableGrid11">
    <w:name w:val="Table Grid11"/>
    <w:basedOn w:val="TableNormal"/>
    <w:next w:val="TableGrid"/>
    <w:rsid w:val="00382C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382CE0"/>
  </w:style>
  <w:style w:type="numbering" w:customStyle="1" w:styleId="NoList11111">
    <w:name w:val="No List11111"/>
    <w:next w:val="NoList"/>
    <w:uiPriority w:val="99"/>
    <w:semiHidden/>
    <w:unhideWhenUsed/>
    <w:rsid w:val="00382CE0"/>
  </w:style>
  <w:style w:type="table" w:customStyle="1" w:styleId="TableGrid21">
    <w:name w:val="Table Grid21"/>
    <w:basedOn w:val="TableNormal"/>
    <w:next w:val="TableGrid"/>
    <w:rsid w:val="00382CE0"/>
    <w:rPr>
      <w:rFonts w:eastAsia="PMingLi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uiPriority w:val="99"/>
    <w:rsid w:val="00382C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99"/>
    <w:rsid w:val="00382C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M113">
    <w:name w:val="CM113"/>
    <w:basedOn w:val="Default"/>
    <w:next w:val="Default"/>
    <w:uiPriority w:val="99"/>
    <w:rsid w:val="00382CE0"/>
    <w:pPr>
      <w:widowControl w:val="0"/>
    </w:pPr>
    <w:rPr>
      <w:color w:val="auto"/>
    </w:rPr>
  </w:style>
  <w:style w:type="paragraph" w:customStyle="1" w:styleId="CM18">
    <w:name w:val="CM18"/>
    <w:basedOn w:val="Default"/>
    <w:next w:val="Default"/>
    <w:uiPriority w:val="99"/>
    <w:rsid w:val="00382CE0"/>
    <w:pPr>
      <w:widowControl w:val="0"/>
      <w:spacing w:line="276" w:lineRule="atLeast"/>
    </w:pPr>
    <w:rPr>
      <w:color w:val="auto"/>
    </w:rPr>
  </w:style>
  <w:style w:type="paragraph" w:customStyle="1" w:styleId="CM45">
    <w:name w:val="CM45"/>
    <w:basedOn w:val="Default"/>
    <w:next w:val="Default"/>
    <w:uiPriority w:val="99"/>
    <w:rsid w:val="00382CE0"/>
    <w:pPr>
      <w:widowControl w:val="0"/>
    </w:pPr>
    <w:rPr>
      <w:color w:val="auto"/>
    </w:rPr>
  </w:style>
  <w:style w:type="paragraph" w:customStyle="1" w:styleId="CM56">
    <w:name w:val="CM56"/>
    <w:basedOn w:val="Default"/>
    <w:next w:val="Default"/>
    <w:uiPriority w:val="99"/>
    <w:rsid w:val="00382CE0"/>
    <w:pPr>
      <w:widowControl w:val="0"/>
      <w:spacing w:line="276" w:lineRule="atLeast"/>
    </w:pPr>
    <w:rPr>
      <w:color w:val="auto"/>
    </w:rPr>
  </w:style>
  <w:style w:type="paragraph" w:customStyle="1" w:styleId="CM117">
    <w:name w:val="CM117"/>
    <w:basedOn w:val="Default"/>
    <w:next w:val="Default"/>
    <w:uiPriority w:val="99"/>
    <w:rsid w:val="00382CE0"/>
    <w:pPr>
      <w:widowControl w:val="0"/>
    </w:pPr>
    <w:rPr>
      <w:color w:val="auto"/>
    </w:rPr>
  </w:style>
  <w:style w:type="paragraph" w:customStyle="1" w:styleId="CM123">
    <w:name w:val="CM123"/>
    <w:basedOn w:val="Default"/>
    <w:next w:val="Default"/>
    <w:uiPriority w:val="99"/>
    <w:rsid w:val="00382CE0"/>
    <w:pPr>
      <w:widowControl w:val="0"/>
    </w:pPr>
    <w:rPr>
      <w:color w:val="auto"/>
    </w:rPr>
  </w:style>
  <w:style w:type="numbering" w:customStyle="1" w:styleId="NoList31">
    <w:name w:val="No List31"/>
    <w:next w:val="NoList"/>
    <w:uiPriority w:val="99"/>
    <w:semiHidden/>
    <w:unhideWhenUsed/>
    <w:rsid w:val="00382CE0"/>
  </w:style>
  <w:style w:type="numbering" w:customStyle="1" w:styleId="NoList121">
    <w:name w:val="No List121"/>
    <w:next w:val="NoList"/>
    <w:uiPriority w:val="99"/>
    <w:semiHidden/>
    <w:unhideWhenUsed/>
    <w:rsid w:val="00382CE0"/>
  </w:style>
  <w:style w:type="table" w:customStyle="1" w:styleId="TableGrid5">
    <w:name w:val="Table Grid5"/>
    <w:basedOn w:val="TableNormal"/>
    <w:next w:val="TableGrid"/>
    <w:uiPriority w:val="99"/>
    <w:rsid w:val="00382C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2">
    <w:name w:val="No List112"/>
    <w:next w:val="NoList"/>
    <w:uiPriority w:val="99"/>
    <w:semiHidden/>
    <w:rsid w:val="00382CE0"/>
  </w:style>
  <w:style w:type="numbering" w:customStyle="1" w:styleId="NoList211">
    <w:name w:val="No List211"/>
    <w:next w:val="NoList"/>
    <w:uiPriority w:val="99"/>
    <w:semiHidden/>
    <w:unhideWhenUsed/>
    <w:rsid w:val="00382CE0"/>
  </w:style>
  <w:style w:type="numbering" w:customStyle="1" w:styleId="NoList111111">
    <w:name w:val="No List111111"/>
    <w:next w:val="NoList"/>
    <w:uiPriority w:val="99"/>
    <w:semiHidden/>
    <w:unhideWhenUsed/>
    <w:rsid w:val="00382CE0"/>
  </w:style>
  <w:style w:type="table" w:customStyle="1" w:styleId="TableGrid6">
    <w:name w:val="Table Grid6"/>
    <w:basedOn w:val="TableNormal"/>
    <w:next w:val="TableGrid"/>
    <w:uiPriority w:val="99"/>
    <w:rsid w:val="00816C71"/>
    <w:rPr>
      <w:rFonts w:ascii="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99"/>
    <w:rsid w:val="007F1A13"/>
    <w:rPr>
      <w:rFonts w:ascii="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1109C"/>
  </w:style>
  <w:style w:type="table" w:customStyle="1" w:styleId="TableGrid7">
    <w:name w:val="Table Grid7"/>
    <w:basedOn w:val="TableNormal"/>
    <w:next w:val="TableGrid"/>
    <w:uiPriority w:val="99"/>
    <w:rsid w:val="00A1109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
    <w:name w:val="No List13"/>
    <w:next w:val="NoList"/>
    <w:uiPriority w:val="99"/>
    <w:semiHidden/>
    <w:rsid w:val="00A1109C"/>
  </w:style>
  <w:style w:type="table" w:customStyle="1" w:styleId="TableGrid12">
    <w:name w:val="Table Grid12"/>
    <w:basedOn w:val="TableNormal"/>
    <w:next w:val="TableGrid"/>
    <w:rsid w:val="00A110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A1109C"/>
  </w:style>
  <w:style w:type="numbering" w:customStyle="1" w:styleId="NoList113">
    <w:name w:val="No List113"/>
    <w:next w:val="NoList"/>
    <w:uiPriority w:val="99"/>
    <w:semiHidden/>
    <w:unhideWhenUsed/>
    <w:rsid w:val="00A1109C"/>
  </w:style>
  <w:style w:type="table" w:customStyle="1" w:styleId="TableGrid22">
    <w:name w:val="Table Grid22"/>
    <w:basedOn w:val="TableNormal"/>
    <w:next w:val="TableGrid"/>
    <w:rsid w:val="00A1109C"/>
    <w:rPr>
      <w:rFonts w:eastAsia="PMingLi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
    <w:name w:val="No List32"/>
    <w:next w:val="NoList"/>
    <w:uiPriority w:val="99"/>
    <w:semiHidden/>
    <w:unhideWhenUsed/>
    <w:rsid w:val="00A1109C"/>
  </w:style>
  <w:style w:type="numbering" w:customStyle="1" w:styleId="NoList122">
    <w:name w:val="No List122"/>
    <w:next w:val="NoList"/>
    <w:uiPriority w:val="99"/>
    <w:semiHidden/>
    <w:unhideWhenUsed/>
    <w:rsid w:val="00A1109C"/>
  </w:style>
  <w:style w:type="table" w:customStyle="1" w:styleId="TableGrid32">
    <w:name w:val="Table Grid32"/>
    <w:basedOn w:val="TableNormal"/>
    <w:next w:val="TableGrid"/>
    <w:uiPriority w:val="99"/>
    <w:rsid w:val="00A1109C"/>
    <w:rPr>
      <w:rFonts w:ascii="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A1109C"/>
  </w:style>
  <w:style w:type="numbering" w:customStyle="1" w:styleId="NoList11112">
    <w:name w:val="No List11112"/>
    <w:next w:val="NoList"/>
    <w:uiPriority w:val="99"/>
    <w:semiHidden/>
    <w:rsid w:val="00A1109C"/>
  </w:style>
  <w:style w:type="table" w:customStyle="1" w:styleId="TableGrid111">
    <w:name w:val="Table Grid111"/>
    <w:basedOn w:val="TableNormal"/>
    <w:next w:val="TableGrid"/>
    <w:rsid w:val="00A110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A1109C"/>
  </w:style>
  <w:style w:type="numbering" w:customStyle="1" w:styleId="NoList111112">
    <w:name w:val="No List111112"/>
    <w:next w:val="NoList"/>
    <w:uiPriority w:val="99"/>
    <w:semiHidden/>
    <w:unhideWhenUsed/>
    <w:rsid w:val="00A1109C"/>
  </w:style>
  <w:style w:type="table" w:customStyle="1" w:styleId="TableGrid211">
    <w:name w:val="Table Grid211"/>
    <w:basedOn w:val="TableNormal"/>
    <w:next w:val="TableGrid"/>
    <w:rsid w:val="00A1109C"/>
    <w:rPr>
      <w:rFonts w:eastAsia="PMingLi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
    <w:name w:val="Table Grid311"/>
    <w:basedOn w:val="TableNormal"/>
    <w:next w:val="TableGrid"/>
    <w:uiPriority w:val="99"/>
    <w:rsid w:val="00A1109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
    <w:name w:val="Table Grid41"/>
    <w:basedOn w:val="TableNormal"/>
    <w:next w:val="TableGrid"/>
    <w:uiPriority w:val="99"/>
    <w:rsid w:val="00A1109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1">
    <w:name w:val="No List311"/>
    <w:next w:val="NoList"/>
    <w:uiPriority w:val="99"/>
    <w:semiHidden/>
    <w:unhideWhenUsed/>
    <w:rsid w:val="00A1109C"/>
  </w:style>
  <w:style w:type="numbering" w:customStyle="1" w:styleId="NoList1211">
    <w:name w:val="No List1211"/>
    <w:next w:val="NoList"/>
    <w:uiPriority w:val="99"/>
    <w:semiHidden/>
    <w:unhideWhenUsed/>
    <w:rsid w:val="00A1109C"/>
  </w:style>
  <w:style w:type="table" w:customStyle="1" w:styleId="TableGrid51">
    <w:name w:val="Table Grid51"/>
    <w:basedOn w:val="TableNormal"/>
    <w:next w:val="TableGrid"/>
    <w:uiPriority w:val="99"/>
    <w:rsid w:val="00A1109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21">
    <w:name w:val="No List1121"/>
    <w:next w:val="NoList"/>
    <w:uiPriority w:val="99"/>
    <w:semiHidden/>
    <w:rsid w:val="00A1109C"/>
  </w:style>
  <w:style w:type="numbering" w:customStyle="1" w:styleId="NoList2111">
    <w:name w:val="No List2111"/>
    <w:next w:val="NoList"/>
    <w:uiPriority w:val="99"/>
    <w:semiHidden/>
    <w:unhideWhenUsed/>
    <w:rsid w:val="00A1109C"/>
  </w:style>
  <w:style w:type="numbering" w:customStyle="1" w:styleId="NoList1111111">
    <w:name w:val="No List1111111"/>
    <w:next w:val="NoList"/>
    <w:uiPriority w:val="99"/>
    <w:semiHidden/>
    <w:unhideWhenUsed/>
    <w:rsid w:val="00A1109C"/>
  </w:style>
  <w:style w:type="table" w:customStyle="1" w:styleId="TableGrid62">
    <w:name w:val="Table Grid62"/>
    <w:basedOn w:val="TableNormal"/>
    <w:next w:val="TableGrid"/>
    <w:uiPriority w:val="99"/>
    <w:rsid w:val="00A1109C"/>
    <w:rPr>
      <w:rFonts w:ascii="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99"/>
    <w:rsid w:val="00D741A7"/>
    <w:rPr>
      <w:rFonts w:ascii="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ext-31">
    <w:name w:val="ptext-31"/>
    <w:basedOn w:val="DefaultParagraphFont"/>
    <w:rsid w:val="00A27A0B"/>
  </w:style>
  <w:style w:type="paragraph" w:customStyle="1" w:styleId="xl24">
    <w:name w:val="xl24"/>
    <w:basedOn w:val="Normal"/>
    <w:rsid w:val="005465D4"/>
    <w:pPr>
      <w:pBdr>
        <w:bottom w:val="single" w:sz="8" w:space="0" w:color="auto"/>
      </w:pBdr>
      <w:spacing w:before="100" w:beforeAutospacing="1" w:after="100" w:afterAutospacing="1"/>
      <w:jc w:val="center"/>
    </w:pPr>
    <w:rPr>
      <w:rFonts w:ascii="Arial" w:hAnsi="Arial" w:cs="Arial"/>
      <w:b/>
      <w:bCs/>
      <w:sz w:val="22"/>
      <w:szCs w:val="22"/>
    </w:rPr>
  </w:style>
  <w:style w:type="table" w:customStyle="1" w:styleId="TableGrid8">
    <w:name w:val="Table Grid8"/>
    <w:basedOn w:val="TableNormal"/>
    <w:next w:val="TableGrid"/>
    <w:rsid w:val="00311C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B393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970633">
      <w:bodyDiv w:val="1"/>
      <w:marLeft w:val="0"/>
      <w:marRight w:val="0"/>
      <w:marTop w:val="0"/>
      <w:marBottom w:val="0"/>
      <w:divBdr>
        <w:top w:val="none" w:sz="0" w:space="0" w:color="auto"/>
        <w:left w:val="none" w:sz="0" w:space="0" w:color="auto"/>
        <w:bottom w:val="none" w:sz="0" w:space="0" w:color="auto"/>
        <w:right w:val="none" w:sz="0" w:space="0" w:color="auto"/>
      </w:divBdr>
    </w:div>
    <w:div w:id="103577202">
      <w:bodyDiv w:val="1"/>
      <w:marLeft w:val="0"/>
      <w:marRight w:val="0"/>
      <w:marTop w:val="0"/>
      <w:marBottom w:val="0"/>
      <w:divBdr>
        <w:top w:val="none" w:sz="0" w:space="0" w:color="auto"/>
        <w:left w:val="none" w:sz="0" w:space="0" w:color="auto"/>
        <w:bottom w:val="none" w:sz="0" w:space="0" w:color="auto"/>
        <w:right w:val="none" w:sz="0" w:space="0" w:color="auto"/>
      </w:divBdr>
    </w:div>
    <w:div w:id="113985504">
      <w:bodyDiv w:val="1"/>
      <w:marLeft w:val="0"/>
      <w:marRight w:val="0"/>
      <w:marTop w:val="0"/>
      <w:marBottom w:val="0"/>
      <w:divBdr>
        <w:top w:val="none" w:sz="0" w:space="0" w:color="auto"/>
        <w:left w:val="none" w:sz="0" w:space="0" w:color="auto"/>
        <w:bottom w:val="none" w:sz="0" w:space="0" w:color="auto"/>
        <w:right w:val="none" w:sz="0" w:space="0" w:color="auto"/>
      </w:divBdr>
    </w:div>
    <w:div w:id="128285259">
      <w:bodyDiv w:val="1"/>
      <w:marLeft w:val="0"/>
      <w:marRight w:val="0"/>
      <w:marTop w:val="0"/>
      <w:marBottom w:val="0"/>
      <w:divBdr>
        <w:top w:val="none" w:sz="0" w:space="0" w:color="auto"/>
        <w:left w:val="none" w:sz="0" w:space="0" w:color="auto"/>
        <w:bottom w:val="none" w:sz="0" w:space="0" w:color="auto"/>
        <w:right w:val="none" w:sz="0" w:space="0" w:color="auto"/>
      </w:divBdr>
    </w:div>
    <w:div w:id="134877507">
      <w:bodyDiv w:val="1"/>
      <w:marLeft w:val="0"/>
      <w:marRight w:val="0"/>
      <w:marTop w:val="0"/>
      <w:marBottom w:val="0"/>
      <w:divBdr>
        <w:top w:val="none" w:sz="0" w:space="0" w:color="auto"/>
        <w:left w:val="none" w:sz="0" w:space="0" w:color="auto"/>
        <w:bottom w:val="none" w:sz="0" w:space="0" w:color="auto"/>
        <w:right w:val="none" w:sz="0" w:space="0" w:color="auto"/>
      </w:divBdr>
    </w:div>
    <w:div w:id="161043325">
      <w:bodyDiv w:val="1"/>
      <w:marLeft w:val="0"/>
      <w:marRight w:val="0"/>
      <w:marTop w:val="0"/>
      <w:marBottom w:val="0"/>
      <w:divBdr>
        <w:top w:val="none" w:sz="0" w:space="0" w:color="auto"/>
        <w:left w:val="none" w:sz="0" w:space="0" w:color="auto"/>
        <w:bottom w:val="none" w:sz="0" w:space="0" w:color="auto"/>
        <w:right w:val="none" w:sz="0" w:space="0" w:color="auto"/>
      </w:divBdr>
    </w:div>
    <w:div w:id="180320612">
      <w:bodyDiv w:val="1"/>
      <w:marLeft w:val="0"/>
      <w:marRight w:val="0"/>
      <w:marTop w:val="0"/>
      <w:marBottom w:val="0"/>
      <w:divBdr>
        <w:top w:val="none" w:sz="0" w:space="0" w:color="auto"/>
        <w:left w:val="none" w:sz="0" w:space="0" w:color="auto"/>
        <w:bottom w:val="none" w:sz="0" w:space="0" w:color="auto"/>
        <w:right w:val="none" w:sz="0" w:space="0" w:color="auto"/>
      </w:divBdr>
    </w:div>
    <w:div w:id="211550601">
      <w:bodyDiv w:val="1"/>
      <w:marLeft w:val="0"/>
      <w:marRight w:val="0"/>
      <w:marTop w:val="0"/>
      <w:marBottom w:val="0"/>
      <w:divBdr>
        <w:top w:val="none" w:sz="0" w:space="0" w:color="auto"/>
        <w:left w:val="none" w:sz="0" w:space="0" w:color="auto"/>
        <w:bottom w:val="none" w:sz="0" w:space="0" w:color="auto"/>
        <w:right w:val="none" w:sz="0" w:space="0" w:color="auto"/>
      </w:divBdr>
    </w:div>
    <w:div w:id="244195342">
      <w:bodyDiv w:val="1"/>
      <w:marLeft w:val="0"/>
      <w:marRight w:val="0"/>
      <w:marTop w:val="0"/>
      <w:marBottom w:val="0"/>
      <w:divBdr>
        <w:top w:val="none" w:sz="0" w:space="0" w:color="auto"/>
        <w:left w:val="none" w:sz="0" w:space="0" w:color="auto"/>
        <w:bottom w:val="none" w:sz="0" w:space="0" w:color="auto"/>
        <w:right w:val="none" w:sz="0" w:space="0" w:color="auto"/>
      </w:divBdr>
    </w:div>
    <w:div w:id="327489594">
      <w:bodyDiv w:val="1"/>
      <w:marLeft w:val="0"/>
      <w:marRight w:val="0"/>
      <w:marTop w:val="0"/>
      <w:marBottom w:val="0"/>
      <w:divBdr>
        <w:top w:val="none" w:sz="0" w:space="0" w:color="auto"/>
        <w:left w:val="none" w:sz="0" w:space="0" w:color="auto"/>
        <w:bottom w:val="none" w:sz="0" w:space="0" w:color="auto"/>
        <w:right w:val="none" w:sz="0" w:space="0" w:color="auto"/>
      </w:divBdr>
    </w:div>
    <w:div w:id="360907027">
      <w:bodyDiv w:val="1"/>
      <w:marLeft w:val="0"/>
      <w:marRight w:val="0"/>
      <w:marTop w:val="0"/>
      <w:marBottom w:val="0"/>
      <w:divBdr>
        <w:top w:val="none" w:sz="0" w:space="0" w:color="auto"/>
        <w:left w:val="none" w:sz="0" w:space="0" w:color="auto"/>
        <w:bottom w:val="none" w:sz="0" w:space="0" w:color="auto"/>
        <w:right w:val="none" w:sz="0" w:space="0" w:color="auto"/>
      </w:divBdr>
    </w:div>
    <w:div w:id="454830160">
      <w:bodyDiv w:val="1"/>
      <w:marLeft w:val="0"/>
      <w:marRight w:val="0"/>
      <w:marTop w:val="0"/>
      <w:marBottom w:val="0"/>
      <w:divBdr>
        <w:top w:val="none" w:sz="0" w:space="0" w:color="auto"/>
        <w:left w:val="none" w:sz="0" w:space="0" w:color="auto"/>
        <w:bottom w:val="none" w:sz="0" w:space="0" w:color="auto"/>
        <w:right w:val="none" w:sz="0" w:space="0" w:color="auto"/>
      </w:divBdr>
    </w:div>
    <w:div w:id="456723740">
      <w:bodyDiv w:val="1"/>
      <w:marLeft w:val="0"/>
      <w:marRight w:val="0"/>
      <w:marTop w:val="0"/>
      <w:marBottom w:val="0"/>
      <w:divBdr>
        <w:top w:val="none" w:sz="0" w:space="0" w:color="auto"/>
        <w:left w:val="none" w:sz="0" w:space="0" w:color="auto"/>
        <w:bottom w:val="none" w:sz="0" w:space="0" w:color="auto"/>
        <w:right w:val="none" w:sz="0" w:space="0" w:color="auto"/>
      </w:divBdr>
    </w:div>
    <w:div w:id="462815894">
      <w:bodyDiv w:val="1"/>
      <w:marLeft w:val="0"/>
      <w:marRight w:val="0"/>
      <w:marTop w:val="0"/>
      <w:marBottom w:val="0"/>
      <w:divBdr>
        <w:top w:val="none" w:sz="0" w:space="0" w:color="auto"/>
        <w:left w:val="none" w:sz="0" w:space="0" w:color="auto"/>
        <w:bottom w:val="none" w:sz="0" w:space="0" w:color="auto"/>
        <w:right w:val="none" w:sz="0" w:space="0" w:color="auto"/>
      </w:divBdr>
    </w:div>
    <w:div w:id="619533428">
      <w:bodyDiv w:val="1"/>
      <w:marLeft w:val="0"/>
      <w:marRight w:val="0"/>
      <w:marTop w:val="0"/>
      <w:marBottom w:val="0"/>
      <w:divBdr>
        <w:top w:val="none" w:sz="0" w:space="0" w:color="auto"/>
        <w:left w:val="none" w:sz="0" w:space="0" w:color="auto"/>
        <w:bottom w:val="none" w:sz="0" w:space="0" w:color="auto"/>
        <w:right w:val="none" w:sz="0" w:space="0" w:color="auto"/>
      </w:divBdr>
    </w:div>
    <w:div w:id="624118164">
      <w:bodyDiv w:val="1"/>
      <w:marLeft w:val="0"/>
      <w:marRight w:val="0"/>
      <w:marTop w:val="0"/>
      <w:marBottom w:val="0"/>
      <w:divBdr>
        <w:top w:val="none" w:sz="0" w:space="0" w:color="auto"/>
        <w:left w:val="none" w:sz="0" w:space="0" w:color="auto"/>
        <w:bottom w:val="none" w:sz="0" w:space="0" w:color="auto"/>
        <w:right w:val="none" w:sz="0" w:space="0" w:color="auto"/>
      </w:divBdr>
    </w:div>
    <w:div w:id="677580208">
      <w:bodyDiv w:val="1"/>
      <w:marLeft w:val="0"/>
      <w:marRight w:val="0"/>
      <w:marTop w:val="0"/>
      <w:marBottom w:val="0"/>
      <w:divBdr>
        <w:top w:val="none" w:sz="0" w:space="0" w:color="auto"/>
        <w:left w:val="none" w:sz="0" w:space="0" w:color="auto"/>
        <w:bottom w:val="none" w:sz="0" w:space="0" w:color="auto"/>
        <w:right w:val="none" w:sz="0" w:space="0" w:color="auto"/>
      </w:divBdr>
    </w:div>
    <w:div w:id="704673752">
      <w:bodyDiv w:val="1"/>
      <w:marLeft w:val="0"/>
      <w:marRight w:val="0"/>
      <w:marTop w:val="0"/>
      <w:marBottom w:val="0"/>
      <w:divBdr>
        <w:top w:val="none" w:sz="0" w:space="0" w:color="auto"/>
        <w:left w:val="none" w:sz="0" w:space="0" w:color="auto"/>
        <w:bottom w:val="none" w:sz="0" w:space="0" w:color="auto"/>
        <w:right w:val="none" w:sz="0" w:space="0" w:color="auto"/>
      </w:divBdr>
    </w:div>
    <w:div w:id="760418349">
      <w:bodyDiv w:val="1"/>
      <w:marLeft w:val="0"/>
      <w:marRight w:val="0"/>
      <w:marTop w:val="0"/>
      <w:marBottom w:val="0"/>
      <w:divBdr>
        <w:top w:val="none" w:sz="0" w:space="0" w:color="auto"/>
        <w:left w:val="none" w:sz="0" w:space="0" w:color="auto"/>
        <w:bottom w:val="none" w:sz="0" w:space="0" w:color="auto"/>
        <w:right w:val="none" w:sz="0" w:space="0" w:color="auto"/>
      </w:divBdr>
    </w:div>
    <w:div w:id="877820700">
      <w:bodyDiv w:val="1"/>
      <w:marLeft w:val="0"/>
      <w:marRight w:val="0"/>
      <w:marTop w:val="0"/>
      <w:marBottom w:val="0"/>
      <w:divBdr>
        <w:top w:val="none" w:sz="0" w:space="0" w:color="auto"/>
        <w:left w:val="none" w:sz="0" w:space="0" w:color="auto"/>
        <w:bottom w:val="none" w:sz="0" w:space="0" w:color="auto"/>
        <w:right w:val="none" w:sz="0" w:space="0" w:color="auto"/>
      </w:divBdr>
    </w:div>
    <w:div w:id="974260091">
      <w:bodyDiv w:val="1"/>
      <w:marLeft w:val="0"/>
      <w:marRight w:val="0"/>
      <w:marTop w:val="0"/>
      <w:marBottom w:val="0"/>
      <w:divBdr>
        <w:top w:val="none" w:sz="0" w:space="0" w:color="auto"/>
        <w:left w:val="none" w:sz="0" w:space="0" w:color="auto"/>
        <w:bottom w:val="none" w:sz="0" w:space="0" w:color="auto"/>
        <w:right w:val="none" w:sz="0" w:space="0" w:color="auto"/>
      </w:divBdr>
    </w:div>
    <w:div w:id="1092047273">
      <w:bodyDiv w:val="1"/>
      <w:marLeft w:val="0"/>
      <w:marRight w:val="0"/>
      <w:marTop w:val="0"/>
      <w:marBottom w:val="0"/>
      <w:divBdr>
        <w:top w:val="none" w:sz="0" w:space="0" w:color="auto"/>
        <w:left w:val="none" w:sz="0" w:space="0" w:color="auto"/>
        <w:bottom w:val="none" w:sz="0" w:space="0" w:color="auto"/>
        <w:right w:val="none" w:sz="0" w:space="0" w:color="auto"/>
      </w:divBdr>
    </w:div>
    <w:div w:id="1177618246">
      <w:bodyDiv w:val="1"/>
      <w:marLeft w:val="0"/>
      <w:marRight w:val="0"/>
      <w:marTop w:val="0"/>
      <w:marBottom w:val="0"/>
      <w:divBdr>
        <w:top w:val="none" w:sz="0" w:space="0" w:color="auto"/>
        <w:left w:val="none" w:sz="0" w:space="0" w:color="auto"/>
        <w:bottom w:val="none" w:sz="0" w:space="0" w:color="auto"/>
        <w:right w:val="none" w:sz="0" w:space="0" w:color="auto"/>
      </w:divBdr>
    </w:div>
    <w:div w:id="1258246424">
      <w:bodyDiv w:val="1"/>
      <w:marLeft w:val="0"/>
      <w:marRight w:val="0"/>
      <w:marTop w:val="0"/>
      <w:marBottom w:val="0"/>
      <w:divBdr>
        <w:top w:val="none" w:sz="0" w:space="0" w:color="auto"/>
        <w:left w:val="none" w:sz="0" w:space="0" w:color="auto"/>
        <w:bottom w:val="none" w:sz="0" w:space="0" w:color="auto"/>
        <w:right w:val="none" w:sz="0" w:space="0" w:color="auto"/>
      </w:divBdr>
    </w:div>
    <w:div w:id="1443963820">
      <w:bodyDiv w:val="1"/>
      <w:marLeft w:val="0"/>
      <w:marRight w:val="0"/>
      <w:marTop w:val="0"/>
      <w:marBottom w:val="0"/>
      <w:divBdr>
        <w:top w:val="none" w:sz="0" w:space="0" w:color="auto"/>
        <w:left w:val="none" w:sz="0" w:space="0" w:color="auto"/>
        <w:bottom w:val="none" w:sz="0" w:space="0" w:color="auto"/>
        <w:right w:val="none" w:sz="0" w:space="0" w:color="auto"/>
      </w:divBdr>
    </w:div>
    <w:div w:id="1565795890">
      <w:bodyDiv w:val="1"/>
      <w:marLeft w:val="0"/>
      <w:marRight w:val="0"/>
      <w:marTop w:val="0"/>
      <w:marBottom w:val="0"/>
      <w:divBdr>
        <w:top w:val="none" w:sz="0" w:space="0" w:color="auto"/>
        <w:left w:val="none" w:sz="0" w:space="0" w:color="auto"/>
        <w:bottom w:val="none" w:sz="0" w:space="0" w:color="auto"/>
        <w:right w:val="none" w:sz="0" w:space="0" w:color="auto"/>
      </w:divBdr>
    </w:div>
    <w:div w:id="1613392003">
      <w:bodyDiv w:val="1"/>
      <w:marLeft w:val="0"/>
      <w:marRight w:val="0"/>
      <w:marTop w:val="0"/>
      <w:marBottom w:val="0"/>
      <w:divBdr>
        <w:top w:val="none" w:sz="0" w:space="0" w:color="auto"/>
        <w:left w:val="none" w:sz="0" w:space="0" w:color="auto"/>
        <w:bottom w:val="none" w:sz="0" w:space="0" w:color="auto"/>
        <w:right w:val="none" w:sz="0" w:space="0" w:color="auto"/>
      </w:divBdr>
    </w:div>
    <w:div w:id="1655644659">
      <w:bodyDiv w:val="1"/>
      <w:marLeft w:val="0"/>
      <w:marRight w:val="0"/>
      <w:marTop w:val="0"/>
      <w:marBottom w:val="0"/>
      <w:divBdr>
        <w:top w:val="none" w:sz="0" w:space="0" w:color="auto"/>
        <w:left w:val="none" w:sz="0" w:space="0" w:color="auto"/>
        <w:bottom w:val="none" w:sz="0" w:space="0" w:color="auto"/>
        <w:right w:val="none" w:sz="0" w:space="0" w:color="auto"/>
      </w:divBdr>
    </w:div>
    <w:div w:id="1701204655">
      <w:bodyDiv w:val="1"/>
      <w:marLeft w:val="0"/>
      <w:marRight w:val="0"/>
      <w:marTop w:val="0"/>
      <w:marBottom w:val="0"/>
      <w:divBdr>
        <w:top w:val="none" w:sz="0" w:space="0" w:color="auto"/>
        <w:left w:val="none" w:sz="0" w:space="0" w:color="auto"/>
        <w:bottom w:val="none" w:sz="0" w:space="0" w:color="auto"/>
        <w:right w:val="none" w:sz="0" w:space="0" w:color="auto"/>
      </w:divBdr>
    </w:div>
    <w:div w:id="1729037434">
      <w:bodyDiv w:val="1"/>
      <w:marLeft w:val="0"/>
      <w:marRight w:val="0"/>
      <w:marTop w:val="0"/>
      <w:marBottom w:val="0"/>
      <w:divBdr>
        <w:top w:val="none" w:sz="0" w:space="0" w:color="auto"/>
        <w:left w:val="none" w:sz="0" w:space="0" w:color="auto"/>
        <w:bottom w:val="none" w:sz="0" w:space="0" w:color="auto"/>
        <w:right w:val="none" w:sz="0" w:space="0" w:color="auto"/>
      </w:divBdr>
    </w:div>
    <w:div w:id="1787387715">
      <w:bodyDiv w:val="1"/>
      <w:marLeft w:val="0"/>
      <w:marRight w:val="0"/>
      <w:marTop w:val="0"/>
      <w:marBottom w:val="0"/>
      <w:divBdr>
        <w:top w:val="none" w:sz="0" w:space="0" w:color="auto"/>
        <w:left w:val="none" w:sz="0" w:space="0" w:color="auto"/>
        <w:bottom w:val="none" w:sz="0" w:space="0" w:color="auto"/>
        <w:right w:val="none" w:sz="0" w:space="0" w:color="auto"/>
      </w:divBdr>
    </w:div>
    <w:div w:id="1796751475">
      <w:bodyDiv w:val="1"/>
      <w:marLeft w:val="0"/>
      <w:marRight w:val="0"/>
      <w:marTop w:val="0"/>
      <w:marBottom w:val="0"/>
      <w:divBdr>
        <w:top w:val="none" w:sz="0" w:space="0" w:color="auto"/>
        <w:left w:val="none" w:sz="0" w:space="0" w:color="auto"/>
        <w:bottom w:val="none" w:sz="0" w:space="0" w:color="auto"/>
        <w:right w:val="none" w:sz="0" w:space="0" w:color="auto"/>
      </w:divBdr>
    </w:div>
    <w:div w:id="1922981095">
      <w:bodyDiv w:val="1"/>
      <w:marLeft w:val="0"/>
      <w:marRight w:val="0"/>
      <w:marTop w:val="0"/>
      <w:marBottom w:val="0"/>
      <w:divBdr>
        <w:top w:val="none" w:sz="0" w:space="0" w:color="auto"/>
        <w:left w:val="none" w:sz="0" w:space="0" w:color="auto"/>
        <w:bottom w:val="none" w:sz="0" w:space="0" w:color="auto"/>
        <w:right w:val="none" w:sz="0" w:space="0" w:color="auto"/>
      </w:divBdr>
    </w:div>
    <w:div w:id="1983928704">
      <w:bodyDiv w:val="1"/>
      <w:marLeft w:val="0"/>
      <w:marRight w:val="0"/>
      <w:marTop w:val="0"/>
      <w:marBottom w:val="0"/>
      <w:divBdr>
        <w:top w:val="none" w:sz="0" w:space="0" w:color="auto"/>
        <w:left w:val="none" w:sz="0" w:space="0" w:color="auto"/>
        <w:bottom w:val="none" w:sz="0" w:space="0" w:color="auto"/>
        <w:right w:val="none" w:sz="0" w:space="0" w:color="auto"/>
      </w:divBdr>
    </w:div>
    <w:div w:id="2039234552">
      <w:bodyDiv w:val="1"/>
      <w:marLeft w:val="0"/>
      <w:marRight w:val="0"/>
      <w:marTop w:val="0"/>
      <w:marBottom w:val="0"/>
      <w:divBdr>
        <w:top w:val="none" w:sz="0" w:space="0" w:color="auto"/>
        <w:left w:val="none" w:sz="0" w:space="0" w:color="auto"/>
        <w:bottom w:val="none" w:sz="0" w:space="0" w:color="auto"/>
        <w:right w:val="none" w:sz="0" w:space="0" w:color="auto"/>
      </w:divBdr>
    </w:div>
    <w:div w:id="2091539752">
      <w:bodyDiv w:val="1"/>
      <w:marLeft w:val="0"/>
      <w:marRight w:val="0"/>
      <w:marTop w:val="0"/>
      <w:marBottom w:val="0"/>
      <w:divBdr>
        <w:top w:val="none" w:sz="0" w:space="0" w:color="auto"/>
        <w:left w:val="none" w:sz="0" w:space="0" w:color="auto"/>
        <w:bottom w:val="none" w:sz="0" w:space="0" w:color="auto"/>
        <w:right w:val="none" w:sz="0" w:space="0" w:color="auto"/>
      </w:divBdr>
    </w:div>
    <w:div w:id="2123379225">
      <w:bodyDiv w:val="1"/>
      <w:marLeft w:val="0"/>
      <w:marRight w:val="0"/>
      <w:marTop w:val="0"/>
      <w:marBottom w:val="0"/>
      <w:divBdr>
        <w:top w:val="none" w:sz="0" w:space="0" w:color="auto"/>
        <w:left w:val="none" w:sz="0" w:space="0" w:color="auto"/>
        <w:bottom w:val="none" w:sz="0" w:space="0" w:color="auto"/>
        <w:right w:val="none" w:sz="0" w:space="0" w:color="auto"/>
      </w:divBdr>
    </w:div>
    <w:div w:id="212723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oleObject" Target="embeddings/oleObject4.bin"/><Relationship Id="rId39" Type="http://schemas.openxmlformats.org/officeDocument/2006/relationships/footer" Target="footer9.xml"/><Relationship Id="rId21" Type="http://schemas.openxmlformats.org/officeDocument/2006/relationships/image" Target="media/image3.wmf"/><Relationship Id="rId34" Type="http://schemas.openxmlformats.org/officeDocument/2006/relationships/header" Target="header4.xml"/><Relationship Id="rId42" Type="http://schemas.openxmlformats.org/officeDocument/2006/relationships/footer" Target="footer10.xml"/><Relationship Id="rId47" Type="http://schemas.openxmlformats.org/officeDocument/2006/relationships/image" Target="media/image12.png"/><Relationship Id="rId50" Type="http://schemas.openxmlformats.org/officeDocument/2006/relationships/hyperlink" Target="mailto:NPDES_Wastewater@waterboards.ca.gov" TargetMode="External"/><Relationship Id="rId55" Type="http://schemas.openxmlformats.org/officeDocument/2006/relationships/footer" Target="footer14.xml"/><Relationship Id="rId63" Type="http://schemas.openxmlformats.org/officeDocument/2006/relationships/footer" Target="footer16.xml"/><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4.xml"/><Relationship Id="rId29"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oleObject" Target="embeddings/oleObject3.bin"/><Relationship Id="rId32" Type="http://schemas.openxmlformats.org/officeDocument/2006/relationships/image" Target="media/image8.wmf"/><Relationship Id="rId37" Type="http://schemas.openxmlformats.org/officeDocument/2006/relationships/footer" Target="footer8.xml"/><Relationship Id="rId40" Type="http://schemas.openxmlformats.org/officeDocument/2006/relationships/image" Target="media/image9.png"/><Relationship Id="rId45" Type="http://schemas.openxmlformats.org/officeDocument/2006/relationships/footer" Target="footer11.xml"/><Relationship Id="rId53" Type="http://schemas.openxmlformats.org/officeDocument/2006/relationships/footer" Target="footer13.xml"/><Relationship Id="rId58" Type="http://schemas.openxmlformats.org/officeDocument/2006/relationships/oleObject" Target="embeddings/oleObject9.bin"/><Relationship Id="rId66" Type="http://schemas.openxmlformats.org/officeDocument/2006/relationships/footer" Target="footer19.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image" Target="media/image4.wmf"/><Relationship Id="rId28" Type="http://schemas.openxmlformats.org/officeDocument/2006/relationships/image" Target="media/image6.wmf"/><Relationship Id="rId36" Type="http://schemas.openxmlformats.org/officeDocument/2006/relationships/footer" Target="footer7.xml"/><Relationship Id="rId49" Type="http://schemas.openxmlformats.org/officeDocument/2006/relationships/image" Target="media/image14.png"/><Relationship Id="rId57" Type="http://schemas.openxmlformats.org/officeDocument/2006/relationships/image" Target="media/image15.wmf"/><Relationship Id="rId61" Type="http://schemas.openxmlformats.org/officeDocument/2006/relationships/image" Target="media/image17.wmf"/><Relationship Id="rId10" Type="http://schemas.openxmlformats.org/officeDocument/2006/relationships/endnotes" Target="endnotes.xml"/><Relationship Id="rId19" Type="http://schemas.openxmlformats.org/officeDocument/2006/relationships/image" Target="media/image2.wmf"/><Relationship Id="rId31" Type="http://schemas.openxmlformats.org/officeDocument/2006/relationships/oleObject" Target="embeddings/oleObject7.bin"/><Relationship Id="rId44" Type="http://schemas.openxmlformats.org/officeDocument/2006/relationships/hyperlink" Target="http://www.waterboards.ca.gov/water_issues/programs/discharge_monitoring" TargetMode="External"/><Relationship Id="rId52" Type="http://schemas.openxmlformats.org/officeDocument/2006/relationships/footer" Target="footer12.xml"/><Relationship Id="rId60" Type="http://schemas.openxmlformats.org/officeDocument/2006/relationships/oleObject" Target="embeddings/oleObject10.bin"/><Relationship Id="rId65" Type="http://schemas.openxmlformats.org/officeDocument/2006/relationships/footer" Target="footer1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oleObject" Target="embeddings/oleObject2.bin"/><Relationship Id="rId27" Type="http://schemas.openxmlformats.org/officeDocument/2006/relationships/oleObject" Target="embeddings/oleObject5.bin"/><Relationship Id="rId30" Type="http://schemas.openxmlformats.org/officeDocument/2006/relationships/image" Target="media/image7.wmf"/><Relationship Id="rId35" Type="http://schemas.openxmlformats.org/officeDocument/2006/relationships/footer" Target="footer6.xml"/><Relationship Id="rId43" Type="http://schemas.openxmlformats.org/officeDocument/2006/relationships/image" Target="media/image10.png"/><Relationship Id="rId48" Type="http://schemas.openxmlformats.org/officeDocument/2006/relationships/image" Target="media/image13.png"/><Relationship Id="rId56" Type="http://schemas.openxmlformats.org/officeDocument/2006/relationships/footer" Target="footer15.xml"/><Relationship Id="rId64" Type="http://schemas.openxmlformats.org/officeDocument/2006/relationships/footer" Target="footer17.xml"/><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mailto:NPDES_Wastewater@waterboards.ca.gov"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image" Target="media/image5.wmf"/><Relationship Id="rId33" Type="http://schemas.openxmlformats.org/officeDocument/2006/relationships/oleObject" Target="embeddings/oleObject8.bin"/><Relationship Id="rId38" Type="http://schemas.openxmlformats.org/officeDocument/2006/relationships/header" Target="header5.xml"/><Relationship Id="rId46" Type="http://schemas.openxmlformats.org/officeDocument/2006/relationships/image" Target="media/image11.png"/><Relationship Id="rId59" Type="http://schemas.openxmlformats.org/officeDocument/2006/relationships/image" Target="media/image16.wmf"/><Relationship Id="rId67" Type="http://schemas.openxmlformats.org/officeDocument/2006/relationships/footer" Target="footer20.xml"/><Relationship Id="rId20" Type="http://schemas.openxmlformats.org/officeDocument/2006/relationships/oleObject" Target="embeddings/oleObject1.bin"/><Relationship Id="rId41" Type="http://schemas.openxmlformats.org/officeDocument/2006/relationships/header" Target="header6.xml"/><Relationship Id="rId54" Type="http://schemas.openxmlformats.org/officeDocument/2006/relationships/header" Target="header7.xml"/><Relationship Id="rId62" Type="http://schemas.openxmlformats.org/officeDocument/2006/relationships/oleObject" Target="embeddings/oleObject11.bin"/></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A4ED12414680F46B159D34A70BC31FC" ma:contentTypeVersion="3" ma:contentTypeDescription="Create a new document." ma:contentTypeScope="" ma:versionID="0e0c68b14cc9fab71c2b5c85db3263b5">
  <xsd:schema xmlns:xsd="http://www.w3.org/2001/XMLSchema" xmlns:xs="http://www.w3.org/2001/XMLSchema" xmlns:p="http://schemas.microsoft.com/office/2006/metadata/properties" xmlns:ns2="6f4605c1-731f-4748-92e5-cdc2292997e2" targetNamespace="http://schemas.microsoft.com/office/2006/metadata/properties" ma:root="true" ma:fieldsID="613f6c3e3a27e2a66e471c2f605c2052" ns2:_="">
    <xsd:import namespace="6f4605c1-731f-4748-92e5-cdc2292997e2"/>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605c1-731f-4748-92e5-cdc2292997e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998C5-CD40-4D37-98BF-44D5AF0EB5BB}">
  <ds:schemaRefs>
    <ds:schemaRef ds:uri="http://schemas.microsoft.com/office/2006/documentManagement/types"/>
    <ds:schemaRef ds:uri="http://schemas.microsoft.com/office/infopath/2007/PartnerControls"/>
    <ds:schemaRef ds:uri="6f4605c1-731f-4748-92e5-cdc2292997e2"/>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381A6EDF-25B8-4F80-8206-5D7A82E05E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605c1-731f-4748-92e5-cdc2292997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990FEB-6977-4756-94E7-1441C4B65D44}">
  <ds:schemaRefs>
    <ds:schemaRef ds:uri="http://schemas.microsoft.com/sharepoint/v3/contenttype/forms"/>
  </ds:schemaRefs>
</ds:datastoreItem>
</file>

<file path=customXml/itemProps4.xml><?xml version="1.0" encoding="utf-8"?>
<ds:datastoreItem xmlns:ds="http://schemas.openxmlformats.org/officeDocument/2006/customXml" ds:itemID="{160AAC33-A6A0-4416-BE0C-011A34EA5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78</Pages>
  <Words>24922</Words>
  <Characters>152952</Characters>
  <Application>Microsoft Office Word</Application>
  <DocSecurity>0</DocSecurity>
  <Lines>1274</Lines>
  <Paragraphs>355</Paragraphs>
  <ScaleCrop>false</ScaleCrop>
  <HeadingPairs>
    <vt:vector size="2" baseType="variant">
      <vt:variant>
        <vt:lpstr>Title</vt:lpstr>
      </vt:variant>
      <vt:variant>
        <vt:i4>1</vt:i4>
      </vt:variant>
    </vt:vector>
  </HeadingPairs>
  <TitlesOfParts>
    <vt:vector size="1" baseType="lpstr">
      <vt:lpstr>California Regional Water Quality Control Board</vt:lpstr>
    </vt:vector>
  </TitlesOfParts>
  <Company>Tetra Tech</Company>
  <LinksUpToDate>false</LinksUpToDate>
  <CharactersWithSpaces>177519</CharactersWithSpaces>
  <SharedDoc>false</SharedDoc>
  <HLinks>
    <vt:vector size="1020" baseType="variant">
      <vt:variant>
        <vt:i4>196697</vt:i4>
      </vt:variant>
      <vt:variant>
        <vt:i4>1011</vt:i4>
      </vt:variant>
      <vt:variant>
        <vt:i4>0</vt:i4>
      </vt:variant>
      <vt:variant>
        <vt:i4>5</vt:i4>
      </vt:variant>
      <vt:variant>
        <vt:lpwstr>mailto:NPDES_Wastewater@waterboards.ca.gov</vt:lpwstr>
      </vt:variant>
      <vt:variant>
        <vt:lpwstr/>
      </vt:variant>
      <vt:variant>
        <vt:i4>5242891</vt:i4>
      </vt:variant>
      <vt:variant>
        <vt:i4>1008</vt:i4>
      </vt:variant>
      <vt:variant>
        <vt:i4>0</vt:i4>
      </vt:variant>
      <vt:variant>
        <vt:i4>5</vt:i4>
      </vt:variant>
      <vt:variant>
        <vt:lpwstr>http://www.wbers.net/</vt:lpwstr>
      </vt:variant>
      <vt:variant>
        <vt:lpwstr/>
      </vt:variant>
      <vt:variant>
        <vt:i4>5242891</vt:i4>
      </vt:variant>
      <vt:variant>
        <vt:i4>1005</vt:i4>
      </vt:variant>
      <vt:variant>
        <vt:i4>0</vt:i4>
      </vt:variant>
      <vt:variant>
        <vt:i4>5</vt:i4>
      </vt:variant>
      <vt:variant>
        <vt:lpwstr>http://www.wbers.net/</vt:lpwstr>
      </vt:variant>
      <vt:variant>
        <vt:lpwstr/>
      </vt:variant>
      <vt:variant>
        <vt:i4>5242891</vt:i4>
      </vt:variant>
      <vt:variant>
        <vt:i4>1002</vt:i4>
      </vt:variant>
      <vt:variant>
        <vt:i4>0</vt:i4>
      </vt:variant>
      <vt:variant>
        <vt:i4>5</vt:i4>
      </vt:variant>
      <vt:variant>
        <vt:lpwstr>http://www.wbers.net/</vt:lpwstr>
      </vt:variant>
      <vt:variant>
        <vt:lpwstr/>
      </vt:variant>
      <vt:variant>
        <vt:i4>5242891</vt:i4>
      </vt:variant>
      <vt:variant>
        <vt:i4>999</vt:i4>
      </vt:variant>
      <vt:variant>
        <vt:i4>0</vt:i4>
      </vt:variant>
      <vt:variant>
        <vt:i4>5</vt:i4>
      </vt:variant>
      <vt:variant>
        <vt:lpwstr>http://www.wbers.net/</vt:lpwstr>
      </vt:variant>
      <vt:variant>
        <vt:lpwstr/>
      </vt:variant>
      <vt:variant>
        <vt:i4>5242891</vt:i4>
      </vt:variant>
      <vt:variant>
        <vt:i4>996</vt:i4>
      </vt:variant>
      <vt:variant>
        <vt:i4>0</vt:i4>
      </vt:variant>
      <vt:variant>
        <vt:i4>5</vt:i4>
      </vt:variant>
      <vt:variant>
        <vt:lpwstr>http://www.wbers.net/</vt:lpwstr>
      </vt:variant>
      <vt:variant>
        <vt:lpwstr/>
      </vt:variant>
      <vt:variant>
        <vt:i4>1638461</vt:i4>
      </vt:variant>
      <vt:variant>
        <vt:i4>989</vt:i4>
      </vt:variant>
      <vt:variant>
        <vt:i4>0</vt:i4>
      </vt:variant>
      <vt:variant>
        <vt:i4>5</vt:i4>
      </vt:variant>
      <vt:variant>
        <vt:lpwstr/>
      </vt:variant>
      <vt:variant>
        <vt:lpwstr>_Toc252784584</vt:lpwstr>
      </vt:variant>
      <vt:variant>
        <vt:i4>1638461</vt:i4>
      </vt:variant>
      <vt:variant>
        <vt:i4>983</vt:i4>
      </vt:variant>
      <vt:variant>
        <vt:i4>0</vt:i4>
      </vt:variant>
      <vt:variant>
        <vt:i4>5</vt:i4>
      </vt:variant>
      <vt:variant>
        <vt:lpwstr/>
      </vt:variant>
      <vt:variant>
        <vt:lpwstr>_Toc252784583</vt:lpwstr>
      </vt:variant>
      <vt:variant>
        <vt:i4>1638461</vt:i4>
      </vt:variant>
      <vt:variant>
        <vt:i4>977</vt:i4>
      </vt:variant>
      <vt:variant>
        <vt:i4>0</vt:i4>
      </vt:variant>
      <vt:variant>
        <vt:i4>5</vt:i4>
      </vt:variant>
      <vt:variant>
        <vt:lpwstr/>
      </vt:variant>
      <vt:variant>
        <vt:lpwstr>_Toc252784582</vt:lpwstr>
      </vt:variant>
      <vt:variant>
        <vt:i4>1638461</vt:i4>
      </vt:variant>
      <vt:variant>
        <vt:i4>971</vt:i4>
      </vt:variant>
      <vt:variant>
        <vt:i4>0</vt:i4>
      </vt:variant>
      <vt:variant>
        <vt:i4>5</vt:i4>
      </vt:variant>
      <vt:variant>
        <vt:lpwstr/>
      </vt:variant>
      <vt:variant>
        <vt:lpwstr>_Toc252784581</vt:lpwstr>
      </vt:variant>
      <vt:variant>
        <vt:i4>1638461</vt:i4>
      </vt:variant>
      <vt:variant>
        <vt:i4>965</vt:i4>
      </vt:variant>
      <vt:variant>
        <vt:i4>0</vt:i4>
      </vt:variant>
      <vt:variant>
        <vt:i4>5</vt:i4>
      </vt:variant>
      <vt:variant>
        <vt:lpwstr/>
      </vt:variant>
      <vt:variant>
        <vt:lpwstr>_Toc252784580</vt:lpwstr>
      </vt:variant>
      <vt:variant>
        <vt:i4>1441853</vt:i4>
      </vt:variant>
      <vt:variant>
        <vt:i4>959</vt:i4>
      </vt:variant>
      <vt:variant>
        <vt:i4>0</vt:i4>
      </vt:variant>
      <vt:variant>
        <vt:i4>5</vt:i4>
      </vt:variant>
      <vt:variant>
        <vt:lpwstr/>
      </vt:variant>
      <vt:variant>
        <vt:lpwstr>_Toc252784579</vt:lpwstr>
      </vt:variant>
      <vt:variant>
        <vt:i4>1441853</vt:i4>
      </vt:variant>
      <vt:variant>
        <vt:i4>953</vt:i4>
      </vt:variant>
      <vt:variant>
        <vt:i4>0</vt:i4>
      </vt:variant>
      <vt:variant>
        <vt:i4>5</vt:i4>
      </vt:variant>
      <vt:variant>
        <vt:lpwstr/>
      </vt:variant>
      <vt:variant>
        <vt:lpwstr>_Toc252784578</vt:lpwstr>
      </vt:variant>
      <vt:variant>
        <vt:i4>1441853</vt:i4>
      </vt:variant>
      <vt:variant>
        <vt:i4>947</vt:i4>
      </vt:variant>
      <vt:variant>
        <vt:i4>0</vt:i4>
      </vt:variant>
      <vt:variant>
        <vt:i4>5</vt:i4>
      </vt:variant>
      <vt:variant>
        <vt:lpwstr/>
      </vt:variant>
      <vt:variant>
        <vt:lpwstr>_Toc252784577</vt:lpwstr>
      </vt:variant>
      <vt:variant>
        <vt:i4>1441853</vt:i4>
      </vt:variant>
      <vt:variant>
        <vt:i4>941</vt:i4>
      </vt:variant>
      <vt:variant>
        <vt:i4>0</vt:i4>
      </vt:variant>
      <vt:variant>
        <vt:i4>5</vt:i4>
      </vt:variant>
      <vt:variant>
        <vt:lpwstr/>
      </vt:variant>
      <vt:variant>
        <vt:lpwstr>_Toc252784576</vt:lpwstr>
      </vt:variant>
      <vt:variant>
        <vt:i4>1441853</vt:i4>
      </vt:variant>
      <vt:variant>
        <vt:i4>935</vt:i4>
      </vt:variant>
      <vt:variant>
        <vt:i4>0</vt:i4>
      </vt:variant>
      <vt:variant>
        <vt:i4>5</vt:i4>
      </vt:variant>
      <vt:variant>
        <vt:lpwstr/>
      </vt:variant>
      <vt:variant>
        <vt:lpwstr>_Toc252784575</vt:lpwstr>
      </vt:variant>
      <vt:variant>
        <vt:i4>1441853</vt:i4>
      </vt:variant>
      <vt:variant>
        <vt:i4>929</vt:i4>
      </vt:variant>
      <vt:variant>
        <vt:i4>0</vt:i4>
      </vt:variant>
      <vt:variant>
        <vt:i4>5</vt:i4>
      </vt:variant>
      <vt:variant>
        <vt:lpwstr/>
      </vt:variant>
      <vt:variant>
        <vt:lpwstr>_Toc252784574</vt:lpwstr>
      </vt:variant>
      <vt:variant>
        <vt:i4>1441853</vt:i4>
      </vt:variant>
      <vt:variant>
        <vt:i4>923</vt:i4>
      </vt:variant>
      <vt:variant>
        <vt:i4>0</vt:i4>
      </vt:variant>
      <vt:variant>
        <vt:i4>5</vt:i4>
      </vt:variant>
      <vt:variant>
        <vt:lpwstr/>
      </vt:variant>
      <vt:variant>
        <vt:lpwstr>_Toc252784573</vt:lpwstr>
      </vt:variant>
      <vt:variant>
        <vt:i4>1441853</vt:i4>
      </vt:variant>
      <vt:variant>
        <vt:i4>917</vt:i4>
      </vt:variant>
      <vt:variant>
        <vt:i4>0</vt:i4>
      </vt:variant>
      <vt:variant>
        <vt:i4>5</vt:i4>
      </vt:variant>
      <vt:variant>
        <vt:lpwstr/>
      </vt:variant>
      <vt:variant>
        <vt:lpwstr>_Toc252784572</vt:lpwstr>
      </vt:variant>
      <vt:variant>
        <vt:i4>1441853</vt:i4>
      </vt:variant>
      <vt:variant>
        <vt:i4>911</vt:i4>
      </vt:variant>
      <vt:variant>
        <vt:i4>0</vt:i4>
      </vt:variant>
      <vt:variant>
        <vt:i4>5</vt:i4>
      </vt:variant>
      <vt:variant>
        <vt:lpwstr/>
      </vt:variant>
      <vt:variant>
        <vt:lpwstr>_Toc252784571</vt:lpwstr>
      </vt:variant>
      <vt:variant>
        <vt:i4>1441853</vt:i4>
      </vt:variant>
      <vt:variant>
        <vt:i4>905</vt:i4>
      </vt:variant>
      <vt:variant>
        <vt:i4>0</vt:i4>
      </vt:variant>
      <vt:variant>
        <vt:i4>5</vt:i4>
      </vt:variant>
      <vt:variant>
        <vt:lpwstr/>
      </vt:variant>
      <vt:variant>
        <vt:lpwstr>_Toc252784570</vt:lpwstr>
      </vt:variant>
      <vt:variant>
        <vt:i4>1507389</vt:i4>
      </vt:variant>
      <vt:variant>
        <vt:i4>899</vt:i4>
      </vt:variant>
      <vt:variant>
        <vt:i4>0</vt:i4>
      </vt:variant>
      <vt:variant>
        <vt:i4>5</vt:i4>
      </vt:variant>
      <vt:variant>
        <vt:lpwstr/>
      </vt:variant>
      <vt:variant>
        <vt:lpwstr>_Toc252784569</vt:lpwstr>
      </vt:variant>
      <vt:variant>
        <vt:i4>1507389</vt:i4>
      </vt:variant>
      <vt:variant>
        <vt:i4>893</vt:i4>
      </vt:variant>
      <vt:variant>
        <vt:i4>0</vt:i4>
      </vt:variant>
      <vt:variant>
        <vt:i4>5</vt:i4>
      </vt:variant>
      <vt:variant>
        <vt:lpwstr/>
      </vt:variant>
      <vt:variant>
        <vt:lpwstr>_Toc252784568</vt:lpwstr>
      </vt:variant>
      <vt:variant>
        <vt:i4>1507389</vt:i4>
      </vt:variant>
      <vt:variant>
        <vt:i4>887</vt:i4>
      </vt:variant>
      <vt:variant>
        <vt:i4>0</vt:i4>
      </vt:variant>
      <vt:variant>
        <vt:i4>5</vt:i4>
      </vt:variant>
      <vt:variant>
        <vt:lpwstr/>
      </vt:variant>
      <vt:variant>
        <vt:lpwstr>_Toc252784567</vt:lpwstr>
      </vt:variant>
      <vt:variant>
        <vt:i4>1507389</vt:i4>
      </vt:variant>
      <vt:variant>
        <vt:i4>881</vt:i4>
      </vt:variant>
      <vt:variant>
        <vt:i4>0</vt:i4>
      </vt:variant>
      <vt:variant>
        <vt:i4>5</vt:i4>
      </vt:variant>
      <vt:variant>
        <vt:lpwstr/>
      </vt:variant>
      <vt:variant>
        <vt:lpwstr>_Toc252784566</vt:lpwstr>
      </vt:variant>
      <vt:variant>
        <vt:i4>1507389</vt:i4>
      </vt:variant>
      <vt:variant>
        <vt:i4>875</vt:i4>
      </vt:variant>
      <vt:variant>
        <vt:i4>0</vt:i4>
      </vt:variant>
      <vt:variant>
        <vt:i4>5</vt:i4>
      </vt:variant>
      <vt:variant>
        <vt:lpwstr/>
      </vt:variant>
      <vt:variant>
        <vt:lpwstr>_Toc252784565</vt:lpwstr>
      </vt:variant>
      <vt:variant>
        <vt:i4>1507389</vt:i4>
      </vt:variant>
      <vt:variant>
        <vt:i4>869</vt:i4>
      </vt:variant>
      <vt:variant>
        <vt:i4>0</vt:i4>
      </vt:variant>
      <vt:variant>
        <vt:i4>5</vt:i4>
      </vt:variant>
      <vt:variant>
        <vt:lpwstr/>
      </vt:variant>
      <vt:variant>
        <vt:lpwstr>_Toc252784564</vt:lpwstr>
      </vt:variant>
      <vt:variant>
        <vt:i4>1507389</vt:i4>
      </vt:variant>
      <vt:variant>
        <vt:i4>863</vt:i4>
      </vt:variant>
      <vt:variant>
        <vt:i4>0</vt:i4>
      </vt:variant>
      <vt:variant>
        <vt:i4>5</vt:i4>
      </vt:variant>
      <vt:variant>
        <vt:lpwstr/>
      </vt:variant>
      <vt:variant>
        <vt:lpwstr>_Toc252784563</vt:lpwstr>
      </vt:variant>
      <vt:variant>
        <vt:i4>1507389</vt:i4>
      </vt:variant>
      <vt:variant>
        <vt:i4>857</vt:i4>
      </vt:variant>
      <vt:variant>
        <vt:i4>0</vt:i4>
      </vt:variant>
      <vt:variant>
        <vt:i4>5</vt:i4>
      </vt:variant>
      <vt:variant>
        <vt:lpwstr/>
      </vt:variant>
      <vt:variant>
        <vt:lpwstr>_Toc252784562</vt:lpwstr>
      </vt:variant>
      <vt:variant>
        <vt:i4>1507389</vt:i4>
      </vt:variant>
      <vt:variant>
        <vt:i4>851</vt:i4>
      </vt:variant>
      <vt:variant>
        <vt:i4>0</vt:i4>
      </vt:variant>
      <vt:variant>
        <vt:i4>5</vt:i4>
      </vt:variant>
      <vt:variant>
        <vt:lpwstr/>
      </vt:variant>
      <vt:variant>
        <vt:lpwstr>_Toc252784561</vt:lpwstr>
      </vt:variant>
      <vt:variant>
        <vt:i4>1507389</vt:i4>
      </vt:variant>
      <vt:variant>
        <vt:i4>845</vt:i4>
      </vt:variant>
      <vt:variant>
        <vt:i4>0</vt:i4>
      </vt:variant>
      <vt:variant>
        <vt:i4>5</vt:i4>
      </vt:variant>
      <vt:variant>
        <vt:lpwstr/>
      </vt:variant>
      <vt:variant>
        <vt:lpwstr>_Toc252784560</vt:lpwstr>
      </vt:variant>
      <vt:variant>
        <vt:i4>1310781</vt:i4>
      </vt:variant>
      <vt:variant>
        <vt:i4>839</vt:i4>
      </vt:variant>
      <vt:variant>
        <vt:i4>0</vt:i4>
      </vt:variant>
      <vt:variant>
        <vt:i4>5</vt:i4>
      </vt:variant>
      <vt:variant>
        <vt:lpwstr/>
      </vt:variant>
      <vt:variant>
        <vt:lpwstr>_Toc252784559</vt:lpwstr>
      </vt:variant>
      <vt:variant>
        <vt:i4>1310781</vt:i4>
      </vt:variant>
      <vt:variant>
        <vt:i4>833</vt:i4>
      </vt:variant>
      <vt:variant>
        <vt:i4>0</vt:i4>
      </vt:variant>
      <vt:variant>
        <vt:i4>5</vt:i4>
      </vt:variant>
      <vt:variant>
        <vt:lpwstr/>
      </vt:variant>
      <vt:variant>
        <vt:lpwstr>_Toc252784558</vt:lpwstr>
      </vt:variant>
      <vt:variant>
        <vt:i4>1310781</vt:i4>
      </vt:variant>
      <vt:variant>
        <vt:i4>827</vt:i4>
      </vt:variant>
      <vt:variant>
        <vt:i4>0</vt:i4>
      </vt:variant>
      <vt:variant>
        <vt:i4>5</vt:i4>
      </vt:variant>
      <vt:variant>
        <vt:lpwstr/>
      </vt:variant>
      <vt:variant>
        <vt:lpwstr>_Toc252784557</vt:lpwstr>
      </vt:variant>
      <vt:variant>
        <vt:i4>1310781</vt:i4>
      </vt:variant>
      <vt:variant>
        <vt:i4>821</vt:i4>
      </vt:variant>
      <vt:variant>
        <vt:i4>0</vt:i4>
      </vt:variant>
      <vt:variant>
        <vt:i4>5</vt:i4>
      </vt:variant>
      <vt:variant>
        <vt:lpwstr/>
      </vt:variant>
      <vt:variant>
        <vt:lpwstr>_Toc252784556</vt:lpwstr>
      </vt:variant>
      <vt:variant>
        <vt:i4>1310781</vt:i4>
      </vt:variant>
      <vt:variant>
        <vt:i4>815</vt:i4>
      </vt:variant>
      <vt:variant>
        <vt:i4>0</vt:i4>
      </vt:variant>
      <vt:variant>
        <vt:i4>5</vt:i4>
      </vt:variant>
      <vt:variant>
        <vt:lpwstr/>
      </vt:variant>
      <vt:variant>
        <vt:lpwstr>_Toc252784555</vt:lpwstr>
      </vt:variant>
      <vt:variant>
        <vt:i4>1310781</vt:i4>
      </vt:variant>
      <vt:variant>
        <vt:i4>809</vt:i4>
      </vt:variant>
      <vt:variant>
        <vt:i4>0</vt:i4>
      </vt:variant>
      <vt:variant>
        <vt:i4>5</vt:i4>
      </vt:variant>
      <vt:variant>
        <vt:lpwstr/>
      </vt:variant>
      <vt:variant>
        <vt:lpwstr>_Toc252784554</vt:lpwstr>
      </vt:variant>
      <vt:variant>
        <vt:i4>1310781</vt:i4>
      </vt:variant>
      <vt:variant>
        <vt:i4>803</vt:i4>
      </vt:variant>
      <vt:variant>
        <vt:i4>0</vt:i4>
      </vt:variant>
      <vt:variant>
        <vt:i4>5</vt:i4>
      </vt:variant>
      <vt:variant>
        <vt:lpwstr/>
      </vt:variant>
      <vt:variant>
        <vt:lpwstr>_Toc252784553</vt:lpwstr>
      </vt:variant>
      <vt:variant>
        <vt:i4>1310781</vt:i4>
      </vt:variant>
      <vt:variant>
        <vt:i4>797</vt:i4>
      </vt:variant>
      <vt:variant>
        <vt:i4>0</vt:i4>
      </vt:variant>
      <vt:variant>
        <vt:i4>5</vt:i4>
      </vt:variant>
      <vt:variant>
        <vt:lpwstr/>
      </vt:variant>
      <vt:variant>
        <vt:lpwstr>_Toc252784552</vt:lpwstr>
      </vt:variant>
      <vt:variant>
        <vt:i4>1310781</vt:i4>
      </vt:variant>
      <vt:variant>
        <vt:i4>791</vt:i4>
      </vt:variant>
      <vt:variant>
        <vt:i4>0</vt:i4>
      </vt:variant>
      <vt:variant>
        <vt:i4>5</vt:i4>
      </vt:variant>
      <vt:variant>
        <vt:lpwstr/>
      </vt:variant>
      <vt:variant>
        <vt:lpwstr>_Toc252784551</vt:lpwstr>
      </vt:variant>
      <vt:variant>
        <vt:i4>1310781</vt:i4>
      </vt:variant>
      <vt:variant>
        <vt:i4>785</vt:i4>
      </vt:variant>
      <vt:variant>
        <vt:i4>0</vt:i4>
      </vt:variant>
      <vt:variant>
        <vt:i4>5</vt:i4>
      </vt:variant>
      <vt:variant>
        <vt:lpwstr/>
      </vt:variant>
      <vt:variant>
        <vt:lpwstr>_Toc252784550</vt:lpwstr>
      </vt:variant>
      <vt:variant>
        <vt:i4>1376317</vt:i4>
      </vt:variant>
      <vt:variant>
        <vt:i4>779</vt:i4>
      </vt:variant>
      <vt:variant>
        <vt:i4>0</vt:i4>
      </vt:variant>
      <vt:variant>
        <vt:i4>5</vt:i4>
      </vt:variant>
      <vt:variant>
        <vt:lpwstr/>
      </vt:variant>
      <vt:variant>
        <vt:lpwstr>_Toc252784549</vt:lpwstr>
      </vt:variant>
      <vt:variant>
        <vt:i4>1376317</vt:i4>
      </vt:variant>
      <vt:variant>
        <vt:i4>773</vt:i4>
      </vt:variant>
      <vt:variant>
        <vt:i4>0</vt:i4>
      </vt:variant>
      <vt:variant>
        <vt:i4>5</vt:i4>
      </vt:variant>
      <vt:variant>
        <vt:lpwstr/>
      </vt:variant>
      <vt:variant>
        <vt:lpwstr>_Toc252784548</vt:lpwstr>
      </vt:variant>
      <vt:variant>
        <vt:i4>1376317</vt:i4>
      </vt:variant>
      <vt:variant>
        <vt:i4>767</vt:i4>
      </vt:variant>
      <vt:variant>
        <vt:i4>0</vt:i4>
      </vt:variant>
      <vt:variant>
        <vt:i4>5</vt:i4>
      </vt:variant>
      <vt:variant>
        <vt:lpwstr/>
      </vt:variant>
      <vt:variant>
        <vt:lpwstr>_Toc252784547</vt:lpwstr>
      </vt:variant>
      <vt:variant>
        <vt:i4>1376317</vt:i4>
      </vt:variant>
      <vt:variant>
        <vt:i4>761</vt:i4>
      </vt:variant>
      <vt:variant>
        <vt:i4>0</vt:i4>
      </vt:variant>
      <vt:variant>
        <vt:i4>5</vt:i4>
      </vt:variant>
      <vt:variant>
        <vt:lpwstr/>
      </vt:variant>
      <vt:variant>
        <vt:lpwstr>_Toc252784546</vt:lpwstr>
      </vt:variant>
      <vt:variant>
        <vt:i4>1376317</vt:i4>
      </vt:variant>
      <vt:variant>
        <vt:i4>755</vt:i4>
      </vt:variant>
      <vt:variant>
        <vt:i4>0</vt:i4>
      </vt:variant>
      <vt:variant>
        <vt:i4>5</vt:i4>
      </vt:variant>
      <vt:variant>
        <vt:lpwstr/>
      </vt:variant>
      <vt:variant>
        <vt:lpwstr>_Toc252784545</vt:lpwstr>
      </vt:variant>
      <vt:variant>
        <vt:i4>1376317</vt:i4>
      </vt:variant>
      <vt:variant>
        <vt:i4>749</vt:i4>
      </vt:variant>
      <vt:variant>
        <vt:i4>0</vt:i4>
      </vt:variant>
      <vt:variant>
        <vt:i4>5</vt:i4>
      </vt:variant>
      <vt:variant>
        <vt:lpwstr/>
      </vt:variant>
      <vt:variant>
        <vt:lpwstr>_Toc252784544</vt:lpwstr>
      </vt:variant>
      <vt:variant>
        <vt:i4>1376317</vt:i4>
      </vt:variant>
      <vt:variant>
        <vt:i4>743</vt:i4>
      </vt:variant>
      <vt:variant>
        <vt:i4>0</vt:i4>
      </vt:variant>
      <vt:variant>
        <vt:i4>5</vt:i4>
      </vt:variant>
      <vt:variant>
        <vt:lpwstr/>
      </vt:variant>
      <vt:variant>
        <vt:lpwstr>_Toc252784543</vt:lpwstr>
      </vt:variant>
      <vt:variant>
        <vt:i4>1376317</vt:i4>
      </vt:variant>
      <vt:variant>
        <vt:i4>737</vt:i4>
      </vt:variant>
      <vt:variant>
        <vt:i4>0</vt:i4>
      </vt:variant>
      <vt:variant>
        <vt:i4>5</vt:i4>
      </vt:variant>
      <vt:variant>
        <vt:lpwstr/>
      </vt:variant>
      <vt:variant>
        <vt:lpwstr>_Toc252784542</vt:lpwstr>
      </vt:variant>
      <vt:variant>
        <vt:i4>1376317</vt:i4>
      </vt:variant>
      <vt:variant>
        <vt:i4>731</vt:i4>
      </vt:variant>
      <vt:variant>
        <vt:i4>0</vt:i4>
      </vt:variant>
      <vt:variant>
        <vt:i4>5</vt:i4>
      </vt:variant>
      <vt:variant>
        <vt:lpwstr/>
      </vt:variant>
      <vt:variant>
        <vt:lpwstr>_Toc252784541</vt:lpwstr>
      </vt:variant>
      <vt:variant>
        <vt:i4>1376317</vt:i4>
      </vt:variant>
      <vt:variant>
        <vt:i4>725</vt:i4>
      </vt:variant>
      <vt:variant>
        <vt:i4>0</vt:i4>
      </vt:variant>
      <vt:variant>
        <vt:i4>5</vt:i4>
      </vt:variant>
      <vt:variant>
        <vt:lpwstr/>
      </vt:variant>
      <vt:variant>
        <vt:lpwstr>_Toc252784540</vt:lpwstr>
      </vt:variant>
      <vt:variant>
        <vt:i4>1179709</vt:i4>
      </vt:variant>
      <vt:variant>
        <vt:i4>719</vt:i4>
      </vt:variant>
      <vt:variant>
        <vt:i4>0</vt:i4>
      </vt:variant>
      <vt:variant>
        <vt:i4>5</vt:i4>
      </vt:variant>
      <vt:variant>
        <vt:lpwstr/>
      </vt:variant>
      <vt:variant>
        <vt:lpwstr>_Toc252784539</vt:lpwstr>
      </vt:variant>
      <vt:variant>
        <vt:i4>1179709</vt:i4>
      </vt:variant>
      <vt:variant>
        <vt:i4>713</vt:i4>
      </vt:variant>
      <vt:variant>
        <vt:i4>0</vt:i4>
      </vt:variant>
      <vt:variant>
        <vt:i4>5</vt:i4>
      </vt:variant>
      <vt:variant>
        <vt:lpwstr/>
      </vt:variant>
      <vt:variant>
        <vt:lpwstr>_Toc252784538</vt:lpwstr>
      </vt:variant>
      <vt:variant>
        <vt:i4>1179709</vt:i4>
      </vt:variant>
      <vt:variant>
        <vt:i4>707</vt:i4>
      </vt:variant>
      <vt:variant>
        <vt:i4>0</vt:i4>
      </vt:variant>
      <vt:variant>
        <vt:i4>5</vt:i4>
      </vt:variant>
      <vt:variant>
        <vt:lpwstr/>
      </vt:variant>
      <vt:variant>
        <vt:lpwstr>_Toc252784537</vt:lpwstr>
      </vt:variant>
      <vt:variant>
        <vt:i4>1179709</vt:i4>
      </vt:variant>
      <vt:variant>
        <vt:i4>701</vt:i4>
      </vt:variant>
      <vt:variant>
        <vt:i4>0</vt:i4>
      </vt:variant>
      <vt:variant>
        <vt:i4>5</vt:i4>
      </vt:variant>
      <vt:variant>
        <vt:lpwstr/>
      </vt:variant>
      <vt:variant>
        <vt:lpwstr>_Toc252784536</vt:lpwstr>
      </vt:variant>
      <vt:variant>
        <vt:i4>1179709</vt:i4>
      </vt:variant>
      <vt:variant>
        <vt:i4>695</vt:i4>
      </vt:variant>
      <vt:variant>
        <vt:i4>0</vt:i4>
      </vt:variant>
      <vt:variant>
        <vt:i4>5</vt:i4>
      </vt:variant>
      <vt:variant>
        <vt:lpwstr/>
      </vt:variant>
      <vt:variant>
        <vt:lpwstr>_Toc252784535</vt:lpwstr>
      </vt:variant>
      <vt:variant>
        <vt:i4>1179709</vt:i4>
      </vt:variant>
      <vt:variant>
        <vt:i4>689</vt:i4>
      </vt:variant>
      <vt:variant>
        <vt:i4>0</vt:i4>
      </vt:variant>
      <vt:variant>
        <vt:i4>5</vt:i4>
      </vt:variant>
      <vt:variant>
        <vt:lpwstr/>
      </vt:variant>
      <vt:variant>
        <vt:lpwstr>_Toc252784534</vt:lpwstr>
      </vt:variant>
      <vt:variant>
        <vt:i4>1179709</vt:i4>
      </vt:variant>
      <vt:variant>
        <vt:i4>683</vt:i4>
      </vt:variant>
      <vt:variant>
        <vt:i4>0</vt:i4>
      </vt:variant>
      <vt:variant>
        <vt:i4>5</vt:i4>
      </vt:variant>
      <vt:variant>
        <vt:lpwstr/>
      </vt:variant>
      <vt:variant>
        <vt:lpwstr>_Toc252784533</vt:lpwstr>
      </vt:variant>
      <vt:variant>
        <vt:i4>1179709</vt:i4>
      </vt:variant>
      <vt:variant>
        <vt:i4>677</vt:i4>
      </vt:variant>
      <vt:variant>
        <vt:i4>0</vt:i4>
      </vt:variant>
      <vt:variant>
        <vt:i4>5</vt:i4>
      </vt:variant>
      <vt:variant>
        <vt:lpwstr/>
      </vt:variant>
      <vt:variant>
        <vt:lpwstr>_Toc252784532</vt:lpwstr>
      </vt:variant>
      <vt:variant>
        <vt:i4>1179709</vt:i4>
      </vt:variant>
      <vt:variant>
        <vt:i4>671</vt:i4>
      </vt:variant>
      <vt:variant>
        <vt:i4>0</vt:i4>
      </vt:variant>
      <vt:variant>
        <vt:i4>5</vt:i4>
      </vt:variant>
      <vt:variant>
        <vt:lpwstr/>
      </vt:variant>
      <vt:variant>
        <vt:lpwstr>_Toc252784531</vt:lpwstr>
      </vt:variant>
      <vt:variant>
        <vt:i4>1179709</vt:i4>
      </vt:variant>
      <vt:variant>
        <vt:i4>665</vt:i4>
      </vt:variant>
      <vt:variant>
        <vt:i4>0</vt:i4>
      </vt:variant>
      <vt:variant>
        <vt:i4>5</vt:i4>
      </vt:variant>
      <vt:variant>
        <vt:lpwstr/>
      </vt:variant>
      <vt:variant>
        <vt:lpwstr>_Toc252784530</vt:lpwstr>
      </vt:variant>
      <vt:variant>
        <vt:i4>1245245</vt:i4>
      </vt:variant>
      <vt:variant>
        <vt:i4>659</vt:i4>
      </vt:variant>
      <vt:variant>
        <vt:i4>0</vt:i4>
      </vt:variant>
      <vt:variant>
        <vt:i4>5</vt:i4>
      </vt:variant>
      <vt:variant>
        <vt:lpwstr/>
      </vt:variant>
      <vt:variant>
        <vt:lpwstr>_Toc252784529</vt:lpwstr>
      </vt:variant>
      <vt:variant>
        <vt:i4>1245245</vt:i4>
      </vt:variant>
      <vt:variant>
        <vt:i4>653</vt:i4>
      </vt:variant>
      <vt:variant>
        <vt:i4>0</vt:i4>
      </vt:variant>
      <vt:variant>
        <vt:i4>5</vt:i4>
      </vt:variant>
      <vt:variant>
        <vt:lpwstr/>
      </vt:variant>
      <vt:variant>
        <vt:lpwstr>_Toc252784528</vt:lpwstr>
      </vt:variant>
      <vt:variant>
        <vt:i4>1245245</vt:i4>
      </vt:variant>
      <vt:variant>
        <vt:i4>647</vt:i4>
      </vt:variant>
      <vt:variant>
        <vt:i4>0</vt:i4>
      </vt:variant>
      <vt:variant>
        <vt:i4>5</vt:i4>
      </vt:variant>
      <vt:variant>
        <vt:lpwstr/>
      </vt:variant>
      <vt:variant>
        <vt:lpwstr>_Toc252784527</vt:lpwstr>
      </vt:variant>
      <vt:variant>
        <vt:i4>1245245</vt:i4>
      </vt:variant>
      <vt:variant>
        <vt:i4>641</vt:i4>
      </vt:variant>
      <vt:variant>
        <vt:i4>0</vt:i4>
      </vt:variant>
      <vt:variant>
        <vt:i4>5</vt:i4>
      </vt:variant>
      <vt:variant>
        <vt:lpwstr/>
      </vt:variant>
      <vt:variant>
        <vt:lpwstr>_Toc252784526</vt:lpwstr>
      </vt:variant>
      <vt:variant>
        <vt:i4>1245245</vt:i4>
      </vt:variant>
      <vt:variant>
        <vt:i4>635</vt:i4>
      </vt:variant>
      <vt:variant>
        <vt:i4>0</vt:i4>
      </vt:variant>
      <vt:variant>
        <vt:i4>5</vt:i4>
      </vt:variant>
      <vt:variant>
        <vt:lpwstr/>
      </vt:variant>
      <vt:variant>
        <vt:lpwstr>_Toc252784525</vt:lpwstr>
      </vt:variant>
      <vt:variant>
        <vt:i4>1245245</vt:i4>
      </vt:variant>
      <vt:variant>
        <vt:i4>629</vt:i4>
      </vt:variant>
      <vt:variant>
        <vt:i4>0</vt:i4>
      </vt:variant>
      <vt:variant>
        <vt:i4>5</vt:i4>
      </vt:variant>
      <vt:variant>
        <vt:lpwstr/>
      </vt:variant>
      <vt:variant>
        <vt:lpwstr>_Toc252784524</vt:lpwstr>
      </vt:variant>
      <vt:variant>
        <vt:i4>1835127</vt:i4>
      </vt:variant>
      <vt:variant>
        <vt:i4>624</vt:i4>
      </vt:variant>
      <vt:variant>
        <vt:i4>0</vt:i4>
      </vt:variant>
      <vt:variant>
        <vt:i4>5</vt:i4>
      </vt:variant>
      <vt:variant>
        <vt:lpwstr>mailto:JMadigan@waterboards.ca.gov</vt:lpwstr>
      </vt:variant>
      <vt:variant>
        <vt:lpwstr/>
      </vt:variant>
      <vt:variant>
        <vt:i4>4259844</vt:i4>
      </vt:variant>
      <vt:variant>
        <vt:i4>621</vt:i4>
      </vt:variant>
      <vt:variant>
        <vt:i4>0</vt:i4>
      </vt:variant>
      <vt:variant>
        <vt:i4>5</vt:i4>
      </vt:variant>
      <vt:variant>
        <vt:lpwstr>http://www.waterboards.ca.gov/sanfranciscobay</vt:lpwstr>
      </vt:variant>
      <vt:variant>
        <vt:lpwstr/>
      </vt:variant>
      <vt:variant>
        <vt:i4>1245243</vt:i4>
      </vt:variant>
      <vt:variant>
        <vt:i4>614</vt:i4>
      </vt:variant>
      <vt:variant>
        <vt:i4>0</vt:i4>
      </vt:variant>
      <vt:variant>
        <vt:i4>5</vt:i4>
      </vt:variant>
      <vt:variant>
        <vt:lpwstr/>
      </vt:variant>
      <vt:variant>
        <vt:lpwstr>_Toc318819145</vt:lpwstr>
      </vt:variant>
      <vt:variant>
        <vt:i4>1245243</vt:i4>
      </vt:variant>
      <vt:variant>
        <vt:i4>608</vt:i4>
      </vt:variant>
      <vt:variant>
        <vt:i4>0</vt:i4>
      </vt:variant>
      <vt:variant>
        <vt:i4>5</vt:i4>
      </vt:variant>
      <vt:variant>
        <vt:lpwstr/>
      </vt:variant>
      <vt:variant>
        <vt:lpwstr>_Toc318819144</vt:lpwstr>
      </vt:variant>
      <vt:variant>
        <vt:i4>1245243</vt:i4>
      </vt:variant>
      <vt:variant>
        <vt:i4>602</vt:i4>
      </vt:variant>
      <vt:variant>
        <vt:i4>0</vt:i4>
      </vt:variant>
      <vt:variant>
        <vt:i4>5</vt:i4>
      </vt:variant>
      <vt:variant>
        <vt:lpwstr/>
      </vt:variant>
      <vt:variant>
        <vt:lpwstr>_Toc318819143</vt:lpwstr>
      </vt:variant>
      <vt:variant>
        <vt:i4>1245243</vt:i4>
      </vt:variant>
      <vt:variant>
        <vt:i4>596</vt:i4>
      </vt:variant>
      <vt:variant>
        <vt:i4>0</vt:i4>
      </vt:variant>
      <vt:variant>
        <vt:i4>5</vt:i4>
      </vt:variant>
      <vt:variant>
        <vt:lpwstr/>
      </vt:variant>
      <vt:variant>
        <vt:lpwstr>_Toc318819142</vt:lpwstr>
      </vt:variant>
      <vt:variant>
        <vt:i4>1245243</vt:i4>
      </vt:variant>
      <vt:variant>
        <vt:i4>590</vt:i4>
      </vt:variant>
      <vt:variant>
        <vt:i4>0</vt:i4>
      </vt:variant>
      <vt:variant>
        <vt:i4>5</vt:i4>
      </vt:variant>
      <vt:variant>
        <vt:lpwstr/>
      </vt:variant>
      <vt:variant>
        <vt:lpwstr>_Toc318819141</vt:lpwstr>
      </vt:variant>
      <vt:variant>
        <vt:i4>1245243</vt:i4>
      </vt:variant>
      <vt:variant>
        <vt:i4>584</vt:i4>
      </vt:variant>
      <vt:variant>
        <vt:i4>0</vt:i4>
      </vt:variant>
      <vt:variant>
        <vt:i4>5</vt:i4>
      </vt:variant>
      <vt:variant>
        <vt:lpwstr/>
      </vt:variant>
      <vt:variant>
        <vt:lpwstr>_Toc318819140</vt:lpwstr>
      </vt:variant>
      <vt:variant>
        <vt:i4>1310779</vt:i4>
      </vt:variant>
      <vt:variant>
        <vt:i4>578</vt:i4>
      </vt:variant>
      <vt:variant>
        <vt:i4>0</vt:i4>
      </vt:variant>
      <vt:variant>
        <vt:i4>5</vt:i4>
      </vt:variant>
      <vt:variant>
        <vt:lpwstr/>
      </vt:variant>
      <vt:variant>
        <vt:lpwstr>_Toc318819139</vt:lpwstr>
      </vt:variant>
      <vt:variant>
        <vt:i4>1310779</vt:i4>
      </vt:variant>
      <vt:variant>
        <vt:i4>572</vt:i4>
      </vt:variant>
      <vt:variant>
        <vt:i4>0</vt:i4>
      </vt:variant>
      <vt:variant>
        <vt:i4>5</vt:i4>
      </vt:variant>
      <vt:variant>
        <vt:lpwstr/>
      </vt:variant>
      <vt:variant>
        <vt:lpwstr>_Toc318819138</vt:lpwstr>
      </vt:variant>
      <vt:variant>
        <vt:i4>1310779</vt:i4>
      </vt:variant>
      <vt:variant>
        <vt:i4>566</vt:i4>
      </vt:variant>
      <vt:variant>
        <vt:i4>0</vt:i4>
      </vt:variant>
      <vt:variant>
        <vt:i4>5</vt:i4>
      </vt:variant>
      <vt:variant>
        <vt:lpwstr/>
      </vt:variant>
      <vt:variant>
        <vt:lpwstr>_Toc318819137</vt:lpwstr>
      </vt:variant>
      <vt:variant>
        <vt:i4>1310779</vt:i4>
      </vt:variant>
      <vt:variant>
        <vt:i4>560</vt:i4>
      </vt:variant>
      <vt:variant>
        <vt:i4>0</vt:i4>
      </vt:variant>
      <vt:variant>
        <vt:i4>5</vt:i4>
      </vt:variant>
      <vt:variant>
        <vt:lpwstr/>
      </vt:variant>
      <vt:variant>
        <vt:lpwstr>_Toc318819136</vt:lpwstr>
      </vt:variant>
      <vt:variant>
        <vt:i4>1310779</vt:i4>
      </vt:variant>
      <vt:variant>
        <vt:i4>551</vt:i4>
      </vt:variant>
      <vt:variant>
        <vt:i4>0</vt:i4>
      </vt:variant>
      <vt:variant>
        <vt:i4>5</vt:i4>
      </vt:variant>
      <vt:variant>
        <vt:lpwstr/>
      </vt:variant>
      <vt:variant>
        <vt:lpwstr>_Toc318819135</vt:lpwstr>
      </vt:variant>
      <vt:variant>
        <vt:i4>1310779</vt:i4>
      </vt:variant>
      <vt:variant>
        <vt:i4>545</vt:i4>
      </vt:variant>
      <vt:variant>
        <vt:i4>0</vt:i4>
      </vt:variant>
      <vt:variant>
        <vt:i4>5</vt:i4>
      </vt:variant>
      <vt:variant>
        <vt:lpwstr/>
      </vt:variant>
      <vt:variant>
        <vt:lpwstr>_Toc318819134</vt:lpwstr>
      </vt:variant>
      <vt:variant>
        <vt:i4>1310779</vt:i4>
      </vt:variant>
      <vt:variant>
        <vt:i4>539</vt:i4>
      </vt:variant>
      <vt:variant>
        <vt:i4>0</vt:i4>
      </vt:variant>
      <vt:variant>
        <vt:i4>5</vt:i4>
      </vt:variant>
      <vt:variant>
        <vt:lpwstr/>
      </vt:variant>
      <vt:variant>
        <vt:lpwstr>_Toc318819133</vt:lpwstr>
      </vt:variant>
      <vt:variant>
        <vt:i4>1310779</vt:i4>
      </vt:variant>
      <vt:variant>
        <vt:i4>533</vt:i4>
      </vt:variant>
      <vt:variant>
        <vt:i4>0</vt:i4>
      </vt:variant>
      <vt:variant>
        <vt:i4>5</vt:i4>
      </vt:variant>
      <vt:variant>
        <vt:lpwstr/>
      </vt:variant>
      <vt:variant>
        <vt:lpwstr>_Toc318819132</vt:lpwstr>
      </vt:variant>
      <vt:variant>
        <vt:i4>1310779</vt:i4>
      </vt:variant>
      <vt:variant>
        <vt:i4>527</vt:i4>
      </vt:variant>
      <vt:variant>
        <vt:i4>0</vt:i4>
      </vt:variant>
      <vt:variant>
        <vt:i4>5</vt:i4>
      </vt:variant>
      <vt:variant>
        <vt:lpwstr/>
      </vt:variant>
      <vt:variant>
        <vt:lpwstr>_Toc318819131</vt:lpwstr>
      </vt:variant>
      <vt:variant>
        <vt:i4>1310779</vt:i4>
      </vt:variant>
      <vt:variant>
        <vt:i4>521</vt:i4>
      </vt:variant>
      <vt:variant>
        <vt:i4>0</vt:i4>
      </vt:variant>
      <vt:variant>
        <vt:i4>5</vt:i4>
      </vt:variant>
      <vt:variant>
        <vt:lpwstr/>
      </vt:variant>
      <vt:variant>
        <vt:lpwstr>_Toc318819130</vt:lpwstr>
      </vt:variant>
      <vt:variant>
        <vt:i4>1376315</vt:i4>
      </vt:variant>
      <vt:variant>
        <vt:i4>515</vt:i4>
      </vt:variant>
      <vt:variant>
        <vt:i4>0</vt:i4>
      </vt:variant>
      <vt:variant>
        <vt:i4>5</vt:i4>
      </vt:variant>
      <vt:variant>
        <vt:lpwstr/>
      </vt:variant>
      <vt:variant>
        <vt:lpwstr>_Toc318819129</vt:lpwstr>
      </vt:variant>
      <vt:variant>
        <vt:i4>1376315</vt:i4>
      </vt:variant>
      <vt:variant>
        <vt:i4>509</vt:i4>
      </vt:variant>
      <vt:variant>
        <vt:i4>0</vt:i4>
      </vt:variant>
      <vt:variant>
        <vt:i4>5</vt:i4>
      </vt:variant>
      <vt:variant>
        <vt:lpwstr/>
      </vt:variant>
      <vt:variant>
        <vt:lpwstr>_Toc318819128</vt:lpwstr>
      </vt:variant>
      <vt:variant>
        <vt:i4>1376315</vt:i4>
      </vt:variant>
      <vt:variant>
        <vt:i4>503</vt:i4>
      </vt:variant>
      <vt:variant>
        <vt:i4>0</vt:i4>
      </vt:variant>
      <vt:variant>
        <vt:i4>5</vt:i4>
      </vt:variant>
      <vt:variant>
        <vt:lpwstr/>
      </vt:variant>
      <vt:variant>
        <vt:lpwstr>_Toc318819127</vt:lpwstr>
      </vt:variant>
      <vt:variant>
        <vt:i4>1376315</vt:i4>
      </vt:variant>
      <vt:variant>
        <vt:i4>497</vt:i4>
      </vt:variant>
      <vt:variant>
        <vt:i4>0</vt:i4>
      </vt:variant>
      <vt:variant>
        <vt:i4>5</vt:i4>
      </vt:variant>
      <vt:variant>
        <vt:lpwstr/>
      </vt:variant>
      <vt:variant>
        <vt:lpwstr>_Toc318819126</vt:lpwstr>
      </vt:variant>
      <vt:variant>
        <vt:i4>1376315</vt:i4>
      </vt:variant>
      <vt:variant>
        <vt:i4>491</vt:i4>
      </vt:variant>
      <vt:variant>
        <vt:i4>0</vt:i4>
      </vt:variant>
      <vt:variant>
        <vt:i4>5</vt:i4>
      </vt:variant>
      <vt:variant>
        <vt:lpwstr/>
      </vt:variant>
      <vt:variant>
        <vt:lpwstr>_Toc318819125</vt:lpwstr>
      </vt:variant>
      <vt:variant>
        <vt:i4>1376315</vt:i4>
      </vt:variant>
      <vt:variant>
        <vt:i4>485</vt:i4>
      </vt:variant>
      <vt:variant>
        <vt:i4>0</vt:i4>
      </vt:variant>
      <vt:variant>
        <vt:i4>5</vt:i4>
      </vt:variant>
      <vt:variant>
        <vt:lpwstr/>
      </vt:variant>
      <vt:variant>
        <vt:lpwstr>_Toc318819124</vt:lpwstr>
      </vt:variant>
      <vt:variant>
        <vt:i4>1376315</vt:i4>
      </vt:variant>
      <vt:variant>
        <vt:i4>479</vt:i4>
      </vt:variant>
      <vt:variant>
        <vt:i4>0</vt:i4>
      </vt:variant>
      <vt:variant>
        <vt:i4>5</vt:i4>
      </vt:variant>
      <vt:variant>
        <vt:lpwstr/>
      </vt:variant>
      <vt:variant>
        <vt:lpwstr>_Toc318819123</vt:lpwstr>
      </vt:variant>
      <vt:variant>
        <vt:i4>1376315</vt:i4>
      </vt:variant>
      <vt:variant>
        <vt:i4>473</vt:i4>
      </vt:variant>
      <vt:variant>
        <vt:i4>0</vt:i4>
      </vt:variant>
      <vt:variant>
        <vt:i4>5</vt:i4>
      </vt:variant>
      <vt:variant>
        <vt:lpwstr/>
      </vt:variant>
      <vt:variant>
        <vt:lpwstr>_Toc318819122</vt:lpwstr>
      </vt:variant>
      <vt:variant>
        <vt:i4>1376315</vt:i4>
      </vt:variant>
      <vt:variant>
        <vt:i4>467</vt:i4>
      </vt:variant>
      <vt:variant>
        <vt:i4>0</vt:i4>
      </vt:variant>
      <vt:variant>
        <vt:i4>5</vt:i4>
      </vt:variant>
      <vt:variant>
        <vt:lpwstr/>
      </vt:variant>
      <vt:variant>
        <vt:lpwstr>_Toc318819121</vt:lpwstr>
      </vt:variant>
      <vt:variant>
        <vt:i4>1376315</vt:i4>
      </vt:variant>
      <vt:variant>
        <vt:i4>461</vt:i4>
      </vt:variant>
      <vt:variant>
        <vt:i4>0</vt:i4>
      </vt:variant>
      <vt:variant>
        <vt:i4>5</vt:i4>
      </vt:variant>
      <vt:variant>
        <vt:lpwstr/>
      </vt:variant>
      <vt:variant>
        <vt:lpwstr>_Toc318819120</vt:lpwstr>
      </vt:variant>
      <vt:variant>
        <vt:i4>1441851</vt:i4>
      </vt:variant>
      <vt:variant>
        <vt:i4>455</vt:i4>
      </vt:variant>
      <vt:variant>
        <vt:i4>0</vt:i4>
      </vt:variant>
      <vt:variant>
        <vt:i4>5</vt:i4>
      </vt:variant>
      <vt:variant>
        <vt:lpwstr/>
      </vt:variant>
      <vt:variant>
        <vt:lpwstr>_Toc318819119</vt:lpwstr>
      </vt:variant>
      <vt:variant>
        <vt:i4>1441851</vt:i4>
      </vt:variant>
      <vt:variant>
        <vt:i4>449</vt:i4>
      </vt:variant>
      <vt:variant>
        <vt:i4>0</vt:i4>
      </vt:variant>
      <vt:variant>
        <vt:i4>5</vt:i4>
      </vt:variant>
      <vt:variant>
        <vt:lpwstr/>
      </vt:variant>
      <vt:variant>
        <vt:lpwstr>_Toc318819118</vt:lpwstr>
      </vt:variant>
      <vt:variant>
        <vt:i4>1441851</vt:i4>
      </vt:variant>
      <vt:variant>
        <vt:i4>443</vt:i4>
      </vt:variant>
      <vt:variant>
        <vt:i4>0</vt:i4>
      </vt:variant>
      <vt:variant>
        <vt:i4>5</vt:i4>
      </vt:variant>
      <vt:variant>
        <vt:lpwstr/>
      </vt:variant>
      <vt:variant>
        <vt:lpwstr>_Toc318819117</vt:lpwstr>
      </vt:variant>
      <vt:variant>
        <vt:i4>1441851</vt:i4>
      </vt:variant>
      <vt:variant>
        <vt:i4>437</vt:i4>
      </vt:variant>
      <vt:variant>
        <vt:i4>0</vt:i4>
      </vt:variant>
      <vt:variant>
        <vt:i4>5</vt:i4>
      </vt:variant>
      <vt:variant>
        <vt:lpwstr/>
      </vt:variant>
      <vt:variant>
        <vt:lpwstr>_Toc318819116</vt:lpwstr>
      </vt:variant>
      <vt:variant>
        <vt:i4>1441851</vt:i4>
      </vt:variant>
      <vt:variant>
        <vt:i4>431</vt:i4>
      </vt:variant>
      <vt:variant>
        <vt:i4>0</vt:i4>
      </vt:variant>
      <vt:variant>
        <vt:i4>5</vt:i4>
      </vt:variant>
      <vt:variant>
        <vt:lpwstr/>
      </vt:variant>
      <vt:variant>
        <vt:lpwstr>_Toc318819115</vt:lpwstr>
      </vt:variant>
      <vt:variant>
        <vt:i4>1441851</vt:i4>
      </vt:variant>
      <vt:variant>
        <vt:i4>425</vt:i4>
      </vt:variant>
      <vt:variant>
        <vt:i4>0</vt:i4>
      </vt:variant>
      <vt:variant>
        <vt:i4>5</vt:i4>
      </vt:variant>
      <vt:variant>
        <vt:lpwstr/>
      </vt:variant>
      <vt:variant>
        <vt:lpwstr>_Toc318819114</vt:lpwstr>
      </vt:variant>
      <vt:variant>
        <vt:i4>1441851</vt:i4>
      </vt:variant>
      <vt:variant>
        <vt:i4>419</vt:i4>
      </vt:variant>
      <vt:variant>
        <vt:i4>0</vt:i4>
      </vt:variant>
      <vt:variant>
        <vt:i4>5</vt:i4>
      </vt:variant>
      <vt:variant>
        <vt:lpwstr/>
      </vt:variant>
      <vt:variant>
        <vt:lpwstr>_Toc318819113</vt:lpwstr>
      </vt:variant>
      <vt:variant>
        <vt:i4>1441851</vt:i4>
      </vt:variant>
      <vt:variant>
        <vt:i4>413</vt:i4>
      </vt:variant>
      <vt:variant>
        <vt:i4>0</vt:i4>
      </vt:variant>
      <vt:variant>
        <vt:i4>5</vt:i4>
      </vt:variant>
      <vt:variant>
        <vt:lpwstr/>
      </vt:variant>
      <vt:variant>
        <vt:lpwstr>_Toc318819112</vt:lpwstr>
      </vt:variant>
      <vt:variant>
        <vt:i4>1441851</vt:i4>
      </vt:variant>
      <vt:variant>
        <vt:i4>407</vt:i4>
      </vt:variant>
      <vt:variant>
        <vt:i4>0</vt:i4>
      </vt:variant>
      <vt:variant>
        <vt:i4>5</vt:i4>
      </vt:variant>
      <vt:variant>
        <vt:lpwstr/>
      </vt:variant>
      <vt:variant>
        <vt:lpwstr>_Toc318819111</vt:lpwstr>
      </vt:variant>
      <vt:variant>
        <vt:i4>1441851</vt:i4>
      </vt:variant>
      <vt:variant>
        <vt:i4>401</vt:i4>
      </vt:variant>
      <vt:variant>
        <vt:i4>0</vt:i4>
      </vt:variant>
      <vt:variant>
        <vt:i4>5</vt:i4>
      </vt:variant>
      <vt:variant>
        <vt:lpwstr/>
      </vt:variant>
      <vt:variant>
        <vt:lpwstr>_Toc318819110</vt:lpwstr>
      </vt:variant>
      <vt:variant>
        <vt:i4>1507387</vt:i4>
      </vt:variant>
      <vt:variant>
        <vt:i4>395</vt:i4>
      </vt:variant>
      <vt:variant>
        <vt:i4>0</vt:i4>
      </vt:variant>
      <vt:variant>
        <vt:i4>5</vt:i4>
      </vt:variant>
      <vt:variant>
        <vt:lpwstr/>
      </vt:variant>
      <vt:variant>
        <vt:lpwstr>_Toc318819109</vt:lpwstr>
      </vt:variant>
      <vt:variant>
        <vt:i4>1507387</vt:i4>
      </vt:variant>
      <vt:variant>
        <vt:i4>389</vt:i4>
      </vt:variant>
      <vt:variant>
        <vt:i4>0</vt:i4>
      </vt:variant>
      <vt:variant>
        <vt:i4>5</vt:i4>
      </vt:variant>
      <vt:variant>
        <vt:lpwstr/>
      </vt:variant>
      <vt:variant>
        <vt:lpwstr>_Toc318819108</vt:lpwstr>
      </vt:variant>
      <vt:variant>
        <vt:i4>1507387</vt:i4>
      </vt:variant>
      <vt:variant>
        <vt:i4>383</vt:i4>
      </vt:variant>
      <vt:variant>
        <vt:i4>0</vt:i4>
      </vt:variant>
      <vt:variant>
        <vt:i4>5</vt:i4>
      </vt:variant>
      <vt:variant>
        <vt:lpwstr/>
      </vt:variant>
      <vt:variant>
        <vt:lpwstr>_Toc318819107</vt:lpwstr>
      </vt:variant>
      <vt:variant>
        <vt:i4>1507387</vt:i4>
      </vt:variant>
      <vt:variant>
        <vt:i4>377</vt:i4>
      </vt:variant>
      <vt:variant>
        <vt:i4>0</vt:i4>
      </vt:variant>
      <vt:variant>
        <vt:i4>5</vt:i4>
      </vt:variant>
      <vt:variant>
        <vt:lpwstr/>
      </vt:variant>
      <vt:variant>
        <vt:lpwstr>_Toc318819106</vt:lpwstr>
      </vt:variant>
      <vt:variant>
        <vt:i4>1507387</vt:i4>
      </vt:variant>
      <vt:variant>
        <vt:i4>371</vt:i4>
      </vt:variant>
      <vt:variant>
        <vt:i4>0</vt:i4>
      </vt:variant>
      <vt:variant>
        <vt:i4>5</vt:i4>
      </vt:variant>
      <vt:variant>
        <vt:lpwstr/>
      </vt:variant>
      <vt:variant>
        <vt:lpwstr>_Toc318819105</vt:lpwstr>
      </vt:variant>
      <vt:variant>
        <vt:i4>1507387</vt:i4>
      </vt:variant>
      <vt:variant>
        <vt:i4>365</vt:i4>
      </vt:variant>
      <vt:variant>
        <vt:i4>0</vt:i4>
      </vt:variant>
      <vt:variant>
        <vt:i4>5</vt:i4>
      </vt:variant>
      <vt:variant>
        <vt:lpwstr/>
      </vt:variant>
      <vt:variant>
        <vt:lpwstr>_Toc318819104</vt:lpwstr>
      </vt:variant>
      <vt:variant>
        <vt:i4>1507387</vt:i4>
      </vt:variant>
      <vt:variant>
        <vt:i4>359</vt:i4>
      </vt:variant>
      <vt:variant>
        <vt:i4>0</vt:i4>
      </vt:variant>
      <vt:variant>
        <vt:i4>5</vt:i4>
      </vt:variant>
      <vt:variant>
        <vt:lpwstr/>
      </vt:variant>
      <vt:variant>
        <vt:lpwstr>_Toc318819103</vt:lpwstr>
      </vt:variant>
      <vt:variant>
        <vt:i4>1507387</vt:i4>
      </vt:variant>
      <vt:variant>
        <vt:i4>353</vt:i4>
      </vt:variant>
      <vt:variant>
        <vt:i4>0</vt:i4>
      </vt:variant>
      <vt:variant>
        <vt:i4>5</vt:i4>
      </vt:variant>
      <vt:variant>
        <vt:lpwstr/>
      </vt:variant>
      <vt:variant>
        <vt:lpwstr>_Toc318819102</vt:lpwstr>
      </vt:variant>
      <vt:variant>
        <vt:i4>1507387</vt:i4>
      </vt:variant>
      <vt:variant>
        <vt:i4>347</vt:i4>
      </vt:variant>
      <vt:variant>
        <vt:i4>0</vt:i4>
      </vt:variant>
      <vt:variant>
        <vt:i4>5</vt:i4>
      </vt:variant>
      <vt:variant>
        <vt:lpwstr/>
      </vt:variant>
      <vt:variant>
        <vt:lpwstr>_Toc318819101</vt:lpwstr>
      </vt:variant>
      <vt:variant>
        <vt:i4>1507387</vt:i4>
      </vt:variant>
      <vt:variant>
        <vt:i4>341</vt:i4>
      </vt:variant>
      <vt:variant>
        <vt:i4>0</vt:i4>
      </vt:variant>
      <vt:variant>
        <vt:i4>5</vt:i4>
      </vt:variant>
      <vt:variant>
        <vt:lpwstr/>
      </vt:variant>
      <vt:variant>
        <vt:lpwstr>_Toc318819100</vt:lpwstr>
      </vt:variant>
      <vt:variant>
        <vt:i4>1966138</vt:i4>
      </vt:variant>
      <vt:variant>
        <vt:i4>335</vt:i4>
      </vt:variant>
      <vt:variant>
        <vt:i4>0</vt:i4>
      </vt:variant>
      <vt:variant>
        <vt:i4>5</vt:i4>
      </vt:variant>
      <vt:variant>
        <vt:lpwstr/>
      </vt:variant>
      <vt:variant>
        <vt:lpwstr>_Toc318819099</vt:lpwstr>
      </vt:variant>
      <vt:variant>
        <vt:i4>1966138</vt:i4>
      </vt:variant>
      <vt:variant>
        <vt:i4>329</vt:i4>
      </vt:variant>
      <vt:variant>
        <vt:i4>0</vt:i4>
      </vt:variant>
      <vt:variant>
        <vt:i4>5</vt:i4>
      </vt:variant>
      <vt:variant>
        <vt:lpwstr/>
      </vt:variant>
      <vt:variant>
        <vt:lpwstr>_Toc318819098</vt:lpwstr>
      </vt:variant>
      <vt:variant>
        <vt:i4>1966138</vt:i4>
      </vt:variant>
      <vt:variant>
        <vt:i4>323</vt:i4>
      </vt:variant>
      <vt:variant>
        <vt:i4>0</vt:i4>
      </vt:variant>
      <vt:variant>
        <vt:i4>5</vt:i4>
      </vt:variant>
      <vt:variant>
        <vt:lpwstr/>
      </vt:variant>
      <vt:variant>
        <vt:lpwstr>_Toc318819097</vt:lpwstr>
      </vt:variant>
      <vt:variant>
        <vt:i4>1966138</vt:i4>
      </vt:variant>
      <vt:variant>
        <vt:i4>317</vt:i4>
      </vt:variant>
      <vt:variant>
        <vt:i4>0</vt:i4>
      </vt:variant>
      <vt:variant>
        <vt:i4>5</vt:i4>
      </vt:variant>
      <vt:variant>
        <vt:lpwstr/>
      </vt:variant>
      <vt:variant>
        <vt:lpwstr>_Toc318819096</vt:lpwstr>
      </vt:variant>
      <vt:variant>
        <vt:i4>1966138</vt:i4>
      </vt:variant>
      <vt:variant>
        <vt:i4>311</vt:i4>
      </vt:variant>
      <vt:variant>
        <vt:i4>0</vt:i4>
      </vt:variant>
      <vt:variant>
        <vt:i4>5</vt:i4>
      </vt:variant>
      <vt:variant>
        <vt:lpwstr/>
      </vt:variant>
      <vt:variant>
        <vt:lpwstr>_Toc318819095</vt:lpwstr>
      </vt:variant>
      <vt:variant>
        <vt:i4>1966138</vt:i4>
      </vt:variant>
      <vt:variant>
        <vt:i4>305</vt:i4>
      </vt:variant>
      <vt:variant>
        <vt:i4>0</vt:i4>
      </vt:variant>
      <vt:variant>
        <vt:i4>5</vt:i4>
      </vt:variant>
      <vt:variant>
        <vt:lpwstr/>
      </vt:variant>
      <vt:variant>
        <vt:lpwstr>_Toc318819094</vt:lpwstr>
      </vt:variant>
      <vt:variant>
        <vt:i4>3342458</vt:i4>
      </vt:variant>
      <vt:variant>
        <vt:i4>300</vt:i4>
      </vt:variant>
      <vt:variant>
        <vt:i4>0</vt:i4>
      </vt:variant>
      <vt:variant>
        <vt:i4>5</vt:i4>
      </vt:variant>
      <vt:variant>
        <vt:lpwstr>http://www.waterboards.ca.gov/ciwqs/index.html</vt:lpwstr>
      </vt:variant>
      <vt:variant>
        <vt:lpwstr/>
      </vt:variant>
      <vt:variant>
        <vt:i4>1048634</vt:i4>
      </vt:variant>
      <vt:variant>
        <vt:i4>293</vt:i4>
      </vt:variant>
      <vt:variant>
        <vt:i4>0</vt:i4>
      </vt:variant>
      <vt:variant>
        <vt:i4>5</vt:i4>
      </vt:variant>
      <vt:variant>
        <vt:lpwstr/>
      </vt:variant>
      <vt:variant>
        <vt:lpwstr>_Toc318819071</vt:lpwstr>
      </vt:variant>
      <vt:variant>
        <vt:i4>1048634</vt:i4>
      </vt:variant>
      <vt:variant>
        <vt:i4>287</vt:i4>
      </vt:variant>
      <vt:variant>
        <vt:i4>0</vt:i4>
      </vt:variant>
      <vt:variant>
        <vt:i4>5</vt:i4>
      </vt:variant>
      <vt:variant>
        <vt:lpwstr/>
      </vt:variant>
      <vt:variant>
        <vt:lpwstr>_Toc318819070</vt:lpwstr>
      </vt:variant>
      <vt:variant>
        <vt:i4>1114170</vt:i4>
      </vt:variant>
      <vt:variant>
        <vt:i4>281</vt:i4>
      </vt:variant>
      <vt:variant>
        <vt:i4>0</vt:i4>
      </vt:variant>
      <vt:variant>
        <vt:i4>5</vt:i4>
      </vt:variant>
      <vt:variant>
        <vt:lpwstr/>
      </vt:variant>
      <vt:variant>
        <vt:lpwstr>_Toc318819069</vt:lpwstr>
      </vt:variant>
      <vt:variant>
        <vt:i4>1114170</vt:i4>
      </vt:variant>
      <vt:variant>
        <vt:i4>275</vt:i4>
      </vt:variant>
      <vt:variant>
        <vt:i4>0</vt:i4>
      </vt:variant>
      <vt:variant>
        <vt:i4>5</vt:i4>
      </vt:variant>
      <vt:variant>
        <vt:lpwstr/>
      </vt:variant>
      <vt:variant>
        <vt:lpwstr>_Toc318819068</vt:lpwstr>
      </vt:variant>
      <vt:variant>
        <vt:i4>1114170</vt:i4>
      </vt:variant>
      <vt:variant>
        <vt:i4>269</vt:i4>
      </vt:variant>
      <vt:variant>
        <vt:i4>0</vt:i4>
      </vt:variant>
      <vt:variant>
        <vt:i4>5</vt:i4>
      </vt:variant>
      <vt:variant>
        <vt:lpwstr/>
      </vt:variant>
      <vt:variant>
        <vt:lpwstr>_Toc318819067</vt:lpwstr>
      </vt:variant>
      <vt:variant>
        <vt:i4>1114170</vt:i4>
      </vt:variant>
      <vt:variant>
        <vt:i4>263</vt:i4>
      </vt:variant>
      <vt:variant>
        <vt:i4>0</vt:i4>
      </vt:variant>
      <vt:variant>
        <vt:i4>5</vt:i4>
      </vt:variant>
      <vt:variant>
        <vt:lpwstr/>
      </vt:variant>
      <vt:variant>
        <vt:lpwstr>_Toc318819066</vt:lpwstr>
      </vt:variant>
      <vt:variant>
        <vt:i4>1179706</vt:i4>
      </vt:variant>
      <vt:variant>
        <vt:i4>254</vt:i4>
      </vt:variant>
      <vt:variant>
        <vt:i4>0</vt:i4>
      </vt:variant>
      <vt:variant>
        <vt:i4>5</vt:i4>
      </vt:variant>
      <vt:variant>
        <vt:lpwstr/>
      </vt:variant>
      <vt:variant>
        <vt:lpwstr>_Toc318819058</vt:lpwstr>
      </vt:variant>
      <vt:variant>
        <vt:i4>1179706</vt:i4>
      </vt:variant>
      <vt:variant>
        <vt:i4>248</vt:i4>
      </vt:variant>
      <vt:variant>
        <vt:i4>0</vt:i4>
      </vt:variant>
      <vt:variant>
        <vt:i4>5</vt:i4>
      </vt:variant>
      <vt:variant>
        <vt:lpwstr/>
      </vt:variant>
      <vt:variant>
        <vt:lpwstr>_Toc318819057</vt:lpwstr>
      </vt:variant>
      <vt:variant>
        <vt:i4>1179706</vt:i4>
      </vt:variant>
      <vt:variant>
        <vt:i4>242</vt:i4>
      </vt:variant>
      <vt:variant>
        <vt:i4>0</vt:i4>
      </vt:variant>
      <vt:variant>
        <vt:i4>5</vt:i4>
      </vt:variant>
      <vt:variant>
        <vt:lpwstr/>
      </vt:variant>
      <vt:variant>
        <vt:lpwstr>_Toc318819056</vt:lpwstr>
      </vt:variant>
      <vt:variant>
        <vt:i4>1179706</vt:i4>
      </vt:variant>
      <vt:variant>
        <vt:i4>236</vt:i4>
      </vt:variant>
      <vt:variant>
        <vt:i4>0</vt:i4>
      </vt:variant>
      <vt:variant>
        <vt:i4>5</vt:i4>
      </vt:variant>
      <vt:variant>
        <vt:lpwstr/>
      </vt:variant>
      <vt:variant>
        <vt:lpwstr>_Toc318819055</vt:lpwstr>
      </vt:variant>
      <vt:variant>
        <vt:i4>1179706</vt:i4>
      </vt:variant>
      <vt:variant>
        <vt:i4>230</vt:i4>
      </vt:variant>
      <vt:variant>
        <vt:i4>0</vt:i4>
      </vt:variant>
      <vt:variant>
        <vt:i4>5</vt:i4>
      </vt:variant>
      <vt:variant>
        <vt:lpwstr/>
      </vt:variant>
      <vt:variant>
        <vt:lpwstr>_Toc318819054</vt:lpwstr>
      </vt:variant>
      <vt:variant>
        <vt:i4>1179706</vt:i4>
      </vt:variant>
      <vt:variant>
        <vt:i4>224</vt:i4>
      </vt:variant>
      <vt:variant>
        <vt:i4>0</vt:i4>
      </vt:variant>
      <vt:variant>
        <vt:i4>5</vt:i4>
      </vt:variant>
      <vt:variant>
        <vt:lpwstr/>
      </vt:variant>
      <vt:variant>
        <vt:lpwstr>_Toc318819053</vt:lpwstr>
      </vt:variant>
      <vt:variant>
        <vt:i4>1179706</vt:i4>
      </vt:variant>
      <vt:variant>
        <vt:i4>218</vt:i4>
      </vt:variant>
      <vt:variant>
        <vt:i4>0</vt:i4>
      </vt:variant>
      <vt:variant>
        <vt:i4>5</vt:i4>
      </vt:variant>
      <vt:variant>
        <vt:lpwstr/>
      </vt:variant>
      <vt:variant>
        <vt:lpwstr>_Toc318819052</vt:lpwstr>
      </vt:variant>
      <vt:variant>
        <vt:i4>1179706</vt:i4>
      </vt:variant>
      <vt:variant>
        <vt:i4>212</vt:i4>
      </vt:variant>
      <vt:variant>
        <vt:i4>0</vt:i4>
      </vt:variant>
      <vt:variant>
        <vt:i4>5</vt:i4>
      </vt:variant>
      <vt:variant>
        <vt:lpwstr/>
      </vt:variant>
      <vt:variant>
        <vt:lpwstr>_Toc318819051</vt:lpwstr>
      </vt:variant>
      <vt:variant>
        <vt:i4>1179706</vt:i4>
      </vt:variant>
      <vt:variant>
        <vt:i4>206</vt:i4>
      </vt:variant>
      <vt:variant>
        <vt:i4>0</vt:i4>
      </vt:variant>
      <vt:variant>
        <vt:i4>5</vt:i4>
      </vt:variant>
      <vt:variant>
        <vt:lpwstr/>
      </vt:variant>
      <vt:variant>
        <vt:lpwstr>_Toc318819050</vt:lpwstr>
      </vt:variant>
      <vt:variant>
        <vt:i4>1245242</vt:i4>
      </vt:variant>
      <vt:variant>
        <vt:i4>200</vt:i4>
      </vt:variant>
      <vt:variant>
        <vt:i4>0</vt:i4>
      </vt:variant>
      <vt:variant>
        <vt:i4>5</vt:i4>
      </vt:variant>
      <vt:variant>
        <vt:lpwstr/>
      </vt:variant>
      <vt:variant>
        <vt:lpwstr>_Toc318819049</vt:lpwstr>
      </vt:variant>
      <vt:variant>
        <vt:i4>1245242</vt:i4>
      </vt:variant>
      <vt:variant>
        <vt:i4>194</vt:i4>
      </vt:variant>
      <vt:variant>
        <vt:i4>0</vt:i4>
      </vt:variant>
      <vt:variant>
        <vt:i4>5</vt:i4>
      </vt:variant>
      <vt:variant>
        <vt:lpwstr/>
      </vt:variant>
      <vt:variant>
        <vt:lpwstr>_Toc318819048</vt:lpwstr>
      </vt:variant>
      <vt:variant>
        <vt:i4>1245242</vt:i4>
      </vt:variant>
      <vt:variant>
        <vt:i4>188</vt:i4>
      </vt:variant>
      <vt:variant>
        <vt:i4>0</vt:i4>
      </vt:variant>
      <vt:variant>
        <vt:i4>5</vt:i4>
      </vt:variant>
      <vt:variant>
        <vt:lpwstr/>
      </vt:variant>
      <vt:variant>
        <vt:lpwstr>_Toc318819047</vt:lpwstr>
      </vt:variant>
      <vt:variant>
        <vt:i4>1245242</vt:i4>
      </vt:variant>
      <vt:variant>
        <vt:i4>182</vt:i4>
      </vt:variant>
      <vt:variant>
        <vt:i4>0</vt:i4>
      </vt:variant>
      <vt:variant>
        <vt:i4>5</vt:i4>
      </vt:variant>
      <vt:variant>
        <vt:lpwstr/>
      </vt:variant>
      <vt:variant>
        <vt:lpwstr>_Toc318819046</vt:lpwstr>
      </vt:variant>
      <vt:variant>
        <vt:i4>1310778</vt:i4>
      </vt:variant>
      <vt:variant>
        <vt:i4>173</vt:i4>
      </vt:variant>
      <vt:variant>
        <vt:i4>0</vt:i4>
      </vt:variant>
      <vt:variant>
        <vt:i4>5</vt:i4>
      </vt:variant>
      <vt:variant>
        <vt:lpwstr/>
      </vt:variant>
      <vt:variant>
        <vt:lpwstr>_Toc318819037</vt:lpwstr>
      </vt:variant>
      <vt:variant>
        <vt:i4>1310778</vt:i4>
      </vt:variant>
      <vt:variant>
        <vt:i4>167</vt:i4>
      </vt:variant>
      <vt:variant>
        <vt:i4>0</vt:i4>
      </vt:variant>
      <vt:variant>
        <vt:i4>5</vt:i4>
      </vt:variant>
      <vt:variant>
        <vt:lpwstr/>
      </vt:variant>
      <vt:variant>
        <vt:lpwstr>_Toc318819036</vt:lpwstr>
      </vt:variant>
      <vt:variant>
        <vt:i4>1310778</vt:i4>
      </vt:variant>
      <vt:variant>
        <vt:i4>161</vt:i4>
      </vt:variant>
      <vt:variant>
        <vt:i4>0</vt:i4>
      </vt:variant>
      <vt:variant>
        <vt:i4>5</vt:i4>
      </vt:variant>
      <vt:variant>
        <vt:lpwstr/>
      </vt:variant>
      <vt:variant>
        <vt:lpwstr>_Toc318819035</vt:lpwstr>
      </vt:variant>
      <vt:variant>
        <vt:i4>1310778</vt:i4>
      </vt:variant>
      <vt:variant>
        <vt:i4>155</vt:i4>
      </vt:variant>
      <vt:variant>
        <vt:i4>0</vt:i4>
      </vt:variant>
      <vt:variant>
        <vt:i4>5</vt:i4>
      </vt:variant>
      <vt:variant>
        <vt:lpwstr/>
      </vt:variant>
      <vt:variant>
        <vt:lpwstr>_Toc318819034</vt:lpwstr>
      </vt:variant>
      <vt:variant>
        <vt:i4>1310778</vt:i4>
      </vt:variant>
      <vt:variant>
        <vt:i4>149</vt:i4>
      </vt:variant>
      <vt:variant>
        <vt:i4>0</vt:i4>
      </vt:variant>
      <vt:variant>
        <vt:i4>5</vt:i4>
      </vt:variant>
      <vt:variant>
        <vt:lpwstr/>
      </vt:variant>
      <vt:variant>
        <vt:lpwstr>_Toc318819033</vt:lpwstr>
      </vt:variant>
      <vt:variant>
        <vt:i4>1310778</vt:i4>
      </vt:variant>
      <vt:variant>
        <vt:i4>143</vt:i4>
      </vt:variant>
      <vt:variant>
        <vt:i4>0</vt:i4>
      </vt:variant>
      <vt:variant>
        <vt:i4>5</vt:i4>
      </vt:variant>
      <vt:variant>
        <vt:lpwstr/>
      </vt:variant>
      <vt:variant>
        <vt:lpwstr>_Toc318819032</vt:lpwstr>
      </vt:variant>
      <vt:variant>
        <vt:i4>1310778</vt:i4>
      </vt:variant>
      <vt:variant>
        <vt:i4>137</vt:i4>
      </vt:variant>
      <vt:variant>
        <vt:i4>0</vt:i4>
      </vt:variant>
      <vt:variant>
        <vt:i4>5</vt:i4>
      </vt:variant>
      <vt:variant>
        <vt:lpwstr/>
      </vt:variant>
      <vt:variant>
        <vt:lpwstr>_Toc318819031</vt:lpwstr>
      </vt:variant>
      <vt:variant>
        <vt:i4>1310778</vt:i4>
      </vt:variant>
      <vt:variant>
        <vt:i4>131</vt:i4>
      </vt:variant>
      <vt:variant>
        <vt:i4>0</vt:i4>
      </vt:variant>
      <vt:variant>
        <vt:i4>5</vt:i4>
      </vt:variant>
      <vt:variant>
        <vt:lpwstr/>
      </vt:variant>
      <vt:variant>
        <vt:lpwstr>_Toc318819030</vt:lpwstr>
      </vt:variant>
      <vt:variant>
        <vt:i4>1376314</vt:i4>
      </vt:variant>
      <vt:variant>
        <vt:i4>125</vt:i4>
      </vt:variant>
      <vt:variant>
        <vt:i4>0</vt:i4>
      </vt:variant>
      <vt:variant>
        <vt:i4>5</vt:i4>
      </vt:variant>
      <vt:variant>
        <vt:lpwstr/>
      </vt:variant>
      <vt:variant>
        <vt:lpwstr>_Toc318819029</vt:lpwstr>
      </vt:variant>
      <vt:variant>
        <vt:i4>1376314</vt:i4>
      </vt:variant>
      <vt:variant>
        <vt:i4>119</vt:i4>
      </vt:variant>
      <vt:variant>
        <vt:i4>0</vt:i4>
      </vt:variant>
      <vt:variant>
        <vt:i4>5</vt:i4>
      </vt:variant>
      <vt:variant>
        <vt:lpwstr/>
      </vt:variant>
      <vt:variant>
        <vt:lpwstr>_Toc318819028</vt:lpwstr>
      </vt:variant>
      <vt:variant>
        <vt:i4>1376314</vt:i4>
      </vt:variant>
      <vt:variant>
        <vt:i4>110</vt:i4>
      </vt:variant>
      <vt:variant>
        <vt:i4>0</vt:i4>
      </vt:variant>
      <vt:variant>
        <vt:i4>5</vt:i4>
      </vt:variant>
      <vt:variant>
        <vt:lpwstr/>
      </vt:variant>
      <vt:variant>
        <vt:lpwstr>_Toc318819027</vt:lpwstr>
      </vt:variant>
      <vt:variant>
        <vt:i4>1376314</vt:i4>
      </vt:variant>
      <vt:variant>
        <vt:i4>104</vt:i4>
      </vt:variant>
      <vt:variant>
        <vt:i4>0</vt:i4>
      </vt:variant>
      <vt:variant>
        <vt:i4>5</vt:i4>
      </vt:variant>
      <vt:variant>
        <vt:lpwstr/>
      </vt:variant>
      <vt:variant>
        <vt:lpwstr>_Toc318819026</vt:lpwstr>
      </vt:variant>
      <vt:variant>
        <vt:i4>1376314</vt:i4>
      </vt:variant>
      <vt:variant>
        <vt:i4>98</vt:i4>
      </vt:variant>
      <vt:variant>
        <vt:i4>0</vt:i4>
      </vt:variant>
      <vt:variant>
        <vt:i4>5</vt:i4>
      </vt:variant>
      <vt:variant>
        <vt:lpwstr/>
      </vt:variant>
      <vt:variant>
        <vt:lpwstr>_Toc318819025</vt:lpwstr>
      </vt:variant>
      <vt:variant>
        <vt:i4>1376314</vt:i4>
      </vt:variant>
      <vt:variant>
        <vt:i4>92</vt:i4>
      </vt:variant>
      <vt:variant>
        <vt:i4>0</vt:i4>
      </vt:variant>
      <vt:variant>
        <vt:i4>5</vt:i4>
      </vt:variant>
      <vt:variant>
        <vt:lpwstr/>
      </vt:variant>
      <vt:variant>
        <vt:lpwstr>_Toc318819024</vt:lpwstr>
      </vt:variant>
      <vt:variant>
        <vt:i4>1376314</vt:i4>
      </vt:variant>
      <vt:variant>
        <vt:i4>86</vt:i4>
      </vt:variant>
      <vt:variant>
        <vt:i4>0</vt:i4>
      </vt:variant>
      <vt:variant>
        <vt:i4>5</vt:i4>
      </vt:variant>
      <vt:variant>
        <vt:lpwstr/>
      </vt:variant>
      <vt:variant>
        <vt:lpwstr>_Toc318819023</vt:lpwstr>
      </vt:variant>
      <vt:variant>
        <vt:i4>1376314</vt:i4>
      </vt:variant>
      <vt:variant>
        <vt:i4>80</vt:i4>
      </vt:variant>
      <vt:variant>
        <vt:i4>0</vt:i4>
      </vt:variant>
      <vt:variant>
        <vt:i4>5</vt:i4>
      </vt:variant>
      <vt:variant>
        <vt:lpwstr/>
      </vt:variant>
      <vt:variant>
        <vt:lpwstr>_Toc318819022</vt:lpwstr>
      </vt:variant>
      <vt:variant>
        <vt:i4>1376314</vt:i4>
      </vt:variant>
      <vt:variant>
        <vt:i4>74</vt:i4>
      </vt:variant>
      <vt:variant>
        <vt:i4>0</vt:i4>
      </vt:variant>
      <vt:variant>
        <vt:i4>5</vt:i4>
      </vt:variant>
      <vt:variant>
        <vt:lpwstr/>
      </vt:variant>
      <vt:variant>
        <vt:lpwstr>_Toc318819021</vt:lpwstr>
      </vt:variant>
      <vt:variant>
        <vt:i4>1376314</vt:i4>
      </vt:variant>
      <vt:variant>
        <vt:i4>68</vt:i4>
      </vt:variant>
      <vt:variant>
        <vt:i4>0</vt:i4>
      </vt:variant>
      <vt:variant>
        <vt:i4>5</vt:i4>
      </vt:variant>
      <vt:variant>
        <vt:lpwstr/>
      </vt:variant>
      <vt:variant>
        <vt:lpwstr>_Toc318819020</vt:lpwstr>
      </vt:variant>
      <vt:variant>
        <vt:i4>1441850</vt:i4>
      </vt:variant>
      <vt:variant>
        <vt:i4>62</vt:i4>
      </vt:variant>
      <vt:variant>
        <vt:i4>0</vt:i4>
      </vt:variant>
      <vt:variant>
        <vt:i4>5</vt:i4>
      </vt:variant>
      <vt:variant>
        <vt:lpwstr/>
      </vt:variant>
      <vt:variant>
        <vt:lpwstr>_Toc318819019</vt:lpwstr>
      </vt:variant>
      <vt:variant>
        <vt:i4>1441850</vt:i4>
      </vt:variant>
      <vt:variant>
        <vt:i4>56</vt:i4>
      </vt:variant>
      <vt:variant>
        <vt:i4>0</vt:i4>
      </vt:variant>
      <vt:variant>
        <vt:i4>5</vt:i4>
      </vt:variant>
      <vt:variant>
        <vt:lpwstr/>
      </vt:variant>
      <vt:variant>
        <vt:lpwstr>_Toc318819018</vt:lpwstr>
      </vt:variant>
      <vt:variant>
        <vt:i4>1441850</vt:i4>
      </vt:variant>
      <vt:variant>
        <vt:i4>50</vt:i4>
      </vt:variant>
      <vt:variant>
        <vt:i4>0</vt:i4>
      </vt:variant>
      <vt:variant>
        <vt:i4>5</vt:i4>
      </vt:variant>
      <vt:variant>
        <vt:lpwstr/>
      </vt:variant>
      <vt:variant>
        <vt:lpwstr>_Toc318819017</vt:lpwstr>
      </vt:variant>
      <vt:variant>
        <vt:i4>1441850</vt:i4>
      </vt:variant>
      <vt:variant>
        <vt:i4>44</vt:i4>
      </vt:variant>
      <vt:variant>
        <vt:i4>0</vt:i4>
      </vt:variant>
      <vt:variant>
        <vt:i4>5</vt:i4>
      </vt:variant>
      <vt:variant>
        <vt:lpwstr/>
      </vt:variant>
      <vt:variant>
        <vt:lpwstr>_Toc318819016</vt:lpwstr>
      </vt:variant>
      <vt:variant>
        <vt:i4>1441850</vt:i4>
      </vt:variant>
      <vt:variant>
        <vt:i4>38</vt:i4>
      </vt:variant>
      <vt:variant>
        <vt:i4>0</vt:i4>
      </vt:variant>
      <vt:variant>
        <vt:i4>5</vt:i4>
      </vt:variant>
      <vt:variant>
        <vt:lpwstr/>
      </vt:variant>
      <vt:variant>
        <vt:lpwstr>_Toc318819015</vt:lpwstr>
      </vt:variant>
      <vt:variant>
        <vt:i4>1441850</vt:i4>
      </vt:variant>
      <vt:variant>
        <vt:i4>32</vt:i4>
      </vt:variant>
      <vt:variant>
        <vt:i4>0</vt:i4>
      </vt:variant>
      <vt:variant>
        <vt:i4>5</vt:i4>
      </vt:variant>
      <vt:variant>
        <vt:lpwstr/>
      </vt:variant>
      <vt:variant>
        <vt:lpwstr>_Toc318819014</vt:lpwstr>
      </vt:variant>
      <vt:variant>
        <vt:i4>1441850</vt:i4>
      </vt:variant>
      <vt:variant>
        <vt:i4>26</vt:i4>
      </vt:variant>
      <vt:variant>
        <vt:i4>0</vt:i4>
      </vt:variant>
      <vt:variant>
        <vt:i4>5</vt:i4>
      </vt:variant>
      <vt:variant>
        <vt:lpwstr/>
      </vt:variant>
      <vt:variant>
        <vt:lpwstr>_Toc318819013</vt:lpwstr>
      </vt:variant>
      <vt:variant>
        <vt:i4>1441850</vt:i4>
      </vt:variant>
      <vt:variant>
        <vt:i4>20</vt:i4>
      </vt:variant>
      <vt:variant>
        <vt:i4>0</vt:i4>
      </vt:variant>
      <vt:variant>
        <vt:i4>5</vt:i4>
      </vt:variant>
      <vt:variant>
        <vt:lpwstr/>
      </vt:variant>
      <vt:variant>
        <vt:lpwstr>_Toc318819012</vt:lpwstr>
      </vt:variant>
      <vt:variant>
        <vt:i4>1441850</vt:i4>
      </vt:variant>
      <vt:variant>
        <vt:i4>14</vt:i4>
      </vt:variant>
      <vt:variant>
        <vt:i4>0</vt:i4>
      </vt:variant>
      <vt:variant>
        <vt:i4>5</vt:i4>
      </vt:variant>
      <vt:variant>
        <vt:lpwstr/>
      </vt:variant>
      <vt:variant>
        <vt:lpwstr>_Toc318819011</vt:lpwstr>
      </vt:variant>
      <vt:variant>
        <vt:i4>1441850</vt:i4>
      </vt:variant>
      <vt:variant>
        <vt:i4>8</vt:i4>
      </vt:variant>
      <vt:variant>
        <vt:i4>0</vt:i4>
      </vt:variant>
      <vt:variant>
        <vt:i4>5</vt:i4>
      </vt:variant>
      <vt:variant>
        <vt:lpwstr/>
      </vt:variant>
      <vt:variant>
        <vt:lpwstr>_Toc318819010</vt:lpwstr>
      </vt:variant>
      <vt:variant>
        <vt:i4>1507386</vt:i4>
      </vt:variant>
      <vt:variant>
        <vt:i4>2</vt:i4>
      </vt:variant>
      <vt:variant>
        <vt:i4>0</vt:i4>
      </vt:variant>
      <vt:variant>
        <vt:i4>5</vt:i4>
      </vt:variant>
      <vt:variant>
        <vt:lpwstr/>
      </vt:variant>
      <vt:variant>
        <vt:lpwstr>_Toc318819009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Regional Water Quality Control Board</dc:title>
  <dc:subject/>
  <dc:creator>Parrish, James@Waterboards</dc:creator>
  <cp:keywords/>
  <dc:description/>
  <cp:lastModifiedBy>Parrish, James@Waterboards</cp:lastModifiedBy>
  <cp:revision>3</cp:revision>
  <cp:lastPrinted>2017-07-21T18:34:00Z</cp:lastPrinted>
  <dcterms:created xsi:type="dcterms:W3CDTF">2017-08-15T16:23:00Z</dcterms:created>
  <dcterms:modified xsi:type="dcterms:W3CDTF">2017-08-15T16:23:00Z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0x0101000A4ED12414680F46B159D34A70BC31FC</vt:lpwstr>
  </property>
</Properties>
</file>