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783C69"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783C69" w:rsidRDefault="00962634">
            <w:pPr>
              <w:pStyle w:val="CompanyName"/>
              <w:spacing w:line="240" w:lineRule="auto"/>
              <w:ind w:left="180"/>
              <w:rPr>
                <w:rFonts w:ascii="Arial" w:eastAsia="Arial" w:hAnsi="Arial" w:cs="Arial"/>
                <w:b w:val="0"/>
                <w:bCs w:val="0"/>
              </w:rPr>
            </w:pPr>
            <w:r w:rsidRPr="00783C69">
              <w:rPr>
                <w:rFonts w:ascii="Arial" w:hAnsi="Arial" w:cs="Arial"/>
                <w:b w:val="0"/>
                <w:bCs w:val="0"/>
              </w:rPr>
              <w:t xml:space="preserve">Permits Committee – </w:t>
            </w:r>
          </w:p>
          <w:p w14:paraId="097F237F" w14:textId="77777777" w:rsidR="004E0C68" w:rsidRPr="00783C69" w:rsidRDefault="00962634">
            <w:pPr>
              <w:pStyle w:val="CompanyName"/>
              <w:spacing w:line="240" w:lineRule="auto"/>
              <w:ind w:left="180"/>
              <w:rPr>
                <w:rFonts w:ascii="Arial" w:hAnsi="Arial" w:cs="Arial"/>
              </w:rPr>
            </w:pPr>
            <w:r w:rsidRPr="00783C69">
              <w:rPr>
                <w:rFonts w:ascii="Arial" w:hAnsi="Arial" w:cs="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60C0A8C9" w:rsidR="004E0C68" w:rsidRPr="00783C69" w:rsidRDefault="00962634">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Permits Committee Meetings on: </w:t>
            </w:r>
            <w:r w:rsidR="00373FF7">
              <w:rPr>
                <w:rFonts w:ascii="Arial" w:hAnsi="Arial" w:cs="Arial"/>
                <w:sz w:val="22"/>
                <w:szCs w:val="22"/>
              </w:rPr>
              <w:t>7/11</w:t>
            </w:r>
            <w:r w:rsidR="0050329B" w:rsidRPr="00783C69">
              <w:rPr>
                <w:rFonts w:ascii="Arial" w:hAnsi="Arial" w:cs="Arial"/>
                <w:sz w:val="22"/>
                <w:szCs w:val="22"/>
              </w:rPr>
              <w:t>/17</w:t>
            </w:r>
          </w:p>
          <w:p w14:paraId="1A33816B" w14:textId="6B100E1A" w:rsidR="004E0C68" w:rsidRPr="00783C69" w:rsidRDefault="0050329B">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Executive Board Meeting Date: </w:t>
            </w:r>
            <w:r w:rsidR="00373FF7">
              <w:rPr>
                <w:rFonts w:ascii="Arial" w:hAnsi="Arial" w:cs="Arial"/>
                <w:sz w:val="22"/>
                <w:szCs w:val="22"/>
              </w:rPr>
              <w:t>7/21</w:t>
            </w:r>
            <w:r w:rsidR="00962634" w:rsidRPr="00783C69">
              <w:rPr>
                <w:rFonts w:ascii="Arial" w:hAnsi="Arial" w:cs="Arial"/>
                <w:sz w:val="22"/>
                <w:szCs w:val="22"/>
              </w:rPr>
              <w:t>/1</w:t>
            </w:r>
            <w:r w:rsidRPr="00783C69">
              <w:rPr>
                <w:rFonts w:ascii="Arial" w:hAnsi="Arial" w:cs="Arial"/>
                <w:sz w:val="22"/>
                <w:szCs w:val="22"/>
              </w:rPr>
              <w:t>7</w:t>
            </w:r>
          </w:p>
          <w:p w14:paraId="44F8960D" w14:textId="4BC53D3E" w:rsidR="004E0C68" w:rsidRPr="00783C69" w:rsidRDefault="00373FF7">
            <w:pPr>
              <w:pStyle w:val="ReturnAddress"/>
              <w:spacing w:line="240" w:lineRule="auto"/>
              <w:ind w:left="180"/>
              <w:rPr>
                <w:rFonts w:ascii="Arial" w:hAnsi="Arial" w:cs="Arial"/>
              </w:rPr>
            </w:pPr>
            <w:r>
              <w:rPr>
                <w:rFonts w:ascii="Arial" w:hAnsi="Arial" w:cs="Arial"/>
                <w:sz w:val="22"/>
                <w:szCs w:val="22"/>
              </w:rPr>
              <w:t>Committee Chair:   Chris Dembiczak</w:t>
            </w:r>
          </w:p>
        </w:tc>
      </w:tr>
    </w:tbl>
    <w:p w14:paraId="38887590" w14:textId="77777777" w:rsidR="004E0C68" w:rsidRPr="00783C69" w:rsidRDefault="00962634" w:rsidP="00D1414E">
      <w:pPr>
        <w:pStyle w:val="Body"/>
        <w:spacing w:before="120" w:after="120"/>
        <w:ind w:left="180"/>
        <w:rPr>
          <w:rFonts w:ascii="Arial" w:eastAsia="Arial" w:hAnsi="Arial" w:cs="Arial"/>
          <w:b/>
          <w:bCs/>
        </w:rPr>
      </w:pPr>
      <w:r w:rsidRPr="00783C69">
        <w:rPr>
          <w:rFonts w:ascii="Arial" w:hAnsi="Arial" w:cs="Arial"/>
          <w:b/>
          <w:bCs/>
          <w:u w:val="single"/>
        </w:rPr>
        <w:t>Committee Request for Board Action</w:t>
      </w:r>
      <w:r w:rsidRPr="00783C69">
        <w:rPr>
          <w:rFonts w:ascii="Arial" w:hAnsi="Arial" w:cs="Arial"/>
          <w:b/>
          <w:bCs/>
          <w:lang w:val="it-IT"/>
        </w:rPr>
        <w:t>: None</w:t>
      </w:r>
    </w:p>
    <w:p w14:paraId="6612F96A" w14:textId="77777777" w:rsidR="009D644C" w:rsidRDefault="009D644C">
      <w:pPr>
        <w:pStyle w:val="Body"/>
        <w:ind w:left="187"/>
        <w:rPr>
          <w:rFonts w:ascii="Arial" w:hAnsi="Arial" w:cs="Arial"/>
          <w:b/>
          <w:bCs/>
        </w:rPr>
      </w:pPr>
      <w:r>
        <w:rPr>
          <w:rFonts w:ascii="Arial" w:hAnsi="Arial" w:cs="Arial"/>
          <w:b/>
          <w:bCs/>
        </w:rPr>
        <w:t>Regional Water Board Staff in attendance</w:t>
      </w:r>
    </w:p>
    <w:p w14:paraId="00F74B20" w14:textId="76A3CCA4" w:rsidR="004E0C68" w:rsidRPr="00783C69" w:rsidRDefault="009F4716">
      <w:pPr>
        <w:pStyle w:val="Body"/>
        <w:ind w:left="187"/>
        <w:rPr>
          <w:rFonts w:ascii="Arial" w:eastAsia="Arial" w:hAnsi="Arial" w:cs="Arial"/>
          <w:b/>
          <w:bCs/>
        </w:rPr>
      </w:pPr>
      <w:r>
        <w:rPr>
          <w:rFonts w:ascii="Arial" w:hAnsi="Arial" w:cs="Arial"/>
          <w:b/>
          <w:bCs/>
        </w:rPr>
        <w:t>24</w:t>
      </w:r>
      <w:r w:rsidR="00B4092C" w:rsidRPr="00783C69">
        <w:rPr>
          <w:rFonts w:ascii="Arial" w:hAnsi="Arial" w:cs="Arial"/>
          <w:b/>
          <w:bCs/>
        </w:rPr>
        <w:t xml:space="preserve"> Participants </w:t>
      </w:r>
      <w:r w:rsidR="009D644C">
        <w:rPr>
          <w:rFonts w:ascii="Arial" w:hAnsi="Arial" w:cs="Arial"/>
          <w:b/>
          <w:bCs/>
        </w:rPr>
        <w:t xml:space="preserve">representing </w:t>
      </w:r>
      <w:r w:rsidR="009C583E">
        <w:rPr>
          <w:rFonts w:ascii="Arial" w:hAnsi="Arial" w:cs="Arial"/>
          <w:b/>
          <w:bCs/>
        </w:rPr>
        <w:t>14</w:t>
      </w:r>
      <w:r w:rsidR="009D644C">
        <w:rPr>
          <w:rFonts w:ascii="Arial" w:hAnsi="Arial" w:cs="Arial"/>
          <w:b/>
          <w:bCs/>
        </w:rPr>
        <w:t xml:space="preserve"> member agencies</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9C583E" w:rsidRPr="00102DE2" w14:paraId="7AC49C1E"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63105" w14:textId="399FF70F" w:rsidR="009C583E" w:rsidRPr="00102DE2" w:rsidRDefault="009C583E" w:rsidP="00DD5026">
            <w:pPr>
              <w:pStyle w:val="Body"/>
              <w:rPr>
                <w:rFonts w:ascii="Arial" w:hAnsi="Arial" w:cs="Arial"/>
                <w:b/>
                <w:bCs/>
                <w:sz w:val="20"/>
                <w:szCs w:val="20"/>
              </w:rPr>
            </w:pPr>
            <w:r w:rsidRPr="00102DE2">
              <w:rPr>
                <w:rFonts w:ascii="Arial" w:hAnsi="Arial" w:cs="Arial"/>
                <w:b/>
                <w:bCs/>
                <w:sz w:val="20"/>
                <w:szCs w:val="20"/>
              </w:rPr>
              <w:t>Regional Water Board Report-out</w:t>
            </w:r>
          </w:p>
          <w:p w14:paraId="73450364" w14:textId="5BC73CB7" w:rsidR="009C583E" w:rsidRPr="00102DE2" w:rsidRDefault="009C583E" w:rsidP="00DD5026">
            <w:pPr>
              <w:pStyle w:val="Body"/>
              <w:rPr>
                <w:rFonts w:ascii="Arial" w:hAnsi="Arial" w:cs="Arial"/>
                <w:bCs/>
                <w:sz w:val="20"/>
                <w:szCs w:val="20"/>
              </w:rPr>
            </w:pPr>
            <w:r w:rsidRPr="00102DE2">
              <w:rPr>
                <w:rFonts w:ascii="Arial" w:hAnsi="Arial" w:cs="Arial"/>
                <w:bCs/>
                <w:sz w:val="20"/>
                <w:szCs w:val="20"/>
              </w:rPr>
              <w:t>Language in attachment G will be overhauled to account for the electronic reporting rule</w:t>
            </w:r>
            <w:r w:rsidR="002878F7">
              <w:rPr>
                <w:rFonts w:ascii="Arial" w:hAnsi="Arial" w:cs="Arial"/>
                <w:bCs/>
                <w:sz w:val="20"/>
                <w:szCs w:val="20"/>
              </w:rPr>
              <w:t xml:space="preserve"> and several other changes that have accumulated over the years</w:t>
            </w:r>
            <w:r w:rsidRPr="00102DE2">
              <w:rPr>
                <w:rFonts w:ascii="Arial" w:hAnsi="Arial" w:cs="Arial"/>
                <w:bCs/>
                <w:sz w:val="20"/>
                <w:szCs w:val="20"/>
              </w:rPr>
              <w:t>.</w:t>
            </w:r>
          </w:p>
          <w:p w14:paraId="0BD77F30" w14:textId="77777777" w:rsidR="009C583E" w:rsidRPr="00102DE2" w:rsidRDefault="009C583E" w:rsidP="00DD5026">
            <w:pPr>
              <w:pStyle w:val="Body"/>
              <w:rPr>
                <w:rFonts w:ascii="Arial" w:hAnsi="Arial" w:cs="Arial"/>
                <w:bCs/>
                <w:sz w:val="20"/>
                <w:szCs w:val="20"/>
              </w:rPr>
            </w:pPr>
          </w:p>
          <w:p w14:paraId="247F7DA7" w14:textId="574A7383" w:rsidR="009C583E" w:rsidRPr="00102DE2" w:rsidRDefault="002878F7" w:rsidP="00DD5026">
            <w:pPr>
              <w:pStyle w:val="Body"/>
              <w:rPr>
                <w:rFonts w:ascii="Arial" w:hAnsi="Arial" w:cs="Arial"/>
                <w:bCs/>
                <w:sz w:val="20"/>
                <w:szCs w:val="20"/>
              </w:rPr>
            </w:pPr>
            <w:r>
              <w:rPr>
                <w:rFonts w:ascii="Arial" w:hAnsi="Arial" w:cs="Arial"/>
                <w:bCs/>
                <w:sz w:val="20"/>
                <w:szCs w:val="20"/>
              </w:rPr>
              <w:t>The Regional Board reminded</w:t>
            </w:r>
            <w:r w:rsidR="009C583E" w:rsidRPr="00102DE2">
              <w:rPr>
                <w:rFonts w:ascii="Arial" w:hAnsi="Arial" w:cs="Arial"/>
                <w:bCs/>
                <w:sz w:val="20"/>
                <w:szCs w:val="20"/>
              </w:rPr>
              <w:t xml:space="preserve"> dischargers who blend</w:t>
            </w:r>
            <w:r>
              <w:rPr>
                <w:rFonts w:ascii="Arial" w:hAnsi="Arial" w:cs="Arial"/>
                <w:bCs/>
                <w:sz w:val="20"/>
                <w:szCs w:val="20"/>
              </w:rPr>
              <w:t xml:space="preserve"> that justification must be provided during permit reissuances</w:t>
            </w:r>
            <w:r w:rsidR="009C583E" w:rsidRPr="00102DE2">
              <w:rPr>
                <w:rFonts w:ascii="Arial" w:hAnsi="Arial" w:cs="Arial"/>
                <w:bCs/>
                <w:sz w:val="20"/>
                <w:szCs w:val="20"/>
              </w:rPr>
              <w:t>. Blending is a form of bypass, and agencies need to prove that there are no feasible alternatives – that they have done everything feasible to avoid b</w:t>
            </w:r>
            <w:r w:rsidR="00373FF7">
              <w:rPr>
                <w:rFonts w:ascii="Arial" w:hAnsi="Arial" w:cs="Arial"/>
                <w:bCs/>
                <w:sz w:val="20"/>
                <w:szCs w:val="20"/>
              </w:rPr>
              <w:t>ypass</w:t>
            </w:r>
            <w:r w:rsidR="009C583E" w:rsidRPr="00102DE2">
              <w:rPr>
                <w:rFonts w:ascii="Arial" w:hAnsi="Arial" w:cs="Arial"/>
                <w:bCs/>
                <w:sz w:val="20"/>
                <w:szCs w:val="20"/>
              </w:rPr>
              <w:t>. A blending provision is put into permits for agencies who blend routinely, rather than just in extreme wet weather conditions.</w:t>
            </w:r>
          </w:p>
          <w:p w14:paraId="04EEAFA2" w14:textId="77777777" w:rsidR="009C583E" w:rsidRPr="00102DE2" w:rsidRDefault="009C583E" w:rsidP="00DD5026">
            <w:pPr>
              <w:pStyle w:val="Body"/>
              <w:rPr>
                <w:rFonts w:ascii="Arial" w:hAnsi="Arial" w:cs="Arial"/>
                <w:bCs/>
                <w:sz w:val="20"/>
                <w:szCs w:val="20"/>
              </w:rPr>
            </w:pPr>
            <w:bookmarkStart w:id="0" w:name="_GoBack"/>
            <w:bookmarkEnd w:id="0"/>
          </w:p>
          <w:p w14:paraId="53D49DA9" w14:textId="1EB144FF" w:rsidR="009C583E" w:rsidRPr="00102DE2" w:rsidRDefault="009C583E" w:rsidP="00DD5026">
            <w:pPr>
              <w:pStyle w:val="Body"/>
              <w:rPr>
                <w:rFonts w:ascii="Arial" w:hAnsi="Arial" w:cs="Arial"/>
                <w:bCs/>
                <w:sz w:val="20"/>
                <w:szCs w:val="20"/>
              </w:rPr>
            </w:pPr>
            <w:r w:rsidRPr="00102DE2">
              <w:rPr>
                <w:rFonts w:ascii="Arial" w:hAnsi="Arial" w:cs="Arial"/>
                <w:bCs/>
                <w:sz w:val="20"/>
                <w:szCs w:val="20"/>
              </w:rPr>
              <w:t xml:space="preserve">Patrick </w:t>
            </w:r>
            <w:proofErr w:type="spellStart"/>
            <w:r w:rsidRPr="00102DE2">
              <w:rPr>
                <w:rFonts w:ascii="Arial" w:hAnsi="Arial" w:cs="Arial"/>
                <w:bCs/>
                <w:sz w:val="20"/>
                <w:szCs w:val="20"/>
              </w:rPr>
              <w:t>Karinja</w:t>
            </w:r>
            <w:proofErr w:type="spellEnd"/>
            <w:r w:rsidRPr="00102DE2">
              <w:rPr>
                <w:rFonts w:ascii="Arial" w:hAnsi="Arial" w:cs="Arial"/>
                <w:bCs/>
                <w:sz w:val="20"/>
                <w:szCs w:val="20"/>
              </w:rPr>
              <w:t xml:space="preserve"> has been hired as a new permit writer.</w:t>
            </w:r>
          </w:p>
          <w:p w14:paraId="4A0432BA" w14:textId="77777777" w:rsidR="009C583E" w:rsidRPr="00102DE2" w:rsidRDefault="009C583E" w:rsidP="00DD5026">
            <w:pPr>
              <w:pStyle w:val="Body"/>
              <w:rPr>
                <w:rFonts w:ascii="Arial" w:hAnsi="Arial" w:cs="Arial"/>
                <w:bCs/>
                <w:sz w:val="20"/>
                <w:szCs w:val="20"/>
              </w:rPr>
            </w:pPr>
          </w:p>
          <w:p w14:paraId="11B0B3FF" w14:textId="21514F0F" w:rsidR="009C583E" w:rsidRPr="00102DE2" w:rsidRDefault="009C583E" w:rsidP="00DD5026">
            <w:pPr>
              <w:pStyle w:val="Body"/>
              <w:rPr>
                <w:rFonts w:ascii="Arial" w:hAnsi="Arial" w:cs="Arial"/>
                <w:bCs/>
                <w:sz w:val="20"/>
                <w:szCs w:val="20"/>
              </w:rPr>
            </w:pPr>
            <w:r w:rsidRPr="00102DE2">
              <w:rPr>
                <w:rFonts w:ascii="Arial" w:hAnsi="Arial" w:cs="Arial"/>
                <w:bCs/>
                <w:sz w:val="20"/>
                <w:szCs w:val="20"/>
              </w:rPr>
              <w:t xml:space="preserve">Richard Looker just got back from vacation and will begin </w:t>
            </w:r>
            <w:r w:rsidR="00373FF7">
              <w:rPr>
                <w:rFonts w:ascii="Arial" w:hAnsi="Arial" w:cs="Arial"/>
                <w:bCs/>
                <w:sz w:val="20"/>
                <w:szCs w:val="20"/>
              </w:rPr>
              <w:t>working on</w:t>
            </w:r>
            <w:r w:rsidRPr="00102DE2">
              <w:rPr>
                <w:rFonts w:ascii="Arial" w:hAnsi="Arial" w:cs="Arial"/>
                <w:bCs/>
                <w:sz w:val="20"/>
                <w:szCs w:val="20"/>
              </w:rPr>
              <w:t xml:space="preserve"> the chlorine residual Basin Plan amendment.</w:t>
            </w:r>
          </w:p>
          <w:p w14:paraId="42F5EA72" w14:textId="77777777" w:rsidR="009C583E" w:rsidRPr="00102DE2" w:rsidRDefault="009C583E" w:rsidP="00DD5026">
            <w:pPr>
              <w:pStyle w:val="Body"/>
              <w:rPr>
                <w:rFonts w:ascii="Arial" w:hAnsi="Arial" w:cs="Arial"/>
                <w:bCs/>
                <w:sz w:val="20"/>
                <w:szCs w:val="20"/>
              </w:rPr>
            </w:pPr>
          </w:p>
          <w:p w14:paraId="29AA0668" w14:textId="7003509E" w:rsidR="009C583E" w:rsidRPr="00102DE2" w:rsidRDefault="009C583E" w:rsidP="00DD5026">
            <w:pPr>
              <w:pStyle w:val="Body"/>
              <w:rPr>
                <w:rFonts w:ascii="Arial" w:hAnsi="Arial" w:cs="Arial"/>
                <w:bCs/>
                <w:sz w:val="20"/>
                <w:szCs w:val="20"/>
              </w:rPr>
            </w:pPr>
            <w:r w:rsidRPr="00102DE2">
              <w:rPr>
                <w:rFonts w:ascii="Arial" w:hAnsi="Arial" w:cs="Arial"/>
                <w:bCs/>
                <w:sz w:val="20"/>
                <w:szCs w:val="20"/>
              </w:rPr>
              <w:t>The Regional Water Board is beginning to work on the next mercury/PCB Watershed permit, which they expect will look similar to the current one.</w:t>
            </w:r>
            <w:r w:rsidR="002878F7">
              <w:rPr>
                <w:rFonts w:ascii="Arial" w:hAnsi="Arial" w:cs="Arial"/>
                <w:bCs/>
                <w:sz w:val="20"/>
                <w:szCs w:val="20"/>
              </w:rPr>
              <w:t xml:space="preserve"> </w:t>
            </w:r>
          </w:p>
        </w:tc>
      </w:tr>
      <w:tr w:rsidR="004E0C68" w:rsidRPr="00102DE2"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90A66" w14:textId="0CE6501D" w:rsidR="00DD5026" w:rsidRPr="00102DE2" w:rsidRDefault="009D644C" w:rsidP="00DD5026">
            <w:pPr>
              <w:pStyle w:val="Body"/>
              <w:rPr>
                <w:rFonts w:ascii="Arial" w:hAnsi="Arial" w:cs="Arial"/>
                <w:b/>
                <w:bCs/>
                <w:sz w:val="20"/>
                <w:szCs w:val="20"/>
              </w:rPr>
            </w:pPr>
            <w:r w:rsidRPr="00102DE2">
              <w:rPr>
                <w:rFonts w:ascii="Arial" w:hAnsi="Arial" w:cs="Arial"/>
                <w:b/>
                <w:bCs/>
                <w:sz w:val="20"/>
                <w:szCs w:val="20"/>
              </w:rPr>
              <w:t>Upcoming Permits</w:t>
            </w:r>
          </w:p>
          <w:p w14:paraId="4EA94C15" w14:textId="77777777" w:rsidR="00B06DB9" w:rsidRPr="00102DE2" w:rsidRDefault="00B06DB9" w:rsidP="009D644C">
            <w:pPr>
              <w:pStyle w:val="Body"/>
              <w:rPr>
                <w:rFonts w:ascii="Arial" w:eastAsia="Times New Roman" w:hAnsi="Arial" w:cs="Arial"/>
                <w:sz w:val="20"/>
                <w:szCs w:val="20"/>
                <w:bdr w:val="none" w:sz="0" w:space="0" w:color="auto"/>
              </w:rPr>
            </w:pPr>
            <w:r w:rsidRPr="00102DE2">
              <w:rPr>
                <w:rFonts w:ascii="Arial" w:eastAsia="Times New Roman" w:hAnsi="Arial" w:cs="Arial"/>
                <w:b/>
                <w:i/>
                <w:sz w:val="20"/>
                <w:szCs w:val="20"/>
                <w:bdr w:val="none" w:sz="0" w:space="0" w:color="auto"/>
              </w:rPr>
              <w:t>July</w:t>
            </w:r>
            <w:r w:rsidRPr="00102DE2">
              <w:rPr>
                <w:rFonts w:ascii="Arial" w:eastAsia="Times New Roman" w:hAnsi="Arial" w:cs="Arial"/>
                <w:sz w:val="20"/>
                <w:szCs w:val="20"/>
                <w:bdr w:val="none" w:sz="0" w:space="0" w:color="auto"/>
              </w:rPr>
              <w:t xml:space="preserve"> – North San Mateo County</w:t>
            </w:r>
            <w:r w:rsidR="00654A4A" w:rsidRPr="00102DE2">
              <w:rPr>
                <w:rFonts w:ascii="Arial" w:eastAsia="Times New Roman" w:hAnsi="Arial" w:cs="Arial"/>
                <w:sz w:val="20"/>
                <w:szCs w:val="20"/>
                <w:bdr w:val="none" w:sz="0" w:space="0" w:color="auto"/>
              </w:rPr>
              <w:t xml:space="preserve"> Sanitary District</w:t>
            </w:r>
            <w:r w:rsidR="00A7453F" w:rsidRPr="00102DE2">
              <w:rPr>
                <w:rFonts w:ascii="Arial" w:eastAsia="Times New Roman" w:hAnsi="Arial" w:cs="Arial"/>
                <w:sz w:val="20"/>
                <w:szCs w:val="20"/>
                <w:bdr w:val="none" w:sz="0" w:space="0" w:color="auto"/>
              </w:rPr>
              <w:t xml:space="preserve"> – no issues</w:t>
            </w:r>
          </w:p>
          <w:p w14:paraId="3A166F22" w14:textId="7A02740F" w:rsidR="00A7453F" w:rsidRPr="00102DE2" w:rsidRDefault="008D1864" w:rsidP="009D644C">
            <w:pPr>
              <w:pStyle w:val="Body"/>
              <w:rPr>
                <w:rFonts w:ascii="Arial" w:eastAsia="Times New Roman" w:hAnsi="Arial" w:cs="Arial"/>
                <w:sz w:val="20"/>
                <w:szCs w:val="20"/>
                <w:bdr w:val="none" w:sz="0" w:space="0" w:color="auto"/>
              </w:rPr>
            </w:pPr>
            <w:r w:rsidRPr="00373FF7">
              <w:rPr>
                <w:rFonts w:ascii="Arial" w:eastAsia="Times New Roman" w:hAnsi="Arial" w:cs="Arial"/>
                <w:b/>
                <w:i/>
                <w:sz w:val="20"/>
                <w:szCs w:val="20"/>
                <w:bdr w:val="none" w:sz="0" w:space="0" w:color="auto"/>
              </w:rPr>
              <w:t>September</w:t>
            </w:r>
            <w:r w:rsidRPr="00102DE2">
              <w:rPr>
                <w:rFonts w:ascii="Arial" w:eastAsia="Times New Roman" w:hAnsi="Arial" w:cs="Arial"/>
                <w:sz w:val="20"/>
                <w:szCs w:val="20"/>
                <w:bdr w:val="none" w:sz="0" w:space="0" w:color="auto"/>
              </w:rPr>
              <w:t xml:space="preserve"> – Rodeo Sanitary District – They have had a few toxicity hits of greater than 40 TUC using </w:t>
            </w:r>
            <w:proofErr w:type="spellStart"/>
            <w:r w:rsidRPr="00102DE2">
              <w:rPr>
                <w:rFonts w:ascii="Arial" w:eastAsia="Times New Roman" w:hAnsi="Arial" w:cs="Arial"/>
                <w:i/>
                <w:sz w:val="20"/>
                <w:szCs w:val="20"/>
                <w:bdr w:val="none" w:sz="0" w:space="0" w:color="auto"/>
              </w:rPr>
              <w:t>Ceriodaphnia</w:t>
            </w:r>
            <w:proofErr w:type="spellEnd"/>
            <w:r w:rsidRPr="00102DE2">
              <w:rPr>
                <w:rFonts w:ascii="Arial" w:eastAsia="Times New Roman" w:hAnsi="Arial" w:cs="Arial"/>
                <w:sz w:val="20"/>
                <w:szCs w:val="20"/>
                <w:bdr w:val="none" w:sz="0" w:space="0" w:color="auto"/>
              </w:rPr>
              <w:t xml:space="preserve">. They suspect the cause may be pesticides. They updated their dilution model and were given 75:1 dilution, so their limits are a MDEL of 140 TUc, and an AMEL of 51 TUc. </w:t>
            </w:r>
          </w:p>
        </w:tc>
      </w:tr>
      <w:tr w:rsidR="001E7387" w:rsidRPr="00102DE2"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5983FC08" w:rsidR="001E7387" w:rsidRPr="00102DE2" w:rsidRDefault="008D1864" w:rsidP="00DD5026">
            <w:pPr>
              <w:pStyle w:val="Body"/>
              <w:rPr>
                <w:rFonts w:ascii="Arial" w:hAnsi="Arial" w:cs="Arial"/>
                <w:b/>
                <w:bCs/>
                <w:sz w:val="20"/>
                <w:szCs w:val="20"/>
              </w:rPr>
            </w:pPr>
            <w:r w:rsidRPr="00102DE2">
              <w:rPr>
                <w:rFonts w:ascii="Arial" w:hAnsi="Arial" w:cs="Arial"/>
                <w:b/>
                <w:bCs/>
                <w:sz w:val="20"/>
                <w:szCs w:val="20"/>
              </w:rPr>
              <w:t>Nutrient Trading Framework Presentation</w:t>
            </w:r>
          </w:p>
          <w:p w14:paraId="55B0EA70" w14:textId="5E3E59F4" w:rsidR="004A2985" w:rsidRPr="00102DE2" w:rsidRDefault="008D1864" w:rsidP="002878F7">
            <w:pPr>
              <w:spacing w:after="160" w:line="259" w:lineRule="auto"/>
              <w:rPr>
                <w:rFonts w:ascii="Arial" w:hAnsi="Arial" w:cs="Arial"/>
                <w:sz w:val="20"/>
                <w:szCs w:val="20"/>
              </w:rPr>
            </w:pPr>
            <w:r w:rsidRPr="00102DE2">
              <w:rPr>
                <w:rFonts w:ascii="Arial" w:hAnsi="Arial" w:cs="Arial"/>
                <w:sz w:val="20"/>
                <w:szCs w:val="20"/>
              </w:rPr>
              <w:t>Yuyun Sh</w:t>
            </w:r>
            <w:r w:rsidR="002878F7">
              <w:rPr>
                <w:rFonts w:ascii="Arial" w:hAnsi="Arial" w:cs="Arial"/>
                <w:sz w:val="20"/>
                <w:szCs w:val="20"/>
              </w:rPr>
              <w:t>a</w:t>
            </w:r>
            <w:r w:rsidRPr="00102DE2">
              <w:rPr>
                <w:rFonts w:ascii="Arial" w:hAnsi="Arial" w:cs="Arial"/>
                <w:sz w:val="20"/>
                <w:szCs w:val="20"/>
              </w:rPr>
              <w:t>ng of EBMUD provided a presentation on the</w:t>
            </w:r>
            <w:r w:rsidR="002878F7">
              <w:rPr>
                <w:rFonts w:ascii="Arial" w:hAnsi="Arial" w:cs="Arial"/>
                <w:sz w:val="20"/>
                <w:szCs w:val="20"/>
              </w:rPr>
              <w:t xml:space="preserve"> </w:t>
            </w:r>
            <w:r w:rsidR="00373FF7">
              <w:rPr>
                <w:rFonts w:ascii="Arial" w:hAnsi="Arial" w:cs="Arial"/>
                <w:sz w:val="20"/>
                <w:szCs w:val="20"/>
              </w:rPr>
              <w:t>project looking at</w:t>
            </w:r>
            <w:r w:rsidRPr="00102DE2">
              <w:rPr>
                <w:rFonts w:ascii="Arial" w:hAnsi="Arial" w:cs="Arial"/>
                <w:sz w:val="20"/>
                <w:szCs w:val="20"/>
              </w:rPr>
              <w:t xml:space="preserve"> </w:t>
            </w:r>
            <w:proofErr w:type="spellStart"/>
            <w:r w:rsidRPr="00102DE2">
              <w:rPr>
                <w:rFonts w:ascii="Arial" w:hAnsi="Arial" w:cs="Arial"/>
                <w:sz w:val="20"/>
                <w:szCs w:val="20"/>
              </w:rPr>
              <w:t>sidestream</w:t>
            </w:r>
            <w:proofErr w:type="spellEnd"/>
            <w:r w:rsidRPr="00102DE2">
              <w:rPr>
                <w:rFonts w:ascii="Arial" w:hAnsi="Arial" w:cs="Arial"/>
                <w:sz w:val="20"/>
                <w:szCs w:val="20"/>
              </w:rPr>
              <w:t xml:space="preserve"> treatment</w:t>
            </w:r>
            <w:r w:rsidR="00373FF7">
              <w:rPr>
                <w:rFonts w:ascii="Arial" w:hAnsi="Arial" w:cs="Arial"/>
                <w:sz w:val="20"/>
                <w:szCs w:val="20"/>
              </w:rPr>
              <w:t>,</w:t>
            </w:r>
            <w:r w:rsidRPr="00102DE2">
              <w:rPr>
                <w:rFonts w:ascii="Arial" w:hAnsi="Arial" w:cs="Arial"/>
                <w:sz w:val="20"/>
                <w:szCs w:val="20"/>
              </w:rPr>
              <w:t xml:space="preserve"> and</w:t>
            </w:r>
            <w:r w:rsidR="00373FF7">
              <w:rPr>
                <w:rFonts w:ascii="Arial" w:hAnsi="Arial" w:cs="Arial"/>
                <w:sz w:val="20"/>
                <w:szCs w:val="20"/>
              </w:rPr>
              <w:t xml:space="preserve"> a</w:t>
            </w:r>
            <w:r w:rsidRPr="00102DE2">
              <w:rPr>
                <w:rFonts w:ascii="Arial" w:hAnsi="Arial" w:cs="Arial"/>
                <w:sz w:val="20"/>
                <w:szCs w:val="20"/>
              </w:rPr>
              <w:t xml:space="preserve"> nutrient trading framework for the San Francisco Bay</w:t>
            </w:r>
            <w:r w:rsidR="00A40CF0" w:rsidRPr="00102DE2">
              <w:rPr>
                <w:rFonts w:ascii="Arial" w:hAnsi="Arial" w:cs="Arial"/>
                <w:sz w:val="20"/>
                <w:szCs w:val="20"/>
              </w:rPr>
              <w:t>.</w:t>
            </w:r>
            <w:r w:rsidRPr="00102DE2">
              <w:rPr>
                <w:rFonts w:ascii="Arial" w:hAnsi="Arial" w:cs="Arial"/>
                <w:sz w:val="20"/>
                <w:szCs w:val="20"/>
              </w:rPr>
              <w:t xml:space="preserve"> This work was funded by a grant from the EPA. Further </w:t>
            </w:r>
            <w:proofErr w:type="spellStart"/>
            <w:r w:rsidRPr="00102DE2">
              <w:rPr>
                <w:rFonts w:ascii="Arial" w:hAnsi="Arial" w:cs="Arial"/>
                <w:sz w:val="20"/>
                <w:szCs w:val="20"/>
              </w:rPr>
              <w:t>sidestream</w:t>
            </w:r>
            <w:proofErr w:type="spellEnd"/>
            <w:r w:rsidRPr="00102DE2">
              <w:rPr>
                <w:rFonts w:ascii="Arial" w:hAnsi="Arial" w:cs="Arial"/>
                <w:sz w:val="20"/>
                <w:szCs w:val="20"/>
              </w:rPr>
              <w:t xml:space="preserve"> testing in needed, even with technologies that are well established for mainstream treatment due to the higher strength of the </w:t>
            </w:r>
            <w:proofErr w:type="spellStart"/>
            <w:r w:rsidRPr="00102DE2">
              <w:rPr>
                <w:rFonts w:ascii="Arial" w:hAnsi="Arial" w:cs="Arial"/>
                <w:sz w:val="20"/>
                <w:szCs w:val="20"/>
              </w:rPr>
              <w:t>feedwater</w:t>
            </w:r>
            <w:proofErr w:type="spellEnd"/>
            <w:r w:rsidRPr="00102DE2">
              <w:rPr>
                <w:rFonts w:ascii="Arial" w:hAnsi="Arial" w:cs="Arial"/>
                <w:sz w:val="20"/>
                <w:szCs w:val="20"/>
              </w:rPr>
              <w:t xml:space="preserve">. </w:t>
            </w:r>
            <w:r w:rsidR="00814E5A" w:rsidRPr="00102DE2">
              <w:rPr>
                <w:rFonts w:ascii="Arial" w:hAnsi="Arial" w:cs="Arial"/>
                <w:sz w:val="20"/>
                <w:szCs w:val="20"/>
              </w:rPr>
              <w:t xml:space="preserve">The final report is </w:t>
            </w:r>
            <w:hyperlink r:id="rId8" w:history="1">
              <w:r w:rsidR="00814E5A" w:rsidRPr="00102DE2">
                <w:rPr>
                  <w:rStyle w:val="Hyperlink"/>
                  <w:rFonts w:eastAsia="Arial Unicode MS"/>
                  <w:shd w:val="clear" w:color="auto" w:fill="auto"/>
                </w:rPr>
                <w:t>here</w:t>
              </w:r>
            </w:hyperlink>
            <w:r w:rsidR="00814E5A" w:rsidRPr="00102DE2">
              <w:rPr>
                <w:rFonts w:ascii="Arial" w:hAnsi="Arial" w:cs="Arial"/>
                <w:sz w:val="20"/>
                <w:szCs w:val="20"/>
              </w:rPr>
              <w:t xml:space="preserve">. </w:t>
            </w:r>
            <w:r w:rsidRPr="00102DE2">
              <w:rPr>
                <w:rFonts w:ascii="Arial" w:hAnsi="Arial" w:cs="Arial"/>
                <w:sz w:val="20"/>
                <w:szCs w:val="20"/>
              </w:rPr>
              <w:t xml:space="preserve">See also the </w:t>
            </w:r>
            <w:hyperlink r:id="rId9" w:history="1">
              <w:r w:rsidRPr="00102DE2">
                <w:rPr>
                  <w:rStyle w:val="Hyperlink"/>
                  <w:rFonts w:eastAsia="Arial Unicode MS"/>
                  <w:shd w:val="clear" w:color="auto" w:fill="auto"/>
                </w:rPr>
                <w:t>paper</w:t>
              </w:r>
            </w:hyperlink>
            <w:r w:rsidRPr="00102DE2">
              <w:rPr>
                <w:rFonts w:ascii="Arial" w:hAnsi="Arial" w:cs="Arial"/>
                <w:sz w:val="20"/>
                <w:szCs w:val="20"/>
              </w:rPr>
              <w:t xml:space="preserve"> that the team prepared on the Nutrient Trading Framework.</w:t>
            </w:r>
          </w:p>
        </w:tc>
      </w:tr>
      <w:tr w:rsidR="004A2985" w:rsidRPr="00102DE2"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2DC76CE1" w:rsidR="004A2985" w:rsidRPr="00102DE2" w:rsidRDefault="00814E5A" w:rsidP="00DD5026">
            <w:pPr>
              <w:pStyle w:val="Body"/>
              <w:rPr>
                <w:rFonts w:ascii="Arial" w:hAnsi="Arial" w:cs="Arial"/>
                <w:b/>
                <w:bCs/>
                <w:sz w:val="20"/>
                <w:szCs w:val="20"/>
              </w:rPr>
            </w:pPr>
            <w:r w:rsidRPr="00102DE2">
              <w:rPr>
                <w:rFonts w:ascii="Arial" w:hAnsi="Arial" w:cs="Arial"/>
                <w:b/>
                <w:bCs/>
                <w:sz w:val="20"/>
                <w:szCs w:val="20"/>
              </w:rPr>
              <w:t>Nutrients</w:t>
            </w:r>
          </w:p>
          <w:p w14:paraId="7945AF97" w14:textId="45A89CE4" w:rsidR="00814E5A" w:rsidRPr="00102DE2" w:rsidRDefault="00814E5A" w:rsidP="00814E5A">
            <w:pPr>
              <w:pStyle w:val="Body"/>
              <w:numPr>
                <w:ilvl w:val="0"/>
                <w:numId w:val="28"/>
              </w:numPr>
              <w:rPr>
                <w:rFonts w:ascii="Arial" w:hAnsi="Arial" w:cs="Arial"/>
                <w:bCs/>
                <w:sz w:val="20"/>
                <w:szCs w:val="20"/>
              </w:rPr>
            </w:pPr>
            <w:r w:rsidRPr="00102DE2">
              <w:rPr>
                <w:rFonts w:ascii="Arial" w:hAnsi="Arial" w:cs="Arial"/>
                <w:bCs/>
                <w:i/>
                <w:sz w:val="20"/>
                <w:szCs w:val="20"/>
              </w:rPr>
              <w:t>HABs Workshop Report-out –</w:t>
            </w:r>
            <w:r w:rsidRPr="00102DE2">
              <w:rPr>
                <w:rFonts w:ascii="Arial" w:hAnsi="Arial" w:cs="Arial"/>
                <w:bCs/>
                <w:sz w:val="20"/>
                <w:szCs w:val="20"/>
              </w:rPr>
              <w:t xml:space="preserve"> The </w:t>
            </w:r>
            <w:r w:rsidR="00373FF7">
              <w:rPr>
                <w:rFonts w:ascii="Arial" w:hAnsi="Arial" w:cs="Arial"/>
                <w:bCs/>
                <w:sz w:val="20"/>
                <w:szCs w:val="20"/>
              </w:rPr>
              <w:t>workshop highlighted research showing</w:t>
            </w:r>
            <w:r w:rsidRPr="00102DE2">
              <w:rPr>
                <w:rFonts w:ascii="Arial" w:hAnsi="Arial" w:cs="Arial"/>
                <w:bCs/>
                <w:sz w:val="20"/>
                <w:szCs w:val="20"/>
              </w:rPr>
              <w:t xml:space="preserve"> that HABs are a concern, but that there is still the question of what conditions lead to HABs and the release of toxins. No relationship was found between chlorophyll and toxins.</w:t>
            </w:r>
          </w:p>
          <w:p w14:paraId="733BD044" w14:textId="77777777" w:rsidR="00814E5A" w:rsidRPr="00102DE2" w:rsidRDefault="00814E5A" w:rsidP="00814E5A">
            <w:pPr>
              <w:pStyle w:val="Body"/>
              <w:numPr>
                <w:ilvl w:val="0"/>
                <w:numId w:val="28"/>
              </w:numPr>
              <w:rPr>
                <w:rFonts w:ascii="Arial" w:hAnsi="Arial" w:cs="Arial"/>
                <w:bCs/>
                <w:sz w:val="20"/>
                <w:szCs w:val="20"/>
              </w:rPr>
            </w:pPr>
            <w:r w:rsidRPr="00102DE2">
              <w:rPr>
                <w:rFonts w:ascii="Arial" w:hAnsi="Arial" w:cs="Arial"/>
                <w:bCs/>
                <w:i/>
                <w:sz w:val="20"/>
                <w:szCs w:val="20"/>
              </w:rPr>
              <w:t>June 7 Optimization and Upgrade Workshop –</w:t>
            </w:r>
            <w:r w:rsidRPr="00102DE2">
              <w:rPr>
                <w:rFonts w:ascii="Arial" w:hAnsi="Arial" w:cs="Arial"/>
                <w:bCs/>
                <w:sz w:val="20"/>
                <w:szCs w:val="20"/>
              </w:rPr>
              <w:t xml:space="preserve"> </w:t>
            </w:r>
            <w:r w:rsidRPr="00102DE2">
              <w:rPr>
                <w:rFonts w:ascii="Arial" w:hAnsi="Arial" w:cs="Arial"/>
                <w:sz w:val="20"/>
                <w:szCs w:val="20"/>
              </w:rPr>
              <w:t xml:space="preserve">materials are available </w:t>
            </w:r>
            <w:hyperlink r:id="rId10" w:history="1">
              <w:r w:rsidRPr="00102DE2">
                <w:rPr>
                  <w:rStyle w:val="Hyperlink"/>
                </w:rPr>
                <w:t>online</w:t>
              </w:r>
            </w:hyperlink>
            <w:r w:rsidRPr="00102DE2">
              <w:rPr>
                <w:rFonts w:ascii="Arial" w:hAnsi="Arial" w:cs="Arial"/>
                <w:sz w:val="20"/>
                <w:szCs w:val="20"/>
              </w:rPr>
              <w:t>.</w:t>
            </w:r>
          </w:p>
          <w:p w14:paraId="450D39C2" w14:textId="77777777" w:rsidR="00102DE2" w:rsidRPr="00102DE2" w:rsidRDefault="00814E5A" w:rsidP="00102DE2">
            <w:pPr>
              <w:pStyle w:val="Body"/>
              <w:numPr>
                <w:ilvl w:val="0"/>
                <w:numId w:val="28"/>
              </w:numPr>
              <w:rPr>
                <w:rFonts w:ascii="Arial" w:hAnsi="Arial" w:cs="Arial"/>
                <w:bCs/>
                <w:sz w:val="20"/>
                <w:szCs w:val="20"/>
              </w:rPr>
            </w:pPr>
            <w:r w:rsidRPr="00102DE2">
              <w:rPr>
                <w:rFonts w:ascii="Arial" w:hAnsi="Arial" w:cs="Arial"/>
                <w:bCs/>
                <w:i/>
                <w:sz w:val="20"/>
                <w:szCs w:val="20"/>
              </w:rPr>
              <w:t>Progress update –</w:t>
            </w:r>
            <w:r w:rsidRPr="00102DE2">
              <w:rPr>
                <w:rFonts w:ascii="Arial" w:hAnsi="Arial" w:cs="Arial"/>
                <w:bCs/>
                <w:sz w:val="20"/>
                <w:szCs w:val="20"/>
              </w:rPr>
              <w:t xml:space="preserve"> BACWA submitted the </w:t>
            </w:r>
            <w:hyperlink r:id="rId11" w:history="1">
              <w:r w:rsidRPr="00102DE2">
                <w:rPr>
                  <w:rStyle w:val="Hyperlink"/>
                </w:rPr>
                <w:t>Progress update</w:t>
              </w:r>
            </w:hyperlink>
            <w:r w:rsidRPr="00102DE2">
              <w:rPr>
                <w:rFonts w:ascii="Arial" w:hAnsi="Arial" w:cs="Arial"/>
                <w:sz w:val="20"/>
                <w:szCs w:val="20"/>
              </w:rPr>
              <w:t xml:space="preserve"> to the Regional Water Board in compliance with the Watershed permit.</w:t>
            </w:r>
          </w:p>
          <w:p w14:paraId="6299235C" w14:textId="39558232" w:rsidR="00814E5A" w:rsidRPr="00373FF7" w:rsidRDefault="00102DE2" w:rsidP="00373FF7">
            <w:pPr>
              <w:pStyle w:val="Body"/>
              <w:numPr>
                <w:ilvl w:val="0"/>
                <w:numId w:val="28"/>
              </w:numPr>
              <w:rPr>
                <w:rFonts w:ascii="Arial" w:hAnsi="Arial" w:cs="Arial"/>
                <w:bCs/>
                <w:sz w:val="20"/>
                <w:szCs w:val="20"/>
              </w:rPr>
            </w:pPr>
            <w:r w:rsidRPr="00102DE2">
              <w:rPr>
                <w:rFonts w:ascii="Arial" w:hAnsi="Arial" w:cs="Arial"/>
                <w:bCs/>
                <w:i/>
                <w:sz w:val="20"/>
                <w:szCs w:val="20"/>
              </w:rPr>
              <w:t>Annual report -</w:t>
            </w:r>
            <w:hyperlink r:id="rId12" w:history="1">
              <w:r w:rsidR="00814E5A" w:rsidRPr="00DD2D72">
                <w:rPr>
                  <w:rStyle w:val="Hyperlink"/>
                </w:rPr>
                <w:t>Data workshee</w:t>
              </w:r>
              <w:r w:rsidR="00814E5A" w:rsidRPr="00102DE2">
                <w:rPr>
                  <w:rStyle w:val="Hyperlink"/>
                </w:rPr>
                <w:t>t</w:t>
              </w:r>
            </w:hyperlink>
            <w:r w:rsidR="00373FF7">
              <w:rPr>
                <w:rFonts w:ascii="Arial" w:hAnsi="Arial" w:cs="Arial"/>
                <w:sz w:val="20"/>
                <w:szCs w:val="20"/>
              </w:rPr>
              <w:t xml:space="preserve"> from each agency for Group Annual Report is due</w:t>
            </w:r>
            <w:r w:rsidR="00373FF7">
              <w:rPr>
                <w:rFonts w:ascii="Arial" w:hAnsi="Arial" w:cs="Arial"/>
                <w:bCs/>
                <w:sz w:val="20"/>
                <w:szCs w:val="20"/>
              </w:rPr>
              <w:t xml:space="preserve"> </w:t>
            </w:r>
            <w:r w:rsidR="00814E5A" w:rsidRPr="00373FF7">
              <w:rPr>
                <w:rFonts w:ascii="Arial" w:hAnsi="Arial" w:cs="Arial"/>
                <w:sz w:val="20"/>
                <w:szCs w:val="20"/>
              </w:rPr>
              <w:t>July 31</w:t>
            </w:r>
          </w:p>
          <w:p w14:paraId="79905948" w14:textId="16F7A08F" w:rsidR="004A2985" w:rsidRPr="00102DE2" w:rsidRDefault="00102DE2" w:rsidP="00102DE2">
            <w:pPr>
              <w:pStyle w:val="Body"/>
              <w:numPr>
                <w:ilvl w:val="0"/>
                <w:numId w:val="28"/>
              </w:numPr>
              <w:rPr>
                <w:rFonts w:ascii="Arial" w:hAnsi="Arial" w:cs="Arial"/>
                <w:bCs/>
                <w:sz w:val="20"/>
                <w:szCs w:val="20"/>
              </w:rPr>
            </w:pPr>
            <w:r>
              <w:rPr>
                <w:rFonts w:ascii="Arial" w:hAnsi="Arial" w:cs="Arial"/>
                <w:bCs/>
                <w:i/>
                <w:sz w:val="20"/>
                <w:szCs w:val="20"/>
              </w:rPr>
              <w:t xml:space="preserve">Watershed permit reissuance – </w:t>
            </w:r>
            <w:r>
              <w:rPr>
                <w:rFonts w:ascii="Arial" w:hAnsi="Arial" w:cs="Arial"/>
                <w:bCs/>
                <w:sz w:val="20"/>
                <w:szCs w:val="20"/>
              </w:rPr>
              <w:t>BACWA is continuing discussion</w:t>
            </w:r>
            <w:r w:rsidR="00373FF7">
              <w:rPr>
                <w:rFonts w:ascii="Arial" w:hAnsi="Arial" w:cs="Arial"/>
                <w:bCs/>
                <w:sz w:val="20"/>
                <w:szCs w:val="20"/>
              </w:rPr>
              <w:t>s</w:t>
            </w:r>
            <w:r>
              <w:rPr>
                <w:rFonts w:ascii="Arial" w:hAnsi="Arial" w:cs="Arial"/>
                <w:bCs/>
                <w:sz w:val="20"/>
                <w:szCs w:val="20"/>
              </w:rPr>
              <w:t xml:space="preserve"> with its members and the Regional Water Board.  The current understanding is that the next permit will include an increase in funding for the science in lieu of load caps. </w:t>
            </w:r>
            <w:r w:rsidR="00373FF7">
              <w:rPr>
                <w:rFonts w:ascii="Arial" w:hAnsi="Arial" w:cs="Arial"/>
                <w:bCs/>
                <w:sz w:val="20"/>
                <w:szCs w:val="20"/>
              </w:rPr>
              <w:t>Both EPA and the Regional Water Board will provide documentation of this understanding.</w:t>
            </w:r>
            <w:r>
              <w:rPr>
                <w:rFonts w:ascii="Arial" w:hAnsi="Arial" w:cs="Arial"/>
                <w:bCs/>
                <w:sz w:val="20"/>
                <w:szCs w:val="20"/>
              </w:rPr>
              <w:t xml:space="preserve"> BACWA will also ramp up funding for the science in the remaining two years of the permit out of its reserves.  There is a continuing discussion about how agencies can get credit for early action. There was a question in committee about whether the delisting of the Petaluma River for nutrients can exempt Petaluma from the permit, but the Regional Water Board’s position is that Petaluma may have less of an impact but must still be considered.</w:t>
            </w:r>
          </w:p>
        </w:tc>
      </w:tr>
      <w:tr w:rsidR="00E846B0" w:rsidRPr="00102DE2" w14:paraId="525A64F9"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A0519" w14:textId="4AD5B3B7" w:rsidR="00814E5A" w:rsidRPr="00102DE2" w:rsidRDefault="00814E5A" w:rsidP="00814E5A">
            <w:pPr>
              <w:pStyle w:val="Body"/>
              <w:rPr>
                <w:rFonts w:ascii="Arial" w:hAnsi="Arial" w:cs="Arial"/>
                <w:b/>
                <w:bCs/>
                <w:sz w:val="20"/>
                <w:szCs w:val="20"/>
              </w:rPr>
            </w:pPr>
            <w:r w:rsidRPr="00102DE2">
              <w:rPr>
                <w:rFonts w:ascii="Arial" w:hAnsi="Arial" w:cs="Arial"/>
                <w:b/>
                <w:bCs/>
                <w:sz w:val="20"/>
                <w:szCs w:val="20"/>
              </w:rPr>
              <w:t>Toxicity</w:t>
            </w:r>
          </w:p>
          <w:p w14:paraId="731C30CD" w14:textId="0FC591DF" w:rsidR="00102DE2" w:rsidRDefault="00102DE2" w:rsidP="00102DE2">
            <w:pPr>
              <w:pStyle w:val="Body"/>
              <w:numPr>
                <w:ilvl w:val="0"/>
                <w:numId w:val="27"/>
              </w:numPr>
              <w:rPr>
                <w:rFonts w:ascii="Arial" w:hAnsi="Arial" w:cs="Arial"/>
                <w:bCs/>
                <w:sz w:val="20"/>
                <w:szCs w:val="20"/>
              </w:rPr>
            </w:pPr>
            <w:r>
              <w:rPr>
                <w:rFonts w:ascii="Arial" w:hAnsi="Arial" w:cs="Arial"/>
                <w:bCs/>
                <w:i/>
                <w:sz w:val="20"/>
                <w:szCs w:val="20"/>
              </w:rPr>
              <w:t>State Toxicity Provisions</w:t>
            </w:r>
            <w:r w:rsidR="00814E5A" w:rsidRPr="00102DE2">
              <w:rPr>
                <w:rFonts w:ascii="Arial" w:hAnsi="Arial" w:cs="Arial"/>
                <w:bCs/>
                <w:i/>
                <w:sz w:val="20"/>
                <w:szCs w:val="20"/>
              </w:rPr>
              <w:t xml:space="preserve"> -</w:t>
            </w:r>
            <w:r w:rsidR="00814E5A" w:rsidRPr="00102DE2">
              <w:rPr>
                <w:rFonts w:ascii="Arial" w:hAnsi="Arial" w:cs="Arial"/>
                <w:bCs/>
                <w:sz w:val="20"/>
                <w:szCs w:val="20"/>
              </w:rPr>
              <w:t xml:space="preserve"> </w:t>
            </w:r>
            <w:r>
              <w:rPr>
                <w:rFonts w:ascii="Arial" w:hAnsi="Arial" w:cs="Arial"/>
                <w:bCs/>
                <w:sz w:val="20"/>
                <w:szCs w:val="20"/>
              </w:rPr>
              <w:t>Bill Johnson has been meeting with the State Water Board to discuss Regional Water Board concerns about the latest draft of the provisions, and how they would be difficult to write into NPDES permits.  The Regional Water Board would like more discretion on how to implement the Provisions. CASA also met with State Water Board staff who seem less open to changes than they did at the previous meeting.</w:t>
            </w:r>
          </w:p>
          <w:p w14:paraId="3C92447E" w14:textId="6878621F" w:rsidR="00E846B0" w:rsidRPr="00102DE2" w:rsidRDefault="00102DE2" w:rsidP="00102DE2">
            <w:pPr>
              <w:pStyle w:val="Body"/>
              <w:numPr>
                <w:ilvl w:val="0"/>
                <w:numId w:val="27"/>
              </w:numPr>
              <w:rPr>
                <w:rFonts w:ascii="Arial" w:hAnsi="Arial" w:cs="Arial"/>
                <w:sz w:val="20"/>
                <w:szCs w:val="20"/>
              </w:rPr>
            </w:pPr>
            <w:r>
              <w:rPr>
                <w:rFonts w:ascii="Arial" w:hAnsi="Arial" w:cs="Arial"/>
                <w:bCs/>
                <w:i/>
                <w:sz w:val="20"/>
                <w:szCs w:val="20"/>
              </w:rPr>
              <w:t>T</w:t>
            </w:r>
            <w:r w:rsidR="00814E5A" w:rsidRPr="00102DE2">
              <w:rPr>
                <w:rFonts w:ascii="Arial" w:hAnsi="Arial" w:cs="Arial"/>
                <w:bCs/>
                <w:i/>
                <w:sz w:val="20"/>
                <w:szCs w:val="20"/>
              </w:rPr>
              <w:t xml:space="preserve">oxicity Workshop - </w:t>
            </w:r>
            <w:r w:rsidR="00814E5A" w:rsidRPr="00102DE2">
              <w:rPr>
                <w:rFonts w:ascii="Arial" w:hAnsi="Arial" w:cs="Arial"/>
                <w:bCs/>
                <w:sz w:val="20"/>
                <w:szCs w:val="20"/>
              </w:rPr>
              <w:t xml:space="preserve">BACWA </w:t>
            </w:r>
            <w:r>
              <w:rPr>
                <w:rFonts w:ascii="Arial" w:hAnsi="Arial" w:cs="Arial"/>
                <w:bCs/>
                <w:sz w:val="20"/>
                <w:szCs w:val="20"/>
              </w:rPr>
              <w:t>will</w:t>
            </w:r>
            <w:r w:rsidR="00814E5A" w:rsidRPr="00102DE2">
              <w:rPr>
                <w:rFonts w:ascii="Arial" w:hAnsi="Arial" w:cs="Arial"/>
                <w:bCs/>
                <w:sz w:val="20"/>
                <w:szCs w:val="20"/>
              </w:rPr>
              <w:t xml:space="preserve"> hold a toxicity workshop </w:t>
            </w:r>
            <w:r>
              <w:rPr>
                <w:rFonts w:ascii="Arial" w:hAnsi="Arial" w:cs="Arial"/>
                <w:bCs/>
                <w:sz w:val="20"/>
                <w:szCs w:val="20"/>
              </w:rPr>
              <w:t xml:space="preserve">at CCCSD September 18. See </w:t>
            </w:r>
            <w:hyperlink r:id="rId13" w:history="1">
              <w:r w:rsidRPr="00102DE2">
                <w:rPr>
                  <w:rStyle w:val="Hyperlink"/>
                </w:rPr>
                <w:t>draft agenda</w:t>
              </w:r>
            </w:hyperlink>
            <w:r w:rsidR="00814E5A" w:rsidRPr="00102DE2">
              <w:rPr>
                <w:rFonts w:ascii="Arial" w:hAnsi="Arial" w:cs="Arial"/>
                <w:bCs/>
                <w:sz w:val="20"/>
                <w:szCs w:val="20"/>
              </w:rPr>
              <w:t xml:space="preserve">.  </w:t>
            </w:r>
            <w:r>
              <w:rPr>
                <w:rFonts w:ascii="Arial" w:hAnsi="Arial" w:cs="Arial"/>
                <w:bCs/>
                <w:sz w:val="20"/>
                <w:szCs w:val="20"/>
              </w:rPr>
              <w:t xml:space="preserve">The </w:t>
            </w:r>
            <w:r>
              <w:rPr>
                <w:rFonts w:ascii="Arial" w:hAnsi="Arial" w:cs="Arial"/>
                <w:bCs/>
                <w:sz w:val="20"/>
                <w:szCs w:val="20"/>
              </w:rPr>
              <w:lastRenderedPageBreak/>
              <w:t>workshop will be aimed at agency staff with a wide range of expertise in toxicity testing.</w:t>
            </w:r>
          </w:p>
        </w:tc>
      </w:tr>
      <w:tr w:rsidR="00990959" w:rsidRPr="00102DE2" w14:paraId="19FDFCE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19FA2" w14:textId="77777777" w:rsidR="0003018F" w:rsidRPr="00102DE2" w:rsidRDefault="00102DE2" w:rsidP="00102DE2">
            <w:pPr>
              <w:pStyle w:val="Body"/>
              <w:rPr>
                <w:rFonts w:ascii="Arial" w:hAnsi="Arial" w:cs="Arial"/>
                <w:bCs/>
                <w:sz w:val="20"/>
                <w:szCs w:val="20"/>
              </w:rPr>
            </w:pPr>
            <w:r w:rsidRPr="00102DE2">
              <w:rPr>
                <w:rFonts w:ascii="Arial" w:hAnsi="Arial" w:cs="Arial"/>
                <w:b/>
                <w:bCs/>
                <w:sz w:val="20"/>
                <w:szCs w:val="20"/>
              </w:rPr>
              <w:lastRenderedPageBreak/>
              <w:t xml:space="preserve">BAAQMD </w:t>
            </w:r>
            <w:r w:rsidRPr="00102DE2">
              <w:rPr>
                <w:rFonts w:ascii="Arial" w:hAnsi="Arial" w:cs="Arial"/>
                <w:bCs/>
                <w:sz w:val="20"/>
                <w:szCs w:val="20"/>
              </w:rPr>
              <w:t xml:space="preserve">Rule 11-18 </w:t>
            </w:r>
          </w:p>
          <w:p w14:paraId="64218FCA" w14:textId="4CF0B6F7" w:rsidR="00102DE2" w:rsidRPr="00102DE2" w:rsidRDefault="00102DE2" w:rsidP="00102DE2">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09"/>
              <w:contextualSpacing/>
              <w:rPr>
                <w:rStyle w:val="Hyperlink"/>
                <w:b w:val="0"/>
                <w:color w:val="auto"/>
              </w:rPr>
            </w:pPr>
            <w:r w:rsidRPr="00102DE2">
              <w:rPr>
                <w:rStyle w:val="Hyperlink"/>
                <w:b w:val="0"/>
                <w:color w:val="auto"/>
                <w:u w:val="none"/>
              </w:rPr>
              <w:t>BAAQMD has moved all POTWs moved to Phase 2</w:t>
            </w:r>
            <w:r w:rsidR="00373FF7">
              <w:rPr>
                <w:rStyle w:val="Hyperlink"/>
                <w:b w:val="0"/>
                <w:color w:val="auto"/>
                <w:u w:val="none"/>
              </w:rPr>
              <w:t>, which will give agencies</w:t>
            </w:r>
            <w:r w:rsidRPr="00102DE2">
              <w:rPr>
                <w:rStyle w:val="Hyperlink"/>
                <w:b w:val="0"/>
                <w:color w:val="auto"/>
                <w:u w:val="none"/>
              </w:rPr>
              <w:t xml:space="preserve"> a chance to update</w:t>
            </w:r>
            <w:r w:rsidR="00373FF7">
              <w:rPr>
                <w:rStyle w:val="Hyperlink"/>
                <w:b w:val="0"/>
                <w:color w:val="auto"/>
                <w:u w:val="none"/>
              </w:rPr>
              <w:t xml:space="preserve"> emissions factors and do</w:t>
            </w:r>
            <w:r w:rsidRPr="00102DE2">
              <w:rPr>
                <w:rStyle w:val="Hyperlink"/>
                <w:b w:val="0"/>
                <w:color w:val="auto"/>
                <w:u w:val="none"/>
              </w:rPr>
              <w:t xml:space="preserve"> health risk assessments</w:t>
            </w:r>
            <w:r w:rsidRPr="00102DE2">
              <w:rPr>
                <w:rStyle w:val="Hyperlink"/>
                <w:b w:val="0"/>
                <w:color w:val="auto"/>
              </w:rPr>
              <w:t xml:space="preserve"> (</w:t>
            </w:r>
            <w:hyperlink r:id="rId14" w:history="1">
              <w:r w:rsidRPr="00102DE2">
                <w:rPr>
                  <w:rStyle w:val="Hyperlink"/>
                </w:rPr>
                <w:t>See letter</w:t>
              </w:r>
            </w:hyperlink>
            <w:r w:rsidRPr="00102DE2">
              <w:rPr>
                <w:rStyle w:val="Hyperlink"/>
                <w:b w:val="0"/>
                <w:color w:val="auto"/>
              </w:rPr>
              <w:t>)</w:t>
            </w:r>
          </w:p>
          <w:p w14:paraId="2C4CD116" w14:textId="49A812CC" w:rsidR="00102DE2" w:rsidRPr="00102DE2" w:rsidRDefault="00102DE2" w:rsidP="00102DE2">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09"/>
              <w:contextualSpacing/>
              <w:rPr>
                <w:rFonts w:ascii="Arial" w:eastAsia="Arial" w:hAnsi="Arial" w:cs="Arial"/>
                <w:b/>
                <w:bCs/>
                <w:color w:val="auto"/>
                <w:sz w:val="20"/>
                <w:szCs w:val="20"/>
                <w:u w:val="single" w:color="0070C0"/>
                <w:shd w:val="clear" w:color="auto" w:fill="FFFFFF"/>
              </w:rPr>
            </w:pPr>
            <w:r w:rsidRPr="00102DE2">
              <w:rPr>
                <w:rFonts w:ascii="Arial" w:hAnsi="Arial" w:cs="Arial"/>
                <w:sz w:val="20"/>
                <w:szCs w:val="20"/>
              </w:rPr>
              <w:t>BACWA members</w:t>
            </w:r>
            <w:r w:rsidR="00373FF7">
              <w:rPr>
                <w:rFonts w:ascii="Arial" w:hAnsi="Arial" w:cs="Arial"/>
                <w:sz w:val="20"/>
                <w:szCs w:val="20"/>
              </w:rPr>
              <w:t xml:space="preserve"> are being asked</w:t>
            </w:r>
            <w:r w:rsidRPr="00102DE2">
              <w:rPr>
                <w:rFonts w:ascii="Arial" w:hAnsi="Arial" w:cs="Arial"/>
                <w:sz w:val="20"/>
                <w:szCs w:val="20"/>
              </w:rPr>
              <w:t xml:space="preserve"> to provide nearest distance from source to offsite worker and resident receptors to </w:t>
            </w:r>
            <w:hyperlink r:id="rId15" w:history="1">
              <w:r w:rsidRPr="00102DE2">
                <w:rPr>
                  <w:rStyle w:val="Hyperlink"/>
                </w:rPr>
                <w:t>Sarah Deslauriers</w:t>
              </w:r>
            </w:hyperlink>
            <w:r w:rsidRPr="00102DE2">
              <w:rPr>
                <w:rFonts w:ascii="Arial" w:hAnsi="Arial" w:cs="Arial"/>
                <w:sz w:val="20"/>
                <w:szCs w:val="20"/>
              </w:rPr>
              <w:t>. This information will be used by BAAQMD to update proximity adjustment factors for each facility.</w:t>
            </w:r>
            <w:r w:rsidR="00DD2D72">
              <w:rPr>
                <w:rFonts w:ascii="Arial" w:hAnsi="Arial" w:cs="Arial"/>
                <w:sz w:val="20"/>
                <w:szCs w:val="20"/>
              </w:rPr>
              <w:t xml:space="preserve"> A formal data request will be sent out soon.</w:t>
            </w:r>
          </w:p>
        </w:tc>
      </w:tr>
      <w:tr w:rsidR="00087D46" w:rsidRPr="00102DE2" w14:paraId="4AD901C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Pr="00102DE2" w:rsidRDefault="00087D46" w:rsidP="00307C64">
            <w:pPr>
              <w:pStyle w:val="Body"/>
              <w:rPr>
                <w:rFonts w:ascii="Arial" w:hAnsi="Arial" w:cs="Arial"/>
                <w:b/>
                <w:bCs/>
                <w:sz w:val="20"/>
                <w:szCs w:val="20"/>
              </w:rPr>
            </w:pPr>
            <w:r w:rsidRPr="00102DE2">
              <w:rPr>
                <w:rFonts w:ascii="Arial" w:hAnsi="Arial" w:cs="Arial"/>
                <w:b/>
                <w:bCs/>
                <w:sz w:val="20"/>
                <w:szCs w:val="20"/>
              </w:rPr>
              <w:t>Announcements</w:t>
            </w:r>
          </w:p>
          <w:p w14:paraId="514059F0" w14:textId="17FBA04D" w:rsidR="00307C64" w:rsidRPr="00102DE2" w:rsidRDefault="00307C64" w:rsidP="00373FF7">
            <w:pPr>
              <w:pStyle w:val="Body"/>
              <w:numPr>
                <w:ilvl w:val="1"/>
                <w:numId w:val="29"/>
              </w:numPr>
              <w:tabs>
                <w:tab w:val="clear" w:pos="1440"/>
              </w:tabs>
              <w:ind w:left="509"/>
              <w:rPr>
                <w:rFonts w:ascii="Arial" w:hAnsi="Arial" w:cs="Arial"/>
                <w:sz w:val="20"/>
                <w:szCs w:val="20"/>
                <w:u w:val="single"/>
              </w:rPr>
            </w:pPr>
            <w:r w:rsidRPr="00102DE2">
              <w:rPr>
                <w:rFonts w:ascii="Arial" w:hAnsi="Arial" w:cs="Arial"/>
                <w:sz w:val="20"/>
                <w:szCs w:val="20"/>
              </w:rPr>
              <w:t xml:space="preserve">State Water Board adopts </w:t>
            </w:r>
            <w:hyperlink r:id="rId16" w:history="1">
              <w:r w:rsidRPr="00102DE2">
                <w:rPr>
                  <w:rStyle w:val="Hyperlink"/>
                </w:rPr>
                <w:t xml:space="preserve">Beneficial Uses and Mercury </w:t>
              </w:r>
              <w:r w:rsidRPr="00102DE2">
                <w:rPr>
                  <w:rStyle w:val="Hyperlink2"/>
                  <w:sz w:val="20"/>
                  <w:szCs w:val="20"/>
                </w:rPr>
                <w:t>Objectives</w:t>
              </w:r>
            </w:hyperlink>
            <w:r w:rsidRPr="00102DE2">
              <w:rPr>
                <w:rFonts w:ascii="Arial" w:hAnsi="Arial" w:cs="Arial"/>
                <w:sz w:val="20"/>
                <w:szCs w:val="20"/>
              </w:rPr>
              <w:t>.</w:t>
            </w:r>
            <w:r w:rsidR="00373FF7">
              <w:rPr>
                <w:rFonts w:ascii="Arial" w:hAnsi="Arial" w:cs="Arial"/>
                <w:sz w:val="20"/>
                <w:szCs w:val="20"/>
              </w:rPr>
              <w:t xml:space="preserve"> It is unclear whether this will have much of an impact on how POTWs are regulated.</w:t>
            </w:r>
          </w:p>
          <w:p w14:paraId="4B55448B" w14:textId="77777777" w:rsidR="00373FF7" w:rsidRPr="00373FF7" w:rsidRDefault="00373FF7" w:rsidP="00373FF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09"/>
              <w:contextualSpacing/>
              <w:rPr>
                <w:rFonts w:ascii="Arial" w:hAnsi="Arial" w:cs="Arial"/>
                <w:sz w:val="20"/>
                <w:szCs w:val="20"/>
              </w:rPr>
            </w:pPr>
            <w:r w:rsidRPr="00373FF7">
              <w:rPr>
                <w:rFonts w:ascii="Arial" w:hAnsi="Arial" w:cs="Arial"/>
                <w:sz w:val="20"/>
                <w:szCs w:val="20"/>
              </w:rPr>
              <w:t>ELAP workshop scheduled for August 3 in San Francisco</w:t>
            </w:r>
          </w:p>
          <w:p w14:paraId="08233C9D" w14:textId="5F26D42C" w:rsidR="00087D46" w:rsidRPr="00373FF7" w:rsidRDefault="007A31C5" w:rsidP="00373FF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09"/>
              <w:contextualSpacing/>
              <w:rPr>
                <w:rFonts w:ascii="Arial" w:hAnsi="Arial" w:cs="Arial"/>
              </w:rPr>
            </w:pPr>
            <w:hyperlink r:id="rId17" w:history="1">
              <w:r w:rsidR="00373FF7" w:rsidRPr="00373FF7">
                <w:rPr>
                  <w:rStyle w:val="Hyperlink"/>
                </w:rPr>
                <w:t>Dental Amalgam Rule finalized</w:t>
              </w:r>
            </w:hyperlink>
            <w:r w:rsidR="00373FF7" w:rsidRPr="00373FF7">
              <w:rPr>
                <w:rFonts w:ascii="Arial" w:hAnsi="Arial" w:cs="Arial"/>
                <w:sz w:val="20"/>
                <w:szCs w:val="20"/>
              </w:rPr>
              <w:t xml:space="preserve">. </w:t>
            </w:r>
            <w:r w:rsidR="00DD2D72" w:rsidRPr="00373FF7">
              <w:rPr>
                <w:rFonts w:ascii="Arial" w:hAnsi="Arial" w:cs="Arial"/>
                <w:sz w:val="20"/>
                <w:szCs w:val="20"/>
              </w:rPr>
              <w:t>POTWs will need to receive certification forms from dental facilities, but will not be responsible for enforcement.</w:t>
            </w:r>
          </w:p>
        </w:tc>
      </w:tr>
      <w:tr w:rsidR="004E0C68" w:rsidRPr="00102DE2"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3C7280D7" w:rsidR="004E0C68" w:rsidRPr="00102DE2" w:rsidRDefault="00962634" w:rsidP="00102DE2">
            <w:pPr>
              <w:pStyle w:val="Body"/>
              <w:spacing w:before="60"/>
              <w:rPr>
                <w:rFonts w:ascii="Arial" w:hAnsi="Arial" w:cs="Arial"/>
                <w:sz w:val="20"/>
                <w:szCs w:val="20"/>
              </w:rPr>
            </w:pPr>
            <w:r w:rsidRPr="00102DE2">
              <w:rPr>
                <w:rFonts w:ascii="Arial" w:hAnsi="Arial" w:cs="Arial"/>
                <w:b/>
                <w:bCs/>
                <w:sz w:val="20"/>
                <w:szCs w:val="20"/>
              </w:rPr>
              <w:t xml:space="preserve">Next BACWA Permits Committee Meeting:  </w:t>
            </w:r>
            <w:r w:rsidR="00CF4BA2" w:rsidRPr="00102DE2">
              <w:rPr>
                <w:rFonts w:ascii="Arial" w:hAnsi="Arial" w:cs="Arial"/>
                <w:sz w:val="20"/>
                <w:szCs w:val="20"/>
              </w:rPr>
              <w:t xml:space="preserve">Tuesday </w:t>
            </w:r>
            <w:r w:rsidR="00102DE2">
              <w:rPr>
                <w:rFonts w:ascii="Arial" w:hAnsi="Arial" w:cs="Arial"/>
                <w:sz w:val="20"/>
                <w:szCs w:val="20"/>
              </w:rPr>
              <w:t>August</w:t>
            </w:r>
            <w:r w:rsidR="00DD2D72">
              <w:rPr>
                <w:rFonts w:ascii="Arial" w:hAnsi="Arial" w:cs="Arial"/>
                <w:sz w:val="20"/>
                <w:szCs w:val="20"/>
              </w:rPr>
              <w:t xml:space="preserve"> 8 1-3pm</w:t>
            </w:r>
            <w:r w:rsidR="00307C64" w:rsidRPr="00102DE2">
              <w:rPr>
                <w:rFonts w:ascii="Arial" w:hAnsi="Arial" w:cs="Arial"/>
                <w:sz w:val="20"/>
                <w:szCs w:val="20"/>
              </w:rPr>
              <w:t xml:space="preserve">, </w:t>
            </w:r>
            <w:r w:rsidR="00CF4BA2" w:rsidRPr="00102DE2">
              <w:rPr>
                <w:rFonts w:ascii="Arial" w:hAnsi="Arial" w:cs="Arial"/>
                <w:sz w:val="20"/>
                <w:szCs w:val="20"/>
              </w:rPr>
              <w:t>EBMUD.</w:t>
            </w:r>
          </w:p>
        </w:tc>
      </w:tr>
    </w:tbl>
    <w:p w14:paraId="0BB1F764" w14:textId="77777777" w:rsidR="004E0C68" w:rsidRPr="00783C69" w:rsidRDefault="004E0C68" w:rsidP="008F6C8E">
      <w:pPr>
        <w:pStyle w:val="Body"/>
        <w:widowControl w:val="0"/>
        <w:rPr>
          <w:rFonts w:ascii="Arial" w:hAnsi="Arial" w:cs="Arial"/>
        </w:rPr>
      </w:pPr>
    </w:p>
    <w:sectPr w:rsidR="004E0C68" w:rsidRPr="00783C69">
      <w:headerReference w:type="default" r:id="rId18"/>
      <w:footerReference w:type="default" r:id="rId19"/>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BEBB3" w14:textId="77777777" w:rsidR="007A31C5" w:rsidRDefault="007A31C5">
      <w:r>
        <w:separator/>
      </w:r>
    </w:p>
  </w:endnote>
  <w:endnote w:type="continuationSeparator" w:id="0">
    <w:p w14:paraId="534109E2" w14:textId="77777777" w:rsidR="007A31C5" w:rsidRDefault="007A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3D23AF">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F3820" w14:textId="77777777" w:rsidR="007A31C5" w:rsidRDefault="007A31C5">
      <w:r>
        <w:separator/>
      </w:r>
    </w:p>
  </w:footnote>
  <w:footnote w:type="continuationSeparator" w:id="0">
    <w:p w14:paraId="45861FE2" w14:textId="77777777" w:rsidR="007A31C5" w:rsidRDefault="007A3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42081B"/>
    <w:multiLevelType w:val="hybridMultilevel"/>
    <w:tmpl w:val="9C341CAA"/>
    <w:lvl w:ilvl="0" w:tplc="14A2ED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F6638"/>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74E4"/>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28"/>
  </w:num>
  <w:num w:numId="3">
    <w:abstractNumId w:val="19"/>
  </w:num>
  <w:num w:numId="4">
    <w:abstractNumId w:val="24"/>
  </w:num>
  <w:num w:numId="5">
    <w:abstractNumId w:val="16"/>
  </w:num>
  <w:num w:numId="6">
    <w:abstractNumId w:val="21"/>
  </w:num>
  <w:num w:numId="7">
    <w:abstractNumId w:val="7"/>
  </w:num>
  <w:num w:numId="8">
    <w:abstractNumId w:val="14"/>
  </w:num>
  <w:num w:numId="9">
    <w:abstractNumId w:val="4"/>
  </w:num>
  <w:num w:numId="10">
    <w:abstractNumId w:val="0"/>
  </w:num>
  <w:num w:numId="11">
    <w:abstractNumId w:val="25"/>
  </w:num>
  <w:num w:numId="12">
    <w:abstractNumId w:val="23"/>
  </w:num>
  <w:num w:numId="13">
    <w:abstractNumId w:val="22"/>
  </w:num>
  <w:num w:numId="14">
    <w:abstractNumId w:val="8"/>
  </w:num>
  <w:num w:numId="15">
    <w:abstractNumId w:val="11"/>
  </w:num>
  <w:num w:numId="16">
    <w:abstractNumId w:val="5"/>
  </w:num>
  <w:num w:numId="17">
    <w:abstractNumId w:val="10"/>
  </w:num>
  <w:num w:numId="18">
    <w:abstractNumId w:val="15"/>
  </w:num>
  <w:num w:numId="19">
    <w:abstractNumId w:val="13"/>
  </w:num>
  <w:num w:numId="20">
    <w:abstractNumId w:val="12"/>
  </w:num>
  <w:num w:numId="21">
    <w:abstractNumId w:val="2"/>
  </w:num>
  <w:num w:numId="22">
    <w:abstractNumId w:val="3"/>
  </w:num>
  <w:num w:numId="23">
    <w:abstractNumId w:val="18"/>
  </w:num>
  <w:num w:numId="24">
    <w:abstractNumId w:val="26"/>
  </w:num>
  <w:num w:numId="25">
    <w:abstractNumId w:val="27"/>
  </w:num>
  <w:num w:numId="26">
    <w:abstractNumId w:val="20"/>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17984"/>
    <w:rsid w:val="0003018F"/>
    <w:rsid w:val="000360AB"/>
    <w:rsid w:val="00053986"/>
    <w:rsid w:val="00087D46"/>
    <w:rsid w:val="00096769"/>
    <w:rsid w:val="000D11FA"/>
    <w:rsid w:val="000E2975"/>
    <w:rsid w:val="00102DE2"/>
    <w:rsid w:val="00165FAB"/>
    <w:rsid w:val="00176F47"/>
    <w:rsid w:val="00197075"/>
    <w:rsid w:val="001C7A79"/>
    <w:rsid w:val="001E6ECF"/>
    <w:rsid w:val="001E7387"/>
    <w:rsid w:val="00205743"/>
    <w:rsid w:val="00214238"/>
    <w:rsid w:val="002424E8"/>
    <w:rsid w:val="00257E0B"/>
    <w:rsid w:val="002878F7"/>
    <w:rsid w:val="002B57DF"/>
    <w:rsid w:val="002C1B01"/>
    <w:rsid w:val="002D0C82"/>
    <w:rsid w:val="00306C2F"/>
    <w:rsid w:val="00307C64"/>
    <w:rsid w:val="003204B0"/>
    <w:rsid w:val="003608DE"/>
    <w:rsid w:val="00373FF7"/>
    <w:rsid w:val="003759B1"/>
    <w:rsid w:val="003A1F81"/>
    <w:rsid w:val="003A5F7F"/>
    <w:rsid w:val="003B2BFC"/>
    <w:rsid w:val="003D23AF"/>
    <w:rsid w:val="003F0E20"/>
    <w:rsid w:val="00462A61"/>
    <w:rsid w:val="004923A3"/>
    <w:rsid w:val="004A2985"/>
    <w:rsid w:val="004C3B18"/>
    <w:rsid w:val="004E0C68"/>
    <w:rsid w:val="004F21A8"/>
    <w:rsid w:val="0050329B"/>
    <w:rsid w:val="00534CC2"/>
    <w:rsid w:val="00550039"/>
    <w:rsid w:val="00556D48"/>
    <w:rsid w:val="005B1B11"/>
    <w:rsid w:val="00635329"/>
    <w:rsid w:val="006364F5"/>
    <w:rsid w:val="00654A4A"/>
    <w:rsid w:val="00685C0D"/>
    <w:rsid w:val="006C3057"/>
    <w:rsid w:val="006E4EE2"/>
    <w:rsid w:val="00740E24"/>
    <w:rsid w:val="00783C69"/>
    <w:rsid w:val="007859CF"/>
    <w:rsid w:val="00790CD7"/>
    <w:rsid w:val="007953B2"/>
    <w:rsid w:val="00796D12"/>
    <w:rsid w:val="007A31C5"/>
    <w:rsid w:val="007C109A"/>
    <w:rsid w:val="007F717B"/>
    <w:rsid w:val="00814E5A"/>
    <w:rsid w:val="00826CB2"/>
    <w:rsid w:val="008709AD"/>
    <w:rsid w:val="00875C98"/>
    <w:rsid w:val="008D1864"/>
    <w:rsid w:val="008F6C8E"/>
    <w:rsid w:val="00901432"/>
    <w:rsid w:val="00905D7C"/>
    <w:rsid w:val="009456FA"/>
    <w:rsid w:val="00960462"/>
    <w:rsid w:val="00962634"/>
    <w:rsid w:val="00972575"/>
    <w:rsid w:val="00990959"/>
    <w:rsid w:val="009C583E"/>
    <w:rsid w:val="009D644C"/>
    <w:rsid w:val="009F4716"/>
    <w:rsid w:val="009F55F0"/>
    <w:rsid w:val="00A24A0A"/>
    <w:rsid w:val="00A40CF0"/>
    <w:rsid w:val="00A7453F"/>
    <w:rsid w:val="00A8586B"/>
    <w:rsid w:val="00AB5AB5"/>
    <w:rsid w:val="00AC002C"/>
    <w:rsid w:val="00B06DB9"/>
    <w:rsid w:val="00B1648C"/>
    <w:rsid w:val="00B4092C"/>
    <w:rsid w:val="00B5757C"/>
    <w:rsid w:val="00BF7290"/>
    <w:rsid w:val="00C368A9"/>
    <w:rsid w:val="00C54EE7"/>
    <w:rsid w:val="00C753EB"/>
    <w:rsid w:val="00C96853"/>
    <w:rsid w:val="00CC12AC"/>
    <w:rsid w:val="00CD2F9B"/>
    <w:rsid w:val="00CE65C5"/>
    <w:rsid w:val="00CF4BA2"/>
    <w:rsid w:val="00D02669"/>
    <w:rsid w:val="00D1414E"/>
    <w:rsid w:val="00D1703E"/>
    <w:rsid w:val="00DA2465"/>
    <w:rsid w:val="00DD2D72"/>
    <w:rsid w:val="00DD5026"/>
    <w:rsid w:val="00DE6929"/>
    <w:rsid w:val="00DF3F80"/>
    <w:rsid w:val="00E54242"/>
    <w:rsid w:val="00E846B0"/>
    <w:rsid w:val="00E94A02"/>
    <w:rsid w:val="00EA2D59"/>
    <w:rsid w:val="00EB47D3"/>
    <w:rsid w:val="00F26376"/>
    <w:rsid w:val="00F31F43"/>
    <w:rsid w:val="00F53CB3"/>
    <w:rsid w:val="00F958E0"/>
    <w:rsid w:val="00FA09EC"/>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DBA6C40E-2882-47E9-B415-ED8FF562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740E24"/>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sid w:val="00740E24"/>
    <w:rPr>
      <w:rFonts w:ascii="Arial" w:eastAsia="Arial" w:hAnsi="Arial" w:cs="Arial"/>
      <w:b/>
      <w:bCs/>
      <w:color w:val="0070C0"/>
      <w:u w:val="single" w:color="0070C0"/>
      <w:shd w:val="clear" w:color="auto" w:fill="FFFFFF"/>
    </w:rPr>
  </w:style>
  <w:style w:type="character" w:customStyle="1" w:styleId="Hyperlink1">
    <w:name w:val="Hyperlink.1"/>
    <w:basedOn w:val="Hyperlink0"/>
    <w:rsid w:val="00740E24"/>
    <w:rPr>
      <w:rFonts w:ascii="Arial" w:eastAsia="Arial" w:hAnsi="Arial" w:cs="Arial"/>
      <w:b/>
      <w:bCs/>
      <w:color w:val="0070C0"/>
      <w:u w:val="single" w:color="0070C0"/>
      <w:shd w:val="clear" w:color="auto" w:fill="FFFFFF"/>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cwa.org/wp-content/uploads/2017/05/EPA-Grant-Sidestream-Nutrient-Removal-Study-Report-04282017.pdf" TargetMode="External"/><Relationship Id="rId13" Type="http://schemas.openxmlformats.org/officeDocument/2006/relationships/hyperlink" Target="https://bacwa.org/document/draft-toxicity-workshop-agenda-9-18-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cwa.org/wp-content/uploads/2016/06/BACWA_RFI_GAR_20170530.xlsx" TargetMode="External"/><Relationship Id="rId17" Type="http://schemas.openxmlformats.org/officeDocument/2006/relationships/hyperlink" Target="https://www.federalregister.gov/documents/2017/06/14/2017-12338/effluent-limitations-guidelines-and-standards-for-the-dental-category" TargetMode="External"/><Relationship Id="rId2" Type="http://schemas.openxmlformats.org/officeDocument/2006/relationships/numbering" Target="numbering.xml"/><Relationship Id="rId16" Type="http://schemas.openxmlformats.org/officeDocument/2006/relationships/hyperlink" Target="http://www.waterboards.ca.gov/water_issues/programs/mercury/docs/staff_report/hg_staff_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org/wp-content/uploads/2017/06/2017-Optimization-Upgrade-Status-July-12017.pdf" TargetMode="External"/><Relationship Id="rId5" Type="http://schemas.openxmlformats.org/officeDocument/2006/relationships/webSettings" Target="webSettings.xml"/><Relationship Id="rId15" Type="http://schemas.openxmlformats.org/officeDocument/2006/relationships/hyperlink" Target="mailto:SDeslauriers@carollo.com" TargetMode="External"/><Relationship Id="rId10" Type="http://schemas.openxmlformats.org/officeDocument/2006/relationships/hyperlink" Target="https://bacwa.org/document-category/optimization-and-upgrade-studies-workshop-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cwa.org/wp-content/uploads/2017/07/Nutrient-Trading-2017-Nutrient-Symposium.pdf" TargetMode="External"/><Relationship Id="rId14" Type="http://schemas.openxmlformats.org/officeDocument/2006/relationships/hyperlink" Target="https://bacwa.org/wp-content/uploads/2017/06/BAAQMD-Phase-II-letter.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E2B6-6724-4A7D-8D31-69261B15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2</cp:revision>
  <dcterms:created xsi:type="dcterms:W3CDTF">2017-07-19T16:11:00Z</dcterms:created>
  <dcterms:modified xsi:type="dcterms:W3CDTF">2017-07-19T16:11:00Z</dcterms:modified>
</cp:coreProperties>
</file>