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F91427"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F91427" w:rsidRDefault="00962634">
            <w:pPr>
              <w:pStyle w:val="CompanyName"/>
              <w:spacing w:line="240" w:lineRule="auto"/>
              <w:ind w:left="180"/>
              <w:rPr>
                <w:rFonts w:ascii="Arial" w:eastAsia="Arial" w:hAnsi="Arial" w:cs="Arial"/>
                <w:b w:val="0"/>
                <w:bCs w:val="0"/>
                <w:sz w:val="20"/>
                <w:szCs w:val="20"/>
              </w:rPr>
            </w:pPr>
            <w:r w:rsidRPr="00F91427">
              <w:rPr>
                <w:rFonts w:ascii="Arial" w:hAnsi="Arial" w:cs="Arial"/>
                <w:b w:val="0"/>
                <w:bCs w:val="0"/>
                <w:sz w:val="20"/>
                <w:szCs w:val="20"/>
              </w:rPr>
              <w:t xml:space="preserve">Permits Committee – </w:t>
            </w:r>
          </w:p>
          <w:p w14:paraId="097F237F" w14:textId="77777777" w:rsidR="004E0C68" w:rsidRPr="00F91427" w:rsidRDefault="00962634">
            <w:pPr>
              <w:pStyle w:val="CompanyName"/>
              <w:spacing w:line="240" w:lineRule="auto"/>
              <w:ind w:left="180"/>
              <w:rPr>
                <w:rFonts w:ascii="Arial" w:hAnsi="Arial" w:cs="Arial"/>
                <w:sz w:val="20"/>
                <w:szCs w:val="20"/>
              </w:rPr>
            </w:pPr>
            <w:r w:rsidRPr="00F91427">
              <w:rPr>
                <w:rFonts w:ascii="Arial" w:hAnsi="Arial" w:cs="Arial"/>
                <w:b w:val="0"/>
                <w:bCs w:val="0"/>
                <w:sz w:val="20"/>
                <w:szCs w:val="2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2704F669" w:rsidR="004E0C68" w:rsidRPr="00F91427" w:rsidRDefault="00962634">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Permits Committee Meetings on: </w:t>
            </w:r>
            <w:r w:rsidR="008003D5" w:rsidRPr="00F91427">
              <w:rPr>
                <w:rFonts w:ascii="Arial" w:hAnsi="Arial" w:cs="Arial"/>
                <w:sz w:val="20"/>
                <w:szCs w:val="20"/>
              </w:rPr>
              <w:t>9/12</w:t>
            </w:r>
            <w:r w:rsidR="0050329B" w:rsidRPr="00F91427">
              <w:rPr>
                <w:rFonts w:ascii="Arial" w:hAnsi="Arial" w:cs="Arial"/>
                <w:sz w:val="20"/>
                <w:szCs w:val="20"/>
              </w:rPr>
              <w:t>/17</w:t>
            </w:r>
            <w:r w:rsidR="008003D5" w:rsidRPr="00F91427">
              <w:rPr>
                <w:rFonts w:ascii="Arial" w:hAnsi="Arial" w:cs="Arial"/>
                <w:sz w:val="20"/>
                <w:szCs w:val="20"/>
              </w:rPr>
              <w:t>, 10/17/17, and 11/14/17</w:t>
            </w:r>
          </w:p>
          <w:p w14:paraId="1A33816B" w14:textId="07FA43BA" w:rsidR="004E0C68" w:rsidRPr="00F91427" w:rsidRDefault="0050329B">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Executive Board Meeting Date: </w:t>
            </w:r>
            <w:r w:rsidR="008003D5" w:rsidRPr="00F91427">
              <w:rPr>
                <w:rFonts w:ascii="Arial" w:hAnsi="Arial" w:cs="Arial"/>
                <w:sz w:val="20"/>
                <w:szCs w:val="20"/>
              </w:rPr>
              <w:t>11</w:t>
            </w:r>
            <w:r w:rsidR="00FE61F2" w:rsidRPr="00F91427">
              <w:rPr>
                <w:rFonts w:ascii="Arial" w:hAnsi="Arial" w:cs="Arial"/>
                <w:sz w:val="20"/>
                <w:szCs w:val="20"/>
              </w:rPr>
              <w:t>/1</w:t>
            </w:r>
            <w:r w:rsidR="008003D5" w:rsidRPr="00F91427">
              <w:rPr>
                <w:rFonts w:ascii="Arial" w:hAnsi="Arial" w:cs="Arial"/>
                <w:sz w:val="20"/>
                <w:szCs w:val="20"/>
              </w:rPr>
              <w:t>7</w:t>
            </w:r>
            <w:r w:rsidR="00962634" w:rsidRPr="00F91427">
              <w:rPr>
                <w:rFonts w:ascii="Arial" w:hAnsi="Arial" w:cs="Arial"/>
                <w:sz w:val="20"/>
                <w:szCs w:val="20"/>
              </w:rPr>
              <w:t>/1</w:t>
            </w:r>
            <w:r w:rsidRPr="00F91427">
              <w:rPr>
                <w:rFonts w:ascii="Arial" w:hAnsi="Arial" w:cs="Arial"/>
                <w:sz w:val="20"/>
                <w:szCs w:val="20"/>
              </w:rPr>
              <w:t>7</w:t>
            </w:r>
          </w:p>
          <w:p w14:paraId="44F8960D" w14:textId="4BC53D3E" w:rsidR="004E0C68" w:rsidRPr="00F91427" w:rsidRDefault="00373FF7">
            <w:pPr>
              <w:pStyle w:val="ReturnAddress"/>
              <w:spacing w:line="240" w:lineRule="auto"/>
              <w:ind w:left="180"/>
              <w:rPr>
                <w:rFonts w:ascii="Arial" w:hAnsi="Arial" w:cs="Arial"/>
                <w:sz w:val="20"/>
                <w:szCs w:val="20"/>
              </w:rPr>
            </w:pPr>
            <w:r w:rsidRPr="00F91427">
              <w:rPr>
                <w:rFonts w:ascii="Arial" w:hAnsi="Arial" w:cs="Arial"/>
                <w:sz w:val="20"/>
                <w:szCs w:val="20"/>
              </w:rPr>
              <w:t>Committee Chair:   Chris Dembiczak</w:t>
            </w:r>
          </w:p>
        </w:tc>
      </w:tr>
    </w:tbl>
    <w:p w14:paraId="38887590" w14:textId="77777777" w:rsidR="004E0C68" w:rsidRPr="00F91427" w:rsidRDefault="00962634" w:rsidP="00D1414E">
      <w:pPr>
        <w:pStyle w:val="Body"/>
        <w:spacing w:before="120" w:after="120"/>
        <w:ind w:left="180"/>
        <w:rPr>
          <w:rFonts w:ascii="Arial" w:eastAsia="Arial" w:hAnsi="Arial" w:cs="Arial"/>
          <w:b/>
          <w:bCs/>
          <w:sz w:val="20"/>
          <w:szCs w:val="20"/>
        </w:rPr>
      </w:pPr>
      <w:r w:rsidRPr="00F91427">
        <w:rPr>
          <w:rFonts w:ascii="Arial" w:hAnsi="Arial" w:cs="Arial"/>
          <w:b/>
          <w:bCs/>
          <w:sz w:val="20"/>
          <w:szCs w:val="20"/>
          <w:u w:val="single"/>
        </w:rPr>
        <w:t>Committee Request for Board Action</w:t>
      </w:r>
      <w:r w:rsidRPr="00F91427">
        <w:rPr>
          <w:rFonts w:ascii="Arial" w:hAnsi="Arial" w:cs="Arial"/>
          <w:b/>
          <w:bCs/>
          <w:sz w:val="20"/>
          <w:szCs w:val="20"/>
          <w:lang w:val="it-IT"/>
        </w:rPr>
        <w:t>: None</w:t>
      </w:r>
    </w:p>
    <w:p w14:paraId="6612F96A" w14:textId="3DE4356B" w:rsidR="009D644C" w:rsidRPr="00F91427" w:rsidRDefault="009D644C">
      <w:pPr>
        <w:pStyle w:val="Body"/>
        <w:ind w:left="187"/>
        <w:rPr>
          <w:rFonts w:ascii="Arial" w:hAnsi="Arial" w:cs="Arial"/>
          <w:b/>
          <w:bCs/>
          <w:sz w:val="20"/>
          <w:szCs w:val="20"/>
        </w:rPr>
      </w:pPr>
      <w:r w:rsidRPr="00F91427">
        <w:rPr>
          <w:rFonts w:ascii="Arial" w:hAnsi="Arial" w:cs="Arial"/>
          <w:b/>
          <w:bCs/>
          <w:sz w:val="20"/>
          <w:szCs w:val="20"/>
        </w:rPr>
        <w:t>Regional Water Board Staff in attendance</w:t>
      </w:r>
      <w:r w:rsidR="001E4183">
        <w:rPr>
          <w:rFonts w:ascii="Arial" w:hAnsi="Arial" w:cs="Arial"/>
          <w:b/>
          <w:bCs/>
          <w:sz w:val="20"/>
          <w:szCs w:val="20"/>
        </w:rPr>
        <w:t xml:space="preserve"> at November 14 meeting</w:t>
      </w:r>
    </w:p>
    <w:p w14:paraId="34BCA48B" w14:textId="77777777" w:rsidR="001E4183" w:rsidRDefault="001E4183" w:rsidP="0054110C">
      <w:pPr>
        <w:pStyle w:val="Body"/>
        <w:ind w:left="187"/>
        <w:rPr>
          <w:rFonts w:ascii="Arial" w:hAnsi="Arial" w:cs="Arial"/>
          <w:b/>
          <w:bCs/>
          <w:sz w:val="20"/>
          <w:szCs w:val="20"/>
        </w:rPr>
      </w:pPr>
      <w:r>
        <w:rPr>
          <w:rFonts w:ascii="Arial" w:hAnsi="Arial" w:cs="Arial"/>
          <w:b/>
          <w:bCs/>
          <w:sz w:val="20"/>
          <w:szCs w:val="20"/>
        </w:rPr>
        <w:t>27</w:t>
      </w:r>
      <w:r w:rsidRPr="00F91427">
        <w:rPr>
          <w:rFonts w:ascii="Arial" w:hAnsi="Arial" w:cs="Arial"/>
          <w:b/>
          <w:bCs/>
          <w:sz w:val="20"/>
          <w:szCs w:val="20"/>
        </w:rPr>
        <w:t xml:space="preserve"> Participants representing </w:t>
      </w:r>
      <w:r>
        <w:rPr>
          <w:rFonts w:ascii="Arial" w:hAnsi="Arial" w:cs="Arial"/>
          <w:b/>
          <w:bCs/>
          <w:sz w:val="20"/>
          <w:szCs w:val="20"/>
        </w:rPr>
        <w:t>16</w:t>
      </w:r>
      <w:r w:rsidRPr="00F91427">
        <w:rPr>
          <w:rFonts w:ascii="Arial" w:hAnsi="Arial" w:cs="Arial"/>
          <w:b/>
          <w:bCs/>
          <w:sz w:val="20"/>
          <w:szCs w:val="20"/>
        </w:rPr>
        <w:t xml:space="preserve"> member agencies</w:t>
      </w:r>
      <w:r>
        <w:rPr>
          <w:rFonts w:ascii="Arial" w:hAnsi="Arial" w:cs="Arial"/>
          <w:b/>
          <w:bCs/>
          <w:sz w:val="20"/>
          <w:szCs w:val="20"/>
        </w:rPr>
        <w:t xml:space="preserve"> at 9/12 meeting</w:t>
      </w:r>
    </w:p>
    <w:p w14:paraId="44012BB5" w14:textId="77777777" w:rsidR="001E4183" w:rsidRPr="00F91427" w:rsidRDefault="001E4183" w:rsidP="0054110C">
      <w:pPr>
        <w:pStyle w:val="Body"/>
        <w:ind w:left="187"/>
        <w:rPr>
          <w:rFonts w:ascii="Arial" w:eastAsia="Arial" w:hAnsi="Arial" w:cs="Arial"/>
          <w:b/>
          <w:bCs/>
          <w:sz w:val="20"/>
          <w:szCs w:val="20"/>
        </w:rPr>
      </w:pPr>
      <w:r>
        <w:rPr>
          <w:rFonts w:ascii="Arial" w:hAnsi="Arial" w:cs="Arial"/>
          <w:b/>
          <w:bCs/>
          <w:sz w:val="20"/>
          <w:szCs w:val="20"/>
        </w:rPr>
        <w:t>21</w:t>
      </w:r>
      <w:r w:rsidRPr="00F91427">
        <w:rPr>
          <w:rFonts w:ascii="Arial" w:hAnsi="Arial" w:cs="Arial"/>
          <w:b/>
          <w:bCs/>
          <w:sz w:val="20"/>
          <w:szCs w:val="20"/>
        </w:rPr>
        <w:t xml:space="preserve"> Participants representing </w:t>
      </w:r>
      <w:r>
        <w:rPr>
          <w:rFonts w:ascii="Arial" w:hAnsi="Arial" w:cs="Arial"/>
          <w:b/>
          <w:bCs/>
          <w:sz w:val="20"/>
          <w:szCs w:val="20"/>
        </w:rPr>
        <w:t>10</w:t>
      </w:r>
      <w:r w:rsidRPr="00F91427">
        <w:rPr>
          <w:rFonts w:ascii="Arial" w:hAnsi="Arial" w:cs="Arial"/>
          <w:b/>
          <w:bCs/>
          <w:sz w:val="20"/>
          <w:szCs w:val="20"/>
        </w:rPr>
        <w:t xml:space="preserve"> member agencies</w:t>
      </w:r>
      <w:r>
        <w:rPr>
          <w:rFonts w:ascii="Arial" w:hAnsi="Arial" w:cs="Arial"/>
          <w:b/>
          <w:bCs/>
          <w:sz w:val="20"/>
          <w:szCs w:val="20"/>
        </w:rPr>
        <w:t xml:space="preserve"> at 10/17 meeting</w:t>
      </w:r>
    </w:p>
    <w:p w14:paraId="7BF695F8" w14:textId="77777777" w:rsidR="001E4183" w:rsidRPr="00F91427" w:rsidRDefault="001E4183" w:rsidP="001E4183">
      <w:pPr>
        <w:pStyle w:val="Body"/>
        <w:ind w:left="187"/>
        <w:rPr>
          <w:rFonts w:ascii="Arial" w:eastAsia="Arial" w:hAnsi="Arial" w:cs="Arial"/>
          <w:b/>
          <w:bCs/>
          <w:sz w:val="20"/>
          <w:szCs w:val="20"/>
        </w:rPr>
      </w:pPr>
      <w:r>
        <w:rPr>
          <w:rFonts w:ascii="Arial" w:hAnsi="Arial" w:cs="Arial"/>
          <w:b/>
          <w:bCs/>
          <w:sz w:val="20"/>
          <w:szCs w:val="20"/>
        </w:rPr>
        <w:t>20</w:t>
      </w:r>
      <w:r w:rsidRPr="00F91427">
        <w:rPr>
          <w:rFonts w:ascii="Arial" w:hAnsi="Arial" w:cs="Arial"/>
          <w:b/>
          <w:bCs/>
          <w:sz w:val="20"/>
          <w:szCs w:val="20"/>
        </w:rPr>
        <w:t xml:space="preserve"> Participants representing </w:t>
      </w:r>
      <w:r>
        <w:rPr>
          <w:rFonts w:ascii="Arial" w:hAnsi="Arial" w:cs="Arial"/>
          <w:b/>
          <w:bCs/>
          <w:sz w:val="20"/>
          <w:szCs w:val="20"/>
        </w:rPr>
        <w:t>9</w:t>
      </w:r>
      <w:r w:rsidRPr="00F91427">
        <w:rPr>
          <w:rFonts w:ascii="Arial" w:hAnsi="Arial" w:cs="Arial"/>
          <w:b/>
          <w:bCs/>
          <w:sz w:val="20"/>
          <w:szCs w:val="20"/>
        </w:rPr>
        <w:t xml:space="preserve"> member agencies</w:t>
      </w:r>
      <w:r>
        <w:rPr>
          <w:rFonts w:ascii="Arial" w:hAnsi="Arial" w:cs="Arial"/>
          <w:b/>
          <w:bCs/>
          <w:sz w:val="20"/>
          <w:szCs w:val="20"/>
        </w:rPr>
        <w:t xml:space="preserve"> at 11/14 meeting</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F91427"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90A66" w14:textId="3AF21B71" w:rsidR="00DD5026" w:rsidRPr="00F91427" w:rsidRDefault="009D644C" w:rsidP="00DD5026">
            <w:pPr>
              <w:pStyle w:val="Body"/>
              <w:rPr>
                <w:rFonts w:ascii="Arial" w:hAnsi="Arial" w:cs="Arial"/>
                <w:b/>
                <w:bCs/>
                <w:sz w:val="20"/>
                <w:szCs w:val="20"/>
              </w:rPr>
            </w:pPr>
            <w:r w:rsidRPr="00F91427">
              <w:rPr>
                <w:rFonts w:ascii="Arial" w:hAnsi="Arial" w:cs="Arial"/>
                <w:b/>
                <w:bCs/>
                <w:sz w:val="20"/>
                <w:szCs w:val="20"/>
              </w:rPr>
              <w:t>Upcoming Permits</w:t>
            </w:r>
          </w:p>
          <w:p w14:paraId="0832DF4B" w14:textId="4C2EB612" w:rsidR="00FE61F2" w:rsidRPr="00F91427" w:rsidRDefault="00FE61F2" w:rsidP="008003D5">
            <w:pPr>
              <w:pStyle w:val="Body"/>
              <w:rPr>
                <w:rFonts w:ascii="Arial" w:eastAsia="Times New Roman" w:hAnsi="Arial" w:cs="Arial"/>
                <w:sz w:val="20"/>
                <w:szCs w:val="20"/>
                <w:bdr w:val="none" w:sz="0" w:space="0" w:color="auto"/>
              </w:rPr>
            </w:pPr>
            <w:r w:rsidRPr="00F91427">
              <w:rPr>
                <w:rFonts w:ascii="Arial" w:eastAsia="Times New Roman" w:hAnsi="Arial" w:cs="Arial"/>
                <w:b/>
                <w:i/>
                <w:sz w:val="20"/>
                <w:szCs w:val="20"/>
                <w:bdr w:val="none" w:sz="0" w:space="0" w:color="auto"/>
              </w:rPr>
              <w:t xml:space="preserve">November – </w:t>
            </w:r>
            <w:r w:rsidRPr="00F91427">
              <w:rPr>
                <w:rFonts w:ascii="Arial" w:eastAsia="Times New Roman" w:hAnsi="Arial" w:cs="Arial"/>
                <w:i/>
                <w:sz w:val="20"/>
                <w:szCs w:val="20"/>
                <w:bdr w:val="none" w:sz="0" w:space="0" w:color="auto"/>
              </w:rPr>
              <w:t xml:space="preserve">Sewer Authority </w:t>
            </w:r>
            <w:proofErr w:type="spellStart"/>
            <w:r w:rsidRPr="00F91427">
              <w:rPr>
                <w:rFonts w:ascii="Arial" w:eastAsia="Times New Roman" w:hAnsi="Arial" w:cs="Arial"/>
                <w:i/>
                <w:sz w:val="20"/>
                <w:szCs w:val="20"/>
                <w:bdr w:val="none" w:sz="0" w:space="0" w:color="auto"/>
              </w:rPr>
              <w:t>Midcoastside</w:t>
            </w:r>
            <w:proofErr w:type="spellEnd"/>
            <w:r w:rsidRPr="00F91427">
              <w:rPr>
                <w:rFonts w:ascii="Arial" w:eastAsia="Times New Roman" w:hAnsi="Arial" w:cs="Arial"/>
                <w:i/>
                <w:sz w:val="20"/>
                <w:szCs w:val="20"/>
                <w:bdr w:val="none" w:sz="0" w:space="0" w:color="auto"/>
              </w:rPr>
              <w:t xml:space="preserve"> – </w:t>
            </w:r>
            <w:r w:rsidR="008003D5" w:rsidRPr="00F91427">
              <w:rPr>
                <w:rFonts w:ascii="Arial" w:eastAsia="Times New Roman" w:hAnsi="Arial" w:cs="Arial"/>
                <w:sz w:val="20"/>
                <w:szCs w:val="20"/>
                <w:bdr w:val="none" w:sz="0" w:space="0" w:color="auto"/>
              </w:rPr>
              <w:t>Very conservative assumptions were used in assigning dilution credit.</w:t>
            </w:r>
          </w:p>
          <w:p w14:paraId="6E0E50B7" w14:textId="18385F60" w:rsidR="008003D5" w:rsidRPr="00F91427" w:rsidRDefault="008003D5" w:rsidP="008003D5">
            <w:pPr>
              <w:pStyle w:val="Body"/>
              <w:rPr>
                <w:rFonts w:ascii="Arial" w:eastAsia="Times New Roman" w:hAnsi="Arial" w:cs="Arial"/>
                <w:sz w:val="20"/>
                <w:szCs w:val="20"/>
                <w:bdr w:val="none" w:sz="0" w:space="0" w:color="auto"/>
              </w:rPr>
            </w:pPr>
            <w:r w:rsidRPr="00F91427">
              <w:rPr>
                <w:rFonts w:ascii="Arial" w:eastAsia="Times New Roman" w:hAnsi="Arial" w:cs="Arial"/>
                <w:b/>
                <w:i/>
                <w:sz w:val="20"/>
                <w:szCs w:val="20"/>
                <w:bdr w:val="none" w:sz="0" w:space="0" w:color="auto"/>
              </w:rPr>
              <w:t xml:space="preserve">December – </w:t>
            </w:r>
            <w:r w:rsidRPr="00F91427">
              <w:rPr>
                <w:rFonts w:ascii="Arial" w:eastAsia="Times New Roman" w:hAnsi="Arial" w:cs="Arial"/>
                <w:i/>
                <w:sz w:val="20"/>
                <w:szCs w:val="20"/>
                <w:bdr w:val="none" w:sz="0" w:space="0" w:color="auto"/>
              </w:rPr>
              <w:t xml:space="preserve">CMSA – </w:t>
            </w:r>
            <w:r w:rsidRPr="00F91427">
              <w:rPr>
                <w:rFonts w:ascii="Arial" w:eastAsia="Times New Roman" w:hAnsi="Arial" w:cs="Arial"/>
                <w:sz w:val="20"/>
                <w:szCs w:val="20"/>
                <w:bdr w:val="none" w:sz="0" w:space="0" w:color="auto"/>
              </w:rPr>
              <w:t xml:space="preserve">Satellite agencies that are not owned by CMSA, but form its JPA were included in its Tentative Order for the first time.  BACWA submitted </w:t>
            </w:r>
            <w:hyperlink r:id="rId8" w:history="1">
              <w:r w:rsidRPr="00153907">
                <w:rPr>
                  <w:rStyle w:val="Hyperlink"/>
                </w:rPr>
                <w:t>comments</w:t>
              </w:r>
            </w:hyperlink>
            <w:r w:rsidRPr="00F91427">
              <w:rPr>
                <w:rFonts w:ascii="Arial" w:eastAsia="Times New Roman" w:hAnsi="Arial" w:cs="Arial"/>
                <w:sz w:val="20"/>
                <w:szCs w:val="20"/>
                <w:bdr w:val="none" w:sz="0" w:space="0" w:color="auto"/>
              </w:rPr>
              <w:t xml:space="preserve"> recommending that the Regional Water Board instead use a supplemental WDR as its permitting vehicle. The Regional Water Board does not intend to change their approach.</w:t>
            </w:r>
          </w:p>
          <w:p w14:paraId="0568EADA" w14:textId="031E72A3" w:rsidR="008003D5" w:rsidRPr="00F91427" w:rsidRDefault="008003D5" w:rsidP="008003D5">
            <w:pPr>
              <w:pStyle w:val="Body"/>
              <w:rPr>
                <w:rFonts w:ascii="Arial" w:eastAsia="Times New Roman" w:hAnsi="Arial" w:cs="Arial"/>
                <w:sz w:val="20"/>
                <w:szCs w:val="20"/>
                <w:bdr w:val="none" w:sz="0" w:space="0" w:color="auto"/>
              </w:rPr>
            </w:pPr>
            <w:r w:rsidRPr="00F91427">
              <w:rPr>
                <w:rFonts w:ascii="Arial" w:eastAsia="Times New Roman" w:hAnsi="Arial" w:cs="Arial"/>
                <w:b/>
                <w:i/>
                <w:sz w:val="20"/>
                <w:szCs w:val="20"/>
                <w:bdr w:val="none" w:sz="0" w:space="0" w:color="auto"/>
              </w:rPr>
              <w:t>January</w:t>
            </w:r>
            <w:r w:rsidRPr="00F91427">
              <w:rPr>
                <w:rFonts w:ascii="Arial" w:eastAsia="Times New Roman" w:hAnsi="Arial" w:cs="Arial"/>
                <w:i/>
                <w:sz w:val="20"/>
                <w:szCs w:val="20"/>
                <w:bdr w:val="none" w:sz="0" w:space="0" w:color="auto"/>
              </w:rPr>
              <w:t xml:space="preserve"> – Oro Loma – </w:t>
            </w:r>
            <w:r w:rsidRPr="00F91427">
              <w:rPr>
                <w:rFonts w:ascii="Arial" w:eastAsia="Times New Roman" w:hAnsi="Arial" w:cs="Arial"/>
                <w:sz w:val="20"/>
                <w:szCs w:val="20"/>
                <w:bdr w:val="none" w:sz="0" w:space="0" w:color="auto"/>
              </w:rPr>
              <w:t xml:space="preserve">EBDA charges agencies based on capacity reserved for their flow.  </w:t>
            </w:r>
            <w:r w:rsidR="00153907">
              <w:rPr>
                <w:rFonts w:ascii="Arial" w:eastAsia="Times New Roman" w:hAnsi="Arial" w:cs="Arial"/>
                <w:sz w:val="20"/>
                <w:szCs w:val="20"/>
                <w:bdr w:val="none" w:sz="0" w:space="0" w:color="auto"/>
              </w:rPr>
              <w:t>Oro Loma is</w:t>
            </w:r>
            <w:r w:rsidRPr="00F91427">
              <w:rPr>
                <w:rFonts w:ascii="Arial" w:eastAsia="Times New Roman" w:hAnsi="Arial" w:cs="Arial"/>
                <w:sz w:val="20"/>
                <w:szCs w:val="20"/>
                <w:bdr w:val="none" w:sz="0" w:space="0" w:color="auto"/>
              </w:rPr>
              <w:t xml:space="preserve"> going to get a separate permit for a near shore discharge that will accept flows above 100 </w:t>
            </w:r>
            <w:proofErr w:type="spellStart"/>
            <w:r w:rsidRPr="00F91427">
              <w:rPr>
                <w:rFonts w:ascii="Arial" w:eastAsia="Times New Roman" w:hAnsi="Arial" w:cs="Arial"/>
                <w:sz w:val="20"/>
                <w:szCs w:val="20"/>
                <w:bdr w:val="none" w:sz="0" w:space="0" w:color="auto"/>
              </w:rPr>
              <w:t>mgd</w:t>
            </w:r>
            <w:proofErr w:type="spellEnd"/>
            <w:r w:rsidRPr="00F91427">
              <w:rPr>
                <w:rFonts w:ascii="Arial" w:eastAsia="Times New Roman" w:hAnsi="Arial" w:cs="Arial"/>
                <w:sz w:val="20"/>
                <w:szCs w:val="20"/>
                <w:bdr w:val="none" w:sz="0" w:space="0" w:color="auto"/>
              </w:rPr>
              <w:t>, and will be required to reduce their ammonia concentrations.</w:t>
            </w:r>
          </w:p>
          <w:p w14:paraId="50DFF620" w14:textId="4220769C" w:rsidR="008003D5" w:rsidRPr="00F91427" w:rsidRDefault="008003D5" w:rsidP="008003D5">
            <w:pPr>
              <w:pStyle w:val="Body"/>
              <w:rPr>
                <w:rFonts w:ascii="Arial" w:eastAsia="Times New Roman" w:hAnsi="Arial" w:cs="Arial"/>
                <w:sz w:val="20"/>
                <w:szCs w:val="20"/>
                <w:bdr w:val="none" w:sz="0" w:space="0" w:color="auto"/>
              </w:rPr>
            </w:pPr>
            <w:r w:rsidRPr="00F91427">
              <w:rPr>
                <w:rFonts w:ascii="Arial" w:eastAsia="Times New Roman" w:hAnsi="Arial" w:cs="Arial"/>
                <w:b/>
                <w:i/>
                <w:sz w:val="20"/>
                <w:szCs w:val="20"/>
                <w:bdr w:val="none" w:sz="0" w:space="0" w:color="auto"/>
              </w:rPr>
              <w:t>February</w:t>
            </w:r>
            <w:r w:rsidRPr="00F91427">
              <w:rPr>
                <w:rFonts w:ascii="Arial" w:eastAsia="Times New Roman" w:hAnsi="Arial" w:cs="Arial"/>
                <w:sz w:val="20"/>
                <w:szCs w:val="20"/>
                <w:bdr w:val="none" w:sz="0" w:space="0" w:color="auto"/>
              </w:rPr>
              <w:t xml:space="preserve"> – </w:t>
            </w:r>
            <w:r w:rsidRPr="00F91427">
              <w:rPr>
                <w:rFonts w:ascii="Arial" w:eastAsia="Times New Roman" w:hAnsi="Arial" w:cs="Arial"/>
                <w:i/>
                <w:sz w:val="20"/>
                <w:szCs w:val="20"/>
                <w:bdr w:val="none" w:sz="0" w:space="0" w:color="auto"/>
              </w:rPr>
              <w:t>Pinole</w:t>
            </w:r>
            <w:r w:rsidRPr="00F91427">
              <w:rPr>
                <w:rFonts w:ascii="Arial" w:eastAsia="Times New Roman" w:hAnsi="Arial" w:cs="Arial"/>
                <w:sz w:val="20"/>
                <w:szCs w:val="20"/>
                <w:bdr w:val="none" w:sz="0" w:space="0" w:color="auto"/>
              </w:rPr>
              <w:t xml:space="preserve"> – In the middle of a plant upgrade</w:t>
            </w:r>
            <w:r w:rsidR="00153907">
              <w:rPr>
                <w:rFonts w:ascii="Arial" w:eastAsia="Times New Roman" w:hAnsi="Arial" w:cs="Arial"/>
                <w:sz w:val="20"/>
                <w:szCs w:val="20"/>
                <w:bdr w:val="none" w:sz="0" w:space="0" w:color="auto"/>
              </w:rPr>
              <w:t>.</w:t>
            </w:r>
          </w:p>
          <w:p w14:paraId="3A166F22" w14:textId="76818151" w:rsidR="008003D5" w:rsidRPr="00F91427" w:rsidRDefault="008003D5" w:rsidP="008003D5">
            <w:pPr>
              <w:pStyle w:val="Body"/>
              <w:rPr>
                <w:rFonts w:ascii="Arial" w:eastAsia="Times New Roman" w:hAnsi="Arial" w:cs="Arial"/>
                <w:sz w:val="20"/>
                <w:szCs w:val="20"/>
                <w:bdr w:val="none" w:sz="0" w:space="0" w:color="auto"/>
              </w:rPr>
            </w:pPr>
            <w:r w:rsidRPr="001E4183">
              <w:rPr>
                <w:rFonts w:ascii="Arial" w:eastAsia="Times New Roman" w:hAnsi="Arial" w:cs="Arial"/>
                <w:i/>
                <w:sz w:val="20"/>
                <w:szCs w:val="20"/>
                <w:bdr w:val="none" w:sz="0" w:space="0" w:color="auto"/>
              </w:rPr>
              <w:t xml:space="preserve">Silicon Valley Clean Water </w:t>
            </w:r>
            <w:r w:rsidRPr="00F91427">
              <w:rPr>
                <w:rFonts w:ascii="Arial" w:eastAsia="Times New Roman" w:hAnsi="Arial" w:cs="Arial"/>
                <w:b/>
                <w:i/>
                <w:sz w:val="20"/>
                <w:szCs w:val="20"/>
                <w:bdr w:val="none" w:sz="0" w:space="0" w:color="auto"/>
              </w:rPr>
              <w:t xml:space="preserve">– </w:t>
            </w:r>
            <w:r w:rsidRPr="00F91427">
              <w:rPr>
                <w:rFonts w:ascii="Arial" w:eastAsia="Times New Roman" w:hAnsi="Arial" w:cs="Arial"/>
                <w:sz w:val="20"/>
                <w:szCs w:val="20"/>
                <w:bdr w:val="none" w:sz="0" w:space="0" w:color="auto"/>
              </w:rPr>
              <w:t>No issues.</w:t>
            </w:r>
          </w:p>
        </w:tc>
      </w:tr>
      <w:tr w:rsidR="008E5D11" w:rsidRPr="00F91427" w14:paraId="55B8AFA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69C04" w14:textId="2F0C07D7" w:rsidR="008E5D11" w:rsidRPr="00F91427" w:rsidRDefault="008E5D11" w:rsidP="00DD5026">
            <w:pPr>
              <w:pStyle w:val="Body"/>
              <w:rPr>
                <w:rFonts w:ascii="Arial" w:hAnsi="Arial" w:cs="Arial"/>
                <w:b/>
                <w:bCs/>
                <w:sz w:val="20"/>
                <w:szCs w:val="20"/>
              </w:rPr>
            </w:pPr>
            <w:r w:rsidRPr="00F91427">
              <w:rPr>
                <w:rFonts w:ascii="Arial" w:hAnsi="Arial" w:cs="Arial"/>
                <w:b/>
                <w:bCs/>
                <w:sz w:val="20"/>
                <w:szCs w:val="20"/>
              </w:rPr>
              <w:t>Regional Water Board Report-out</w:t>
            </w:r>
          </w:p>
          <w:p w14:paraId="4785090A" w14:textId="72731CA2" w:rsidR="008E5D11" w:rsidRPr="00F91427" w:rsidRDefault="008E5D11" w:rsidP="00DD5026">
            <w:pPr>
              <w:pStyle w:val="Body"/>
              <w:rPr>
                <w:rFonts w:ascii="Arial" w:hAnsi="Arial" w:cs="Arial"/>
                <w:bCs/>
                <w:sz w:val="20"/>
                <w:szCs w:val="20"/>
              </w:rPr>
            </w:pPr>
            <w:r w:rsidRPr="00F91427">
              <w:rPr>
                <w:rFonts w:ascii="Arial" w:hAnsi="Arial" w:cs="Arial"/>
                <w:bCs/>
                <w:sz w:val="20"/>
                <w:szCs w:val="20"/>
              </w:rPr>
              <w:t xml:space="preserve">Regional Water Board staff provided a </w:t>
            </w:r>
            <w:hyperlink r:id="rId9" w:history="1">
              <w:r w:rsidRPr="00153907">
                <w:rPr>
                  <w:rStyle w:val="Hyperlink0"/>
                </w:rPr>
                <w:t>summary of priorities</w:t>
              </w:r>
            </w:hyperlink>
            <w:r w:rsidRPr="00F91427">
              <w:rPr>
                <w:rFonts w:ascii="Arial" w:hAnsi="Arial" w:cs="Arial"/>
                <w:bCs/>
                <w:sz w:val="20"/>
                <w:szCs w:val="20"/>
              </w:rPr>
              <w:t xml:space="preserve"> for the NPDES division over the coming year.  The priories are keeping the permitting backlog low, reducing SSOs and the nutrient optimization/upgrade studies.  The Water Board members have been asking questions about coastal erosion and sea level rise, and how to incorporate </w:t>
            </w:r>
            <w:r w:rsidR="00153907">
              <w:rPr>
                <w:rFonts w:ascii="Arial" w:hAnsi="Arial" w:cs="Arial"/>
                <w:bCs/>
                <w:sz w:val="20"/>
                <w:szCs w:val="20"/>
              </w:rPr>
              <w:t xml:space="preserve">these issues </w:t>
            </w:r>
            <w:r w:rsidRPr="00F91427">
              <w:rPr>
                <w:rFonts w:ascii="Arial" w:hAnsi="Arial" w:cs="Arial"/>
                <w:bCs/>
                <w:sz w:val="20"/>
                <w:szCs w:val="20"/>
              </w:rPr>
              <w:t>into permits.</w:t>
            </w:r>
          </w:p>
        </w:tc>
      </w:tr>
      <w:tr w:rsidR="001E7387" w:rsidRPr="00F91427"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62FEBE62" w:rsidR="001E7387" w:rsidRPr="00F91427" w:rsidRDefault="00FE61F2" w:rsidP="00DD5026">
            <w:pPr>
              <w:pStyle w:val="Body"/>
              <w:rPr>
                <w:rFonts w:ascii="Arial" w:hAnsi="Arial" w:cs="Arial"/>
                <w:b/>
                <w:bCs/>
                <w:sz w:val="20"/>
                <w:szCs w:val="20"/>
              </w:rPr>
            </w:pPr>
            <w:r w:rsidRPr="00F91427">
              <w:rPr>
                <w:rFonts w:ascii="Arial" w:hAnsi="Arial" w:cs="Arial"/>
                <w:b/>
                <w:bCs/>
                <w:sz w:val="20"/>
                <w:szCs w:val="20"/>
              </w:rPr>
              <w:t>Mercury/PCB Watershed Permit</w:t>
            </w:r>
          </w:p>
          <w:p w14:paraId="55B0EA70" w14:textId="45AFA723" w:rsidR="004A2985" w:rsidRPr="00F91427" w:rsidRDefault="008003D5" w:rsidP="00153907">
            <w:pPr>
              <w:spacing w:after="160" w:line="259" w:lineRule="auto"/>
              <w:rPr>
                <w:rFonts w:ascii="Arial" w:hAnsi="Arial" w:cs="Arial"/>
                <w:sz w:val="20"/>
                <w:szCs w:val="20"/>
              </w:rPr>
            </w:pPr>
            <w:r w:rsidRPr="00F91427">
              <w:rPr>
                <w:rFonts w:ascii="Arial" w:hAnsi="Arial" w:cs="Arial"/>
                <w:sz w:val="20"/>
                <w:szCs w:val="20"/>
              </w:rPr>
              <w:t xml:space="preserve">The Regional Water </w:t>
            </w:r>
            <w:r w:rsidR="008E5D11" w:rsidRPr="00F91427">
              <w:rPr>
                <w:rFonts w:ascii="Arial" w:hAnsi="Arial" w:cs="Arial"/>
                <w:sz w:val="20"/>
                <w:szCs w:val="20"/>
              </w:rPr>
              <w:t>Board adopted</w:t>
            </w:r>
            <w:r w:rsidRPr="00F91427">
              <w:rPr>
                <w:rFonts w:ascii="Arial" w:hAnsi="Arial" w:cs="Arial"/>
                <w:sz w:val="20"/>
                <w:szCs w:val="20"/>
              </w:rPr>
              <w:t xml:space="preserve"> Mercury and PCB Watershed permit</w:t>
            </w:r>
            <w:r w:rsidR="008E5D11" w:rsidRPr="00F91427">
              <w:rPr>
                <w:rFonts w:ascii="Arial" w:hAnsi="Arial" w:cs="Arial"/>
                <w:sz w:val="20"/>
                <w:szCs w:val="20"/>
              </w:rPr>
              <w:t xml:space="preserve"> on Nov 8</w:t>
            </w:r>
            <w:r w:rsidRPr="00F91427">
              <w:rPr>
                <w:rFonts w:ascii="Arial" w:hAnsi="Arial" w:cs="Arial"/>
                <w:sz w:val="20"/>
                <w:szCs w:val="20"/>
              </w:rPr>
              <w:t xml:space="preserve">. The </w:t>
            </w:r>
            <w:r w:rsidR="008E5D11" w:rsidRPr="00F91427">
              <w:rPr>
                <w:rFonts w:ascii="Arial" w:hAnsi="Arial" w:cs="Arial"/>
                <w:sz w:val="20"/>
                <w:szCs w:val="20"/>
              </w:rPr>
              <w:t>Permit</w:t>
            </w:r>
            <w:r w:rsidRPr="00F91427">
              <w:rPr>
                <w:rFonts w:ascii="Arial" w:hAnsi="Arial" w:cs="Arial"/>
                <w:sz w:val="20"/>
                <w:szCs w:val="20"/>
              </w:rPr>
              <w:t xml:space="preserve"> is substantially the same as the </w:t>
            </w:r>
            <w:hyperlink r:id="rId10" w:tgtFrame="_blank" w:history="1">
              <w:r w:rsidRPr="00F91427">
                <w:rPr>
                  <w:rStyle w:val="Hyperlink"/>
                  <w:rFonts w:eastAsia="Arial Unicode MS"/>
                  <w:shd w:val="clear" w:color="auto" w:fill="auto"/>
                </w:rPr>
                <w:t>2012 Watershed Permit</w:t>
              </w:r>
            </w:hyperlink>
            <w:r w:rsidRPr="00F91427">
              <w:rPr>
                <w:rFonts w:ascii="Arial" w:hAnsi="Arial" w:cs="Arial"/>
                <w:sz w:val="20"/>
                <w:szCs w:val="20"/>
              </w:rPr>
              <w:t xml:space="preserve">, including retaining the risk reduction requirement that has been fulfilled by BACWA over the last two permit cycles. </w:t>
            </w:r>
            <w:r w:rsidR="008E5D11" w:rsidRPr="00F91427">
              <w:rPr>
                <w:rFonts w:ascii="Arial" w:hAnsi="Arial" w:cs="Arial"/>
                <w:sz w:val="20"/>
                <w:szCs w:val="20"/>
              </w:rPr>
              <w:t>It</w:t>
            </w:r>
            <w:r w:rsidRPr="00F91427">
              <w:rPr>
                <w:rFonts w:ascii="Arial" w:hAnsi="Arial" w:cs="Arial"/>
                <w:sz w:val="20"/>
                <w:szCs w:val="20"/>
              </w:rPr>
              <w:t xml:space="preserve"> includes a reduction in PCB congener monitoring frequency via Method 1668C for most dischargers with a permitted capacity of less than 50 MGD. BACWA provided </w:t>
            </w:r>
            <w:hyperlink r:id="rId11" w:tgtFrame="_blank" w:history="1">
              <w:r w:rsidRPr="00F91427">
                <w:rPr>
                  <w:rStyle w:val="Hyperlink"/>
                  <w:rFonts w:eastAsia="Arial Unicode MS"/>
                  <w:shd w:val="clear" w:color="auto" w:fill="auto"/>
                </w:rPr>
                <w:t>comments</w:t>
              </w:r>
            </w:hyperlink>
            <w:r w:rsidRPr="00F91427">
              <w:rPr>
                <w:rFonts w:ascii="Arial" w:hAnsi="Arial" w:cs="Arial"/>
                <w:sz w:val="20"/>
                <w:szCs w:val="20"/>
              </w:rPr>
              <w:t> describing members' efforts to reduce mercury discharges, recommending that monitoring reduction continue in the next permit reissuance once the Water Board has a more extensive data set, and suggesting that risk reduction funds would be better leveraged by participating in a Statewide risk reduction program, rather by than managing our own program.  The comment letter also included suggestions for minor clarifications and cor</w:t>
            </w:r>
            <w:r w:rsidR="008E5D11" w:rsidRPr="00F91427">
              <w:rPr>
                <w:rFonts w:ascii="Arial" w:hAnsi="Arial" w:cs="Arial"/>
                <w:sz w:val="20"/>
                <w:szCs w:val="20"/>
              </w:rPr>
              <w:t xml:space="preserve">rections, most of which the Regional Water </w:t>
            </w:r>
            <w:r w:rsidR="00153907">
              <w:rPr>
                <w:rFonts w:ascii="Arial" w:hAnsi="Arial" w:cs="Arial"/>
                <w:sz w:val="20"/>
                <w:szCs w:val="20"/>
              </w:rPr>
              <w:t>Board incorporate</w:t>
            </w:r>
            <w:r w:rsidR="008E5D11" w:rsidRPr="00F91427">
              <w:rPr>
                <w:rFonts w:ascii="Arial" w:hAnsi="Arial" w:cs="Arial"/>
                <w:sz w:val="20"/>
                <w:szCs w:val="20"/>
              </w:rPr>
              <w:t>d into the final Permit.</w:t>
            </w:r>
            <w:r w:rsidR="00E6648C">
              <w:rPr>
                <w:rFonts w:ascii="Arial" w:hAnsi="Arial" w:cs="Arial"/>
                <w:sz w:val="20"/>
                <w:szCs w:val="20"/>
              </w:rPr>
              <w:t xml:space="preserve">  The permit goes i</w:t>
            </w:r>
            <w:bookmarkStart w:id="0" w:name="_GoBack"/>
            <w:bookmarkEnd w:id="0"/>
            <w:r w:rsidR="00E6648C">
              <w:rPr>
                <w:rFonts w:ascii="Arial" w:hAnsi="Arial" w:cs="Arial"/>
                <w:sz w:val="20"/>
                <w:szCs w:val="20"/>
              </w:rPr>
              <w:t>nto effect on January 1, 2018.</w:t>
            </w:r>
          </w:p>
        </w:tc>
      </w:tr>
      <w:tr w:rsidR="008E5D11" w:rsidRPr="00F91427" w14:paraId="20B542B5"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E0827" w14:textId="77777777" w:rsidR="008E5D11" w:rsidRPr="00F91427" w:rsidRDefault="008E5D11" w:rsidP="00DD5026">
            <w:pPr>
              <w:pStyle w:val="Body"/>
              <w:rPr>
                <w:rFonts w:ascii="Arial" w:hAnsi="Arial" w:cs="Arial"/>
                <w:b/>
                <w:bCs/>
                <w:sz w:val="20"/>
                <w:szCs w:val="20"/>
              </w:rPr>
            </w:pPr>
            <w:r w:rsidRPr="00F91427">
              <w:rPr>
                <w:rFonts w:ascii="Arial" w:hAnsi="Arial" w:cs="Arial"/>
                <w:b/>
                <w:bCs/>
                <w:sz w:val="20"/>
                <w:szCs w:val="20"/>
              </w:rPr>
              <w:t>NPDES Permit Amendments</w:t>
            </w:r>
          </w:p>
          <w:p w14:paraId="015E7B85" w14:textId="048A8EA9" w:rsidR="008E5D11" w:rsidRPr="00F91427" w:rsidRDefault="008E5D11" w:rsidP="00E6648C">
            <w:pPr>
              <w:pStyle w:val="Body"/>
              <w:rPr>
                <w:rFonts w:ascii="Arial" w:hAnsi="Arial" w:cs="Arial"/>
                <w:bCs/>
                <w:sz w:val="20"/>
                <w:szCs w:val="20"/>
              </w:rPr>
            </w:pPr>
            <w:r w:rsidRPr="00F91427">
              <w:rPr>
                <w:rFonts w:ascii="Arial" w:hAnsi="Arial" w:cs="Arial"/>
                <w:bCs/>
                <w:sz w:val="20"/>
                <w:szCs w:val="20"/>
              </w:rPr>
              <w:t xml:space="preserve">The Regional Water Board adopted revisions to Attachment G in the Region's NPDES permits for municipal wastewater dischargers and </w:t>
            </w:r>
            <w:r w:rsidR="00E6648C" w:rsidRPr="00F91427">
              <w:rPr>
                <w:rFonts w:ascii="Arial" w:hAnsi="Arial" w:cs="Arial"/>
                <w:bCs/>
                <w:sz w:val="20"/>
                <w:szCs w:val="20"/>
              </w:rPr>
              <w:t>mov</w:t>
            </w:r>
            <w:r w:rsidR="00E6648C">
              <w:rPr>
                <w:rFonts w:ascii="Arial" w:hAnsi="Arial" w:cs="Arial"/>
                <w:bCs/>
                <w:sz w:val="20"/>
                <w:szCs w:val="20"/>
              </w:rPr>
              <w:t>ed</w:t>
            </w:r>
            <w:r w:rsidR="00E6648C" w:rsidRPr="00F91427">
              <w:rPr>
                <w:rFonts w:ascii="Arial" w:hAnsi="Arial" w:cs="Arial"/>
                <w:bCs/>
                <w:sz w:val="20"/>
                <w:szCs w:val="20"/>
              </w:rPr>
              <w:t xml:space="preserve"> </w:t>
            </w:r>
            <w:proofErr w:type="spellStart"/>
            <w:r w:rsidRPr="00F91427">
              <w:rPr>
                <w:rFonts w:ascii="Arial" w:hAnsi="Arial" w:cs="Arial"/>
                <w:bCs/>
                <w:sz w:val="20"/>
                <w:szCs w:val="20"/>
              </w:rPr>
              <w:t>stormwater</w:t>
            </w:r>
            <w:proofErr w:type="spellEnd"/>
            <w:r w:rsidRPr="00F91427">
              <w:rPr>
                <w:rFonts w:ascii="Arial" w:hAnsi="Arial" w:cs="Arial"/>
                <w:bCs/>
                <w:sz w:val="20"/>
                <w:szCs w:val="20"/>
              </w:rPr>
              <w:t xml:space="preserve"> provisions to a new Attachment S. BACWA </w:t>
            </w:r>
            <w:hyperlink r:id="rId12" w:tgtFrame="_blank" w:history="1">
              <w:r w:rsidRPr="00F91427">
                <w:rPr>
                  <w:rStyle w:val="Hyperlink"/>
                </w:rPr>
                <w:t>commented</w:t>
              </w:r>
            </w:hyperlink>
            <w:r w:rsidRPr="00F91427">
              <w:rPr>
                <w:rFonts w:ascii="Arial" w:hAnsi="Arial" w:cs="Arial"/>
                <w:bCs/>
                <w:sz w:val="20"/>
                <w:szCs w:val="20"/>
              </w:rPr>
              <w:t xml:space="preserve"> on the Tentative Order requesting the removal of monitoring requirements for unintended bypass events of short duration, and requesting clarifications on duplicate reporting and </w:t>
            </w:r>
            <w:proofErr w:type="spellStart"/>
            <w:r w:rsidRPr="00F91427">
              <w:rPr>
                <w:rFonts w:ascii="Arial" w:hAnsi="Arial" w:cs="Arial"/>
                <w:bCs/>
                <w:sz w:val="20"/>
                <w:szCs w:val="20"/>
              </w:rPr>
              <w:t>stormwater</w:t>
            </w:r>
            <w:proofErr w:type="spellEnd"/>
            <w:r w:rsidRPr="00F91427">
              <w:rPr>
                <w:rFonts w:ascii="Arial" w:hAnsi="Arial" w:cs="Arial"/>
                <w:bCs/>
                <w:sz w:val="20"/>
                <w:szCs w:val="20"/>
              </w:rPr>
              <w:t xml:space="preserve"> permit coverage. In their Response to Comments, the Regional Water Board disagreed with most of BACWA's recommendations, although they did specify that agencies don't need to monitor for </w:t>
            </w:r>
            <w:proofErr w:type="spellStart"/>
            <w:r w:rsidRPr="00F91427">
              <w:rPr>
                <w:rFonts w:ascii="Arial" w:hAnsi="Arial" w:cs="Arial"/>
                <w:bCs/>
                <w:sz w:val="20"/>
                <w:szCs w:val="20"/>
              </w:rPr>
              <w:t>bioaccumulative</w:t>
            </w:r>
            <w:proofErr w:type="spellEnd"/>
            <w:r w:rsidRPr="00F91427">
              <w:rPr>
                <w:rFonts w:ascii="Arial" w:hAnsi="Arial" w:cs="Arial"/>
                <w:bCs/>
                <w:sz w:val="20"/>
                <w:szCs w:val="20"/>
              </w:rPr>
              <w:t xml:space="preserve"> constituents such as mercury, PCBs, and dioxin after the first day of bypass. They said they would use their </w:t>
            </w:r>
            <w:r w:rsidR="00E6648C">
              <w:rPr>
                <w:rFonts w:ascii="Arial" w:hAnsi="Arial" w:cs="Arial"/>
                <w:bCs/>
                <w:sz w:val="20"/>
                <w:szCs w:val="20"/>
              </w:rPr>
              <w:t xml:space="preserve">enforcement </w:t>
            </w:r>
            <w:r w:rsidRPr="00F91427">
              <w:rPr>
                <w:rFonts w:ascii="Arial" w:hAnsi="Arial" w:cs="Arial"/>
                <w:bCs/>
                <w:sz w:val="20"/>
                <w:szCs w:val="20"/>
              </w:rPr>
              <w:t xml:space="preserve">discretion </w:t>
            </w:r>
            <w:r w:rsidR="00E6648C">
              <w:rPr>
                <w:rFonts w:ascii="Arial" w:hAnsi="Arial" w:cs="Arial"/>
                <w:bCs/>
                <w:sz w:val="20"/>
                <w:szCs w:val="20"/>
              </w:rPr>
              <w:t>based on specific conditions should</w:t>
            </w:r>
            <w:r w:rsidRPr="00F91427">
              <w:rPr>
                <w:rFonts w:ascii="Arial" w:hAnsi="Arial" w:cs="Arial"/>
                <w:bCs/>
                <w:sz w:val="20"/>
                <w:szCs w:val="20"/>
              </w:rPr>
              <w:t xml:space="preserve"> mo</w:t>
            </w:r>
            <w:r w:rsidR="00E6648C">
              <w:rPr>
                <w:rFonts w:ascii="Arial" w:hAnsi="Arial" w:cs="Arial"/>
                <w:bCs/>
                <w:sz w:val="20"/>
                <w:szCs w:val="20"/>
              </w:rPr>
              <w:t>n</w:t>
            </w:r>
            <w:r w:rsidRPr="00F91427">
              <w:rPr>
                <w:rFonts w:ascii="Arial" w:hAnsi="Arial" w:cs="Arial"/>
                <w:bCs/>
                <w:sz w:val="20"/>
                <w:szCs w:val="20"/>
              </w:rPr>
              <w:t>itoring requirements for unplanned bypass events</w:t>
            </w:r>
            <w:r w:rsidR="00E6648C">
              <w:rPr>
                <w:rFonts w:ascii="Arial" w:hAnsi="Arial" w:cs="Arial"/>
                <w:bCs/>
                <w:sz w:val="20"/>
                <w:szCs w:val="20"/>
              </w:rPr>
              <w:t xml:space="preserve"> not be met</w:t>
            </w:r>
            <w:r w:rsidRPr="00F91427">
              <w:rPr>
                <w:rFonts w:ascii="Arial" w:hAnsi="Arial" w:cs="Arial"/>
                <w:bCs/>
                <w:sz w:val="20"/>
                <w:szCs w:val="20"/>
              </w:rPr>
              <w:t>. The amendments go into effect on January 1.</w:t>
            </w:r>
          </w:p>
        </w:tc>
      </w:tr>
      <w:tr w:rsidR="000036CC" w:rsidRPr="00F91427" w14:paraId="6F2D702E"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E70D7" w14:textId="77777777" w:rsidR="000036CC" w:rsidRPr="00F91427" w:rsidRDefault="000036CC" w:rsidP="00DD5026">
            <w:pPr>
              <w:pStyle w:val="Body"/>
              <w:rPr>
                <w:rFonts w:ascii="Arial" w:hAnsi="Arial" w:cs="Arial"/>
                <w:b/>
                <w:bCs/>
                <w:sz w:val="20"/>
                <w:szCs w:val="20"/>
              </w:rPr>
            </w:pPr>
            <w:r w:rsidRPr="00F91427">
              <w:rPr>
                <w:rFonts w:ascii="Arial" w:hAnsi="Arial" w:cs="Arial"/>
                <w:b/>
                <w:bCs/>
                <w:sz w:val="20"/>
                <w:szCs w:val="20"/>
              </w:rPr>
              <w:t>Chlorine Residual Basin Plan Amendment</w:t>
            </w:r>
          </w:p>
          <w:p w14:paraId="6F3C1639" w14:textId="5003BF46" w:rsidR="000036CC" w:rsidRPr="00F91427" w:rsidRDefault="000036CC" w:rsidP="008E5D11">
            <w:pPr>
              <w:pStyle w:val="Body"/>
              <w:rPr>
                <w:rFonts w:ascii="Arial" w:hAnsi="Arial" w:cs="Arial"/>
                <w:bCs/>
                <w:sz w:val="20"/>
                <w:szCs w:val="20"/>
              </w:rPr>
            </w:pPr>
            <w:r w:rsidRPr="00F91427">
              <w:rPr>
                <w:rFonts w:ascii="Arial" w:hAnsi="Arial" w:cs="Arial"/>
                <w:bCs/>
                <w:sz w:val="20"/>
                <w:szCs w:val="20"/>
              </w:rPr>
              <w:t>BACWA has contracted with EOA to support the development of a Basin Plan Amendment work plan. They are looking at a chlorine water quality objective that would be implemented using diluti</w:t>
            </w:r>
            <w:r w:rsidR="008D0B2D" w:rsidRPr="00F91427">
              <w:rPr>
                <w:rFonts w:ascii="Arial" w:hAnsi="Arial" w:cs="Arial"/>
                <w:bCs/>
                <w:sz w:val="20"/>
                <w:szCs w:val="20"/>
              </w:rPr>
              <w:t>on credit and the SIP procedure.  This strategy</w:t>
            </w:r>
            <w:r w:rsidRPr="00F91427">
              <w:rPr>
                <w:rFonts w:ascii="Arial" w:hAnsi="Arial" w:cs="Arial"/>
                <w:bCs/>
                <w:sz w:val="20"/>
                <w:szCs w:val="20"/>
              </w:rPr>
              <w:t xml:space="preserve"> would only help deep water dischargers. At the same time, they are looking to establish an RL/ML for chlorine via continuous online analyzers, and are soliciting participation in a study that will generate data for this effort. Establishing an RL/ML would help all dischargers.</w:t>
            </w:r>
            <w:r w:rsidR="008E5D11" w:rsidRPr="00F91427">
              <w:rPr>
                <w:rFonts w:ascii="Arial" w:hAnsi="Arial" w:cs="Arial"/>
                <w:bCs/>
                <w:sz w:val="20"/>
                <w:szCs w:val="20"/>
              </w:rPr>
              <w:t xml:space="preserve"> The Scope of Work continues to be developed and BACWA is considering how to fund it without violating its policy on sole sourcing.</w:t>
            </w:r>
          </w:p>
        </w:tc>
      </w:tr>
      <w:tr w:rsidR="000036CC" w:rsidRPr="00F91427" w14:paraId="563C4D5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7C621" w14:textId="6FC3CAE3" w:rsidR="000036CC" w:rsidRPr="00F91427" w:rsidRDefault="00F91427" w:rsidP="00DD5026">
            <w:pPr>
              <w:pStyle w:val="Body"/>
              <w:rPr>
                <w:rFonts w:ascii="Arial" w:hAnsi="Arial" w:cs="Arial"/>
                <w:bCs/>
                <w:sz w:val="20"/>
                <w:szCs w:val="20"/>
              </w:rPr>
            </w:pPr>
            <w:r w:rsidRPr="00F91427">
              <w:rPr>
                <w:rFonts w:ascii="Arial" w:hAnsi="Arial" w:cs="Arial"/>
                <w:b/>
                <w:bCs/>
                <w:sz w:val="20"/>
                <w:szCs w:val="20"/>
              </w:rPr>
              <w:t>CECs</w:t>
            </w:r>
          </w:p>
          <w:p w14:paraId="4623485A" w14:textId="1FF33D2F" w:rsidR="00F91427" w:rsidRPr="00F91427" w:rsidRDefault="00F91427" w:rsidP="00F91427">
            <w:pPr>
              <w:pStyle w:val="Body"/>
              <w:numPr>
                <w:ilvl w:val="0"/>
                <w:numId w:val="30"/>
              </w:numPr>
              <w:rPr>
                <w:rFonts w:ascii="Arial" w:hAnsi="Arial" w:cs="Arial"/>
                <w:bCs/>
                <w:sz w:val="20"/>
                <w:szCs w:val="20"/>
              </w:rPr>
            </w:pPr>
            <w:r w:rsidRPr="00F91427">
              <w:rPr>
                <w:rFonts w:ascii="Arial" w:hAnsi="Arial" w:cs="Arial"/>
                <w:bCs/>
                <w:i/>
                <w:sz w:val="20"/>
                <w:szCs w:val="20"/>
              </w:rPr>
              <w:t>Position on POTW Volunteers</w:t>
            </w:r>
            <w:r w:rsidRPr="00F91427">
              <w:rPr>
                <w:rFonts w:ascii="Arial" w:hAnsi="Arial" w:cs="Arial"/>
                <w:bCs/>
                <w:sz w:val="20"/>
                <w:szCs w:val="20"/>
              </w:rPr>
              <w:t xml:space="preserve"> – The Regional Water Board has requested that BACWA develop a policy document on POTW participation in CEC studies that can be used to demonstrate that Region 2 has a robust program with POTW involvement.  A draft paper</w:t>
            </w:r>
            <w:r w:rsidR="00153907">
              <w:rPr>
                <w:rFonts w:ascii="Arial" w:hAnsi="Arial" w:cs="Arial"/>
                <w:bCs/>
                <w:sz w:val="20"/>
                <w:szCs w:val="20"/>
              </w:rPr>
              <w:t xml:space="preserve"> and su</w:t>
            </w:r>
            <w:r w:rsidR="00E6648C">
              <w:rPr>
                <w:rFonts w:ascii="Arial" w:hAnsi="Arial" w:cs="Arial"/>
                <w:bCs/>
                <w:sz w:val="20"/>
                <w:szCs w:val="20"/>
              </w:rPr>
              <w:t>r</w:t>
            </w:r>
            <w:r w:rsidR="00153907">
              <w:rPr>
                <w:rFonts w:ascii="Arial" w:hAnsi="Arial" w:cs="Arial"/>
                <w:bCs/>
                <w:sz w:val="20"/>
                <w:szCs w:val="20"/>
              </w:rPr>
              <w:t>vey of volunteers</w:t>
            </w:r>
            <w:r w:rsidRPr="00F91427">
              <w:rPr>
                <w:rFonts w:ascii="Arial" w:hAnsi="Arial" w:cs="Arial"/>
                <w:bCs/>
                <w:sz w:val="20"/>
                <w:szCs w:val="20"/>
              </w:rPr>
              <w:t xml:space="preserve"> will be circulated at the January </w:t>
            </w:r>
            <w:r w:rsidR="00E6648C">
              <w:rPr>
                <w:rFonts w:ascii="Arial" w:hAnsi="Arial" w:cs="Arial"/>
                <w:bCs/>
                <w:sz w:val="20"/>
                <w:szCs w:val="20"/>
              </w:rPr>
              <w:t xml:space="preserve">2018 </w:t>
            </w:r>
            <w:r w:rsidRPr="00F91427">
              <w:rPr>
                <w:rFonts w:ascii="Arial" w:hAnsi="Arial" w:cs="Arial"/>
                <w:bCs/>
                <w:sz w:val="20"/>
                <w:szCs w:val="20"/>
              </w:rPr>
              <w:t>meeting.</w:t>
            </w:r>
          </w:p>
          <w:p w14:paraId="37DDE238" w14:textId="05E6F5A3" w:rsidR="0063048A" w:rsidRPr="00F91427" w:rsidRDefault="00F91427" w:rsidP="00DD5026">
            <w:pPr>
              <w:pStyle w:val="Body"/>
              <w:numPr>
                <w:ilvl w:val="0"/>
                <w:numId w:val="30"/>
              </w:numPr>
              <w:rPr>
                <w:rFonts w:ascii="Arial" w:hAnsi="Arial" w:cs="Arial"/>
                <w:bCs/>
                <w:sz w:val="20"/>
                <w:szCs w:val="20"/>
              </w:rPr>
            </w:pPr>
            <w:proofErr w:type="spellStart"/>
            <w:r w:rsidRPr="00F91427">
              <w:rPr>
                <w:rFonts w:ascii="Arial" w:hAnsi="Arial" w:cs="Arial"/>
                <w:bCs/>
                <w:i/>
                <w:sz w:val="20"/>
                <w:szCs w:val="20"/>
              </w:rPr>
              <w:t>Microplastics</w:t>
            </w:r>
            <w:proofErr w:type="spellEnd"/>
            <w:r w:rsidRPr="00F91427">
              <w:rPr>
                <w:rFonts w:ascii="Arial" w:hAnsi="Arial" w:cs="Arial"/>
                <w:bCs/>
                <w:i/>
                <w:sz w:val="20"/>
                <w:szCs w:val="20"/>
              </w:rPr>
              <w:t xml:space="preserve"> - </w:t>
            </w:r>
            <w:r w:rsidRPr="00F91427">
              <w:rPr>
                <w:rFonts w:ascii="Arial" w:hAnsi="Arial" w:cs="Arial"/>
                <w:bCs/>
                <w:sz w:val="20"/>
                <w:szCs w:val="20"/>
              </w:rPr>
              <w:t>The Ocean Protection Council (OPC) is updating its 2008 </w:t>
            </w:r>
            <w:hyperlink r:id="rId13" w:history="1">
              <w:r w:rsidRPr="00F91427">
                <w:rPr>
                  <w:rStyle w:val="Hyperlink"/>
                </w:rPr>
                <w:t>I</w:t>
              </w:r>
            </w:hyperlink>
            <w:hyperlink r:id="rId14" w:tgtFrame="_blank" w:history="1">
              <w:r w:rsidRPr="00F91427">
                <w:rPr>
                  <w:rStyle w:val="Hyperlink"/>
                </w:rPr>
                <w:t xml:space="preserve">mplementation Strategy to </w:t>
              </w:r>
              <w:r w:rsidRPr="00F91427">
                <w:rPr>
                  <w:rStyle w:val="Hyperlink"/>
                </w:rPr>
                <w:lastRenderedPageBreak/>
                <w:t>Reduce and Prevent Ocean Litter (Strategy)</w:t>
              </w:r>
            </w:hyperlink>
            <w:hyperlink r:id="rId15" w:tgtFrame="_blank" w:history="1">
              <w:r w:rsidRPr="00F91427">
                <w:rPr>
                  <w:rStyle w:val="Hyperlink"/>
                  <w:rFonts w:eastAsia="Arial Unicode MS"/>
                  <w:u w:color="000000"/>
                  <w:shd w:val="clear" w:color="auto" w:fill="auto"/>
                </w:rPr>
                <w:t>,</w:t>
              </w:r>
            </w:hyperlink>
            <w:r w:rsidRPr="00F91427">
              <w:rPr>
                <w:rFonts w:ascii="Arial" w:hAnsi="Arial" w:cs="Arial"/>
                <w:bCs/>
                <w:sz w:val="20"/>
                <w:szCs w:val="20"/>
              </w:rPr>
              <w:t> in partnership with the National Oceanic and Atmospheric Administration (NOAA) </w:t>
            </w:r>
            <w:hyperlink r:id="rId16" w:tgtFrame="_blank" w:history="1">
              <w:r w:rsidRPr="00F91427">
                <w:rPr>
                  <w:rStyle w:val="Hyperlink"/>
                </w:rPr>
                <w:t>Marine Debris Program</w:t>
              </w:r>
            </w:hyperlink>
            <w:r w:rsidRPr="00F91427">
              <w:rPr>
                <w:rFonts w:ascii="Arial" w:hAnsi="Arial" w:cs="Arial"/>
                <w:bCs/>
                <w:sz w:val="20"/>
                <w:szCs w:val="20"/>
              </w:rPr>
              <w:t>. The updated </w:t>
            </w:r>
            <w:hyperlink r:id="rId17" w:tgtFrame="_blank" w:history="1">
              <w:r w:rsidRPr="00F91427">
                <w:rPr>
                  <w:rStyle w:val="Hyperlink"/>
                </w:rPr>
                <w:t>Draft Strategy</w:t>
              </w:r>
            </w:hyperlink>
            <w:r w:rsidRPr="00F91427">
              <w:rPr>
                <w:rFonts w:ascii="Arial" w:hAnsi="Arial" w:cs="Arial"/>
                <w:bCs/>
                <w:sz w:val="20"/>
                <w:szCs w:val="20"/>
              </w:rPr>
              <w:t xml:space="preserve"> focuses on product stewardship, and includes a section on better understanding and reducing </w:t>
            </w:r>
            <w:proofErr w:type="spellStart"/>
            <w:r w:rsidRPr="00F91427">
              <w:rPr>
                <w:rFonts w:ascii="Arial" w:hAnsi="Arial" w:cs="Arial"/>
                <w:bCs/>
                <w:sz w:val="20"/>
                <w:szCs w:val="20"/>
              </w:rPr>
              <w:t>microplastics</w:t>
            </w:r>
            <w:proofErr w:type="spellEnd"/>
            <w:r w:rsidRPr="00F91427">
              <w:rPr>
                <w:rFonts w:ascii="Arial" w:hAnsi="Arial" w:cs="Arial"/>
                <w:bCs/>
                <w:sz w:val="20"/>
                <w:szCs w:val="20"/>
              </w:rPr>
              <w:t>.  BACWA joined with CASA and SCAP to submit a </w:t>
            </w:r>
            <w:hyperlink r:id="rId18" w:tgtFrame="_blank" w:history="1">
              <w:r w:rsidRPr="00F91427">
                <w:rPr>
                  <w:rStyle w:val="Hyperlink"/>
                  <w:rFonts w:eastAsia="Arial Unicode MS"/>
                  <w:u w:color="000000"/>
                  <w:shd w:val="clear" w:color="auto" w:fill="auto"/>
                </w:rPr>
                <w:t>comment letter</w:t>
              </w:r>
            </w:hyperlink>
            <w:r w:rsidRPr="00F91427">
              <w:rPr>
                <w:rFonts w:ascii="Arial" w:hAnsi="Arial" w:cs="Arial"/>
                <w:bCs/>
                <w:sz w:val="20"/>
                <w:szCs w:val="20"/>
              </w:rPr>
              <w:t xml:space="preserve"> on the Draft Strategy, urging them to develop an integrated strategy for advancing </w:t>
            </w:r>
            <w:proofErr w:type="spellStart"/>
            <w:r w:rsidRPr="00F91427">
              <w:rPr>
                <w:rFonts w:ascii="Arial" w:hAnsi="Arial" w:cs="Arial"/>
                <w:bCs/>
                <w:sz w:val="20"/>
                <w:szCs w:val="20"/>
              </w:rPr>
              <w:t>microplastics</w:t>
            </w:r>
            <w:proofErr w:type="spellEnd"/>
            <w:r w:rsidRPr="00F91427">
              <w:rPr>
                <w:rFonts w:ascii="Arial" w:hAnsi="Arial" w:cs="Arial"/>
                <w:bCs/>
                <w:sz w:val="20"/>
                <w:szCs w:val="20"/>
              </w:rPr>
              <w:t xml:space="preserve"> research, working in cooperation with </w:t>
            </w:r>
            <w:proofErr w:type="gramStart"/>
            <w:r w:rsidRPr="00F91427">
              <w:rPr>
                <w:rFonts w:ascii="Arial" w:hAnsi="Arial" w:cs="Arial"/>
                <w:bCs/>
                <w:sz w:val="20"/>
                <w:szCs w:val="20"/>
              </w:rPr>
              <w:t>SFEI ,</w:t>
            </w:r>
            <w:proofErr w:type="gramEnd"/>
            <w:r w:rsidRPr="00F91427">
              <w:rPr>
                <w:rFonts w:ascii="Arial" w:hAnsi="Arial" w:cs="Arial"/>
                <w:bCs/>
                <w:sz w:val="20"/>
                <w:szCs w:val="20"/>
              </w:rPr>
              <w:t xml:space="preserve"> the Water Environment and Reuse Foundation, and the wastewater community.</w:t>
            </w:r>
          </w:p>
        </w:tc>
      </w:tr>
      <w:tr w:rsidR="0063048A" w:rsidRPr="00F91427" w14:paraId="0991D7B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B2EF0" w14:textId="77777777" w:rsidR="0063048A" w:rsidRPr="00F91427" w:rsidRDefault="0063048A" w:rsidP="0063048A">
            <w:pPr>
              <w:pStyle w:val="Body"/>
              <w:rPr>
                <w:rFonts w:ascii="Arial" w:hAnsi="Arial" w:cs="Arial"/>
                <w:b/>
                <w:bCs/>
                <w:sz w:val="20"/>
                <w:szCs w:val="20"/>
              </w:rPr>
            </w:pPr>
            <w:r w:rsidRPr="00F91427">
              <w:rPr>
                <w:rFonts w:ascii="Arial" w:hAnsi="Arial" w:cs="Arial"/>
                <w:b/>
                <w:bCs/>
                <w:sz w:val="20"/>
                <w:szCs w:val="20"/>
              </w:rPr>
              <w:lastRenderedPageBreak/>
              <w:t>Toxicity</w:t>
            </w:r>
          </w:p>
          <w:p w14:paraId="22C53324" w14:textId="2B1AD8FC" w:rsidR="0063048A" w:rsidRPr="00F91427" w:rsidRDefault="0063048A" w:rsidP="0063048A">
            <w:pPr>
              <w:pStyle w:val="Body"/>
              <w:numPr>
                <w:ilvl w:val="0"/>
                <w:numId w:val="27"/>
              </w:numPr>
              <w:rPr>
                <w:rFonts w:ascii="Arial" w:hAnsi="Arial" w:cs="Arial"/>
                <w:bCs/>
                <w:sz w:val="20"/>
                <w:szCs w:val="20"/>
              </w:rPr>
            </w:pPr>
            <w:r w:rsidRPr="00F91427">
              <w:rPr>
                <w:rFonts w:ascii="Arial" w:hAnsi="Arial" w:cs="Arial"/>
                <w:bCs/>
                <w:i/>
                <w:sz w:val="20"/>
                <w:szCs w:val="20"/>
              </w:rPr>
              <w:t>State Toxicity Provisions –</w:t>
            </w:r>
            <w:r w:rsidRPr="00F91427">
              <w:rPr>
                <w:rFonts w:ascii="Arial" w:hAnsi="Arial" w:cs="Arial"/>
                <w:bCs/>
                <w:sz w:val="20"/>
                <w:szCs w:val="20"/>
              </w:rPr>
              <w:t xml:space="preserve"> </w:t>
            </w:r>
            <w:r w:rsidR="008E5D11" w:rsidRPr="00F91427">
              <w:rPr>
                <w:rFonts w:ascii="Arial" w:hAnsi="Arial" w:cs="Arial"/>
                <w:bCs/>
                <w:sz w:val="20"/>
                <w:szCs w:val="20"/>
              </w:rPr>
              <w:t>New schedule for Toxicity Plan posting is end of January.</w:t>
            </w:r>
            <w:r w:rsidR="00181B5B">
              <w:rPr>
                <w:rFonts w:ascii="Arial" w:hAnsi="Arial" w:cs="Arial"/>
                <w:bCs/>
                <w:sz w:val="20"/>
                <w:szCs w:val="20"/>
              </w:rPr>
              <w:t xml:space="preserve"> </w:t>
            </w:r>
            <w:r w:rsidR="00467390">
              <w:rPr>
                <w:rFonts w:ascii="Arial" w:hAnsi="Arial" w:cs="Arial"/>
                <w:bCs/>
                <w:sz w:val="20"/>
                <w:szCs w:val="20"/>
              </w:rPr>
              <w:t xml:space="preserve">Regional Board staff indicated that the State is pushing to have the draft Toxicity Plan released soon even if there are pending comments to keep the process moving.  </w:t>
            </w:r>
            <w:r w:rsidR="00181B5B">
              <w:rPr>
                <w:rFonts w:ascii="Arial" w:hAnsi="Arial" w:cs="Arial"/>
                <w:bCs/>
                <w:sz w:val="20"/>
                <w:szCs w:val="20"/>
              </w:rPr>
              <w:t xml:space="preserve">Irene </w:t>
            </w:r>
            <w:proofErr w:type="spellStart"/>
            <w:r w:rsidR="00181B5B">
              <w:rPr>
                <w:rFonts w:ascii="Arial" w:hAnsi="Arial" w:cs="Arial"/>
                <w:bCs/>
                <w:sz w:val="20"/>
                <w:szCs w:val="20"/>
              </w:rPr>
              <w:t>Lu</w:t>
            </w:r>
            <w:r w:rsidR="00153907">
              <w:rPr>
                <w:rFonts w:ascii="Arial" w:hAnsi="Arial" w:cs="Arial"/>
                <w:bCs/>
                <w:sz w:val="20"/>
                <w:szCs w:val="20"/>
              </w:rPr>
              <w:t>i</w:t>
            </w:r>
            <w:proofErr w:type="spellEnd"/>
            <w:r w:rsidR="00181B5B">
              <w:rPr>
                <w:rFonts w:ascii="Arial" w:hAnsi="Arial" w:cs="Arial"/>
                <w:bCs/>
                <w:sz w:val="20"/>
                <w:szCs w:val="20"/>
              </w:rPr>
              <w:t>-Wong of EBMUD walked committee members through how to use the TST calculator at the October meeting.</w:t>
            </w:r>
          </w:p>
          <w:p w14:paraId="769BF868" w14:textId="09041CC4" w:rsidR="0063048A" w:rsidRPr="00F91427" w:rsidRDefault="0063048A" w:rsidP="008E5D11">
            <w:pPr>
              <w:pStyle w:val="Body"/>
              <w:numPr>
                <w:ilvl w:val="0"/>
                <w:numId w:val="27"/>
              </w:numPr>
              <w:rPr>
                <w:rFonts w:ascii="Arial" w:hAnsi="Arial" w:cs="Arial"/>
                <w:bCs/>
                <w:sz w:val="20"/>
                <w:szCs w:val="20"/>
              </w:rPr>
            </w:pPr>
            <w:r w:rsidRPr="00F91427">
              <w:rPr>
                <w:rFonts w:ascii="Arial" w:hAnsi="Arial" w:cs="Arial"/>
                <w:bCs/>
                <w:i/>
                <w:sz w:val="20"/>
                <w:szCs w:val="20"/>
              </w:rPr>
              <w:t xml:space="preserve">Toxicity Workshop - </w:t>
            </w:r>
            <w:r w:rsidRPr="00F91427">
              <w:rPr>
                <w:rFonts w:ascii="Arial" w:hAnsi="Arial" w:cs="Arial"/>
                <w:bCs/>
                <w:sz w:val="20"/>
                <w:szCs w:val="20"/>
              </w:rPr>
              <w:t xml:space="preserve">BACWA will hold a toxicity workshop at CCCSD September 18. </w:t>
            </w:r>
            <w:r w:rsidR="008E5D11" w:rsidRPr="00F91427">
              <w:rPr>
                <w:rFonts w:ascii="Arial" w:hAnsi="Arial" w:cs="Arial"/>
                <w:bCs/>
                <w:sz w:val="20"/>
                <w:szCs w:val="20"/>
              </w:rPr>
              <w:t xml:space="preserve">See </w:t>
            </w:r>
            <w:hyperlink r:id="rId19" w:history="1">
              <w:r w:rsidR="008E5D11" w:rsidRPr="00F91427">
                <w:rPr>
                  <w:rStyle w:val="Hyperlink"/>
                  <w:rFonts w:eastAsia="Arial Unicode MS"/>
                  <w:u w:color="000000"/>
                  <w:shd w:val="clear" w:color="auto" w:fill="auto"/>
                </w:rPr>
                <w:t>presentations</w:t>
              </w:r>
            </w:hyperlink>
            <w:r w:rsidR="008E5D11" w:rsidRPr="00F91427">
              <w:rPr>
                <w:rFonts w:ascii="Arial" w:hAnsi="Arial" w:cs="Arial"/>
                <w:bCs/>
                <w:sz w:val="20"/>
                <w:szCs w:val="20"/>
              </w:rPr>
              <w:t>.</w:t>
            </w:r>
          </w:p>
          <w:p w14:paraId="2D935E35" w14:textId="46799935" w:rsidR="008E5D11" w:rsidRPr="00F91427" w:rsidRDefault="008E5D11" w:rsidP="008E5D11">
            <w:pPr>
              <w:pStyle w:val="Body"/>
              <w:numPr>
                <w:ilvl w:val="0"/>
                <w:numId w:val="27"/>
              </w:numPr>
              <w:rPr>
                <w:rFonts w:ascii="Arial" w:hAnsi="Arial" w:cs="Arial"/>
                <w:bCs/>
                <w:sz w:val="20"/>
                <w:szCs w:val="20"/>
              </w:rPr>
            </w:pPr>
            <w:r w:rsidRPr="00F91427">
              <w:rPr>
                <w:rFonts w:ascii="Arial" w:hAnsi="Arial" w:cs="Arial"/>
                <w:bCs/>
                <w:i/>
                <w:sz w:val="20"/>
                <w:szCs w:val="20"/>
              </w:rPr>
              <w:t>Limits in Region 2 –</w:t>
            </w:r>
            <w:r w:rsidRPr="00F91427">
              <w:rPr>
                <w:rFonts w:ascii="Arial" w:hAnsi="Arial" w:cs="Arial"/>
                <w:bCs/>
                <w:sz w:val="20"/>
                <w:szCs w:val="20"/>
              </w:rPr>
              <w:t xml:space="preserve"> There are not any agencies who are expected to be given new toxicity limits over the next several months.</w:t>
            </w:r>
          </w:p>
        </w:tc>
      </w:tr>
      <w:tr w:rsidR="004A2985" w:rsidRPr="00F91427"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7EA6235A" w:rsidR="004A2985" w:rsidRPr="00F91427" w:rsidRDefault="00814E5A" w:rsidP="00DD5026">
            <w:pPr>
              <w:pStyle w:val="Body"/>
              <w:rPr>
                <w:rFonts w:ascii="Arial" w:hAnsi="Arial" w:cs="Arial"/>
                <w:b/>
                <w:bCs/>
                <w:sz w:val="20"/>
                <w:szCs w:val="20"/>
              </w:rPr>
            </w:pPr>
            <w:r w:rsidRPr="00F91427">
              <w:rPr>
                <w:rFonts w:ascii="Arial" w:hAnsi="Arial" w:cs="Arial"/>
                <w:b/>
                <w:bCs/>
                <w:sz w:val="20"/>
                <w:szCs w:val="20"/>
              </w:rPr>
              <w:t>Nutrients</w:t>
            </w:r>
          </w:p>
          <w:p w14:paraId="7945AF97" w14:textId="38053BFE" w:rsidR="00814E5A" w:rsidRPr="00F91427" w:rsidRDefault="000B6017" w:rsidP="00814E5A">
            <w:pPr>
              <w:pStyle w:val="Body"/>
              <w:numPr>
                <w:ilvl w:val="0"/>
                <w:numId w:val="28"/>
              </w:numPr>
              <w:rPr>
                <w:rFonts w:ascii="Arial" w:hAnsi="Arial" w:cs="Arial"/>
                <w:bCs/>
                <w:sz w:val="20"/>
                <w:szCs w:val="20"/>
              </w:rPr>
            </w:pPr>
            <w:r w:rsidRPr="00F91427">
              <w:rPr>
                <w:rFonts w:ascii="Arial" w:hAnsi="Arial" w:cs="Arial"/>
                <w:bCs/>
                <w:i/>
                <w:sz w:val="20"/>
                <w:szCs w:val="20"/>
              </w:rPr>
              <w:t>Group Annual Report</w:t>
            </w:r>
            <w:r w:rsidR="00814E5A" w:rsidRPr="00F91427">
              <w:rPr>
                <w:rFonts w:ascii="Arial" w:hAnsi="Arial" w:cs="Arial"/>
                <w:bCs/>
                <w:i/>
                <w:sz w:val="20"/>
                <w:szCs w:val="20"/>
              </w:rPr>
              <w:t xml:space="preserve"> –</w:t>
            </w:r>
            <w:r w:rsidR="00814E5A" w:rsidRPr="00F91427">
              <w:rPr>
                <w:rFonts w:ascii="Arial" w:hAnsi="Arial" w:cs="Arial"/>
                <w:bCs/>
                <w:sz w:val="20"/>
                <w:szCs w:val="20"/>
              </w:rPr>
              <w:t xml:space="preserve"> </w:t>
            </w:r>
            <w:r w:rsidR="00F91427" w:rsidRPr="00F91427">
              <w:rPr>
                <w:rFonts w:ascii="Arial" w:hAnsi="Arial" w:cs="Arial"/>
                <w:bCs/>
                <w:sz w:val="20"/>
                <w:szCs w:val="20"/>
              </w:rPr>
              <w:t>BACWA The third </w:t>
            </w:r>
            <w:hyperlink r:id="rId20" w:tgtFrame="_blank" w:history="1">
              <w:r w:rsidR="00F91427" w:rsidRPr="00F91427">
                <w:rPr>
                  <w:rStyle w:val="Hyperlink"/>
                  <w:rFonts w:eastAsia="Arial Unicode MS"/>
                  <w:shd w:val="clear" w:color="auto" w:fill="auto"/>
                </w:rPr>
                <w:t>Group Annual Report</w:t>
              </w:r>
            </w:hyperlink>
            <w:r w:rsidR="00F91427" w:rsidRPr="00F91427">
              <w:rPr>
                <w:rFonts w:ascii="Arial" w:hAnsi="Arial" w:cs="Arial"/>
                <w:bCs/>
                <w:sz w:val="20"/>
                <w:szCs w:val="20"/>
              </w:rPr>
              <w:t> required by the Nutrient Watershed Permit was submitted to the Regional Water Board on October 1, 2017.  Over the 2016/17 monitoring year, the flows and loads of most nutrient parameters were the highest they have been since nutrient monitoring began in 2012.</w:t>
            </w:r>
          </w:p>
          <w:p w14:paraId="6D5B3301" w14:textId="1BACC27C" w:rsidR="000B6017" w:rsidRPr="00F91427" w:rsidRDefault="00814E5A" w:rsidP="000B6017">
            <w:pPr>
              <w:pStyle w:val="Body"/>
              <w:numPr>
                <w:ilvl w:val="0"/>
                <w:numId w:val="28"/>
              </w:numPr>
              <w:rPr>
                <w:rFonts w:ascii="Arial" w:hAnsi="Arial" w:cs="Arial"/>
                <w:bCs/>
                <w:sz w:val="20"/>
                <w:szCs w:val="20"/>
              </w:rPr>
            </w:pPr>
            <w:r w:rsidRPr="00F91427">
              <w:rPr>
                <w:rFonts w:ascii="Arial" w:hAnsi="Arial" w:cs="Arial"/>
                <w:bCs/>
                <w:i/>
                <w:sz w:val="20"/>
                <w:szCs w:val="20"/>
              </w:rPr>
              <w:t xml:space="preserve">Optimization and Upgrade </w:t>
            </w:r>
            <w:r w:rsidR="000B6017" w:rsidRPr="00F91427">
              <w:rPr>
                <w:rFonts w:ascii="Arial" w:hAnsi="Arial" w:cs="Arial"/>
                <w:bCs/>
                <w:i/>
                <w:sz w:val="20"/>
                <w:szCs w:val="20"/>
              </w:rPr>
              <w:t>Studies</w:t>
            </w:r>
            <w:r w:rsidRPr="00F91427">
              <w:rPr>
                <w:rFonts w:ascii="Arial" w:hAnsi="Arial" w:cs="Arial"/>
                <w:bCs/>
                <w:i/>
                <w:sz w:val="20"/>
                <w:szCs w:val="20"/>
              </w:rPr>
              <w:t xml:space="preserve"> –</w:t>
            </w:r>
            <w:r w:rsidRPr="00F91427">
              <w:rPr>
                <w:rFonts w:ascii="Arial" w:hAnsi="Arial" w:cs="Arial"/>
                <w:bCs/>
                <w:sz w:val="20"/>
                <w:szCs w:val="20"/>
              </w:rPr>
              <w:t xml:space="preserve"> </w:t>
            </w:r>
            <w:r w:rsidR="000B6017" w:rsidRPr="00F91427">
              <w:rPr>
                <w:rFonts w:ascii="Arial" w:hAnsi="Arial" w:cs="Arial"/>
                <w:sz w:val="20"/>
                <w:szCs w:val="20"/>
              </w:rPr>
              <w:t xml:space="preserve">HDR has </w:t>
            </w:r>
            <w:r w:rsidR="00181B5B">
              <w:rPr>
                <w:rFonts w:ascii="Arial" w:hAnsi="Arial" w:cs="Arial"/>
                <w:sz w:val="20"/>
                <w:szCs w:val="20"/>
              </w:rPr>
              <w:t>is responding to comments on Facility Reports and plans to be done by Thanksgiving.  Prior to submittal, agencies will need to certify their Facility Reports per Federal Regulations.</w:t>
            </w:r>
          </w:p>
          <w:p w14:paraId="70B04FF7" w14:textId="27687516" w:rsidR="000B6017" w:rsidRPr="00F91427" w:rsidRDefault="000B6017" w:rsidP="000B6017">
            <w:pPr>
              <w:pStyle w:val="Body"/>
              <w:numPr>
                <w:ilvl w:val="0"/>
                <w:numId w:val="28"/>
              </w:numPr>
              <w:rPr>
                <w:rFonts w:ascii="Arial" w:hAnsi="Arial" w:cs="Arial"/>
                <w:bCs/>
                <w:sz w:val="20"/>
                <w:szCs w:val="20"/>
              </w:rPr>
            </w:pPr>
            <w:r w:rsidRPr="00F91427">
              <w:rPr>
                <w:rFonts w:ascii="Arial" w:hAnsi="Arial" w:cs="Arial"/>
                <w:bCs/>
                <w:i/>
                <w:sz w:val="20"/>
                <w:szCs w:val="20"/>
              </w:rPr>
              <w:t>Second Watershed Permit</w:t>
            </w:r>
            <w:r w:rsidRPr="00F91427">
              <w:rPr>
                <w:rFonts w:ascii="Arial" w:hAnsi="Arial" w:cs="Arial"/>
                <w:sz w:val="20"/>
                <w:szCs w:val="20"/>
              </w:rPr>
              <w:t xml:space="preserve"> –</w:t>
            </w:r>
            <w:r w:rsidR="00181B5B" w:rsidRPr="00181B5B">
              <w:rPr>
                <w:rFonts w:ascii="Arial" w:hAnsi="Arial" w:cs="Arial"/>
                <w:sz w:val="20"/>
                <w:szCs w:val="20"/>
              </w:rPr>
              <w:t>BACWA has been in discussion with the Water Board on the key provisions to be included in the second Nutrient Watershed Permit.  On October 9</w:t>
            </w:r>
            <w:r w:rsidR="00181B5B" w:rsidRPr="00181B5B">
              <w:rPr>
                <w:rFonts w:ascii="Arial" w:hAnsi="Arial" w:cs="Arial"/>
                <w:sz w:val="20"/>
                <w:szCs w:val="20"/>
                <w:vertAlign w:val="superscript"/>
              </w:rPr>
              <w:t>th</w:t>
            </w:r>
            <w:r w:rsidR="00153907">
              <w:rPr>
                <w:rFonts w:ascii="Arial" w:hAnsi="Arial" w:cs="Arial"/>
                <w:sz w:val="20"/>
                <w:szCs w:val="20"/>
                <w:vertAlign w:val="superscript"/>
              </w:rPr>
              <w:t xml:space="preserve"> </w:t>
            </w:r>
            <w:r w:rsidR="00181B5B" w:rsidRPr="00181B5B">
              <w:rPr>
                <w:rFonts w:ascii="Arial" w:hAnsi="Arial" w:cs="Arial"/>
                <w:sz w:val="20"/>
                <w:szCs w:val="20"/>
              </w:rPr>
              <w:t>BACWA </w:t>
            </w:r>
            <w:hyperlink r:id="rId21" w:tgtFrame="_blank" w:history="1">
              <w:r w:rsidR="00181B5B" w:rsidRPr="00181B5B">
                <w:rPr>
                  <w:rStyle w:val="Hyperlink"/>
                </w:rPr>
                <w:t>received a letter</w:t>
              </w:r>
            </w:hyperlink>
            <w:r w:rsidR="00181B5B" w:rsidRPr="00181B5B">
              <w:rPr>
                <w:rFonts w:ascii="Arial" w:hAnsi="Arial" w:cs="Arial"/>
                <w:sz w:val="20"/>
                <w:szCs w:val="20"/>
              </w:rPr>
              <w:t> from the Water Board which outlines the key tenets they envision including in the second permit.  These tenets include continued funding of the Nutrient Management Strategy Science Plan at an increased level, as well as continued individual plant reporting on nutrient loading to the Bay and the annual trend reporting.  A new provision would be a regional assessment of other approaches to reducing nutrient loads such as through recycling and wetlands treatment.  The tenets recognize that some plants may be reducing nutrients in advance of any regulatory requirement and discuss the concept of banking credits for early actions which reduce nutrient loading.  BACWA will be working with the Water Board over the coming months to further clarify these concepts</w:t>
            </w:r>
            <w:r w:rsidR="00181B5B">
              <w:rPr>
                <w:rFonts w:ascii="Arial" w:hAnsi="Arial" w:cs="Arial"/>
                <w:sz w:val="20"/>
                <w:szCs w:val="20"/>
              </w:rPr>
              <w:t xml:space="preserve"> and develop language</w:t>
            </w:r>
            <w:r w:rsidR="00181B5B" w:rsidRPr="00181B5B">
              <w:rPr>
                <w:rFonts w:ascii="Arial" w:hAnsi="Arial" w:cs="Arial"/>
                <w:sz w:val="20"/>
                <w:szCs w:val="20"/>
              </w:rPr>
              <w:t xml:space="preserve"> for inclusion in the second Nutrient Watershed Permit to be adopted in 2019.</w:t>
            </w:r>
          </w:p>
          <w:p w14:paraId="79905948" w14:textId="61C75CF8" w:rsidR="004A2985" w:rsidRPr="00181B5B" w:rsidRDefault="000B6017" w:rsidP="001E4183">
            <w:pPr>
              <w:pStyle w:val="Body"/>
              <w:ind w:left="720"/>
              <w:rPr>
                <w:rFonts w:ascii="Arial" w:hAnsi="Arial" w:cs="Arial"/>
                <w:bCs/>
                <w:sz w:val="20"/>
                <w:szCs w:val="20"/>
              </w:rPr>
            </w:pPr>
            <w:r w:rsidRPr="00F91427">
              <w:rPr>
                <w:rFonts w:ascii="Arial" w:hAnsi="Arial" w:cs="Arial"/>
                <w:bCs/>
                <w:i/>
                <w:sz w:val="20"/>
                <w:szCs w:val="20"/>
              </w:rPr>
              <w:t>Wetlands Report</w:t>
            </w:r>
            <w:r w:rsidR="00102DE2" w:rsidRPr="00F91427">
              <w:rPr>
                <w:rFonts w:ascii="Arial" w:hAnsi="Arial" w:cs="Arial"/>
                <w:bCs/>
                <w:i/>
                <w:sz w:val="20"/>
                <w:szCs w:val="20"/>
              </w:rPr>
              <w:t xml:space="preserve"> </w:t>
            </w:r>
            <w:r w:rsidRPr="00F91427">
              <w:rPr>
                <w:rFonts w:ascii="Arial" w:hAnsi="Arial" w:cs="Arial"/>
                <w:bCs/>
                <w:i/>
                <w:sz w:val="20"/>
                <w:szCs w:val="20"/>
              </w:rPr>
              <w:t>–</w:t>
            </w:r>
            <w:r w:rsidRPr="00F91427">
              <w:rPr>
                <w:rFonts w:ascii="Arial" w:hAnsi="Arial" w:cs="Arial"/>
                <w:sz w:val="20"/>
                <w:szCs w:val="20"/>
              </w:rPr>
              <w:t xml:space="preserve"> Ian Wren, </w:t>
            </w:r>
            <w:r w:rsidR="0023578D" w:rsidRPr="00F91427">
              <w:rPr>
                <w:rFonts w:ascii="Arial" w:hAnsi="Arial" w:cs="Arial"/>
                <w:sz w:val="20"/>
                <w:szCs w:val="20"/>
              </w:rPr>
              <w:t xml:space="preserve">working with SFEI, developed a </w:t>
            </w:r>
            <w:r w:rsidR="0023578D" w:rsidRPr="00181B5B">
              <w:rPr>
                <w:rFonts w:ascii="Arial" w:eastAsia="Arial" w:hAnsi="Arial" w:cs="Arial"/>
                <w:bCs/>
                <w:sz w:val="20"/>
                <w:szCs w:val="20"/>
                <w:u w:color="0070C0"/>
                <w:shd w:val="clear" w:color="auto" w:fill="FFFFFF"/>
              </w:rPr>
              <w:t>wetlands screening report</w:t>
            </w:r>
            <w:r w:rsidR="0023578D" w:rsidRPr="00F91427">
              <w:rPr>
                <w:rFonts w:ascii="Arial" w:hAnsi="Arial" w:cs="Arial"/>
                <w:sz w:val="20"/>
                <w:szCs w:val="20"/>
              </w:rPr>
              <w:t xml:space="preserve"> to look at the potential for nutrient removal through treatment wetlands in the Region. </w:t>
            </w:r>
            <w:r w:rsidR="00181B5B">
              <w:rPr>
                <w:rFonts w:ascii="Arial" w:hAnsi="Arial" w:cs="Arial"/>
                <w:sz w:val="20"/>
                <w:szCs w:val="20"/>
              </w:rPr>
              <w:t xml:space="preserve">He provided a </w:t>
            </w:r>
            <w:hyperlink r:id="rId22" w:history="1">
              <w:r w:rsidR="00181B5B" w:rsidRPr="00153907">
                <w:rPr>
                  <w:rStyle w:val="Hyperlink"/>
                </w:rPr>
                <w:t>presentation</w:t>
              </w:r>
            </w:hyperlink>
            <w:r w:rsidR="00181B5B">
              <w:rPr>
                <w:rFonts w:ascii="Arial" w:hAnsi="Arial" w:cs="Arial"/>
                <w:sz w:val="20"/>
                <w:szCs w:val="20"/>
              </w:rPr>
              <w:t xml:space="preserve"> at the September meeting.</w:t>
            </w:r>
          </w:p>
        </w:tc>
      </w:tr>
      <w:tr w:rsidR="00990959" w:rsidRPr="00F91427" w14:paraId="19FDFCE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19FA2" w14:textId="77777777" w:rsidR="0003018F" w:rsidRPr="00F91427" w:rsidRDefault="00102DE2" w:rsidP="00102DE2">
            <w:pPr>
              <w:pStyle w:val="Body"/>
              <w:rPr>
                <w:rFonts w:ascii="Arial" w:hAnsi="Arial" w:cs="Arial"/>
                <w:bCs/>
                <w:sz w:val="20"/>
                <w:szCs w:val="20"/>
              </w:rPr>
            </w:pPr>
            <w:r w:rsidRPr="00F91427">
              <w:rPr>
                <w:rFonts w:ascii="Arial" w:hAnsi="Arial" w:cs="Arial"/>
                <w:b/>
                <w:bCs/>
                <w:sz w:val="20"/>
                <w:szCs w:val="20"/>
              </w:rPr>
              <w:t xml:space="preserve">BAAQMD </w:t>
            </w:r>
            <w:r w:rsidRPr="00153907">
              <w:rPr>
                <w:rFonts w:ascii="Arial" w:hAnsi="Arial" w:cs="Arial"/>
                <w:b/>
                <w:bCs/>
                <w:sz w:val="20"/>
                <w:szCs w:val="20"/>
              </w:rPr>
              <w:t>Rule 11-18</w:t>
            </w:r>
            <w:r w:rsidRPr="00F91427">
              <w:rPr>
                <w:rFonts w:ascii="Arial" w:hAnsi="Arial" w:cs="Arial"/>
                <w:bCs/>
                <w:sz w:val="20"/>
                <w:szCs w:val="20"/>
              </w:rPr>
              <w:t xml:space="preserve"> </w:t>
            </w:r>
          </w:p>
          <w:p w14:paraId="2C4CD116" w14:textId="528FA902" w:rsidR="00F91427" w:rsidRPr="00F91427" w:rsidRDefault="00EB5E3E" w:rsidP="008E5D1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Arial" w:hAnsi="Arial" w:cs="Arial"/>
                <w:bCs/>
                <w:sz w:val="20"/>
                <w:szCs w:val="20"/>
                <w:shd w:val="clear" w:color="auto" w:fill="FFFFFF"/>
              </w:rPr>
            </w:pPr>
            <w:hyperlink r:id="rId23" w:tgtFrame="_blank" w:history="1">
              <w:r w:rsidR="008E5D11" w:rsidRPr="00F91427">
                <w:rPr>
                  <w:rStyle w:val="Hyperlink"/>
                </w:rPr>
                <w:t>Draf</w:t>
              </w:r>
              <w:r w:rsidR="008E5D11" w:rsidRPr="00F91427">
                <w:rPr>
                  <w:rStyle w:val="Hyperlink0"/>
                  <w:u w:val="single"/>
                </w:rPr>
                <w:t>t Regulation 11, Rule 18</w:t>
              </w:r>
            </w:hyperlink>
            <w:r w:rsidR="008E5D11" w:rsidRPr="00F91427">
              <w:rPr>
                <w:rFonts w:ascii="Arial" w:eastAsia="Arial" w:hAnsi="Arial" w:cs="Arial"/>
                <w:bCs/>
                <w:sz w:val="20"/>
                <w:szCs w:val="20"/>
                <w:shd w:val="clear" w:color="auto" w:fill="FFFFFF"/>
              </w:rPr>
              <w:t> (Rule 11-18) is the Bay Area Air Quality Management District’s (BAAQMD) effort to protect public health from toxic air pollution from existing facilities such as POTWs. BAAQMD provided a regulatory </w:t>
            </w:r>
            <w:hyperlink r:id="rId24" w:tgtFrame="_blank" w:history="1">
              <w:r w:rsidR="008E5D11" w:rsidRPr="00F91427">
                <w:rPr>
                  <w:rStyle w:val="Hyperlink"/>
                </w:rPr>
                <w:t>process flowchart</w:t>
              </w:r>
            </w:hyperlink>
            <w:r w:rsidR="008E5D11" w:rsidRPr="00F91427">
              <w:rPr>
                <w:rFonts w:ascii="Arial" w:eastAsia="Arial" w:hAnsi="Arial" w:cs="Arial"/>
                <w:bCs/>
                <w:sz w:val="20"/>
                <w:szCs w:val="20"/>
                <w:u w:val="single"/>
                <w:shd w:val="clear" w:color="auto" w:fill="FFFFFF"/>
              </w:rPr>
              <w:t> </w:t>
            </w:r>
            <w:r w:rsidR="008E5D11" w:rsidRPr="00F91427">
              <w:rPr>
                <w:rFonts w:ascii="Arial" w:eastAsia="Arial" w:hAnsi="Arial" w:cs="Arial"/>
                <w:bCs/>
                <w:sz w:val="20"/>
                <w:szCs w:val="20"/>
                <w:shd w:val="clear" w:color="auto" w:fill="FFFFFF"/>
              </w:rPr>
              <w:t>to help stakeholders better understand the proposed Rule. BAAQMD will use toxic emissions inventories and proximity to the nearest receptor (residents or offsite workers) to conduct site-specific Health Risk Screening Analyses (HRSA). From these HRSAs, BAAQMD will determine each facility’s prioritization score (PS). BAAQMD will conduct Health Risk Assessments (HRAs) for all facilities with a cancer PS greater than 10 or non-cancer PS greater than 1.0. After verifying the model inputs, if the facility still has PS above that threshold, that facility would need to implement a Risk Reduction Plan that may include employing Best Available Retrofit Control Technology for Toxics (TBARCT). BACWA has provided comments on both the </w:t>
            </w:r>
            <w:hyperlink r:id="rId25" w:tgtFrame="_blank" w:history="1">
              <w:r w:rsidR="008E5D11" w:rsidRPr="00F91427">
                <w:rPr>
                  <w:rStyle w:val="Hyperlink"/>
                </w:rPr>
                <w:t>Rule and its EIR</w:t>
              </w:r>
            </w:hyperlink>
            <w:r w:rsidR="008E5D11" w:rsidRPr="00F91427">
              <w:rPr>
                <w:rFonts w:ascii="Arial" w:eastAsia="Arial" w:hAnsi="Arial" w:cs="Arial"/>
                <w:bCs/>
                <w:sz w:val="20"/>
                <w:szCs w:val="20"/>
                <w:shd w:val="clear" w:color="auto" w:fill="FFFFFF"/>
              </w:rPr>
              <w:t>, as well as its Staff Report and </w:t>
            </w:r>
            <w:hyperlink r:id="rId26" w:tgtFrame="_blank" w:history="1">
              <w:r w:rsidR="008E5D11" w:rsidRPr="00F91427">
                <w:rPr>
                  <w:rStyle w:val="Hyperlink"/>
                </w:rPr>
                <w:t>Socioeconomic Impact Report</w:t>
              </w:r>
            </w:hyperlink>
            <w:r w:rsidR="008E5D11" w:rsidRPr="00F91427">
              <w:rPr>
                <w:rFonts w:ascii="Arial" w:eastAsia="Arial" w:hAnsi="Arial" w:cs="Arial"/>
                <w:bCs/>
                <w:sz w:val="20"/>
                <w:szCs w:val="20"/>
                <w:shd w:val="clear" w:color="auto" w:fill="FFFFFF"/>
              </w:rPr>
              <w:t>.</w:t>
            </w:r>
            <w:r w:rsidR="00153907">
              <w:rPr>
                <w:rFonts w:ascii="Arial" w:eastAsia="Arial" w:hAnsi="Arial" w:cs="Arial"/>
                <w:bCs/>
                <w:sz w:val="20"/>
                <w:szCs w:val="20"/>
                <w:shd w:val="clear" w:color="auto" w:fill="FFFFFF"/>
              </w:rPr>
              <w:t xml:space="preserve"> The Rule is</w:t>
            </w:r>
            <w:r w:rsidR="00467390">
              <w:rPr>
                <w:rFonts w:ascii="Arial" w:eastAsia="Arial" w:hAnsi="Arial" w:cs="Arial"/>
                <w:bCs/>
                <w:sz w:val="20"/>
                <w:szCs w:val="20"/>
                <w:shd w:val="clear" w:color="auto" w:fill="FFFFFF"/>
              </w:rPr>
              <w:t xml:space="preserve"> </w:t>
            </w:r>
            <w:r w:rsidR="00153907">
              <w:rPr>
                <w:rFonts w:ascii="Arial" w:eastAsia="Arial" w:hAnsi="Arial" w:cs="Arial"/>
                <w:bCs/>
                <w:sz w:val="20"/>
                <w:szCs w:val="20"/>
                <w:shd w:val="clear" w:color="auto" w:fill="FFFFFF"/>
              </w:rPr>
              <w:t>scheduled for adoption on Nov 15.</w:t>
            </w:r>
          </w:p>
        </w:tc>
      </w:tr>
      <w:tr w:rsidR="00F91427" w:rsidRPr="00F91427" w14:paraId="371F725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BD7D" w14:textId="69273AB1" w:rsidR="00F91427" w:rsidRPr="00F91427" w:rsidRDefault="00F91427" w:rsidP="00F91427">
            <w:pPr>
              <w:pStyle w:val="Body"/>
              <w:rPr>
                <w:rStyle w:val="Hyperlink"/>
                <w:u w:val="none"/>
              </w:rPr>
            </w:pPr>
            <w:r w:rsidRPr="00F91427">
              <w:rPr>
                <w:rStyle w:val="Hyperlink"/>
                <w:color w:val="auto"/>
                <w:u w:val="none"/>
              </w:rPr>
              <w:t xml:space="preserve">Sediment Quality Objectives </w:t>
            </w:r>
            <w:r w:rsidRPr="00153907">
              <w:rPr>
                <w:rFonts w:ascii="Arial" w:eastAsia="Arial" w:hAnsi="Arial" w:cs="Arial"/>
                <w:b/>
                <w:bCs/>
                <w:sz w:val="20"/>
                <w:szCs w:val="20"/>
                <w:u w:color="0070C0"/>
                <w:shd w:val="clear" w:color="auto" w:fill="FFFFFF"/>
              </w:rPr>
              <w:t>Phase 3</w:t>
            </w:r>
          </w:p>
          <w:p w14:paraId="65D4FDF4" w14:textId="67DC815B" w:rsidR="00F91427" w:rsidRPr="00F91427" w:rsidRDefault="00F91427" w:rsidP="00153907">
            <w:pPr>
              <w:pStyle w:val="BodyText"/>
              <w:rPr>
                <w:rFonts w:ascii="Arial" w:hAnsi="Arial" w:cs="Arial"/>
                <w:sz w:val="20"/>
                <w:szCs w:val="20"/>
              </w:rPr>
            </w:pPr>
            <w:r w:rsidRPr="00F91427">
              <w:rPr>
                <w:rFonts w:ascii="Arial" w:hAnsi="Arial" w:cs="Arial"/>
                <w:sz w:val="20"/>
                <w:szCs w:val="20"/>
              </w:rPr>
              <w:t xml:space="preserve">This </w:t>
            </w:r>
            <w:hyperlink r:id="rId27" w:history="1">
              <w:r w:rsidRPr="00153907">
                <w:rPr>
                  <w:rStyle w:val="Hyperlink"/>
                  <w:rFonts w:eastAsiaTheme="minorHAnsi"/>
                  <w:shd w:val="clear" w:color="auto" w:fill="auto"/>
                </w:rPr>
                <w:t>amendment</w:t>
              </w:r>
            </w:hyperlink>
            <w:r w:rsidRPr="00F91427">
              <w:rPr>
                <w:rFonts w:ascii="Arial" w:hAnsi="Arial" w:cs="Arial"/>
                <w:sz w:val="20"/>
                <w:szCs w:val="20"/>
              </w:rPr>
              <w:t xml:space="preserve"> develops an assessment framework linking human health via sportfish to sediment quality. This will </w:t>
            </w:r>
            <w:r w:rsidR="00153907">
              <w:rPr>
                <w:rFonts w:ascii="Arial" w:hAnsi="Arial" w:cs="Arial"/>
                <w:sz w:val="20"/>
                <w:szCs w:val="20"/>
              </w:rPr>
              <w:t>impact</w:t>
            </w:r>
            <w:r w:rsidRPr="00F91427">
              <w:rPr>
                <w:rFonts w:ascii="Arial" w:hAnsi="Arial" w:cs="Arial"/>
                <w:sz w:val="20"/>
                <w:szCs w:val="20"/>
              </w:rPr>
              <w:t xml:space="preserve"> RMP projects studying sediment.</w:t>
            </w:r>
          </w:p>
        </w:tc>
      </w:tr>
      <w:tr w:rsidR="00087D46" w:rsidRPr="00F91427" w14:paraId="4AD901CA" w14:textId="77777777" w:rsidTr="001E4183">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Pr="00F91427" w:rsidRDefault="00087D46" w:rsidP="00307C64">
            <w:pPr>
              <w:pStyle w:val="Body"/>
              <w:rPr>
                <w:rFonts w:ascii="Arial" w:hAnsi="Arial" w:cs="Arial"/>
                <w:b/>
                <w:bCs/>
                <w:sz w:val="20"/>
                <w:szCs w:val="20"/>
              </w:rPr>
            </w:pPr>
            <w:r w:rsidRPr="00F91427">
              <w:rPr>
                <w:rFonts w:ascii="Arial" w:hAnsi="Arial" w:cs="Arial"/>
                <w:b/>
                <w:bCs/>
                <w:sz w:val="20"/>
                <w:szCs w:val="20"/>
              </w:rPr>
              <w:t>Announcements</w:t>
            </w:r>
          </w:p>
          <w:p w14:paraId="1A7BF07B" w14:textId="77777777" w:rsidR="00181B5B" w:rsidRDefault="00F91427" w:rsidP="00181B5B">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79"/>
              <w:contextualSpacing/>
              <w:rPr>
                <w:rFonts w:ascii="Arial" w:hAnsi="Arial" w:cs="Arial"/>
                <w:sz w:val="20"/>
                <w:szCs w:val="20"/>
              </w:rPr>
            </w:pPr>
            <w:r w:rsidRPr="00F91427">
              <w:rPr>
                <w:rFonts w:ascii="Arial" w:hAnsi="Arial" w:cs="Arial"/>
                <w:sz w:val="20"/>
                <w:szCs w:val="20"/>
              </w:rPr>
              <w:t>BACWA Annual Member’s Meeting will be held January 19, 2018, from 8:30 am to 3:00 pm at the Scottish Rite Center, 1547 Lakeside Drive, Oakland.</w:t>
            </w:r>
          </w:p>
          <w:p w14:paraId="1A27A539" w14:textId="77777777" w:rsidR="00181B5B" w:rsidRDefault="00181B5B" w:rsidP="00181B5B">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79"/>
              <w:contextualSpacing/>
              <w:rPr>
                <w:rFonts w:ascii="Arial" w:hAnsi="Arial" w:cs="Arial"/>
                <w:sz w:val="20"/>
                <w:szCs w:val="20"/>
              </w:rPr>
            </w:pPr>
            <w:r w:rsidRPr="00181B5B">
              <w:rPr>
                <w:rFonts w:ascii="Arial" w:hAnsi="Arial" w:cs="Arial"/>
                <w:sz w:val="20"/>
                <w:szCs w:val="20"/>
              </w:rPr>
              <w:t xml:space="preserve">SFEP Private Sewer Lateral Report </w:t>
            </w:r>
            <w:hyperlink r:id="rId28" w:history="1">
              <w:r w:rsidRPr="00153907">
                <w:rPr>
                  <w:rStyle w:val="Hyperlink"/>
                </w:rPr>
                <w:t>posted</w:t>
              </w:r>
            </w:hyperlink>
            <w:r>
              <w:rPr>
                <w:rFonts w:ascii="Arial" w:hAnsi="Arial" w:cs="Arial"/>
                <w:sz w:val="20"/>
                <w:szCs w:val="20"/>
              </w:rPr>
              <w:t xml:space="preserve"> – SFEP did not contact BACWA about the report which presents a slanted view of SSOs in the SF Bay Region.</w:t>
            </w:r>
          </w:p>
          <w:p w14:paraId="49067155" w14:textId="77777777" w:rsidR="00181B5B" w:rsidRPr="00153907" w:rsidRDefault="00153907" w:rsidP="00181B5B">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79"/>
              <w:contextualSpacing/>
              <w:rPr>
                <w:rStyle w:val="Hyperlink"/>
                <w:rFonts w:eastAsia="Calibri"/>
                <w:b w:val="0"/>
                <w:bCs w:val="0"/>
                <w:color w:val="000000"/>
                <w:u w:val="none" w:color="000000"/>
                <w:shd w:val="clear" w:color="auto" w:fill="auto"/>
              </w:rPr>
            </w:pPr>
            <w:r w:rsidRPr="00153907">
              <w:rPr>
                <w:rFonts w:ascii="Arial" w:hAnsi="Arial" w:cs="Arial"/>
                <w:sz w:val="20"/>
                <w:szCs w:val="20"/>
              </w:rPr>
              <w:t>Regulatory</w:t>
            </w:r>
            <w:r w:rsidR="00181B5B" w:rsidRPr="00153907">
              <w:rPr>
                <w:rFonts w:ascii="Arial" w:hAnsi="Arial" w:cs="Arial"/>
                <w:sz w:val="20"/>
                <w:szCs w:val="20"/>
              </w:rPr>
              <w:t xml:space="preserve"> Issues Matrix </w:t>
            </w:r>
            <w:hyperlink r:id="rId29" w:history="1">
              <w:r w:rsidR="00181B5B" w:rsidRPr="00153907">
                <w:rPr>
                  <w:rStyle w:val="Hyperlink"/>
                </w:rPr>
                <w:t>Updated</w:t>
              </w:r>
            </w:hyperlink>
          </w:p>
          <w:p w14:paraId="08233C9D" w14:textId="7ABCD542" w:rsidR="00467390" w:rsidRPr="00181B5B" w:rsidRDefault="00153907" w:rsidP="001E4183">
            <w:pPr>
              <w:pStyle w:val="BodyText"/>
              <w:numPr>
                <w:ilvl w:val="1"/>
                <w:numId w:val="29"/>
              </w:numPr>
              <w:tabs>
                <w:tab w:val="clear" w:pos="1440"/>
              </w:tabs>
              <w:ind w:left="779"/>
            </w:pPr>
            <w:r w:rsidRPr="00153907">
              <w:rPr>
                <w:rFonts w:ascii="Arial" w:hAnsi="Arial" w:cs="Arial"/>
                <w:sz w:val="20"/>
                <w:szCs w:val="20"/>
              </w:rPr>
              <w:lastRenderedPageBreak/>
              <w:t xml:space="preserve">BACWA </w:t>
            </w:r>
            <w:r w:rsidR="001E4183" w:rsidRPr="00153907">
              <w:rPr>
                <w:rFonts w:ascii="Arial" w:hAnsi="Arial" w:cs="Arial"/>
                <w:sz w:val="20"/>
                <w:szCs w:val="20"/>
              </w:rPr>
              <w:t>submit</w:t>
            </w:r>
            <w:r w:rsidR="001E4183">
              <w:rPr>
                <w:rFonts w:ascii="Arial" w:hAnsi="Arial" w:cs="Arial"/>
                <w:sz w:val="20"/>
                <w:szCs w:val="20"/>
              </w:rPr>
              <w:t>ted</w:t>
            </w:r>
            <w:r w:rsidR="001E4183" w:rsidRPr="00153907">
              <w:rPr>
                <w:rFonts w:ascii="Arial" w:hAnsi="Arial" w:cs="Arial"/>
                <w:sz w:val="20"/>
                <w:szCs w:val="20"/>
              </w:rPr>
              <w:t xml:space="preserve"> </w:t>
            </w:r>
            <w:hyperlink r:id="rId30" w:history="1">
              <w:r w:rsidRPr="00153907">
                <w:rPr>
                  <w:rStyle w:val="Hyperlink"/>
                  <w:rFonts w:eastAsiaTheme="minorHAnsi"/>
                  <w:shd w:val="clear" w:color="auto" w:fill="auto"/>
                </w:rPr>
                <w:t>comments</w:t>
              </w:r>
            </w:hyperlink>
            <w:r w:rsidRPr="00153907">
              <w:rPr>
                <w:rFonts w:ascii="Arial" w:hAnsi="Arial" w:cs="Arial"/>
                <w:sz w:val="20"/>
                <w:szCs w:val="20"/>
              </w:rPr>
              <w:t xml:space="preserve"> on </w:t>
            </w:r>
            <w:proofErr w:type="spellStart"/>
            <w:r w:rsidRPr="00153907">
              <w:rPr>
                <w:rFonts w:ascii="Arial" w:hAnsi="Arial" w:cs="Arial"/>
                <w:sz w:val="20"/>
                <w:szCs w:val="20"/>
              </w:rPr>
              <w:t>indoxacarb</w:t>
            </w:r>
            <w:proofErr w:type="spellEnd"/>
            <w:r w:rsidRPr="00153907">
              <w:rPr>
                <w:rFonts w:ascii="Arial" w:hAnsi="Arial" w:cs="Arial"/>
                <w:sz w:val="20"/>
                <w:szCs w:val="20"/>
              </w:rPr>
              <w:t>.</w:t>
            </w:r>
          </w:p>
        </w:tc>
      </w:tr>
      <w:tr w:rsidR="004E0C68" w:rsidRPr="00F91427"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4DB5C90A" w:rsidR="004E0C68" w:rsidRPr="00F91427" w:rsidRDefault="00962634" w:rsidP="00A13716">
            <w:pPr>
              <w:pStyle w:val="Body"/>
              <w:spacing w:before="60"/>
              <w:rPr>
                <w:rFonts w:ascii="Arial" w:hAnsi="Arial" w:cs="Arial"/>
                <w:sz w:val="20"/>
                <w:szCs w:val="20"/>
              </w:rPr>
            </w:pPr>
            <w:r w:rsidRPr="00F91427">
              <w:rPr>
                <w:rFonts w:ascii="Arial" w:hAnsi="Arial" w:cs="Arial"/>
                <w:b/>
                <w:bCs/>
                <w:sz w:val="20"/>
                <w:szCs w:val="20"/>
              </w:rPr>
              <w:lastRenderedPageBreak/>
              <w:t xml:space="preserve">Next BACWA Permits Committee Meeting:  </w:t>
            </w:r>
            <w:r w:rsidR="00181B5B" w:rsidRPr="00181B5B">
              <w:rPr>
                <w:rFonts w:ascii="Arial" w:hAnsi="Arial" w:cs="Arial"/>
                <w:sz w:val="20"/>
                <w:szCs w:val="20"/>
              </w:rPr>
              <w:t>Thursday December 14, 2017 10:30 AM to 1 PM</w:t>
            </w:r>
            <w:r w:rsidR="00181B5B" w:rsidRPr="00181B5B">
              <w:rPr>
                <w:rFonts w:ascii="Arial" w:hAnsi="Arial" w:cs="Arial"/>
                <w:color w:val="FF0000"/>
                <w:sz w:val="20"/>
                <w:szCs w:val="20"/>
              </w:rPr>
              <w:t xml:space="preserve"> </w:t>
            </w:r>
            <w:r w:rsidR="00181B5B" w:rsidRPr="00181B5B">
              <w:rPr>
                <w:rFonts w:ascii="Arial" w:hAnsi="Arial" w:cs="Arial"/>
                <w:sz w:val="20"/>
                <w:szCs w:val="20"/>
              </w:rPr>
              <w:t>(With CASA RWB Annual Holiday Luncheon and White Elephant Exchange, EPA staff to attend)</w:t>
            </w:r>
          </w:p>
        </w:tc>
      </w:tr>
    </w:tbl>
    <w:p w14:paraId="0BB1F764" w14:textId="77777777" w:rsidR="004E0C68" w:rsidRPr="00F91427" w:rsidRDefault="004E0C68" w:rsidP="008F6C8E">
      <w:pPr>
        <w:pStyle w:val="Body"/>
        <w:widowControl w:val="0"/>
        <w:rPr>
          <w:rFonts w:ascii="Arial" w:hAnsi="Arial" w:cs="Arial"/>
          <w:sz w:val="20"/>
          <w:szCs w:val="20"/>
        </w:rPr>
      </w:pPr>
    </w:p>
    <w:sectPr w:rsidR="004E0C68" w:rsidRPr="00F91427">
      <w:headerReference w:type="default" r:id="rId31"/>
      <w:footerReference w:type="default" r:id="rId32"/>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BBFAB" w14:textId="77777777" w:rsidR="00EB5E3E" w:rsidRDefault="00EB5E3E">
      <w:r>
        <w:separator/>
      </w:r>
    </w:p>
  </w:endnote>
  <w:endnote w:type="continuationSeparator" w:id="0">
    <w:p w14:paraId="0667D70D" w14:textId="77777777" w:rsidR="00EB5E3E" w:rsidRDefault="00EB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1E4183">
      <w:rPr>
        <w:rFonts w:ascii="Arial Black" w:eastAsia="Arial Black" w:hAnsi="Arial Black" w:cs="Arial Black"/>
        <w:b/>
        <w:bCs/>
        <w:noProof/>
        <w:spacing w:val="-10"/>
        <w:sz w:val="18"/>
        <w:szCs w:val="18"/>
      </w:rPr>
      <w:t>3</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54711" w14:textId="77777777" w:rsidR="00EB5E3E" w:rsidRDefault="00EB5E3E">
      <w:r>
        <w:separator/>
      </w:r>
    </w:p>
  </w:footnote>
  <w:footnote w:type="continuationSeparator" w:id="0">
    <w:p w14:paraId="073AD8C6" w14:textId="77777777" w:rsidR="00EB5E3E" w:rsidRDefault="00EB5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42081B"/>
    <w:multiLevelType w:val="hybridMultilevel"/>
    <w:tmpl w:val="E37A4BE2"/>
    <w:lvl w:ilvl="0" w:tplc="07E2D0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F6638"/>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74E4"/>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6D7CFC"/>
    <w:multiLevelType w:val="hybridMultilevel"/>
    <w:tmpl w:val="33D612E8"/>
    <w:lvl w:ilvl="0" w:tplc="BDC8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2364A"/>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30"/>
  </w:num>
  <w:num w:numId="3">
    <w:abstractNumId w:val="19"/>
  </w:num>
  <w:num w:numId="4">
    <w:abstractNumId w:val="26"/>
  </w:num>
  <w:num w:numId="5">
    <w:abstractNumId w:val="16"/>
  </w:num>
  <w:num w:numId="6">
    <w:abstractNumId w:val="22"/>
  </w:num>
  <w:num w:numId="7">
    <w:abstractNumId w:val="7"/>
  </w:num>
  <w:num w:numId="8">
    <w:abstractNumId w:val="14"/>
  </w:num>
  <w:num w:numId="9">
    <w:abstractNumId w:val="4"/>
  </w:num>
  <w:num w:numId="10">
    <w:abstractNumId w:val="0"/>
  </w:num>
  <w:num w:numId="11">
    <w:abstractNumId w:val="27"/>
  </w:num>
  <w:num w:numId="12">
    <w:abstractNumId w:val="25"/>
  </w:num>
  <w:num w:numId="13">
    <w:abstractNumId w:val="23"/>
  </w:num>
  <w:num w:numId="14">
    <w:abstractNumId w:val="8"/>
  </w:num>
  <w:num w:numId="15">
    <w:abstractNumId w:val="11"/>
  </w:num>
  <w:num w:numId="16">
    <w:abstractNumId w:val="5"/>
  </w:num>
  <w:num w:numId="17">
    <w:abstractNumId w:val="10"/>
  </w:num>
  <w:num w:numId="18">
    <w:abstractNumId w:val="15"/>
  </w:num>
  <w:num w:numId="19">
    <w:abstractNumId w:val="13"/>
  </w:num>
  <w:num w:numId="20">
    <w:abstractNumId w:val="12"/>
  </w:num>
  <w:num w:numId="21">
    <w:abstractNumId w:val="2"/>
  </w:num>
  <w:num w:numId="22">
    <w:abstractNumId w:val="3"/>
  </w:num>
  <w:num w:numId="23">
    <w:abstractNumId w:val="18"/>
  </w:num>
  <w:num w:numId="24">
    <w:abstractNumId w:val="28"/>
  </w:num>
  <w:num w:numId="25">
    <w:abstractNumId w:val="29"/>
  </w:num>
  <w:num w:numId="26">
    <w:abstractNumId w:val="21"/>
  </w:num>
  <w:num w:numId="27">
    <w:abstractNumId w:val="6"/>
  </w:num>
  <w:num w:numId="28">
    <w:abstractNumId w:val="1"/>
  </w:num>
  <w:num w:numId="29">
    <w:abstractNumId w:val="9"/>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036CC"/>
    <w:rsid w:val="00005A23"/>
    <w:rsid w:val="00017984"/>
    <w:rsid w:val="0003018F"/>
    <w:rsid w:val="000360AB"/>
    <w:rsid w:val="00053986"/>
    <w:rsid w:val="00087D46"/>
    <w:rsid w:val="00096769"/>
    <w:rsid w:val="000B6017"/>
    <w:rsid w:val="000D11FA"/>
    <w:rsid w:val="000E2975"/>
    <w:rsid w:val="00102DE2"/>
    <w:rsid w:val="00123CEF"/>
    <w:rsid w:val="0013586C"/>
    <w:rsid w:val="001405D3"/>
    <w:rsid w:val="00153907"/>
    <w:rsid w:val="00165FAB"/>
    <w:rsid w:val="00176F47"/>
    <w:rsid w:val="00181B5B"/>
    <w:rsid w:val="00197075"/>
    <w:rsid w:val="001C7A79"/>
    <w:rsid w:val="001E4183"/>
    <w:rsid w:val="001E6ECF"/>
    <w:rsid w:val="001E7387"/>
    <w:rsid w:val="00205743"/>
    <w:rsid w:val="00214238"/>
    <w:rsid w:val="0023578D"/>
    <w:rsid w:val="002424E8"/>
    <w:rsid w:val="00257E0B"/>
    <w:rsid w:val="002878F7"/>
    <w:rsid w:val="002B57DF"/>
    <w:rsid w:val="002C1B01"/>
    <w:rsid w:val="002D0C82"/>
    <w:rsid w:val="00306C2F"/>
    <w:rsid w:val="00307C64"/>
    <w:rsid w:val="003204B0"/>
    <w:rsid w:val="003608DE"/>
    <w:rsid w:val="00373FF7"/>
    <w:rsid w:val="003759B1"/>
    <w:rsid w:val="003A1F81"/>
    <w:rsid w:val="003A5F7F"/>
    <w:rsid w:val="003B2BFC"/>
    <w:rsid w:val="003D23AF"/>
    <w:rsid w:val="003F0E20"/>
    <w:rsid w:val="00462A61"/>
    <w:rsid w:val="00467390"/>
    <w:rsid w:val="004923A3"/>
    <w:rsid w:val="004A2985"/>
    <w:rsid w:val="004C3B18"/>
    <w:rsid w:val="004E0C68"/>
    <w:rsid w:val="004F21A8"/>
    <w:rsid w:val="0050329B"/>
    <w:rsid w:val="00534CC2"/>
    <w:rsid w:val="00550039"/>
    <w:rsid w:val="00556D48"/>
    <w:rsid w:val="00597207"/>
    <w:rsid w:val="005B1B11"/>
    <w:rsid w:val="0063048A"/>
    <w:rsid w:val="00635329"/>
    <w:rsid w:val="006364F5"/>
    <w:rsid w:val="00654A4A"/>
    <w:rsid w:val="006664BE"/>
    <w:rsid w:val="00685C0D"/>
    <w:rsid w:val="006C3057"/>
    <w:rsid w:val="006E4EE2"/>
    <w:rsid w:val="00740E24"/>
    <w:rsid w:val="00783C69"/>
    <w:rsid w:val="007859CF"/>
    <w:rsid w:val="00790CD7"/>
    <w:rsid w:val="007953B2"/>
    <w:rsid w:val="00796D12"/>
    <w:rsid w:val="007A31C5"/>
    <w:rsid w:val="007C109A"/>
    <w:rsid w:val="007F717B"/>
    <w:rsid w:val="008003D5"/>
    <w:rsid w:val="00814E5A"/>
    <w:rsid w:val="00826CB2"/>
    <w:rsid w:val="00826DA7"/>
    <w:rsid w:val="008709AD"/>
    <w:rsid w:val="00875C98"/>
    <w:rsid w:val="008D0B2D"/>
    <w:rsid w:val="008D1864"/>
    <w:rsid w:val="008E5D11"/>
    <w:rsid w:val="008F6C8E"/>
    <w:rsid w:val="00901432"/>
    <w:rsid w:val="00905D7C"/>
    <w:rsid w:val="009456FA"/>
    <w:rsid w:val="00960462"/>
    <w:rsid w:val="00962634"/>
    <w:rsid w:val="00972575"/>
    <w:rsid w:val="00990959"/>
    <w:rsid w:val="009C583E"/>
    <w:rsid w:val="009D644C"/>
    <w:rsid w:val="009F4716"/>
    <w:rsid w:val="009F55F0"/>
    <w:rsid w:val="00A13716"/>
    <w:rsid w:val="00A24A0A"/>
    <w:rsid w:val="00A40CF0"/>
    <w:rsid w:val="00A5609E"/>
    <w:rsid w:val="00A62AF7"/>
    <w:rsid w:val="00A7453F"/>
    <w:rsid w:val="00A8586B"/>
    <w:rsid w:val="00AB5AB5"/>
    <w:rsid w:val="00AC002C"/>
    <w:rsid w:val="00B06DB9"/>
    <w:rsid w:val="00B1648C"/>
    <w:rsid w:val="00B4092C"/>
    <w:rsid w:val="00B42EC3"/>
    <w:rsid w:val="00B5757C"/>
    <w:rsid w:val="00BF7290"/>
    <w:rsid w:val="00C368A9"/>
    <w:rsid w:val="00C54EE7"/>
    <w:rsid w:val="00C753EB"/>
    <w:rsid w:val="00C96853"/>
    <w:rsid w:val="00CC12AC"/>
    <w:rsid w:val="00CD2F9B"/>
    <w:rsid w:val="00CE65C5"/>
    <w:rsid w:val="00CF4BA2"/>
    <w:rsid w:val="00D02669"/>
    <w:rsid w:val="00D1414E"/>
    <w:rsid w:val="00D1703E"/>
    <w:rsid w:val="00D57161"/>
    <w:rsid w:val="00DA2465"/>
    <w:rsid w:val="00DC5EF7"/>
    <w:rsid w:val="00DD2D72"/>
    <w:rsid w:val="00DD5026"/>
    <w:rsid w:val="00DE6929"/>
    <w:rsid w:val="00DF3F80"/>
    <w:rsid w:val="00E54242"/>
    <w:rsid w:val="00E6648C"/>
    <w:rsid w:val="00E846B0"/>
    <w:rsid w:val="00E94A02"/>
    <w:rsid w:val="00EA2D59"/>
    <w:rsid w:val="00EB47D3"/>
    <w:rsid w:val="00EB5E3E"/>
    <w:rsid w:val="00EC2B47"/>
    <w:rsid w:val="00F26376"/>
    <w:rsid w:val="00F31F43"/>
    <w:rsid w:val="00F53CB3"/>
    <w:rsid w:val="00F91427"/>
    <w:rsid w:val="00F958E0"/>
    <w:rsid w:val="00FA09EC"/>
    <w:rsid w:val="00FE61F2"/>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3CEFD3F8-0478-4B12-BAE7-D15C232B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740E24"/>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DefaultParagraphFont"/>
    <w:rsid w:val="00F91427"/>
    <w:rPr>
      <w:rFonts w:ascii="Arial" w:eastAsia="Arial" w:hAnsi="Arial" w:cs="Arial"/>
      <w:b/>
      <w:bCs/>
      <w:color w:val="0070C0"/>
      <w:sz w:val="20"/>
      <w:szCs w:val="20"/>
      <w:shd w:val="clear" w:color="auto" w:fill="FFFFFF"/>
    </w:rPr>
  </w:style>
  <w:style w:type="character" w:customStyle="1" w:styleId="Hyperlink1">
    <w:name w:val="Hyperlink.1"/>
    <w:basedOn w:val="Hyperlink0"/>
    <w:rsid w:val="00740E24"/>
    <w:rPr>
      <w:rFonts w:ascii="Arial" w:eastAsia="Arial" w:hAnsi="Arial" w:cs="Arial"/>
      <w:b/>
      <w:bCs/>
      <w:color w:val="0070C0"/>
      <w:sz w:val="20"/>
      <w:szCs w:val="20"/>
      <w:u w:val="single" w:color="0070C0"/>
      <w:shd w:val="clear" w:color="auto" w:fill="FFFFFF"/>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sz w:val="20"/>
      <w:szCs w:val="2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 w:type="paragraph" w:customStyle="1" w:styleId="Default">
    <w:name w:val="Default"/>
    <w:rsid w:val="000B60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020">
      <w:bodyDiv w:val="1"/>
      <w:marLeft w:val="0"/>
      <w:marRight w:val="0"/>
      <w:marTop w:val="0"/>
      <w:marBottom w:val="0"/>
      <w:divBdr>
        <w:top w:val="none" w:sz="0" w:space="0" w:color="auto"/>
        <w:left w:val="none" w:sz="0" w:space="0" w:color="auto"/>
        <w:bottom w:val="none" w:sz="0" w:space="0" w:color="auto"/>
        <w:right w:val="none" w:sz="0" w:space="0" w:color="auto"/>
      </w:divBdr>
      <w:divsChild>
        <w:div w:id="788352956">
          <w:marLeft w:val="0"/>
          <w:marRight w:val="0"/>
          <w:marTop w:val="0"/>
          <w:marBottom w:val="0"/>
          <w:divBdr>
            <w:top w:val="none" w:sz="0" w:space="0" w:color="auto"/>
            <w:left w:val="none" w:sz="0" w:space="0" w:color="auto"/>
            <w:bottom w:val="none" w:sz="0" w:space="0" w:color="auto"/>
            <w:right w:val="none" w:sz="0" w:space="0" w:color="auto"/>
          </w:divBdr>
          <w:divsChild>
            <w:div w:id="12740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2912">
      <w:bodyDiv w:val="1"/>
      <w:marLeft w:val="0"/>
      <w:marRight w:val="0"/>
      <w:marTop w:val="0"/>
      <w:marBottom w:val="0"/>
      <w:divBdr>
        <w:top w:val="none" w:sz="0" w:space="0" w:color="auto"/>
        <w:left w:val="none" w:sz="0" w:space="0" w:color="auto"/>
        <w:bottom w:val="none" w:sz="0" w:space="0" w:color="auto"/>
        <w:right w:val="none" w:sz="0" w:space="0" w:color="auto"/>
      </w:divBdr>
    </w:div>
    <w:div w:id="942348679">
      <w:bodyDiv w:val="1"/>
      <w:marLeft w:val="0"/>
      <w:marRight w:val="0"/>
      <w:marTop w:val="0"/>
      <w:marBottom w:val="0"/>
      <w:divBdr>
        <w:top w:val="none" w:sz="0" w:space="0" w:color="auto"/>
        <w:left w:val="none" w:sz="0" w:space="0" w:color="auto"/>
        <w:bottom w:val="none" w:sz="0" w:space="0" w:color="auto"/>
        <w:right w:val="none" w:sz="0" w:space="0" w:color="auto"/>
      </w:divBdr>
    </w:div>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 w:id="20563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cwa.org/wp-content/uploads/2017/10/Association-comments-CMSA-TO-10-23-17.pdf" TargetMode="External"/><Relationship Id="rId13" Type="http://schemas.openxmlformats.org/officeDocument/2006/relationships/hyperlink" Target="http://www.opc.ca.gov/webmaster/ftp/pdf/opc_ocean_litter_final_strategy.pdf" TargetMode="External"/><Relationship Id="rId18" Type="http://schemas.openxmlformats.org/officeDocument/2006/relationships/hyperlink" Target="https://bacwa.org/wp-content/uploads/2017/10/10-16-17-CASA-Final-Ocean-Litter-Prevention-Comment-Letter.pdf" TargetMode="External"/><Relationship Id="rId26" Type="http://schemas.openxmlformats.org/officeDocument/2006/relationships/hyperlink" Target="https://bacwa.org/wp-content/uploads/2017/10/BACWA-AIR-Comment-Letter_Reg-11-Rule18-SERStaffReport-10-25-17.pdf" TargetMode="External"/><Relationship Id="rId3" Type="http://schemas.openxmlformats.org/officeDocument/2006/relationships/styles" Target="styles.xml"/><Relationship Id="rId21" Type="http://schemas.openxmlformats.org/officeDocument/2006/relationships/hyperlink" Target="https://bacwa.org/document/water-board-staffs-intention-key-tenets-second-watershed-permit-10-09-1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cwa.org/wp-content/uploads/2017/10/BACWA-comments-Attach-F-G-S-10-13-17.pdf" TargetMode="External"/><Relationship Id="rId17" Type="http://schemas.openxmlformats.org/officeDocument/2006/relationships/hyperlink" Target="http://www.opc.ca.gov/webmaster/_media_library/2017/02/170914_Draft_Ocean_Litter_Strategy_FINAL.pdf" TargetMode="External"/><Relationship Id="rId25" Type="http://schemas.openxmlformats.org/officeDocument/2006/relationships/hyperlink" Target="https://bacwa.org/wp-content/uploads/2017/10/BACWA-AIR-Comment-Letter-Regulation11-Rule18-10-16-17.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rinedebris.noaa.gov/california" TargetMode="External"/><Relationship Id="rId20" Type="http://schemas.openxmlformats.org/officeDocument/2006/relationships/hyperlink" Target="https://bacwa.org/document/bacwa-group-nutrient-annual-report-10-1-17/" TargetMode="External"/><Relationship Id="rId29" Type="http://schemas.openxmlformats.org/officeDocument/2006/relationships/hyperlink" Target="https://bacwa.org/document/regulatory-issues-summary-9-1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org/wp-content/uploads/2017/10/BACWA-comments-Hg-PCB-TO-10-13-17.pdf" TargetMode="External"/><Relationship Id="rId24" Type="http://schemas.openxmlformats.org/officeDocument/2006/relationships/hyperlink" Target="https://bacwa.org/document/baaqmd-11-18-process-flowchart-08-17-1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pc.ca.gov/webmaster/ftp/pdf/opc_ocean_litter_final_strategy.pdf" TargetMode="External"/><Relationship Id="rId23" Type="http://schemas.openxmlformats.org/officeDocument/2006/relationships/hyperlink" Target="http://www.baaqmd.gov/rules-and-compliance/rule-development/rules-under-development/regulation-11-rule-18" TargetMode="External"/><Relationship Id="rId28" Type="http://schemas.openxmlformats.org/officeDocument/2006/relationships/hyperlink" Target="http://www.sfestuary.org/sewer-lateral-ordinances/" TargetMode="External"/><Relationship Id="rId10" Type="http://schemas.openxmlformats.org/officeDocument/2006/relationships/hyperlink" Target="http://www.waterboards.ca.gov/sanfranciscobay/board_decisions/adopted_orders/2012/R2-2012-0096.pdf" TargetMode="External"/><Relationship Id="rId19" Type="http://schemas.openxmlformats.org/officeDocument/2006/relationships/hyperlink" Target="https://bacwa.org/bacwa-toxicity-workshop-september-18-20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terboards.ca.gov/sanfranciscobay/board_info/agendas/2017/November/6_ssr.pdf" TargetMode="External"/><Relationship Id="rId14" Type="http://schemas.openxmlformats.org/officeDocument/2006/relationships/hyperlink" Target="http://www.opc.ca.gov/webmaster/ftp/pdf/opc_ocean_litter_final_strategy.pdf" TargetMode="External"/><Relationship Id="rId22" Type="http://schemas.openxmlformats.org/officeDocument/2006/relationships/hyperlink" Target="https://bacwa.org/wp-content/uploads/2017/10/Sep-2017-BACWA-Permits-Wetland-Treatment.pdf" TargetMode="External"/><Relationship Id="rId27" Type="http://schemas.openxmlformats.org/officeDocument/2006/relationships/hyperlink" Target="https://www.waterboards.ca.gov/water_issues/programs/bptcp/sediment.html" TargetMode="External"/><Relationship Id="rId30" Type="http://schemas.openxmlformats.org/officeDocument/2006/relationships/hyperlink" Target="https://bacwa.org/wp-content/uploads/2017/11/BACWA-Indoxacarb-Risk-Assessment-Comment-Letter-11-13-1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B0A0A-3520-4B0B-8871-0CA110CD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2</cp:revision>
  <dcterms:created xsi:type="dcterms:W3CDTF">2017-11-15T00:30:00Z</dcterms:created>
  <dcterms:modified xsi:type="dcterms:W3CDTF">2017-11-15T00:30:00Z</dcterms:modified>
</cp:coreProperties>
</file>