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F91427"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F91427" w:rsidRDefault="00962634">
            <w:pPr>
              <w:pStyle w:val="CompanyName"/>
              <w:spacing w:line="240" w:lineRule="auto"/>
              <w:ind w:left="180"/>
              <w:rPr>
                <w:rFonts w:ascii="Arial" w:eastAsia="Arial" w:hAnsi="Arial" w:cs="Arial"/>
                <w:b w:val="0"/>
                <w:bCs w:val="0"/>
                <w:sz w:val="20"/>
                <w:szCs w:val="20"/>
              </w:rPr>
            </w:pPr>
            <w:r w:rsidRPr="00F91427">
              <w:rPr>
                <w:rFonts w:ascii="Arial" w:hAnsi="Arial" w:cs="Arial"/>
                <w:b w:val="0"/>
                <w:bCs w:val="0"/>
                <w:sz w:val="20"/>
                <w:szCs w:val="20"/>
              </w:rPr>
              <w:t xml:space="preserve">Permits Committee – </w:t>
            </w:r>
          </w:p>
          <w:p w14:paraId="097F237F" w14:textId="77777777" w:rsidR="004E0C68" w:rsidRPr="00F91427" w:rsidRDefault="00962634">
            <w:pPr>
              <w:pStyle w:val="CompanyName"/>
              <w:spacing w:line="240" w:lineRule="auto"/>
              <w:ind w:left="180"/>
              <w:rPr>
                <w:rFonts w:ascii="Arial" w:hAnsi="Arial" w:cs="Arial"/>
                <w:sz w:val="20"/>
                <w:szCs w:val="20"/>
              </w:rPr>
            </w:pPr>
            <w:r w:rsidRPr="00F91427">
              <w:rPr>
                <w:rFonts w:ascii="Arial" w:hAnsi="Arial" w:cs="Arial"/>
                <w:b w:val="0"/>
                <w:bCs w:val="0"/>
                <w:sz w:val="20"/>
                <w:szCs w:val="2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448C75F0" w:rsidR="004E0C68" w:rsidRPr="00F91427" w:rsidRDefault="00962634">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Permits Committee Meetings on: </w:t>
            </w:r>
            <w:r w:rsidR="00C66B3C">
              <w:rPr>
                <w:rFonts w:ascii="Arial" w:hAnsi="Arial" w:cs="Arial"/>
                <w:sz w:val="20"/>
                <w:szCs w:val="20"/>
              </w:rPr>
              <w:t>3</w:t>
            </w:r>
            <w:r w:rsidR="00145232">
              <w:rPr>
                <w:rFonts w:ascii="Arial" w:hAnsi="Arial" w:cs="Arial"/>
                <w:sz w:val="20"/>
                <w:szCs w:val="20"/>
              </w:rPr>
              <w:t>/13/18</w:t>
            </w:r>
          </w:p>
          <w:p w14:paraId="1A33816B" w14:textId="09BDD0A0" w:rsidR="004E0C68" w:rsidRPr="00F91427" w:rsidRDefault="0050329B">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Executive Board Meeting Date: </w:t>
            </w:r>
            <w:r w:rsidR="00C66B3C">
              <w:rPr>
                <w:rFonts w:ascii="Arial" w:hAnsi="Arial" w:cs="Arial"/>
                <w:sz w:val="20"/>
                <w:szCs w:val="20"/>
              </w:rPr>
              <w:t>3</w:t>
            </w:r>
            <w:r w:rsidR="00145232">
              <w:rPr>
                <w:rFonts w:ascii="Arial" w:hAnsi="Arial" w:cs="Arial"/>
                <w:sz w:val="20"/>
                <w:szCs w:val="20"/>
              </w:rPr>
              <w:t>/16/18</w:t>
            </w:r>
          </w:p>
          <w:p w14:paraId="44F8960D" w14:textId="4BC53D3E" w:rsidR="004E0C68" w:rsidRPr="00F91427" w:rsidRDefault="00373FF7">
            <w:pPr>
              <w:pStyle w:val="ReturnAddress"/>
              <w:spacing w:line="240" w:lineRule="auto"/>
              <w:ind w:left="180"/>
              <w:rPr>
                <w:rFonts w:ascii="Arial" w:hAnsi="Arial" w:cs="Arial"/>
                <w:sz w:val="20"/>
                <w:szCs w:val="20"/>
              </w:rPr>
            </w:pPr>
            <w:r w:rsidRPr="00F91427">
              <w:rPr>
                <w:rFonts w:ascii="Arial" w:hAnsi="Arial" w:cs="Arial"/>
                <w:sz w:val="20"/>
                <w:szCs w:val="20"/>
              </w:rPr>
              <w:t xml:space="preserve">Committee Chair:   Chris </w:t>
            </w:r>
            <w:proofErr w:type="spellStart"/>
            <w:r w:rsidRPr="00F91427">
              <w:rPr>
                <w:rFonts w:ascii="Arial" w:hAnsi="Arial" w:cs="Arial"/>
                <w:sz w:val="20"/>
                <w:szCs w:val="20"/>
              </w:rPr>
              <w:t>Dembiczak</w:t>
            </w:r>
            <w:proofErr w:type="spellEnd"/>
          </w:p>
        </w:tc>
      </w:tr>
    </w:tbl>
    <w:p w14:paraId="38887590" w14:textId="77777777" w:rsidR="004E0C68" w:rsidRPr="00F91427" w:rsidRDefault="00962634" w:rsidP="00D1414E">
      <w:pPr>
        <w:pStyle w:val="Body"/>
        <w:spacing w:before="120" w:after="120"/>
        <w:ind w:left="180"/>
        <w:rPr>
          <w:rFonts w:ascii="Arial" w:eastAsia="Arial" w:hAnsi="Arial" w:cs="Arial"/>
          <w:b/>
          <w:bCs/>
          <w:sz w:val="20"/>
          <w:szCs w:val="20"/>
        </w:rPr>
      </w:pPr>
      <w:r w:rsidRPr="00F91427">
        <w:rPr>
          <w:rFonts w:ascii="Arial" w:hAnsi="Arial" w:cs="Arial"/>
          <w:b/>
          <w:bCs/>
          <w:sz w:val="20"/>
          <w:szCs w:val="20"/>
          <w:u w:val="single"/>
        </w:rPr>
        <w:t>Committee Request for Board Action</w:t>
      </w:r>
      <w:r w:rsidRPr="00F91427">
        <w:rPr>
          <w:rFonts w:ascii="Arial" w:hAnsi="Arial" w:cs="Arial"/>
          <w:b/>
          <w:bCs/>
          <w:sz w:val="20"/>
          <w:szCs w:val="20"/>
          <w:lang w:val="it-IT"/>
        </w:rPr>
        <w:t>: None</w:t>
      </w:r>
    </w:p>
    <w:p w14:paraId="7BF695F8" w14:textId="0DECDEAF" w:rsidR="001E4183" w:rsidRPr="00F91427" w:rsidRDefault="001E4183" w:rsidP="001E4183">
      <w:pPr>
        <w:pStyle w:val="Body"/>
        <w:ind w:left="187"/>
        <w:rPr>
          <w:rFonts w:ascii="Arial" w:eastAsia="Arial" w:hAnsi="Arial" w:cs="Arial"/>
          <w:b/>
          <w:bCs/>
          <w:sz w:val="20"/>
          <w:szCs w:val="20"/>
        </w:rPr>
      </w:pPr>
      <w:r>
        <w:rPr>
          <w:rFonts w:ascii="Arial" w:hAnsi="Arial" w:cs="Arial"/>
          <w:b/>
          <w:bCs/>
          <w:sz w:val="20"/>
          <w:szCs w:val="20"/>
        </w:rPr>
        <w:t>2</w:t>
      </w:r>
      <w:r w:rsidR="00C6659A">
        <w:rPr>
          <w:rFonts w:ascii="Arial" w:hAnsi="Arial" w:cs="Arial"/>
          <w:b/>
          <w:bCs/>
          <w:sz w:val="20"/>
          <w:szCs w:val="20"/>
        </w:rPr>
        <w:t>1</w:t>
      </w:r>
      <w:r w:rsidRPr="00F91427">
        <w:rPr>
          <w:rFonts w:ascii="Arial" w:hAnsi="Arial" w:cs="Arial"/>
          <w:b/>
          <w:bCs/>
          <w:sz w:val="20"/>
          <w:szCs w:val="20"/>
        </w:rPr>
        <w:t xml:space="preserve"> Participants representing </w:t>
      </w:r>
      <w:r w:rsidR="00C6659A">
        <w:rPr>
          <w:rFonts w:ascii="Arial" w:hAnsi="Arial" w:cs="Arial"/>
          <w:b/>
          <w:bCs/>
          <w:sz w:val="20"/>
          <w:szCs w:val="20"/>
        </w:rPr>
        <w:t>15</w:t>
      </w:r>
      <w:r w:rsidRPr="00F91427">
        <w:rPr>
          <w:rFonts w:ascii="Arial" w:hAnsi="Arial" w:cs="Arial"/>
          <w:b/>
          <w:bCs/>
          <w:sz w:val="20"/>
          <w:szCs w:val="20"/>
        </w:rPr>
        <w:t xml:space="preserve">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903356"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31C97" w14:textId="4DD894F2" w:rsidR="008003D5" w:rsidRPr="00F41258" w:rsidRDefault="009D644C" w:rsidP="00F41258">
            <w:pPr>
              <w:pStyle w:val="Body"/>
              <w:rPr>
                <w:rFonts w:ascii="Arial" w:hAnsi="Arial" w:cs="Arial"/>
                <w:b/>
                <w:bCs/>
                <w:sz w:val="20"/>
                <w:szCs w:val="20"/>
              </w:rPr>
            </w:pPr>
            <w:r w:rsidRPr="00903356">
              <w:rPr>
                <w:rFonts w:ascii="Arial" w:hAnsi="Arial" w:cs="Arial"/>
                <w:b/>
                <w:bCs/>
                <w:sz w:val="20"/>
                <w:szCs w:val="20"/>
              </w:rPr>
              <w:t>Upcoming Permits</w:t>
            </w:r>
          </w:p>
          <w:p w14:paraId="68D01227" w14:textId="7927C23C" w:rsidR="00145232" w:rsidRPr="00903356" w:rsidRDefault="00145232" w:rsidP="008003D5">
            <w:pPr>
              <w:pStyle w:val="Body"/>
              <w:rPr>
                <w:rFonts w:ascii="Arial" w:eastAsia="Times New Roman" w:hAnsi="Arial" w:cs="Arial"/>
                <w:sz w:val="20"/>
                <w:szCs w:val="20"/>
                <w:bdr w:val="none" w:sz="0" w:space="0" w:color="auto"/>
              </w:rPr>
            </w:pPr>
            <w:r w:rsidRPr="00903356">
              <w:rPr>
                <w:rFonts w:ascii="Arial" w:eastAsia="Times New Roman" w:hAnsi="Arial" w:cs="Arial"/>
                <w:b/>
                <w:i/>
                <w:sz w:val="20"/>
                <w:szCs w:val="20"/>
                <w:bdr w:val="none" w:sz="0" w:space="0" w:color="auto"/>
              </w:rPr>
              <w:t xml:space="preserve">March – </w:t>
            </w:r>
            <w:r w:rsidRPr="00903356">
              <w:rPr>
                <w:rFonts w:ascii="Arial" w:eastAsia="Times New Roman" w:hAnsi="Arial" w:cs="Arial"/>
                <w:i/>
                <w:sz w:val="20"/>
                <w:szCs w:val="20"/>
                <w:bdr w:val="none" w:sz="0" w:space="0" w:color="auto"/>
              </w:rPr>
              <w:t xml:space="preserve">Oro Loma </w:t>
            </w:r>
            <w:r w:rsidR="00AF7347" w:rsidRPr="00903356">
              <w:rPr>
                <w:rFonts w:ascii="Arial" w:eastAsia="Times New Roman" w:hAnsi="Arial" w:cs="Arial"/>
                <w:i/>
                <w:sz w:val="20"/>
                <w:szCs w:val="20"/>
                <w:bdr w:val="none" w:sz="0" w:space="0" w:color="auto"/>
              </w:rPr>
              <w:t>–</w:t>
            </w:r>
            <w:r w:rsidR="00AF7347" w:rsidRPr="00903356">
              <w:rPr>
                <w:rFonts w:ascii="Arial" w:eastAsia="Times New Roman" w:hAnsi="Arial" w:cs="Arial"/>
                <w:sz w:val="20"/>
                <w:szCs w:val="20"/>
                <w:bdr w:val="none" w:sz="0" w:space="0" w:color="auto"/>
              </w:rPr>
              <w:t xml:space="preserve"> They were granted a shallow water discharge prohibition exception for peak flows in exchange for a </w:t>
            </w:r>
            <w:r w:rsidR="00406059">
              <w:rPr>
                <w:rFonts w:ascii="Arial" w:eastAsia="Times New Roman" w:hAnsi="Arial" w:cs="Arial"/>
                <w:sz w:val="20"/>
                <w:szCs w:val="20"/>
                <w:bdr w:val="none" w:sz="0" w:space="0" w:color="auto"/>
              </w:rPr>
              <w:t xml:space="preserve">performance-based </w:t>
            </w:r>
            <w:r w:rsidR="007B15E6">
              <w:rPr>
                <w:rFonts w:ascii="Arial" w:eastAsia="Times New Roman" w:hAnsi="Arial" w:cs="Arial"/>
                <w:sz w:val="20"/>
                <w:szCs w:val="20"/>
                <w:bdr w:val="none" w:sz="0" w:space="0" w:color="auto"/>
              </w:rPr>
              <w:t xml:space="preserve">effluent </w:t>
            </w:r>
            <w:r w:rsidR="00406059">
              <w:rPr>
                <w:rFonts w:ascii="Arial" w:eastAsia="Times New Roman" w:hAnsi="Arial" w:cs="Arial"/>
                <w:sz w:val="20"/>
                <w:szCs w:val="20"/>
                <w:bdr w:val="none" w:sz="0" w:space="0" w:color="auto"/>
              </w:rPr>
              <w:t>limit</w:t>
            </w:r>
            <w:r w:rsidR="007B15E6">
              <w:rPr>
                <w:rFonts w:ascii="Arial" w:eastAsia="Times New Roman" w:hAnsi="Arial" w:cs="Arial"/>
                <w:sz w:val="20"/>
                <w:szCs w:val="20"/>
                <w:bdr w:val="none" w:sz="0" w:space="0" w:color="auto"/>
              </w:rPr>
              <w:t xml:space="preserve"> for ammonia. They will need to achieve</w:t>
            </w:r>
            <w:r w:rsidR="00406059">
              <w:rPr>
                <w:rFonts w:ascii="Arial" w:eastAsia="Times New Roman" w:hAnsi="Arial" w:cs="Arial"/>
                <w:sz w:val="20"/>
                <w:szCs w:val="20"/>
                <w:bdr w:val="none" w:sz="0" w:space="0" w:color="auto"/>
              </w:rPr>
              <w:t xml:space="preserve"> </w:t>
            </w:r>
            <w:r w:rsidR="00AF7347" w:rsidRPr="00903356">
              <w:rPr>
                <w:rFonts w:ascii="Arial" w:eastAsia="Times New Roman" w:hAnsi="Arial" w:cs="Arial"/>
                <w:sz w:val="20"/>
                <w:szCs w:val="20"/>
                <w:bdr w:val="none" w:sz="0" w:space="0" w:color="auto"/>
              </w:rPr>
              <w:t xml:space="preserve">70% ammonia removal, calculated on an annual basis based on monthly influent/effluent measurements.  They will do nitrification year-round and denitrification seasonally. They performed a shellfish survey to verify that the discharge zone does not host shellfish, which influences the effluent coliform limits. </w:t>
            </w:r>
            <w:r w:rsidR="00F41258">
              <w:rPr>
                <w:rFonts w:ascii="Arial" w:eastAsia="Times New Roman" w:hAnsi="Arial" w:cs="Arial"/>
                <w:sz w:val="20"/>
                <w:szCs w:val="20"/>
                <w:bdr w:val="none" w:sz="0" w:space="0" w:color="auto"/>
              </w:rPr>
              <w:t>On Consent Calendar for 3/14.</w:t>
            </w:r>
          </w:p>
          <w:p w14:paraId="1292DC03" w14:textId="6BBFA5E2" w:rsidR="00AF7347" w:rsidRDefault="00AF7347" w:rsidP="00F41258">
            <w:pPr>
              <w:pStyle w:val="Body"/>
              <w:rPr>
                <w:rFonts w:ascii="Arial" w:eastAsia="Times New Roman" w:hAnsi="Arial" w:cs="Arial"/>
                <w:sz w:val="20"/>
                <w:szCs w:val="20"/>
                <w:bdr w:val="none" w:sz="0" w:space="0" w:color="auto"/>
              </w:rPr>
            </w:pPr>
            <w:r w:rsidRPr="00903356">
              <w:rPr>
                <w:rFonts w:ascii="Arial" w:eastAsia="Times New Roman" w:hAnsi="Arial" w:cs="Arial"/>
                <w:b/>
                <w:i/>
                <w:sz w:val="20"/>
                <w:szCs w:val="20"/>
                <w:bdr w:val="none" w:sz="0" w:space="0" w:color="auto"/>
              </w:rPr>
              <w:t xml:space="preserve">May – </w:t>
            </w:r>
            <w:r w:rsidRPr="00903356">
              <w:rPr>
                <w:rFonts w:ascii="Arial" w:eastAsia="Times New Roman" w:hAnsi="Arial" w:cs="Arial"/>
                <w:i/>
                <w:sz w:val="20"/>
                <w:szCs w:val="20"/>
                <w:bdr w:val="none" w:sz="0" w:space="0" w:color="auto"/>
              </w:rPr>
              <w:t>San Mateo</w:t>
            </w:r>
            <w:r w:rsidRPr="00903356">
              <w:rPr>
                <w:rFonts w:ascii="Arial" w:eastAsia="Times New Roman" w:hAnsi="Arial" w:cs="Arial"/>
                <w:b/>
                <w:i/>
                <w:sz w:val="20"/>
                <w:szCs w:val="20"/>
                <w:bdr w:val="none" w:sz="0" w:space="0" w:color="auto"/>
              </w:rPr>
              <w:t xml:space="preserve"> –</w:t>
            </w:r>
            <w:r w:rsidRPr="00903356">
              <w:rPr>
                <w:rFonts w:ascii="Arial" w:eastAsia="Times New Roman" w:hAnsi="Arial" w:cs="Arial"/>
                <w:i/>
                <w:sz w:val="20"/>
                <w:szCs w:val="20"/>
                <w:bdr w:val="none" w:sz="0" w:space="0" w:color="auto"/>
              </w:rPr>
              <w:t xml:space="preserve"> </w:t>
            </w:r>
            <w:r w:rsidR="00F41258">
              <w:rPr>
                <w:rFonts w:ascii="Arial" w:eastAsia="Times New Roman" w:hAnsi="Arial" w:cs="Arial"/>
                <w:sz w:val="20"/>
                <w:szCs w:val="20"/>
                <w:bdr w:val="none" w:sz="0" w:space="0" w:color="auto"/>
              </w:rPr>
              <w:t xml:space="preserve">They have not requested permission to blend this permit cycle. There is new language being introduced </w:t>
            </w:r>
            <w:r w:rsidR="00864854">
              <w:rPr>
                <w:rFonts w:ascii="Arial" w:eastAsia="Times New Roman" w:hAnsi="Arial" w:cs="Arial"/>
                <w:sz w:val="20"/>
                <w:szCs w:val="20"/>
                <w:bdr w:val="none" w:sz="0" w:space="0" w:color="auto"/>
              </w:rPr>
              <w:t xml:space="preserve">into theirs and other permits </w:t>
            </w:r>
            <w:r w:rsidR="00F41258">
              <w:rPr>
                <w:rFonts w:ascii="Arial" w:eastAsia="Times New Roman" w:hAnsi="Arial" w:cs="Arial"/>
                <w:sz w:val="20"/>
                <w:szCs w:val="20"/>
                <w:bdr w:val="none" w:sz="0" w:space="0" w:color="auto"/>
              </w:rPr>
              <w:t xml:space="preserve">about anaerobic digestion (new language underlined): </w:t>
            </w:r>
            <w:r w:rsidR="00F41258" w:rsidRPr="00F41258">
              <w:rPr>
                <w:rFonts w:ascii="Arial" w:eastAsia="Times New Roman" w:hAnsi="Arial" w:cs="Arial"/>
                <w:i/>
                <w:sz w:val="20"/>
                <w:szCs w:val="20"/>
                <w:bdr w:val="none" w:sz="0" w:space="0" w:color="auto"/>
              </w:rPr>
              <w:t xml:space="preserve">“The California Department of Resources Recycling and Recovery has proposed to exclude POTWs from Process Facility/Transfer Station permit requirements when the same activities are regulated under WDRs or NPDES permits. </w:t>
            </w:r>
            <w:r w:rsidR="00F41258" w:rsidRPr="00F41258">
              <w:rPr>
                <w:rFonts w:ascii="Arial" w:eastAsia="Times New Roman" w:hAnsi="Arial" w:cs="Arial"/>
                <w:i/>
                <w:sz w:val="20"/>
                <w:szCs w:val="20"/>
                <w:u w:val="single"/>
                <w:bdr w:val="none" w:sz="0" w:space="0" w:color="auto"/>
              </w:rPr>
              <w:t xml:space="preserve">The proposed exclusion is restricted to anaerobically-digestible materials that have been prescreened, </w:t>
            </w:r>
            <w:proofErr w:type="spellStart"/>
            <w:r w:rsidR="00F41258" w:rsidRPr="00F41258">
              <w:rPr>
                <w:rFonts w:ascii="Arial" w:eastAsia="Times New Roman" w:hAnsi="Arial" w:cs="Arial"/>
                <w:i/>
                <w:sz w:val="20"/>
                <w:szCs w:val="20"/>
                <w:u w:val="single"/>
                <w:bdr w:val="none" w:sz="0" w:space="0" w:color="auto"/>
              </w:rPr>
              <w:t>slurried</w:t>
            </w:r>
            <w:proofErr w:type="spellEnd"/>
            <w:r w:rsidR="00F41258" w:rsidRPr="00F41258">
              <w:rPr>
                <w:rFonts w:ascii="Arial" w:eastAsia="Times New Roman" w:hAnsi="Arial" w:cs="Arial"/>
                <w:i/>
                <w:sz w:val="20"/>
                <w:szCs w:val="20"/>
                <w:u w:val="single"/>
                <w:bdr w:val="none" w:sz="0" w:space="0" w:color="auto"/>
              </w:rPr>
              <w:t>, processed, and conveyed in a closed system for co-digestion with regular sewage sludge</w:t>
            </w:r>
            <w:r w:rsidR="00F41258" w:rsidRPr="00F41258">
              <w:rPr>
                <w:rFonts w:ascii="Arial" w:eastAsia="Times New Roman" w:hAnsi="Arial" w:cs="Arial"/>
                <w:i/>
                <w:sz w:val="20"/>
                <w:szCs w:val="20"/>
                <w:bdr w:val="none" w:sz="0" w:space="0" w:color="auto"/>
              </w:rPr>
              <w:t>.”</w:t>
            </w:r>
            <w:r w:rsidR="00F41258">
              <w:rPr>
                <w:rFonts w:ascii="Arial" w:eastAsia="Times New Roman" w:hAnsi="Arial" w:cs="Arial"/>
                <w:i/>
                <w:sz w:val="20"/>
                <w:szCs w:val="20"/>
                <w:bdr w:val="none" w:sz="0" w:space="0" w:color="auto"/>
              </w:rPr>
              <w:t xml:space="preserve"> </w:t>
            </w:r>
            <w:r w:rsidR="00F41258">
              <w:rPr>
                <w:rFonts w:ascii="Arial" w:eastAsia="Times New Roman" w:hAnsi="Arial" w:cs="Arial"/>
                <w:sz w:val="20"/>
                <w:szCs w:val="20"/>
                <w:bdr w:val="none" w:sz="0" w:space="0" w:color="auto"/>
              </w:rPr>
              <w:t>Members also had concerns about methods for measuring me</w:t>
            </w:r>
            <w:r w:rsidR="00864854">
              <w:rPr>
                <w:rFonts w:ascii="Arial" w:eastAsia="Times New Roman" w:hAnsi="Arial" w:cs="Arial"/>
                <w:sz w:val="20"/>
                <w:szCs w:val="20"/>
                <w:bdr w:val="none" w:sz="0" w:space="0" w:color="auto"/>
              </w:rPr>
              <w:t>r</w:t>
            </w:r>
            <w:r w:rsidR="00F41258">
              <w:rPr>
                <w:rFonts w:ascii="Arial" w:eastAsia="Times New Roman" w:hAnsi="Arial" w:cs="Arial"/>
                <w:sz w:val="20"/>
                <w:szCs w:val="20"/>
                <w:bdr w:val="none" w:sz="0" w:space="0" w:color="auto"/>
              </w:rPr>
              <w:t xml:space="preserve">cury in influent and </w:t>
            </w:r>
            <w:proofErr w:type="spellStart"/>
            <w:r w:rsidR="00F41258">
              <w:rPr>
                <w:rFonts w:ascii="Arial" w:eastAsia="Times New Roman" w:hAnsi="Arial" w:cs="Arial"/>
                <w:sz w:val="20"/>
                <w:szCs w:val="20"/>
                <w:bdr w:val="none" w:sz="0" w:space="0" w:color="auto"/>
              </w:rPr>
              <w:t>biosolids</w:t>
            </w:r>
            <w:proofErr w:type="spellEnd"/>
            <w:r w:rsidR="00F41258">
              <w:rPr>
                <w:rFonts w:ascii="Arial" w:eastAsia="Times New Roman" w:hAnsi="Arial" w:cs="Arial"/>
                <w:sz w:val="20"/>
                <w:szCs w:val="20"/>
                <w:bdr w:val="none" w:sz="0" w:space="0" w:color="auto"/>
              </w:rPr>
              <w:t xml:space="preserve">.  </w:t>
            </w:r>
            <w:proofErr w:type="spellStart"/>
            <w:r w:rsidR="00F41258">
              <w:rPr>
                <w:rFonts w:ascii="Arial" w:eastAsia="Times New Roman" w:hAnsi="Arial" w:cs="Arial"/>
                <w:sz w:val="20"/>
                <w:szCs w:val="20"/>
                <w:bdr w:val="none" w:sz="0" w:space="0" w:color="auto"/>
              </w:rPr>
              <w:t>Lorien</w:t>
            </w:r>
            <w:proofErr w:type="spellEnd"/>
            <w:r w:rsidR="00F41258">
              <w:rPr>
                <w:rFonts w:ascii="Arial" w:eastAsia="Times New Roman" w:hAnsi="Arial" w:cs="Arial"/>
                <w:sz w:val="20"/>
                <w:szCs w:val="20"/>
                <w:bdr w:val="none" w:sz="0" w:space="0" w:color="auto"/>
              </w:rPr>
              <w:t xml:space="preserve"> with follow up with the Water Board on these items.</w:t>
            </w:r>
          </w:p>
          <w:p w14:paraId="73097BA0" w14:textId="77777777" w:rsidR="00F41258" w:rsidRDefault="00F41258" w:rsidP="0022770F">
            <w:pPr>
              <w:pStyle w:val="Body"/>
              <w:rPr>
                <w:rFonts w:ascii="Arial" w:eastAsia="Times New Roman" w:hAnsi="Arial" w:cs="Arial"/>
                <w:sz w:val="20"/>
                <w:szCs w:val="20"/>
                <w:bdr w:val="none" w:sz="0" w:space="0" w:color="auto"/>
              </w:rPr>
            </w:pPr>
            <w:r>
              <w:rPr>
                <w:rFonts w:ascii="Arial" w:eastAsia="Times New Roman" w:hAnsi="Arial" w:cs="Arial"/>
                <w:b/>
                <w:i/>
                <w:sz w:val="20"/>
                <w:szCs w:val="20"/>
                <w:bdr w:val="none" w:sz="0" w:space="0" w:color="auto"/>
              </w:rPr>
              <w:t xml:space="preserve">June </w:t>
            </w:r>
            <w:r w:rsidR="0022770F">
              <w:rPr>
                <w:rFonts w:ascii="Arial" w:eastAsia="Times New Roman" w:hAnsi="Arial" w:cs="Arial"/>
                <w:b/>
                <w:i/>
                <w:sz w:val="20"/>
                <w:szCs w:val="20"/>
                <w:bdr w:val="none" w:sz="0" w:space="0" w:color="auto"/>
              </w:rPr>
              <w:t>–</w:t>
            </w:r>
            <w:r>
              <w:rPr>
                <w:rFonts w:ascii="Arial" w:eastAsia="Times New Roman" w:hAnsi="Arial" w:cs="Arial"/>
                <w:i/>
                <w:sz w:val="20"/>
                <w:szCs w:val="20"/>
                <w:bdr w:val="none" w:sz="0" w:space="0" w:color="auto"/>
              </w:rPr>
              <w:t xml:space="preserve"> Sausalito</w:t>
            </w:r>
            <w:r w:rsidR="0022770F">
              <w:rPr>
                <w:rFonts w:ascii="Arial" w:eastAsia="Times New Roman" w:hAnsi="Arial" w:cs="Arial"/>
                <w:i/>
                <w:sz w:val="20"/>
                <w:szCs w:val="20"/>
                <w:bdr w:val="none" w:sz="0" w:space="0" w:color="auto"/>
              </w:rPr>
              <w:t xml:space="preserve">- </w:t>
            </w:r>
            <w:r w:rsidR="0022770F">
              <w:rPr>
                <w:rFonts w:ascii="Arial" w:eastAsia="Times New Roman" w:hAnsi="Arial" w:cs="Arial"/>
                <w:sz w:val="20"/>
                <w:szCs w:val="20"/>
                <w:bdr w:val="none" w:sz="0" w:space="0" w:color="auto"/>
              </w:rPr>
              <w:t>Submitted an updated No Feasible Alternatives analysis.  They have not blended much in recent years.</w:t>
            </w:r>
          </w:p>
          <w:p w14:paraId="3A166F22" w14:textId="14A9AF53" w:rsidR="0022770F" w:rsidRPr="0022770F" w:rsidRDefault="0022770F" w:rsidP="0022770F">
            <w:pPr>
              <w:pStyle w:val="Body"/>
              <w:rPr>
                <w:rFonts w:ascii="Arial" w:eastAsia="Times New Roman" w:hAnsi="Arial" w:cs="Arial"/>
                <w:sz w:val="20"/>
                <w:szCs w:val="20"/>
                <w:bdr w:val="none" w:sz="0" w:space="0" w:color="auto"/>
              </w:rPr>
            </w:pPr>
            <w:r>
              <w:rPr>
                <w:rFonts w:ascii="Arial" w:eastAsia="Times New Roman" w:hAnsi="Arial" w:cs="Arial"/>
                <w:i/>
                <w:sz w:val="20"/>
                <w:szCs w:val="20"/>
                <w:bdr w:val="none" w:sz="0" w:space="0" w:color="auto"/>
              </w:rPr>
              <w:t xml:space="preserve">Burlingame – </w:t>
            </w:r>
            <w:r>
              <w:rPr>
                <w:rFonts w:ascii="Arial" w:eastAsia="Times New Roman" w:hAnsi="Arial" w:cs="Arial"/>
                <w:sz w:val="20"/>
                <w:szCs w:val="20"/>
                <w:bdr w:val="none" w:sz="0" w:space="0" w:color="auto"/>
              </w:rPr>
              <w:t>Permit may be delayed due to dilution study update.</w:t>
            </w:r>
          </w:p>
        </w:tc>
      </w:tr>
      <w:tr w:rsidR="008E5D11" w:rsidRPr="00903356" w14:paraId="55B8AFA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69C04" w14:textId="435FE5F1" w:rsidR="008E5D11" w:rsidRPr="00903356" w:rsidRDefault="0022770F" w:rsidP="00DD5026">
            <w:pPr>
              <w:pStyle w:val="Body"/>
              <w:rPr>
                <w:rFonts w:ascii="Arial" w:hAnsi="Arial" w:cs="Arial"/>
                <w:b/>
                <w:bCs/>
                <w:sz w:val="20"/>
                <w:szCs w:val="20"/>
              </w:rPr>
            </w:pPr>
            <w:r>
              <w:rPr>
                <w:rFonts w:ascii="Arial" w:hAnsi="Arial" w:cs="Arial"/>
                <w:b/>
                <w:bCs/>
                <w:sz w:val="20"/>
                <w:szCs w:val="20"/>
              </w:rPr>
              <w:t>Blending issues</w:t>
            </w:r>
          </w:p>
          <w:p w14:paraId="66F0FDF2" w14:textId="430DA04F" w:rsidR="0022770F" w:rsidRDefault="0022770F" w:rsidP="00DD5026">
            <w:pPr>
              <w:pStyle w:val="Body"/>
              <w:rPr>
                <w:rFonts w:ascii="Arial" w:hAnsi="Arial" w:cs="Arial"/>
                <w:bCs/>
                <w:sz w:val="20"/>
                <w:szCs w:val="20"/>
              </w:rPr>
            </w:pPr>
            <w:r>
              <w:rPr>
                <w:rFonts w:ascii="Arial" w:hAnsi="Arial" w:cs="Arial"/>
                <w:bCs/>
                <w:sz w:val="20"/>
                <w:szCs w:val="20"/>
              </w:rPr>
              <w:t xml:space="preserve">After conferring with its blending member agencies without reaching consensus, BACWA decided not to join the Petition asking the State Water Board to remand CMSA’s NPDES permit incorporating its satellite agencies.  BACWA may join CASA in a letter requesting that the State Water Board take up the petition. Two other blending agencies permits are up for </w:t>
            </w:r>
            <w:proofErr w:type="spellStart"/>
            <w:r>
              <w:rPr>
                <w:rFonts w:ascii="Arial" w:hAnsi="Arial" w:cs="Arial"/>
                <w:bCs/>
                <w:sz w:val="20"/>
                <w:szCs w:val="20"/>
              </w:rPr>
              <w:t>readoption</w:t>
            </w:r>
            <w:proofErr w:type="spellEnd"/>
            <w:r>
              <w:rPr>
                <w:rFonts w:ascii="Arial" w:hAnsi="Arial" w:cs="Arial"/>
                <w:bCs/>
                <w:sz w:val="20"/>
                <w:szCs w:val="20"/>
              </w:rPr>
              <w:t xml:space="preserve"> right now, Burlingame and Sausalito, and neither of these TOs incorporate the satellite agencies.</w:t>
            </w:r>
          </w:p>
          <w:p w14:paraId="7B388C00" w14:textId="77777777" w:rsidR="0022770F" w:rsidRDefault="0022770F" w:rsidP="00DD5026">
            <w:pPr>
              <w:pStyle w:val="Body"/>
              <w:rPr>
                <w:rFonts w:ascii="Arial" w:hAnsi="Arial" w:cs="Arial"/>
                <w:bCs/>
                <w:sz w:val="20"/>
                <w:szCs w:val="20"/>
              </w:rPr>
            </w:pPr>
          </w:p>
          <w:p w14:paraId="4785090A" w14:textId="288DE759" w:rsidR="008E5D11" w:rsidRPr="00903356" w:rsidRDefault="0022770F" w:rsidP="00DD5026">
            <w:pPr>
              <w:pStyle w:val="Body"/>
              <w:rPr>
                <w:rFonts w:ascii="Arial" w:hAnsi="Arial" w:cs="Arial"/>
                <w:bCs/>
                <w:sz w:val="20"/>
                <w:szCs w:val="20"/>
              </w:rPr>
            </w:pPr>
            <w:r w:rsidRPr="0022770F">
              <w:rPr>
                <w:rFonts w:ascii="Arial" w:hAnsi="Arial" w:cs="Arial"/>
                <w:bCs/>
                <w:sz w:val="20"/>
                <w:szCs w:val="20"/>
              </w:rPr>
              <w:t>In 2013, the Eighth Circuit Court of Appeal ruled, in a case of the Iowa League of Cities versus the USEPA, that blending is allowable if secondary treatment standards are met at the end of pipe. EPA has since stated that the decision applies only in the jurisdiction of the Eighth Circuit, and that it will apply the decision elsewhere in the country on a case-by-case basis. There has since been a challenge at the DC Circuit Court of Appeals to challenge EPA's refusal to apply the Iowa League of Cities decision nationwide, but on February 28, 2017, the Court decided it did not have jurisdiction over the matter.  On February 20, 2018, the U.S. Supreme Court denied a petition for review of the DC Circuit Court of Appeals ruling. Because the DC Circuit's ruling was procedural in nature, application of the Iowa League of Cities decision, and EPA's corresponding authority to regulate blending outside of the Eighth Circuit remains an open judicial question.</w:t>
            </w:r>
          </w:p>
        </w:tc>
      </w:tr>
      <w:tr w:rsidR="001E7387" w:rsidRPr="00903356"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33707FC5" w:rsidR="001E7387" w:rsidRPr="00903356" w:rsidRDefault="0022770F" w:rsidP="00DD5026">
            <w:pPr>
              <w:pStyle w:val="Body"/>
              <w:rPr>
                <w:rFonts w:ascii="Arial" w:hAnsi="Arial" w:cs="Arial"/>
                <w:b/>
                <w:bCs/>
                <w:sz w:val="20"/>
                <w:szCs w:val="20"/>
              </w:rPr>
            </w:pPr>
            <w:r>
              <w:rPr>
                <w:rFonts w:ascii="Arial" w:hAnsi="Arial" w:cs="Arial"/>
                <w:b/>
                <w:bCs/>
                <w:sz w:val="20"/>
                <w:szCs w:val="20"/>
              </w:rPr>
              <w:t>PCB Congener Reporting</w:t>
            </w:r>
          </w:p>
          <w:p w14:paraId="55B0EA70" w14:textId="77BF1F18" w:rsidR="004A2985" w:rsidRPr="00903356" w:rsidRDefault="0022770F" w:rsidP="00484540">
            <w:pPr>
              <w:spacing w:after="160" w:line="259" w:lineRule="auto"/>
              <w:rPr>
                <w:rFonts w:ascii="Arial" w:hAnsi="Arial" w:cs="Arial"/>
                <w:sz w:val="20"/>
                <w:szCs w:val="20"/>
              </w:rPr>
            </w:pPr>
            <w:r>
              <w:rPr>
                <w:rFonts w:ascii="Arial" w:hAnsi="Arial" w:cs="Arial"/>
                <w:sz w:val="20"/>
                <w:szCs w:val="20"/>
              </w:rPr>
              <w:t xml:space="preserve">The Water Board has advised agencies to use </w:t>
            </w:r>
            <w:proofErr w:type="spellStart"/>
            <w:r>
              <w:rPr>
                <w:rFonts w:ascii="Arial" w:hAnsi="Arial" w:cs="Arial"/>
                <w:sz w:val="20"/>
                <w:szCs w:val="20"/>
              </w:rPr>
              <w:t>pic</w:t>
            </w:r>
            <w:r w:rsidR="00484540">
              <w:rPr>
                <w:rFonts w:ascii="Arial" w:hAnsi="Arial" w:cs="Arial"/>
                <w:sz w:val="20"/>
                <w:szCs w:val="20"/>
              </w:rPr>
              <w:t>ograms</w:t>
            </w:r>
            <w:proofErr w:type="spellEnd"/>
            <w:r w:rsidR="00484540">
              <w:rPr>
                <w:rFonts w:ascii="Arial" w:hAnsi="Arial" w:cs="Arial"/>
                <w:sz w:val="20"/>
                <w:szCs w:val="20"/>
              </w:rPr>
              <w:t xml:space="preserve"> per </w:t>
            </w:r>
            <w:r>
              <w:rPr>
                <w:rFonts w:ascii="Arial" w:hAnsi="Arial" w:cs="Arial"/>
                <w:sz w:val="20"/>
                <w:szCs w:val="20"/>
              </w:rPr>
              <w:t>liter instead of micrograms</w:t>
            </w:r>
            <w:r w:rsidR="00484540">
              <w:rPr>
                <w:rFonts w:ascii="Arial" w:hAnsi="Arial" w:cs="Arial"/>
                <w:sz w:val="20"/>
                <w:szCs w:val="20"/>
              </w:rPr>
              <w:t xml:space="preserve"> per </w:t>
            </w:r>
            <w:r>
              <w:rPr>
                <w:rFonts w:ascii="Arial" w:hAnsi="Arial" w:cs="Arial"/>
                <w:sz w:val="20"/>
                <w:szCs w:val="20"/>
              </w:rPr>
              <w:t xml:space="preserve">liter when reporting PCB data, since CIWQS does not </w:t>
            </w:r>
            <w:r w:rsidR="00484540">
              <w:rPr>
                <w:rFonts w:ascii="Arial" w:hAnsi="Arial" w:cs="Arial"/>
                <w:sz w:val="20"/>
                <w:szCs w:val="20"/>
              </w:rPr>
              <w:t>allow</w:t>
            </w:r>
            <w:r>
              <w:rPr>
                <w:rFonts w:ascii="Arial" w:hAnsi="Arial" w:cs="Arial"/>
                <w:sz w:val="20"/>
                <w:szCs w:val="20"/>
              </w:rPr>
              <w:t xml:space="preserve"> enough significant figures to report </w:t>
            </w:r>
            <w:r w:rsidR="00B97C6D">
              <w:rPr>
                <w:rFonts w:ascii="Arial" w:hAnsi="Arial" w:cs="Arial"/>
                <w:sz w:val="20"/>
                <w:szCs w:val="20"/>
              </w:rPr>
              <w:t>via</w:t>
            </w:r>
            <w:r w:rsidR="00484540">
              <w:rPr>
                <w:rFonts w:ascii="Arial" w:hAnsi="Arial" w:cs="Arial"/>
                <w:sz w:val="20"/>
                <w:szCs w:val="20"/>
              </w:rPr>
              <w:t xml:space="preserve"> micrograms, the reporting unit</w:t>
            </w:r>
            <w:r>
              <w:rPr>
                <w:rFonts w:ascii="Arial" w:hAnsi="Arial" w:cs="Arial"/>
                <w:sz w:val="20"/>
                <w:szCs w:val="20"/>
              </w:rPr>
              <w:t xml:space="preserve"> stipulated by the permit.  There has also been some uncertainty about</w:t>
            </w:r>
            <w:r w:rsidR="00B97C6D">
              <w:rPr>
                <w:rFonts w:ascii="Arial" w:hAnsi="Arial" w:cs="Arial"/>
                <w:sz w:val="20"/>
                <w:szCs w:val="20"/>
              </w:rPr>
              <w:t xml:space="preserve"> how to report estimated detection limits, or “EDLs” in a</w:t>
            </w:r>
            <w:r w:rsidR="00484540">
              <w:rPr>
                <w:rFonts w:ascii="Arial" w:hAnsi="Arial" w:cs="Arial"/>
                <w:sz w:val="20"/>
                <w:szCs w:val="20"/>
              </w:rPr>
              <w:t xml:space="preserve"> CIWQS</w:t>
            </w:r>
            <w:r w:rsidR="00B97C6D">
              <w:rPr>
                <w:rFonts w:ascii="Arial" w:hAnsi="Arial" w:cs="Arial"/>
                <w:sz w:val="20"/>
                <w:szCs w:val="20"/>
              </w:rPr>
              <w:t xml:space="preserve"> form that only allows MDLs.  The Lab committee will work with the contract labs to propose a guidance</w:t>
            </w:r>
            <w:r w:rsidR="00484540">
              <w:rPr>
                <w:rFonts w:ascii="Arial" w:hAnsi="Arial" w:cs="Arial"/>
                <w:sz w:val="20"/>
                <w:szCs w:val="20"/>
              </w:rPr>
              <w:t xml:space="preserve"> letter</w:t>
            </w:r>
            <w:r w:rsidR="00B97C6D">
              <w:rPr>
                <w:rFonts w:ascii="Arial" w:hAnsi="Arial" w:cs="Arial"/>
                <w:sz w:val="20"/>
                <w:szCs w:val="20"/>
              </w:rPr>
              <w:t xml:space="preserve"> that can be issued by the Regional Water Board.</w:t>
            </w:r>
          </w:p>
        </w:tc>
      </w:tr>
      <w:tr w:rsidR="008E5D11" w:rsidRPr="00903356" w14:paraId="20B542B5"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BBC71" w14:textId="32ACAD4F" w:rsidR="008E5D11" w:rsidRPr="00B97C6D" w:rsidRDefault="00B97C6D" w:rsidP="00B97C6D">
            <w:pPr>
              <w:pStyle w:val="Body"/>
              <w:rPr>
                <w:rFonts w:ascii="Arial" w:hAnsi="Arial" w:cs="Arial"/>
                <w:bCs/>
                <w:sz w:val="20"/>
                <w:szCs w:val="20"/>
              </w:rPr>
            </w:pPr>
            <w:r>
              <w:rPr>
                <w:rFonts w:ascii="Arial" w:hAnsi="Arial" w:cs="Arial"/>
                <w:b/>
                <w:bCs/>
                <w:sz w:val="20"/>
                <w:szCs w:val="20"/>
              </w:rPr>
              <w:t>ELAP Update</w:t>
            </w:r>
          </w:p>
          <w:p w14:paraId="5449EA41" w14:textId="35BDCA43" w:rsidR="00B97C6D" w:rsidRDefault="00B97C6D" w:rsidP="00B97C6D">
            <w:pPr>
              <w:pStyle w:val="Body"/>
              <w:rPr>
                <w:rFonts w:ascii="Arial" w:hAnsi="Arial" w:cs="Arial"/>
                <w:bCs/>
                <w:sz w:val="20"/>
                <w:szCs w:val="20"/>
              </w:rPr>
            </w:pPr>
            <w:r>
              <w:rPr>
                <w:rFonts w:ascii="Arial" w:hAnsi="Arial" w:cs="Arial"/>
                <w:bCs/>
                <w:sz w:val="20"/>
                <w:szCs w:val="20"/>
              </w:rPr>
              <w:t>New language in permits requiring a QA/QC procedure to be developed for online field sensors is intended to clarify tests already allowed by the Water Code, not to provide agencies an option to reduce documentation burdens asso</w:t>
            </w:r>
            <w:r w:rsidR="00484540">
              <w:rPr>
                <w:rFonts w:ascii="Arial" w:hAnsi="Arial" w:cs="Arial"/>
                <w:bCs/>
                <w:sz w:val="20"/>
                <w:szCs w:val="20"/>
              </w:rPr>
              <w:t>ciated with the transition to TN</w:t>
            </w:r>
            <w:r>
              <w:rPr>
                <w:rFonts w:ascii="Arial" w:hAnsi="Arial" w:cs="Arial"/>
                <w:bCs/>
                <w:sz w:val="20"/>
                <w:szCs w:val="20"/>
              </w:rPr>
              <w:t xml:space="preserve">I. </w:t>
            </w:r>
            <w:r w:rsidR="00484540">
              <w:rPr>
                <w:rFonts w:ascii="Arial" w:hAnsi="Arial" w:cs="Arial"/>
                <w:bCs/>
                <w:sz w:val="20"/>
                <w:szCs w:val="20"/>
              </w:rPr>
              <w:t xml:space="preserve">The allowable field tests are </w:t>
            </w:r>
            <w:r w:rsidR="00484540" w:rsidRPr="00484540">
              <w:rPr>
                <w:rFonts w:ascii="Arial" w:hAnsi="Arial" w:cs="Arial"/>
                <w:bCs/>
                <w:sz w:val="20"/>
                <w:szCs w:val="20"/>
              </w:rPr>
              <w:t xml:space="preserve">turbidity, pH, temperature, dissolved oxygen, conductivity, </w:t>
            </w:r>
            <w:proofErr w:type="gramStart"/>
            <w:r w:rsidR="00484540" w:rsidRPr="00484540">
              <w:rPr>
                <w:rFonts w:ascii="Arial" w:hAnsi="Arial" w:cs="Arial"/>
                <w:bCs/>
                <w:sz w:val="20"/>
                <w:szCs w:val="20"/>
              </w:rPr>
              <w:t>disinfectant</w:t>
            </w:r>
            <w:proofErr w:type="gramEnd"/>
            <w:r w:rsidR="00484540" w:rsidRPr="00484540">
              <w:rPr>
                <w:rFonts w:ascii="Arial" w:hAnsi="Arial" w:cs="Arial"/>
                <w:bCs/>
                <w:sz w:val="20"/>
                <w:szCs w:val="20"/>
              </w:rPr>
              <w:t xml:space="preserve"> residual</w:t>
            </w:r>
            <w:r w:rsidR="00484540">
              <w:rPr>
                <w:rFonts w:ascii="Arial" w:hAnsi="Arial" w:cs="Arial"/>
                <w:bCs/>
                <w:sz w:val="20"/>
                <w:szCs w:val="20"/>
              </w:rPr>
              <w:t>.</w:t>
            </w:r>
            <w:r>
              <w:rPr>
                <w:rFonts w:ascii="Arial" w:hAnsi="Arial" w:cs="Arial"/>
                <w:bCs/>
                <w:sz w:val="20"/>
                <w:szCs w:val="20"/>
              </w:rPr>
              <w:t xml:space="preserve"> If new </w:t>
            </w:r>
            <w:r w:rsidR="00484540">
              <w:rPr>
                <w:rFonts w:ascii="Arial" w:hAnsi="Arial" w:cs="Arial"/>
                <w:bCs/>
                <w:sz w:val="20"/>
                <w:szCs w:val="20"/>
              </w:rPr>
              <w:t>constituents</w:t>
            </w:r>
            <w:r>
              <w:rPr>
                <w:rFonts w:ascii="Arial" w:hAnsi="Arial" w:cs="Arial"/>
                <w:bCs/>
                <w:sz w:val="20"/>
                <w:szCs w:val="20"/>
              </w:rPr>
              <w:t xml:space="preserve"> are to be measured via online sensors, EPA permission would ne</w:t>
            </w:r>
            <w:r w:rsidR="00484540">
              <w:rPr>
                <w:rFonts w:ascii="Arial" w:hAnsi="Arial" w:cs="Arial"/>
                <w:bCs/>
                <w:sz w:val="20"/>
                <w:szCs w:val="20"/>
              </w:rPr>
              <w:t>e</w:t>
            </w:r>
            <w:r>
              <w:rPr>
                <w:rFonts w:ascii="Arial" w:hAnsi="Arial" w:cs="Arial"/>
                <w:bCs/>
                <w:sz w:val="20"/>
                <w:szCs w:val="20"/>
              </w:rPr>
              <w:t>d to be obtained.</w:t>
            </w:r>
          </w:p>
          <w:p w14:paraId="2581868B" w14:textId="77777777" w:rsidR="00B97C6D" w:rsidRDefault="00B97C6D" w:rsidP="00B97C6D">
            <w:pPr>
              <w:pStyle w:val="Body"/>
              <w:rPr>
                <w:rFonts w:ascii="Arial" w:hAnsi="Arial" w:cs="Arial"/>
                <w:bCs/>
                <w:sz w:val="20"/>
                <w:szCs w:val="20"/>
              </w:rPr>
            </w:pPr>
          </w:p>
          <w:p w14:paraId="015E7B85" w14:textId="7899C6A7" w:rsidR="00B97C6D" w:rsidRPr="00903356" w:rsidRDefault="00B97C6D" w:rsidP="00484540">
            <w:pPr>
              <w:pStyle w:val="Body"/>
              <w:rPr>
                <w:rFonts w:ascii="Arial" w:hAnsi="Arial" w:cs="Arial"/>
                <w:bCs/>
                <w:sz w:val="20"/>
                <w:szCs w:val="20"/>
              </w:rPr>
            </w:pPr>
            <w:r>
              <w:rPr>
                <w:rFonts w:ascii="Arial" w:hAnsi="Arial" w:cs="Arial"/>
                <w:bCs/>
                <w:sz w:val="20"/>
                <w:szCs w:val="20"/>
              </w:rPr>
              <w:t xml:space="preserve">Members were asked what </w:t>
            </w:r>
            <w:r w:rsidR="00484540">
              <w:rPr>
                <w:rFonts w:ascii="Arial" w:hAnsi="Arial" w:cs="Arial"/>
                <w:bCs/>
                <w:sz w:val="20"/>
                <w:szCs w:val="20"/>
              </w:rPr>
              <w:t xml:space="preserve">actions could BACWA take that </w:t>
            </w:r>
            <w:r>
              <w:rPr>
                <w:rFonts w:ascii="Arial" w:hAnsi="Arial" w:cs="Arial"/>
                <w:bCs/>
                <w:sz w:val="20"/>
                <w:szCs w:val="20"/>
              </w:rPr>
              <w:t xml:space="preserve">would be </w:t>
            </w:r>
            <w:r w:rsidR="0025585A">
              <w:rPr>
                <w:rFonts w:ascii="Arial" w:hAnsi="Arial" w:cs="Arial"/>
                <w:bCs/>
                <w:sz w:val="20"/>
                <w:szCs w:val="20"/>
              </w:rPr>
              <w:t>useful</w:t>
            </w:r>
            <w:r>
              <w:rPr>
                <w:rFonts w:ascii="Arial" w:hAnsi="Arial" w:cs="Arial"/>
                <w:bCs/>
                <w:sz w:val="20"/>
                <w:szCs w:val="20"/>
              </w:rPr>
              <w:t xml:space="preserve"> assistance in the transition to TNI. </w:t>
            </w:r>
            <w:r w:rsidR="0025585A">
              <w:rPr>
                <w:rFonts w:ascii="Arial" w:hAnsi="Arial" w:cs="Arial"/>
                <w:bCs/>
                <w:sz w:val="20"/>
                <w:szCs w:val="20"/>
              </w:rPr>
              <w:t>Agencies are focused on implementation, and are getting training and other input through CWEA. Some agencies have hired Diane Law</w:t>
            </w:r>
            <w:r w:rsidR="00484540">
              <w:rPr>
                <w:rFonts w:ascii="Arial" w:hAnsi="Arial" w:cs="Arial"/>
                <w:bCs/>
                <w:sz w:val="20"/>
                <w:szCs w:val="20"/>
              </w:rPr>
              <w:t>v</w:t>
            </w:r>
            <w:r w:rsidR="0025585A">
              <w:rPr>
                <w:rFonts w:ascii="Arial" w:hAnsi="Arial" w:cs="Arial"/>
                <w:bCs/>
                <w:sz w:val="20"/>
                <w:szCs w:val="20"/>
              </w:rPr>
              <w:t>er to consult on the transition and guide agencies on how to proceed. CCCSD will have an implementation plan by the end of the year. They will need about 18 mon</w:t>
            </w:r>
            <w:r w:rsidR="00484540">
              <w:rPr>
                <w:rFonts w:ascii="Arial" w:hAnsi="Arial" w:cs="Arial"/>
                <w:bCs/>
                <w:sz w:val="20"/>
                <w:szCs w:val="20"/>
              </w:rPr>
              <w:t>ths of staff time to get set up. T</w:t>
            </w:r>
            <w:r w:rsidR="0025585A">
              <w:rPr>
                <w:rFonts w:ascii="Arial" w:hAnsi="Arial" w:cs="Arial"/>
                <w:bCs/>
                <w:sz w:val="20"/>
                <w:szCs w:val="20"/>
              </w:rPr>
              <w:t>his estimate</w:t>
            </w:r>
            <w:r w:rsidR="00484540">
              <w:rPr>
                <w:rFonts w:ascii="Arial" w:hAnsi="Arial" w:cs="Arial"/>
                <w:bCs/>
                <w:sz w:val="20"/>
                <w:szCs w:val="20"/>
              </w:rPr>
              <w:t xml:space="preserve"> of workload</w:t>
            </w:r>
            <w:r w:rsidR="0025585A">
              <w:rPr>
                <w:rFonts w:ascii="Arial" w:hAnsi="Arial" w:cs="Arial"/>
                <w:bCs/>
                <w:sz w:val="20"/>
                <w:szCs w:val="20"/>
              </w:rPr>
              <w:t xml:space="preserve"> does not vary by plant size, therefore the cost for the transition is estimated to be about $10M for the </w:t>
            </w:r>
            <w:r w:rsidR="00484540">
              <w:rPr>
                <w:rFonts w:ascii="Arial" w:hAnsi="Arial" w:cs="Arial"/>
                <w:bCs/>
                <w:sz w:val="20"/>
                <w:szCs w:val="20"/>
              </w:rPr>
              <w:lastRenderedPageBreak/>
              <w:t xml:space="preserve">whole </w:t>
            </w:r>
            <w:r w:rsidR="0025585A">
              <w:rPr>
                <w:rFonts w:ascii="Arial" w:hAnsi="Arial" w:cs="Arial"/>
                <w:bCs/>
                <w:sz w:val="20"/>
                <w:szCs w:val="20"/>
              </w:rPr>
              <w:t xml:space="preserve">Region. This </w:t>
            </w:r>
            <w:r w:rsidR="00484540">
              <w:rPr>
                <w:rFonts w:ascii="Arial" w:hAnsi="Arial" w:cs="Arial"/>
                <w:bCs/>
                <w:sz w:val="20"/>
                <w:szCs w:val="20"/>
              </w:rPr>
              <w:t xml:space="preserve">cost </w:t>
            </w:r>
            <w:r w:rsidR="0025585A">
              <w:rPr>
                <w:rFonts w:ascii="Arial" w:hAnsi="Arial" w:cs="Arial"/>
                <w:bCs/>
                <w:sz w:val="20"/>
                <w:szCs w:val="20"/>
              </w:rPr>
              <w:t xml:space="preserve">does not include the ongoing document management requirements. There was a suggestion to have ongoing updates from agency representatives about the </w:t>
            </w:r>
            <w:r w:rsidR="00484540">
              <w:rPr>
                <w:rFonts w:ascii="Arial" w:hAnsi="Arial" w:cs="Arial"/>
                <w:bCs/>
                <w:sz w:val="20"/>
                <w:szCs w:val="20"/>
              </w:rPr>
              <w:t xml:space="preserve">TNI </w:t>
            </w:r>
            <w:r w:rsidR="0025585A">
              <w:rPr>
                <w:rFonts w:ascii="Arial" w:hAnsi="Arial" w:cs="Arial"/>
                <w:bCs/>
                <w:sz w:val="20"/>
                <w:szCs w:val="20"/>
              </w:rPr>
              <w:t>transition at facilities in the Region.</w:t>
            </w:r>
          </w:p>
        </w:tc>
      </w:tr>
      <w:tr w:rsidR="004A2985" w:rsidRPr="00903356"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671AC2ED" w:rsidR="004A2985" w:rsidRPr="00903356" w:rsidRDefault="00814E5A" w:rsidP="00DD5026">
            <w:pPr>
              <w:pStyle w:val="Body"/>
              <w:rPr>
                <w:rFonts w:ascii="Arial" w:hAnsi="Arial" w:cs="Arial"/>
                <w:b/>
                <w:bCs/>
                <w:sz w:val="20"/>
                <w:szCs w:val="20"/>
              </w:rPr>
            </w:pPr>
            <w:r w:rsidRPr="00903356">
              <w:rPr>
                <w:rFonts w:ascii="Arial" w:hAnsi="Arial" w:cs="Arial"/>
                <w:b/>
                <w:bCs/>
                <w:sz w:val="20"/>
                <w:szCs w:val="20"/>
              </w:rPr>
              <w:lastRenderedPageBreak/>
              <w:t>Nutrients</w:t>
            </w:r>
          </w:p>
          <w:p w14:paraId="1043B525" w14:textId="28F7EE8B" w:rsidR="00122AB2" w:rsidRDefault="0025585A" w:rsidP="00122AB2">
            <w:pPr>
              <w:pStyle w:val="Body"/>
              <w:numPr>
                <w:ilvl w:val="0"/>
                <w:numId w:val="28"/>
              </w:numPr>
              <w:rPr>
                <w:rFonts w:ascii="Arial" w:hAnsi="Arial" w:cs="Arial"/>
                <w:bCs/>
                <w:sz w:val="20"/>
                <w:szCs w:val="20"/>
              </w:rPr>
            </w:pPr>
            <w:r>
              <w:rPr>
                <w:rFonts w:ascii="Arial" w:hAnsi="Arial" w:cs="Arial"/>
                <w:bCs/>
                <w:i/>
                <w:sz w:val="20"/>
                <w:szCs w:val="20"/>
              </w:rPr>
              <w:t xml:space="preserve">Science Plan Advance Funding </w:t>
            </w:r>
            <w:r w:rsidR="0054223F">
              <w:rPr>
                <w:rFonts w:ascii="Arial" w:hAnsi="Arial" w:cs="Arial"/>
                <w:bCs/>
                <w:i/>
                <w:sz w:val="20"/>
                <w:szCs w:val="20"/>
              </w:rPr>
              <w:t>–</w:t>
            </w:r>
            <w:r>
              <w:rPr>
                <w:rFonts w:ascii="Arial" w:hAnsi="Arial" w:cs="Arial"/>
                <w:bCs/>
                <w:i/>
                <w:sz w:val="20"/>
                <w:szCs w:val="20"/>
              </w:rPr>
              <w:t xml:space="preserve"> </w:t>
            </w:r>
            <w:r w:rsidR="0054223F">
              <w:rPr>
                <w:rFonts w:ascii="Arial" w:hAnsi="Arial" w:cs="Arial"/>
                <w:bCs/>
                <w:sz w:val="20"/>
                <w:szCs w:val="20"/>
              </w:rPr>
              <w:t>The Science Plan Manager has requested that BACWA advance funds for the Science Plan in advance of the second watershed permit</w:t>
            </w:r>
            <w:r w:rsidR="00484540">
              <w:rPr>
                <w:rFonts w:ascii="Arial" w:hAnsi="Arial" w:cs="Arial"/>
                <w:bCs/>
                <w:sz w:val="20"/>
                <w:szCs w:val="20"/>
              </w:rPr>
              <w:t xml:space="preserve">. This would allow SFEI </w:t>
            </w:r>
            <w:r w:rsidR="0054223F">
              <w:rPr>
                <w:rFonts w:ascii="Arial" w:hAnsi="Arial" w:cs="Arial"/>
                <w:bCs/>
                <w:sz w:val="20"/>
                <w:szCs w:val="20"/>
              </w:rPr>
              <w:t>to hire scientists to support the increased work rate that will be needed</w:t>
            </w:r>
            <w:r w:rsidR="00D11F05">
              <w:rPr>
                <w:rFonts w:ascii="Arial" w:hAnsi="Arial" w:cs="Arial"/>
                <w:bCs/>
                <w:sz w:val="20"/>
                <w:szCs w:val="20"/>
              </w:rPr>
              <w:t xml:space="preserve"> to support management decisions for the third watershed permit. The Board has provisionally approved $600K for FY19, to be released if the Regional Water Board members agree to the tenets of the second watershed permit that were outline in the Regional Water Board staff’s </w:t>
            </w:r>
            <w:hyperlink r:id="rId8" w:history="1">
              <w:r w:rsidR="00D11F05" w:rsidRPr="00D11F05">
                <w:rPr>
                  <w:rStyle w:val="Hyperlink"/>
                  <w:rFonts w:eastAsia="Arial Unicode MS"/>
                  <w:u w:color="000000"/>
                  <w:shd w:val="clear" w:color="auto" w:fill="auto"/>
                </w:rPr>
                <w:t>letter</w:t>
              </w:r>
            </w:hyperlink>
            <w:r w:rsidR="00D11F05">
              <w:rPr>
                <w:rFonts w:ascii="Arial" w:hAnsi="Arial" w:cs="Arial"/>
                <w:bCs/>
                <w:sz w:val="20"/>
                <w:szCs w:val="20"/>
              </w:rPr>
              <w:t xml:space="preserve"> dated October 9 2017. The key concept that needs their approval is that there will be a large increase in support for the science in lieu of load caps.</w:t>
            </w:r>
            <w:r w:rsidR="008429BB">
              <w:rPr>
                <w:rFonts w:ascii="Arial" w:hAnsi="Arial" w:cs="Arial"/>
                <w:bCs/>
                <w:sz w:val="20"/>
                <w:szCs w:val="20"/>
              </w:rPr>
              <w:t xml:space="preserve"> This advance in funding would come from BACWA reserves and not impact the Nutrient Surcharge levels for members.</w:t>
            </w:r>
          </w:p>
          <w:p w14:paraId="6BEE7947" w14:textId="3B9B5F29" w:rsidR="00D11F05" w:rsidRDefault="00D11F05" w:rsidP="00122AB2">
            <w:pPr>
              <w:pStyle w:val="Body"/>
              <w:numPr>
                <w:ilvl w:val="0"/>
                <w:numId w:val="28"/>
              </w:numPr>
              <w:rPr>
                <w:rFonts w:ascii="Arial" w:hAnsi="Arial" w:cs="Arial"/>
                <w:bCs/>
                <w:sz w:val="20"/>
                <w:szCs w:val="20"/>
              </w:rPr>
            </w:pPr>
            <w:r>
              <w:rPr>
                <w:rFonts w:ascii="Arial" w:hAnsi="Arial" w:cs="Arial"/>
                <w:bCs/>
                <w:i/>
                <w:sz w:val="20"/>
                <w:szCs w:val="20"/>
              </w:rPr>
              <w:t>NST meeting –</w:t>
            </w:r>
            <w:r>
              <w:rPr>
                <w:rFonts w:ascii="Arial" w:hAnsi="Arial" w:cs="Arial"/>
                <w:bCs/>
                <w:sz w:val="20"/>
                <w:szCs w:val="20"/>
              </w:rPr>
              <w:t xml:space="preserve"> The Nutrient Strategy Team will be meeting on March 15 to discuss </w:t>
            </w:r>
            <w:r w:rsidR="008429BB">
              <w:rPr>
                <w:rFonts w:ascii="Arial" w:hAnsi="Arial" w:cs="Arial"/>
                <w:bCs/>
                <w:sz w:val="20"/>
                <w:szCs w:val="20"/>
              </w:rPr>
              <w:t>elements of the second watershed permit - the</w:t>
            </w:r>
            <w:r>
              <w:rPr>
                <w:rFonts w:ascii="Arial" w:hAnsi="Arial" w:cs="Arial"/>
                <w:bCs/>
                <w:sz w:val="20"/>
                <w:szCs w:val="20"/>
              </w:rPr>
              <w:t xml:space="preserve"> Regional Study as well as concepts for encouraging early actions and reducing the risk of agencies that plan to implement Capital Projects to reduce nutrients. The Nutrient Strategy team is made up of representatives from large and small agencies in each </w:t>
            </w:r>
            <w:proofErr w:type="spellStart"/>
            <w:r>
              <w:rPr>
                <w:rFonts w:ascii="Arial" w:hAnsi="Arial" w:cs="Arial"/>
                <w:bCs/>
                <w:sz w:val="20"/>
                <w:szCs w:val="20"/>
              </w:rPr>
              <w:t>subembayment</w:t>
            </w:r>
            <w:proofErr w:type="spellEnd"/>
            <w:r>
              <w:rPr>
                <w:rFonts w:ascii="Arial" w:hAnsi="Arial" w:cs="Arial"/>
                <w:bCs/>
                <w:sz w:val="20"/>
                <w:szCs w:val="20"/>
              </w:rPr>
              <w:t>.</w:t>
            </w:r>
          </w:p>
          <w:p w14:paraId="222E590B" w14:textId="1EF4CB08" w:rsidR="00D11F05" w:rsidRPr="00D11F05" w:rsidRDefault="00D11F05" w:rsidP="00122AB2">
            <w:pPr>
              <w:pStyle w:val="Body"/>
              <w:numPr>
                <w:ilvl w:val="0"/>
                <w:numId w:val="28"/>
              </w:numPr>
              <w:rPr>
                <w:rFonts w:ascii="Arial" w:hAnsi="Arial" w:cs="Arial"/>
                <w:bCs/>
                <w:sz w:val="20"/>
                <w:szCs w:val="20"/>
              </w:rPr>
            </w:pPr>
            <w:r>
              <w:rPr>
                <w:rFonts w:ascii="Arial" w:hAnsi="Arial" w:cs="Arial"/>
                <w:bCs/>
                <w:sz w:val="20"/>
                <w:szCs w:val="20"/>
              </w:rPr>
              <w:t>.</w:t>
            </w:r>
            <w:r>
              <w:rPr>
                <w:rFonts w:ascii="Arial" w:hAnsi="Arial" w:cs="Arial"/>
                <w:bCs/>
                <w:i/>
                <w:sz w:val="20"/>
                <w:szCs w:val="20"/>
              </w:rPr>
              <w:t>Optimization/Upgrade Studies –</w:t>
            </w:r>
          </w:p>
          <w:p w14:paraId="14964A37" w14:textId="0CB8544E" w:rsidR="00D11F05" w:rsidRPr="00D11F05" w:rsidRDefault="00D11F05" w:rsidP="00D11F05">
            <w:pPr>
              <w:pStyle w:val="Body"/>
              <w:ind w:left="720"/>
              <w:rPr>
                <w:rFonts w:ascii="Arial" w:hAnsi="Arial" w:cs="Arial"/>
                <w:bCs/>
                <w:sz w:val="20"/>
                <w:szCs w:val="20"/>
              </w:rPr>
            </w:pPr>
            <w:r w:rsidRPr="00D11F05">
              <w:rPr>
                <w:rFonts w:ascii="Arial" w:hAnsi="Arial" w:cs="Arial"/>
                <w:bCs/>
                <w:sz w:val="20"/>
                <w:szCs w:val="20"/>
              </w:rPr>
              <w:t>Plant Reports</w:t>
            </w:r>
            <w:r w:rsidR="00AF28B3">
              <w:rPr>
                <w:rFonts w:ascii="Arial" w:hAnsi="Arial" w:cs="Arial"/>
                <w:bCs/>
                <w:sz w:val="20"/>
                <w:szCs w:val="20"/>
              </w:rPr>
              <w:t xml:space="preserve"> (Reported as of Thursday 3/8)</w:t>
            </w:r>
            <w:r w:rsidRPr="00D11F05">
              <w:rPr>
                <w:rFonts w:ascii="Arial" w:hAnsi="Arial" w:cs="Arial"/>
                <w:bCs/>
                <w:sz w:val="20"/>
                <w:szCs w:val="20"/>
              </w:rPr>
              <w:t xml:space="preserve">: </w:t>
            </w:r>
          </w:p>
          <w:p w14:paraId="64A9C9F0" w14:textId="2C937C46" w:rsidR="00D11F05" w:rsidRPr="00D11F05" w:rsidRDefault="00D11F05" w:rsidP="00D11F05">
            <w:pPr>
              <w:pStyle w:val="Body"/>
              <w:numPr>
                <w:ilvl w:val="1"/>
                <w:numId w:val="35"/>
              </w:numPr>
              <w:ind w:left="1409" w:hanging="180"/>
              <w:rPr>
                <w:rFonts w:ascii="Arial" w:hAnsi="Arial" w:cs="Arial"/>
                <w:bCs/>
                <w:sz w:val="20"/>
                <w:szCs w:val="20"/>
              </w:rPr>
            </w:pPr>
            <w:r w:rsidRPr="00D11F05">
              <w:rPr>
                <w:rFonts w:ascii="Arial" w:hAnsi="Arial" w:cs="Arial"/>
                <w:bCs/>
                <w:sz w:val="20"/>
                <w:szCs w:val="20"/>
              </w:rPr>
              <w:t xml:space="preserve">11 plant reports are confirmed sent. </w:t>
            </w:r>
          </w:p>
          <w:p w14:paraId="60B4F199" w14:textId="51100BD7" w:rsidR="00D11F05" w:rsidRPr="00D11F05" w:rsidRDefault="00D11F05" w:rsidP="00D11F05">
            <w:pPr>
              <w:pStyle w:val="Body"/>
              <w:numPr>
                <w:ilvl w:val="1"/>
                <w:numId w:val="35"/>
              </w:numPr>
              <w:ind w:left="1409" w:hanging="180"/>
              <w:rPr>
                <w:rFonts w:ascii="Arial" w:hAnsi="Arial" w:cs="Arial"/>
                <w:bCs/>
                <w:sz w:val="20"/>
                <w:szCs w:val="20"/>
              </w:rPr>
            </w:pPr>
            <w:r w:rsidRPr="00D11F05">
              <w:rPr>
                <w:rFonts w:ascii="Arial" w:hAnsi="Arial" w:cs="Arial"/>
                <w:bCs/>
                <w:sz w:val="20"/>
                <w:szCs w:val="20"/>
              </w:rPr>
              <w:t>3 additional reports are going out this week</w:t>
            </w:r>
          </w:p>
          <w:p w14:paraId="18A56CA0" w14:textId="6FA3113E" w:rsidR="00D11F05" w:rsidRPr="00D11F05" w:rsidRDefault="00D11F05" w:rsidP="00D11F05">
            <w:pPr>
              <w:pStyle w:val="Body"/>
              <w:numPr>
                <w:ilvl w:val="0"/>
                <w:numId w:val="35"/>
              </w:numPr>
              <w:ind w:hanging="180"/>
              <w:rPr>
                <w:rFonts w:ascii="Arial" w:hAnsi="Arial" w:cs="Arial"/>
                <w:bCs/>
                <w:sz w:val="20"/>
                <w:szCs w:val="20"/>
              </w:rPr>
            </w:pPr>
            <w:r w:rsidRPr="00D11F05">
              <w:rPr>
                <w:rFonts w:ascii="Arial" w:hAnsi="Arial" w:cs="Arial"/>
                <w:bCs/>
                <w:sz w:val="20"/>
                <w:szCs w:val="20"/>
              </w:rPr>
              <w:t xml:space="preserve">~10 should go out next week </w:t>
            </w:r>
          </w:p>
          <w:p w14:paraId="1D44FB23" w14:textId="5DD96511" w:rsidR="00D11F05" w:rsidRPr="00D11F05" w:rsidRDefault="00D11F05" w:rsidP="00D11F05">
            <w:pPr>
              <w:pStyle w:val="Body"/>
              <w:numPr>
                <w:ilvl w:val="0"/>
                <w:numId w:val="35"/>
              </w:numPr>
              <w:ind w:hanging="180"/>
              <w:rPr>
                <w:rFonts w:ascii="Arial" w:hAnsi="Arial" w:cs="Arial"/>
                <w:bCs/>
                <w:sz w:val="20"/>
                <w:szCs w:val="20"/>
              </w:rPr>
            </w:pPr>
            <w:r w:rsidRPr="00D11F05">
              <w:rPr>
                <w:rFonts w:ascii="Arial" w:hAnsi="Arial" w:cs="Arial"/>
                <w:bCs/>
                <w:sz w:val="20"/>
                <w:szCs w:val="20"/>
              </w:rPr>
              <w:t xml:space="preserve">The remainder will be delivered over the following two weeks. </w:t>
            </w:r>
          </w:p>
          <w:p w14:paraId="79905948" w14:textId="012FA93C" w:rsidR="00D11F05" w:rsidRPr="00903356" w:rsidRDefault="008429BB" w:rsidP="008429BB">
            <w:pPr>
              <w:pStyle w:val="Body"/>
              <w:ind w:left="720"/>
              <w:rPr>
                <w:rFonts w:ascii="Arial" w:hAnsi="Arial" w:cs="Arial"/>
                <w:bCs/>
                <w:sz w:val="20"/>
                <w:szCs w:val="20"/>
              </w:rPr>
            </w:pPr>
            <w:r>
              <w:rPr>
                <w:rFonts w:ascii="Arial" w:hAnsi="Arial" w:cs="Arial"/>
                <w:bCs/>
                <w:sz w:val="20"/>
                <w:szCs w:val="20"/>
              </w:rPr>
              <w:t>A few agencies have</w:t>
            </w:r>
            <w:r w:rsidR="00D11F05" w:rsidRPr="00D11F05">
              <w:rPr>
                <w:rFonts w:ascii="Arial" w:hAnsi="Arial" w:cs="Arial"/>
                <w:bCs/>
                <w:sz w:val="20"/>
                <w:szCs w:val="20"/>
              </w:rPr>
              <w:t xml:space="preserve"> raise</w:t>
            </w:r>
            <w:r>
              <w:rPr>
                <w:rFonts w:ascii="Arial" w:hAnsi="Arial" w:cs="Arial"/>
                <w:bCs/>
                <w:sz w:val="20"/>
                <w:szCs w:val="20"/>
              </w:rPr>
              <w:t>d</w:t>
            </w:r>
            <w:r w:rsidR="00D11F05" w:rsidRPr="00D11F05">
              <w:rPr>
                <w:rFonts w:ascii="Arial" w:hAnsi="Arial" w:cs="Arial"/>
                <w:bCs/>
                <w:sz w:val="20"/>
                <w:szCs w:val="20"/>
              </w:rPr>
              <w:t xml:space="preserve"> concerns about the acceptance letters</w:t>
            </w:r>
            <w:r w:rsidR="00AF28B3">
              <w:rPr>
                <w:rFonts w:ascii="Arial" w:hAnsi="Arial" w:cs="Arial"/>
                <w:bCs/>
                <w:sz w:val="20"/>
                <w:szCs w:val="20"/>
              </w:rPr>
              <w:t>, and have spoken to BACWA staff.</w:t>
            </w:r>
            <w:r w:rsidR="00AF28B3" w:rsidRPr="00D11F05">
              <w:rPr>
                <w:rFonts w:ascii="Arial" w:hAnsi="Arial" w:cs="Arial"/>
                <w:bCs/>
                <w:sz w:val="20"/>
                <w:szCs w:val="20"/>
              </w:rPr>
              <w:t xml:space="preserve"> </w:t>
            </w:r>
            <w:r w:rsidR="00D11F05" w:rsidRPr="00D11F05">
              <w:rPr>
                <w:rFonts w:ascii="Arial" w:hAnsi="Arial" w:cs="Arial"/>
                <w:bCs/>
                <w:sz w:val="20"/>
                <w:szCs w:val="20"/>
              </w:rPr>
              <w:t>At least one plant has indicated needing to take the report and letter to their board prior to execution of the letter</w:t>
            </w:r>
            <w:r w:rsidR="00AF28B3">
              <w:rPr>
                <w:rFonts w:ascii="Arial" w:hAnsi="Arial" w:cs="Arial"/>
                <w:bCs/>
                <w:sz w:val="20"/>
                <w:szCs w:val="20"/>
              </w:rPr>
              <w:t>.</w:t>
            </w:r>
          </w:p>
        </w:tc>
      </w:tr>
      <w:tr w:rsidR="00F91427" w:rsidRPr="00903356" w14:paraId="371F725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BD7D" w14:textId="77E56E48" w:rsidR="00F91427" w:rsidRPr="007B15E6" w:rsidRDefault="0025585A" w:rsidP="00F91427">
            <w:pPr>
              <w:pStyle w:val="Body"/>
              <w:rPr>
                <w:rStyle w:val="Hyperlink"/>
                <w:color w:val="auto"/>
                <w:u w:val="none"/>
              </w:rPr>
            </w:pPr>
            <w:r>
              <w:rPr>
                <w:rStyle w:val="Hyperlink"/>
                <w:color w:val="auto"/>
                <w:u w:val="none"/>
              </w:rPr>
              <w:t>Wetlands permitting</w:t>
            </w:r>
          </w:p>
          <w:p w14:paraId="65D4FDF4" w14:textId="074BA64A" w:rsidR="00F91427" w:rsidRPr="00903356" w:rsidRDefault="00AF28B3" w:rsidP="008429BB">
            <w:pPr>
              <w:pStyle w:val="BodyText"/>
              <w:spacing w:after="0" w:line="240" w:lineRule="auto"/>
              <w:rPr>
                <w:rFonts w:ascii="Arial" w:hAnsi="Arial" w:cs="Arial"/>
                <w:sz w:val="20"/>
                <w:szCs w:val="20"/>
              </w:rPr>
            </w:pPr>
            <w:r>
              <w:rPr>
                <w:rFonts w:ascii="Arial" w:hAnsi="Arial" w:cs="Arial"/>
                <w:sz w:val="20"/>
                <w:szCs w:val="20"/>
              </w:rPr>
              <w:t xml:space="preserve">The Regional Water Board shared a draft report on Wetlands permitting with BACWA and requested comments.  The committee found that there were several errors and misunderstandings about the status of </w:t>
            </w:r>
            <w:r w:rsidR="008429BB">
              <w:rPr>
                <w:rFonts w:ascii="Arial" w:hAnsi="Arial" w:cs="Arial"/>
                <w:sz w:val="20"/>
                <w:szCs w:val="20"/>
              </w:rPr>
              <w:t>existing</w:t>
            </w:r>
            <w:r>
              <w:rPr>
                <w:rFonts w:ascii="Arial" w:hAnsi="Arial" w:cs="Arial"/>
                <w:sz w:val="20"/>
                <w:szCs w:val="20"/>
              </w:rPr>
              <w:t xml:space="preserve"> wetland projects.  There are also some big picture permitting concepts that need to be explored.  The group agreed to invite Naomi </w:t>
            </w:r>
            <w:proofErr w:type="spellStart"/>
            <w:r>
              <w:rPr>
                <w:rFonts w:ascii="Arial" w:hAnsi="Arial" w:cs="Arial"/>
                <w:sz w:val="20"/>
                <w:szCs w:val="20"/>
              </w:rPr>
              <w:t>Feger</w:t>
            </w:r>
            <w:proofErr w:type="spellEnd"/>
            <w:r>
              <w:rPr>
                <w:rFonts w:ascii="Arial" w:hAnsi="Arial" w:cs="Arial"/>
                <w:sz w:val="20"/>
                <w:szCs w:val="20"/>
              </w:rPr>
              <w:t xml:space="preserve">, Regional Water Board, </w:t>
            </w:r>
            <w:r w:rsidR="00682798">
              <w:rPr>
                <w:rFonts w:ascii="Arial" w:hAnsi="Arial" w:cs="Arial"/>
                <w:sz w:val="20"/>
                <w:szCs w:val="20"/>
              </w:rPr>
              <w:t xml:space="preserve">and Ian Wren, </w:t>
            </w:r>
            <w:proofErr w:type="spellStart"/>
            <w:r w:rsidR="00682798">
              <w:rPr>
                <w:rFonts w:ascii="Arial" w:hAnsi="Arial" w:cs="Arial"/>
                <w:sz w:val="20"/>
                <w:szCs w:val="20"/>
              </w:rPr>
              <w:t>Baykeeper</w:t>
            </w:r>
            <w:proofErr w:type="spellEnd"/>
            <w:r w:rsidR="00682798">
              <w:rPr>
                <w:rFonts w:ascii="Arial" w:hAnsi="Arial" w:cs="Arial"/>
                <w:sz w:val="20"/>
                <w:szCs w:val="20"/>
              </w:rPr>
              <w:t>/SFEI, to discuss the concepts</w:t>
            </w:r>
            <w:r w:rsidR="008429BB">
              <w:rPr>
                <w:rFonts w:ascii="Arial" w:hAnsi="Arial" w:cs="Arial"/>
                <w:sz w:val="20"/>
                <w:szCs w:val="20"/>
              </w:rPr>
              <w:t xml:space="preserve"> and next steps</w:t>
            </w:r>
            <w:r w:rsidR="00682798">
              <w:rPr>
                <w:rFonts w:ascii="Arial" w:hAnsi="Arial" w:cs="Arial"/>
                <w:sz w:val="20"/>
                <w:szCs w:val="20"/>
              </w:rPr>
              <w:t>.</w:t>
            </w:r>
          </w:p>
        </w:tc>
      </w:tr>
      <w:tr w:rsidR="005B2FCA" w:rsidRPr="00903356" w14:paraId="2E16D9D0"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7775A" w14:textId="099C5803" w:rsidR="005B2FCA" w:rsidRDefault="00E918C4" w:rsidP="002B62C5">
            <w:pPr>
              <w:rPr>
                <w:rFonts w:ascii="Arial" w:hAnsi="Arial" w:cs="Arial"/>
                <w:b/>
                <w:bCs/>
                <w:sz w:val="20"/>
                <w:szCs w:val="20"/>
              </w:rPr>
            </w:pPr>
            <w:r>
              <w:rPr>
                <w:rFonts w:ascii="Arial" w:hAnsi="Arial" w:cs="Arial"/>
                <w:b/>
                <w:bCs/>
                <w:sz w:val="20"/>
                <w:szCs w:val="20"/>
              </w:rPr>
              <w:t>CASA RWG Report-out</w:t>
            </w:r>
            <w:r w:rsidR="008C30A4">
              <w:rPr>
                <w:rFonts w:ascii="Arial" w:hAnsi="Arial" w:cs="Arial"/>
                <w:b/>
                <w:bCs/>
                <w:sz w:val="20"/>
                <w:szCs w:val="20"/>
              </w:rPr>
              <w:t xml:space="preserve"> (key items)</w:t>
            </w:r>
          </w:p>
          <w:p w14:paraId="2E924F59" w14:textId="73605B90" w:rsidR="00E918C4" w:rsidRPr="0025585A" w:rsidRDefault="00E918C4" w:rsidP="002B62C5">
            <w:pPr>
              <w:rPr>
                <w:rFonts w:ascii="Arial" w:hAnsi="Arial" w:cs="Arial"/>
                <w:bCs/>
                <w:sz w:val="20"/>
                <w:szCs w:val="20"/>
              </w:rPr>
            </w:pPr>
            <w:r w:rsidRPr="0025585A">
              <w:rPr>
                <w:rFonts w:ascii="Arial" w:hAnsi="Arial" w:cs="Arial"/>
                <w:b/>
                <w:bCs/>
                <w:sz w:val="20"/>
                <w:szCs w:val="20"/>
              </w:rPr>
              <w:t xml:space="preserve">Hank Brady, </w:t>
            </w:r>
            <w:proofErr w:type="spellStart"/>
            <w:r w:rsidRPr="0025585A">
              <w:rPr>
                <w:rFonts w:ascii="Arial" w:hAnsi="Arial" w:cs="Arial"/>
                <w:b/>
                <w:bCs/>
                <w:sz w:val="20"/>
                <w:szCs w:val="20"/>
              </w:rPr>
              <w:t>CalRecycle</w:t>
            </w:r>
            <w:proofErr w:type="spellEnd"/>
            <w:r w:rsidRPr="0025585A">
              <w:rPr>
                <w:rFonts w:ascii="Arial" w:hAnsi="Arial" w:cs="Arial"/>
                <w:b/>
                <w:bCs/>
                <w:sz w:val="20"/>
                <w:szCs w:val="20"/>
              </w:rPr>
              <w:t xml:space="preserve"> – </w:t>
            </w:r>
            <w:r w:rsidRPr="0025585A">
              <w:rPr>
                <w:rFonts w:ascii="Arial" w:hAnsi="Arial" w:cs="Arial"/>
                <w:bCs/>
                <w:sz w:val="20"/>
                <w:szCs w:val="20"/>
              </w:rPr>
              <w:t xml:space="preserve">They are writing the regulations to implement SB1383.  For the wastewater sector they are focused on methane emission reductions, as well as how to define recycling. They are developing language on how to carve out </w:t>
            </w:r>
            <w:proofErr w:type="spellStart"/>
            <w:r w:rsidRPr="0025585A">
              <w:rPr>
                <w:rFonts w:ascii="Arial" w:hAnsi="Arial" w:cs="Arial"/>
                <w:bCs/>
                <w:sz w:val="20"/>
                <w:szCs w:val="20"/>
              </w:rPr>
              <w:t>biosolids</w:t>
            </w:r>
            <w:proofErr w:type="spellEnd"/>
            <w:r w:rsidRPr="0025585A">
              <w:rPr>
                <w:rFonts w:ascii="Arial" w:hAnsi="Arial" w:cs="Arial"/>
                <w:bCs/>
                <w:sz w:val="20"/>
                <w:szCs w:val="20"/>
              </w:rPr>
              <w:t xml:space="preserve"> where pertinent. They are also investigating how to preempt loc</w:t>
            </w:r>
            <w:r w:rsidR="008429BB">
              <w:rPr>
                <w:rFonts w:ascii="Arial" w:hAnsi="Arial" w:cs="Arial"/>
                <w:bCs/>
                <w:sz w:val="20"/>
                <w:szCs w:val="20"/>
              </w:rPr>
              <w:t>al ordinances that</w:t>
            </w:r>
            <w:r w:rsidRPr="0025585A">
              <w:rPr>
                <w:rFonts w:ascii="Arial" w:hAnsi="Arial" w:cs="Arial"/>
                <w:bCs/>
                <w:sz w:val="20"/>
                <w:szCs w:val="20"/>
              </w:rPr>
              <w:t xml:space="preserve"> w</w:t>
            </w:r>
            <w:r w:rsidR="00DC556C">
              <w:rPr>
                <w:rFonts w:ascii="Arial" w:hAnsi="Arial" w:cs="Arial"/>
                <w:bCs/>
                <w:sz w:val="20"/>
                <w:szCs w:val="20"/>
              </w:rPr>
              <w:t>ould prevent or limit benefici</w:t>
            </w:r>
            <w:r w:rsidRPr="0025585A">
              <w:rPr>
                <w:rFonts w:ascii="Arial" w:hAnsi="Arial" w:cs="Arial"/>
                <w:bCs/>
                <w:sz w:val="20"/>
                <w:szCs w:val="20"/>
              </w:rPr>
              <w:t>al reuse</w:t>
            </w:r>
            <w:r w:rsidR="008429BB">
              <w:rPr>
                <w:rFonts w:ascii="Arial" w:hAnsi="Arial" w:cs="Arial"/>
                <w:bCs/>
                <w:sz w:val="20"/>
                <w:szCs w:val="20"/>
              </w:rPr>
              <w:t xml:space="preserve"> and siting processing facilities</w:t>
            </w:r>
            <w:r w:rsidRPr="0025585A">
              <w:rPr>
                <w:rFonts w:ascii="Arial" w:hAnsi="Arial" w:cs="Arial"/>
                <w:bCs/>
                <w:sz w:val="20"/>
                <w:szCs w:val="20"/>
              </w:rPr>
              <w:t>.  The next draft is expected on April 2, and the regulations won’t take effect until 2022.</w:t>
            </w:r>
          </w:p>
          <w:p w14:paraId="2856E110" w14:textId="77777777" w:rsidR="00E918C4" w:rsidRPr="0025585A" w:rsidRDefault="00E918C4" w:rsidP="002B62C5">
            <w:pPr>
              <w:rPr>
                <w:rFonts w:ascii="Arial" w:hAnsi="Arial" w:cs="Arial"/>
                <w:b/>
                <w:sz w:val="20"/>
                <w:szCs w:val="20"/>
              </w:rPr>
            </w:pPr>
            <w:r w:rsidRPr="0025585A">
              <w:rPr>
                <w:rFonts w:ascii="Arial" w:hAnsi="Arial" w:cs="Arial"/>
                <w:b/>
                <w:sz w:val="20"/>
                <w:szCs w:val="20"/>
              </w:rPr>
              <w:t xml:space="preserve">Karen Larsen, SWRCB </w:t>
            </w:r>
          </w:p>
          <w:p w14:paraId="3CE81711" w14:textId="0AA6D8D8" w:rsidR="00E918C4" w:rsidRPr="0025585A" w:rsidRDefault="00E918C4" w:rsidP="00E918C4">
            <w:pPr>
              <w:rPr>
                <w:rFonts w:ascii="Arial" w:hAnsi="Arial" w:cs="Arial"/>
                <w:sz w:val="20"/>
                <w:szCs w:val="20"/>
              </w:rPr>
            </w:pPr>
            <w:r w:rsidRPr="0025585A">
              <w:rPr>
                <w:rFonts w:ascii="Arial" w:hAnsi="Arial" w:cs="Arial"/>
                <w:i/>
                <w:sz w:val="20"/>
                <w:szCs w:val="20"/>
              </w:rPr>
              <w:t xml:space="preserve">Recycled Water Policy – </w:t>
            </w:r>
            <w:r w:rsidRPr="0025585A">
              <w:rPr>
                <w:rFonts w:ascii="Arial" w:hAnsi="Arial" w:cs="Arial"/>
                <w:sz w:val="20"/>
                <w:szCs w:val="20"/>
              </w:rPr>
              <w:t xml:space="preserve">They are targeting releasing the amendment on April 30, followed by a 60 day comment period.  There is a June 19 target date for the hearing.  They are trying to decide </w:t>
            </w:r>
            <w:r w:rsidR="008429BB">
              <w:rPr>
                <w:rFonts w:ascii="Arial" w:hAnsi="Arial" w:cs="Arial"/>
                <w:sz w:val="20"/>
                <w:szCs w:val="20"/>
              </w:rPr>
              <w:t>how to respond to</w:t>
            </w:r>
            <w:r w:rsidRPr="0025585A">
              <w:rPr>
                <w:rFonts w:ascii="Arial" w:hAnsi="Arial" w:cs="Arial"/>
                <w:sz w:val="20"/>
                <w:szCs w:val="20"/>
              </w:rPr>
              <w:t xml:space="preserve"> the Scientific Panel’s CEC report, </w:t>
            </w:r>
            <w:r w:rsidR="008429BB">
              <w:rPr>
                <w:rFonts w:ascii="Arial" w:hAnsi="Arial" w:cs="Arial"/>
                <w:sz w:val="20"/>
                <w:szCs w:val="20"/>
              </w:rPr>
              <w:t>and how to implement salt/nutrient management plann</w:t>
            </w:r>
            <w:r w:rsidRPr="0025585A">
              <w:rPr>
                <w:rFonts w:ascii="Arial" w:hAnsi="Arial" w:cs="Arial"/>
                <w:sz w:val="20"/>
                <w:szCs w:val="20"/>
              </w:rPr>
              <w:t>ing.  They are committed to removing priority pollutant monitoring.</w:t>
            </w:r>
            <w:r w:rsidR="008429BB">
              <w:rPr>
                <w:rFonts w:ascii="Arial" w:hAnsi="Arial" w:cs="Arial"/>
                <w:sz w:val="20"/>
                <w:szCs w:val="20"/>
              </w:rPr>
              <w:t xml:space="preserve">  The E</w:t>
            </w:r>
            <w:r w:rsidRPr="0025585A">
              <w:rPr>
                <w:rFonts w:ascii="Arial" w:hAnsi="Arial" w:cs="Arial"/>
                <w:sz w:val="20"/>
                <w:szCs w:val="20"/>
              </w:rPr>
              <w:t xml:space="preserve">xecutive </w:t>
            </w:r>
            <w:r w:rsidR="008429BB">
              <w:rPr>
                <w:rFonts w:ascii="Arial" w:hAnsi="Arial" w:cs="Arial"/>
                <w:sz w:val="20"/>
                <w:szCs w:val="20"/>
              </w:rPr>
              <w:t>D</w:t>
            </w:r>
            <w:r w:rsidRPr="0025585A">
              <w:rPr>
                <w:rFonts w:ascii="Arial" w:hAnsi="Arial" w:cs="Arial"/>
                <w:sz w:val="20"/>
                <w:szCs w:val="20"/>
              </w:rPr>
              <w:t xml:space="preserve">irector can make changes to the State General Order without </w:t>
            </w:r>
            <w:r w:rsidR="008429BB" w:rsidRPr="0025585A">
              <w:rPr>
                <w:rFonts w:ascii="Arial" w:hAnsi="Arial" w:cs="Arial"/>
                <w:sz w:val="20"/>
                <w:szCs w:val="20"/>
              </w:rPr>
              <w:t>reopening</w:t>
            </w:r>
            <w:r w:rsidRPr="0025585A">
              <w:rPr>
                <w:rFonts w:ascii="Arial" w:hAnsi="Arial" w:cs="Arial"/>
                <w:sz w:val="20"/>
                <w:szCs w:val="20"/>
              </w:rPr>
              <w:t xml:space="preserve"> it.  They plan to introduce a timeline for the regional permittee </w:t>
            </w:r>
            <w:proofErr w:type="gramStart"/>
            <w:r w:rsidRPr="0025585A">
              <w:rPr>
                <w:rFonts w:ascii="Arial" w:hAnsi="Arial" w:cs="Arial"/>
                <w:sz w:val="20"/>
                <w:szCs w:val="20"/>
              </w:rPr>
              <w:t>transition, that</w:t>
            </w:r>
            <w:proofErr w:type="gramEnd"/>
            <w:r w:rsidRPr="0025585A">
              <w:rPr>
                <w:rFonts w:ascii="Arial" w:hAnsi="Arial" w:cs="Arial"/>
                <w:sz w:val="20"/>
                <w:szCs w:val="20"/>
              </w:rPr>
              <w:t xml:space="preserve"> may be three years.</w:t>
            </w:r>
          </w:p>
          <w:p w14:paraId="7D511674" w14:textId="77777777" w:rsidR="00E918C4" w:rsidRPr="0025585A" w:rsidRDefault="00E918C4" w:rsidP="00E918C4">
            <w:pPr>
              <w:rPr>
                <w:rFonts w:ascii="Arial" w:hAnsi="Arial" w:cs="Arial"/>
                <w:sz w:val="20"/>
                <w:szCs w:val="20"/>
              </w:rPr>
            </w:pPr>
            <w:r w:rsidRPr="0025585A">
              <w:rPr>
                <w:rFonts w:ascii="Arial" w:hAnsi="Arial" w:cs="Arial"/>
                <w:i/>
                <w:sz w:val="20"/>
                <w:szCs w:val="20"/>
              </w:rPr>
              <w:t xml:space="preserve">Bacterial Standards </w:t>
            </w:r>
            <w:r w:rsidR="008C30A4" w:rsidRPr="0025585A">
              <w:rPr>
                <w:rFonts w:ascii="Arial" w:hAnsi="Arial" w:cs="Arial"/>
                <w:i/>
                <w:sz w:val="20"/>
                <w:szCs w:val="20"/>
              </w:rPr>
              <w:t xml:space="preserve">– </w:t>
            </w:r>
            <w:r w:rsidR="008C30A4" w:rsidRPr="0025585A">
              <w:rPr>
                <w:rFonts w:ascii="Arial" w:hAnsi="Arial" w:cs="Arial"/>
                <w:sz w:val="20"/>
                <w:szCs w:val="20"/>
              </w:rPr>
              <w:t>The adoption date was pushed back due to resistance from the NGO community, which feels that the EPA didn’t evaluate epidemiological studies relevant to California when making their recommendations to only look at enterococcus.  They would like fecal coliform to be reinstated as an indicator for human health.</w:t>
            </w:r>
          </w:p>
          <w:p w14:paraId="4FAF43E2" w14:textId="77777777" w:rsidR="008C30A4" w:rsidRPr="0025585A" w:rsidRDefault="008C30A4" w:rsidP="00E918C4">
            <w:pPr>
              <w:rPr>
                <w:rFonts w:ascii="Arial" w:hAnsi="Arial" w:cs="Arial"/>
                <w:sz w:val="20"/>
                <w:szCs w:val="20"/>
              </w:rPr>
            </w:pPr>
            <w:proofErr w:type="spellStart"/>
            <w:r w:rsidRPr="0025585A">
              <w:rPr>
                <w:rFonts w:ascii="Arial" w:hAnsi="Arial" w:cs="Arial"/>
                <w:i/>
                <w:sz w:val="20"/>
                <w:szCs w:val="20"/>
              </w:rPr>
              <w:t>Biostimulatory</w:t>
            </w:r>
            <w:proofErr w:type="spellEnd"/>
            <w:r w:rsidRPr="0025585A">
              <w:rPr>
                <w:rFonts w:ascii="Arial" w:hAnsi="Arial" w:cs="Arial"/>
                <w:i/>
                <w:sz w:val="20"/>
                <w:szCs w:val="20"/>
              </w:rPr>
              <w:t xml:space="preserve"> Substances Objectives – </w:t>
            </w:r>
            <w:r w:rsidRPr="0025585A">
              <w:rPr>
                <w:rFonts w:ascii="Arial" w:hAnsi="Arial" w:cs="Arial"/>
                <w:sz w:val="20"/>
                <w:szCs w:val="20"/>
              </w:rPr>
              <w:t>Not a top priority at this time.</w:t>
            </w:r>
          </w:p>
          <w:p w14:paraId="742A4458" w14:textId="63C5D770" w:rsidR="008C30A4" w:rsidRPr="0025585A" w:rsidRDefault="008C30A4" w:rsidP="00E918C4">
            <w:pPr>
              <w:rPr>
                <w:rFonts w:ascii="Arial" w:hAnsi="Arial" w:cs="Arial"/>
                <w:sz w:val="20"/>
                <w:szCs w:val="20"/>
              </w:rPr>
            </w:pPr>
            <w:r w:rsidRPr="0025585A">
              <w:rPr>
                <w:rFonts w:ascii="Arial" w:hAnsi="Arial" w:cs="Arial"/>
                <w:sz w:val="20"/>
                <w:szCs w:val="20"/>
              </w:rPr>
              <w:t xml:space="preserve">ELAP Update – The regulations are moving forward. The target adoption date is January 2019.  </w:t>
            </w:r>
            <w:r w:rsidR="008429BB">
              <w:rPr>
                <w:rFonts w:ascii="Arial" w:hAnsi="Arial" w:cs="Arial"/>
                <w:sz w:val="20"/>
                <w:szCs w:val="20"/>
              </w:rPr>
              <w:t>Karen</w:t>
            </w:r>
            <w:bookmarkStart w:id="0" w:name="_GoBack"/>
            <w:bookmarkEnd w:id="0"/>
            <w:r w:rsidRPr="0025585A">
              <w:rPr>
                <w:rFonts w:ascii="Arial" w:hAnsi="Arial" w:cs="Arial"/>
                <w:sz w:val="20"/>
                <w:szCs w:val="20"/>
              </w:rPr>
              <w:t xml:space="preserve"> suggested that the CASA RWG contact Christine S</w:t>
            </w:r>
            <w:r w:rsidR="00DC556C">
              <w:rPr>
                <w:rFonts w:ascii="Arial" w:hAnsi="Arial" w:cs="Arial"/>
                <w:sz w:val="20"/>
                <w:szCs w:val="20"/>
              </w:rPr>
              <w:t>o</w:t>
            </w:r>
            <w:r w:rsidRPr="0025585A">
              <w:rPr>
                <w:rFonts w:ascii="Arial" w:hAnsi="Arial" w:cs="Arial"/>
                <w:sz w:val="20"/>
                <w:szCs w:val="20"/>
              </w:rPr>
              <w:t>telo for an update.</w:t>
            </w:r>
          </w:p>
          <w:p w14:paraId="2DE91156" w14:textId="33D436C2" w:rsidR="008C30A4" w:rsidRPr="0025585A" w:rsidRDefault="008C30A4" w:rsidP="00E918C4">
            <w:pPr>
              <w:rPr>
                <w:rFonts w:ascii="Arial" w:hAnsi="Arial" w:cs="Arial"/>
                <w:sz w:val="20"/>
                <w:szCs w:val="20"/>
              </w:rPr>
            </w:pPr>
            <w:r w:rsidRPr="0025585A">
              <w:rPr>
                <w:rFonts w:ascii="Arial" w:hAnsi="Arial" w:cs="Arial"/>
                <w:i/>
                <w:sz w:val="20"/>
                <w:szCs w:val="20"/>
              </w:rPr>
              <w:t>Dredge and Fill Policy</w:t>
            </w:r>
            <w:r w:rsidRPr="0025585A">
              <w:rPr>
                <w:rFonts w:ascii="Arial" w:hAnsi="Arial" w:cs="Arial"/>
                <w:sz w:val="20"/>
                <w:szCs w:val="20"/>
              </w:rPr>
              <w:t xml:space="preserve"> – This is </w:t>
            </w:r>
            <w:r w:rsidR="008429BB">
              <w:rPr>
                <w:rFonts w:ascii="Arial" w:hAnsi="Arial" w:cs="Arial"/>
                <w:sz w:val="20"/>
                <w:szCs w:val="20"/>
              </w:rPr>
              <w:t>a top</w:t>
            </w:r>
            <w:r w:rsidRPr="0025585A">
              <w:rPr>
                <w:rFonts w:ascii="Arial" w:hAnsi="Arial" w:cs="Arial"/>
                <w:sz w:val="20"/>
                <w:szCs w:val="20"/>
              </w:rPr>
              <w:t xml:space="preserve"> priority. They will likely need to put it out for public comment again.</w:t>
            </w:r>
          </w:p>
          <w:p w14:paraId="255029A0" w14:textId="37C4B472" w:rsidR="008C30A4" w:rsidRPr="0025585A" w:rsidRDefault="008C30A4" w:rsidP="00E918C4">
            <w:pPr>
              <w:rPr>
                <w:rFonts w:ascii="Arial" w:hAnsi="Arial" w:cs="Arial"/>
                <w:sz w:val="20"/>
                <w:szCs w:val="20"/>
              </w:rPr>
            </w:pPr>
            <w:r w:rsidRPr="0025585A">
              <w:rPr>
                <w:rFonts w:ascii="Arial" w:hAnsi="Arial" w:cs="Arial"/>
                <w:i/>
                <w:sz w:val="20"/>
                <w:szCs w:val="20"/>
              </w:rPr>
              <w:t xml:space="preserve">SQOs (Phase II) </w:t>
            </w:r>
            <w:r w:rsidR="0025585A" w:rsidRPr="0025585A">
              <w:rPr>
                <w:rFonts w:ascii="Arial" w:hAnsi="Arial" w:cs="Arial"/>
                <w:sz w:val="20"/>
                <w:szCs w:val="20"/>
              </w:rPr>
              <w:t xml:space="preserve">- </w:t>
            </w:r>
            <w:r w:rsidRPr="0025585A">
              <w:rPr>
                <w:rFonts w:ascii="Arial" w:hAnsi="Arial" w:cs="Arial"/>
                <w:sz w:val="20"/>
                <w:szCs w:val="20"/>
              </w:rPr>
              <w:t>They are responding to peer review comments. The public hearing is schooled for June, and they plant to adopt in October.</w:t>
            </w:r>
          </w:p>
          <w:p w14:paraId="31C2E8FB" w14:textId="77777777" w:rsidR="008C30A4" w:rsidRPr="0025585A" w:rsidRDefault="008C30A4" w:rsidP="00E918C4">
            <w:pPr>
              <w:rPr>
                <w:rFonts w:ascii="Arial" w:hAnsi="Arial" w:cs="Arial"/>
                <w:sz w:val="20"/>
                <w:szCs w:val="20"/>
              </w:rPr>
            </w:pPr>
            <w:r w:rsidRPr="0025585A">
              <w:rPr>
                <w:rFonts w:ascii="Arial" w:hAnsi="Arial" w:cs="Arial"/>
                <w:sz w:val="20"/>
                <w:szCs w:val="20"/>
              </w:rPr>
              <w:t>Toxicity – Public release aimed for late April/early May, with a Public hearing in June and adoption in November.</w:t>
            </w:r>
          </w:p>
          <w:p w14:paraId="21A76693" w14:textId="203CFF84" w:rsidR="008C30A4" w:rsidRPr="0025585A" w:rsidRDefault="00C6659A" w:rsidP="008429BB">
            <w:pPr>
              <w:rPr>
                <w:rStyle w:val="Hyperlink"/>
                <w:rFonts w:eastAsia="Arial Unicode MS"/>
                <w:color w:val="auto"/>
                <w:u w:val="none"/>
                <w:shd w:val="clear" w:color="auto" w:fill="auto"/>
              </w:rPr>
            </w:pPr>
            <w:r w:rsidRPr="0025585A">
              <w:rPr>
                <w:rStyle w:val="Hyperlink"/>
                <w:rFonts w:eastAsia="Arial Unicode MS"/>
                <w:color w:val="auto"/>
                <w:u w:val="none"/>
                <w:shd w:val="clear" w:color="auto" w:fill="auto"/>
              </w:rPr>
              <w:t>Diana Me</w:t>
            </w:r>
            <w:r w:rsidR="008C30A4" w:rsidRPr="0025585A">
              <w:rPr>
                <w:rStyle w:val="Hyperlink"/>
                <w:rFonts w:eastAsia="Arial Unicode MS"/>
                <w:color w:val="auto"/>
                <w:u w:val="none"/>
                <w:shd w:val="clear" w:color="auto" w:fill="auto"/>
              </w:rPr>
              <w:t>ssina</w:t>
            </w:r>
            <w:r w:rsidRPr="0025585A">
              <w:rPr>
                <w:rStyle w:val="Hyperlink"/>
                <w:rFonts w:eastAsia="Arial Unicode MS"/>
                <w:color w:val="auto"/>
                <w:u w:val="none"/>
                <w:shd w:val="clear" w:color="auto" w:fill="auto"/>
              </w:rPr>
              <w:t xml:space="preserve"> </w:t>
            </w:r>
            <w:r w:rsidR="00DC556C">
              <w:rPr>
                <w:rStyle w:val="Hyperlink"/>
                <w:rFonts w:eastAsia="Arial Unicode MS"/>
                <w:color w:val="auto"/>
                <w:u w:val="none"/>
                <w:shd w:val="clear" w:color="auto" w:fill="auto"/>
              </w:rPr>
              <w:t>–</w:t>
            </w:r>
            <w:r w:rsidRPr="0025585A">
              <w:rPr>
                <w:rStyle w:val="Hyperlink"/>
                <w:rFonts w:eastAsia="Arial Unicode MS"/>
                <w:color w:val="auto"/>
                <w:u w:val="none"/>
                <w:shd w:val="clear" w:color="auto" w:fill="auto"/>
              </w:rPr>
              <w:t xml:space="preserve"> </w:t>
            </w:r>
            <w:r w:rsidR="00DC556C">
              <w:rPr>
                <w:rStyle w:val="Hyperlink"/>
                <w:rFonts w:eastAsia="Arial Unicode MS"/>
                <w:color w:val="auto"/>
                <w:u w:val="none"/>
                <w:shd w:val="clear" w:color="auto" w:fill="auto"/>
              </w:rPr>
              <w:t xml:space="preserve">State Water Board - </w:t>
            </w:r>
            <w:r w:rsidR="00DC556C" w:rsidRPr="00DC556C">
              <w:rPr>
                <w:rStyle w:val="Hyperlink"/>
                <w:rFonts w:eastAsia="Arial Unicode MS"/>
                <w:b w:val="0"/>
                <w:i/>
                <w:color w:val="auto"/>
                <w:u w:val="none"/>
                <w:shd w:val="clear" w:color="auto" w:fill="auto"/>
              </w:rPr>
              <w:t xml:space="preserve">SSS WDR </w:t>
            </w:r>
            <w:r w:rsidR="00DC556C">
              <w:rPr>
                <w:rStyle w:val="Hyperlink"/>
                <w:rFonts w:eastAsia="Arial Unicode MS"/>
                <w:b w:val="0"/>
                <w:color w:val="auto"/>
                <w:u w:val="none"/>
                <w:shd w:val="clear" w:color="auto" w:fill="auto"/>
              </w:rPr>
              <w:t xml:space="preserve">- </w:t>
            </w:r>
            <w:r w:rsidR="00DC556C" w:rsidRPr="00DC556C">
              <w:rPr>
                <w:rStyle w:val="Hyperlink"/>
                <w:rFonts w:eastAsia="Arial Unicode MS"/>
                <w:b w:val="0"/>
                <w:color w:val="auto"/>
                <w:u w:val="none"/>
                <w:shd w:val="clear" w:color="auto" w:fill="auto"/>
              </w:rPr>
              <w:t>The State Water Board had not been planning on reissuing</w:t>
            </w:r>
            <w:r w:rsidR="00DC556C">
              <w:rPr>
                <w:rStyle w:val="Hyperlink"/>
                <w:rFonts w:eastAsia="Arial Unicode MS"/>
                <w:b w:val="0"/>
                <w:color w:val="auto"/>
                <w:u w:val="none"/>
                <w:shd w:val="clear" w:color="auto" w:fill="auto"/>
              </w:rPr>
              <w:t xml:space="preserve"> the SSS WDR this year, but had been getting feedback about issues with it from agencies across the State.  They are planning listening sessions in the North and South, and at Disadvantaged Communities this spring. They will work with CASA and CWEA to </w:t>
            </w:r>
            <w:r w:rsidR="008429BB">
              <w:rPr>
                <w:rStyle w:val="Hyperlink"/>
                <w:rFonts w:eastAsia="Arial Unicode MS"/>
                <w:b w:val="0"/>
                <w:color w:val="auto"/>
                <w:u w:val="none"/>
                <w:shd w:val="clear" w:color="auto" w:fill="auto"/>
              </w:rPr>
              <w:t>develop</w:t>
            </w:r>
            <w:r w:rsidR="00DC556C">
              <w:rPr>
                <w:rStyle w:val="Hyperlink"/>
                <w:rFonts w:eastAsia="Arial Unicode MS"/>
                <w:b w:val="0"/>
                <w:color w:val="auto"/>
                <w:u w:val="none"/>
                <w:shd w:val="clear" w:color="auto" w:fill="auto"/>
              </w:rPr>
              <w:t xml:space="preserve"> a more refined permit in the summer of 2018. </w:t>
            </w:r>
            <w:r w:rsidR="008429BB">
              <w:rPr>
                <w:rStyle w:val="Hyperlink"/>
                <w:rFonts w:eastAsia="Arial Unicode MS"/>
                <w:b w:val="0"/>
                <w:color w:val="auto"/>
                <w:u w:val="none"/>
                <w:shd w:val="clear" w:color="auto" w:fill="auto"/>
              </w:rPr>
              <w:t>Diana</w:t>
            </w:r>
            <w:r w:rsidR="00DC556C">
              <w:rPr>
                <w:rStyle w:val="Hyperlink"/>
                <w:rFonts w:eastAsia="Arial Unicode MS"/>
                <w:b w:val="0"/>
                <w:color w:val="auto"/>
                <w:u w:val="none"/>
                <w:shd w:val="clear" w:color="auto" w:fill="auto"/>
              </w:rPr>
              <w:t xml:space="preserve"> expressed concerns about the frequency of Clean Water Act lawsuits. Public comment will be the fall of 2018, with adoption in 2019.</w:t>
            </w:r>
          </w:p>
        </w:tc>
      </w:tr>
      <w:tr w:rsidR="00087D46" w:rsidRPr="00903356" w14:paraId="4AD901CA" w14:textId="77777777" w:rsidTr="001E4183">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903356" w:rsidRDefault="00087D46" w:rsidP="00307C64">
            <w:pPr>
              <w:pStyle w:val="Body"/>
              <w:rPr>
                <w:rFonts w:ascii="Arial" w:hAnsi="Arial" w:cs="Arial"/>
                <w:b/>
                <w:bCs/>
                <w:sz w:val="20"/>
                <w:szCs w:val="20"/>
              </w:rPr>
            </w:pPr>
            <w:r w:rsidRPr="00903356">
              <w:rPr>
                <w:rFonts w:ascii="Arial" w:hAnsi="Arial" w:cs="Arial"/>
                <w:b/>
                <w:bCs/>
                <w:sz w:val="20"/>
                <w:szCs w:val="20"/>
              </w:rPr>
              <w:t>Announcements</w:t>
            </w:r>
          </w:p>
          <w:p w14:paraId="25863057" w14:textId="77777777" w:rsidR="0025585A" w:rsidRPr="0025585A" w:rsidRDefault="0025585A"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r w:rsidRPr="0025585A">
              <w:rPr>
                <w:rFonts w:ascii="Arial" w:hAnsi="Arial" w:cs="Arial"/>
                <w:sz w:val="20"/>
                <w:szCs w:val="20"/>
              </w:rPr>
              <w:lastRenderedPageBreak/>
              <w:t>AQPI team has been doing outreach to Bay Area water managers.  See</w:t>
            </w:r>
            <w:r w:rsidRPr="0025585A">
              <w:rPr>
                <w:rFonts w:ascii="Arial" w:hAnsi="Arial" w:cs="Arial"/>
                <w:color w:val="339999"/>
                <w:sz w:val="20"/>
                <w:szCs w:val="20"/>
              </w:rPr>
              <w:t xml:space="preserve"> </w:t>
            </w:r>
            <w:hyperlink r:id="rId9" w:tgtFrame="_blank" w:history="1">
              <w:r w:rsidRPr="0025585A">
                <w:rPr>
                  <w:rStyle w:val="Hyperlink"/>
                  <w:color w:val="1155CC"/>
                </w:rPr>
                <w:t>project website</w:t>
              </w:r>
            </w:hyperlink>
            <w:r w:rsidRPr="0025585A">
              <w:rPr>
                <w:rFonts w:ascii="Arial" w:hAnsi="Arial" w:cs="Arial"/>
                <w:color w:val="000000"/>
                <w:sz w:val="20"/>
                <w:szCs w:val="20"/>
              </w:rPr>
              <w:t>.  </w:t>
            </w:r>
          </w:p>
          <w:p w14:paraId="27F93DA4" w14:textId="77777777" w:rsidR="0025585A" w:rsidRPr="0025585A" w:rsidRDefault="00CB3E8E"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hyperlink r:id="rId10" w:history="1">
              <w:r w:rsidR="0025585A" w:rsidRPr="0025585A">
                <w:rPr>
                  <w:rStyle w:val="Hyperlink"/>
                </w:rPr>
                <w:t>NBWA Conference</w:t>
              </w:r>
            </w:hyperlink>
            <w:r w:rsidR="0025585A" w:rsidRPr="0025585A">
              <w:rPr>
                <w:rFonts w:ascii="Arial" w:hAnsi="Arial" w:cs="Arial"/>
                <w:sz w:val="20"/>
                <w:szCs w:val="20"/>
              </w:rPr>
              <w:t xml:space="preserve"> April 6</w:t>
            </w:r>
          </w:p>
          <w:p w14:paraId="1FBE93B9" w14:textId="77777777" w:rsidR="0025585A" w:rsidRPr="0025585A" w:rsidRDefault="0025585A"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r w:rsidRPr="0025585A">
              <w:rPr>
                <w:rFonts w:ascii="Arial" w:hAnsi="Arial" w:cs="Arial"/>
                <w:sz w:val="20"/>
                <w:szCs w:val="20"/>
              </w:rPr>
              <w:t xml:space="preserve">H2S limit </w:t>
            </w:r>
            <w:hyperlink r:id="rId11" w:history="1">
              <w:r w:rsidRPr="0025585A">
                <w:rPr>
                  <w:rStyle w:val="Hyperlink"/>
                </w:rPr>
                <w:t>Association Comment Letter</w:t>
              </w:r>
            </w:hyperlink>
          </w:p>
          <w:p w14:paraId="6D35DD32" w14:textId="77777777" w:rsidR="0025585A" w:rsidRPr="0025585A" w:rsidRDefault="0025585A"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r w:rsidRPr="0025585A">
              <w:rPr>
                <w:rFonts w:ascii="Arial" w:hAnsi="Arial" w:cs="Arial"/>
                <w:sz w:val="20"/>
                <w:szCs w:val="20"/>
              </w:rPr>
              <w:t xml:space="preserve">Recycled Water CEC Scientific Advisory Panel draft report – </w:t>
            </w:r>
            <w:hyperlink r:id="rId12" w:history="1">
              <w:r w:rsidRPr="0025585A">
                <w:rPr>
                  <w:rStyle w:val="Hyperlink"/>
                </w:rPr>
                <w:t>Wastewater Association Comment Letter</w:t>
              </w:r>
            </w:hyperlink>
          </w:p>
          <w:p w14:paraId="4673C1D2" w14:textId="77777777" w:rsidR="0025585A" w:rsidRPr="0025585A" w:rsidRDefault="0025585A"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r w:rsidRPr="0025585A">
              <w:rPr>
                <w:rFonts w:ascii="Arial" w:hAnsi="Arial" w:cs="Arial"/>
                <w:sz w:val="20"/>
                <w:szCs w:val="20"/>
              </w:rPr>
              <w:t>RMP CEC Workgroup meeting April 12-13</w:t>
            </w:r>
          </w:p>
          <w:p w14:paraId="08233C9D" w14:textId="504C3B32" w:rsidR="0038714D" w:rsidRPr="0025585A" w:rsidRDefault="0025585A" w:rsidP="0025585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509"/>
              <w:rPr>
                <w:rFonts w:ascii="Arial" w:hAnsi="Arial" w:cs="Arial"/>
                <w:sz w:val="20"/>
                <w:szCs w:val="20"/>
                <w:u w:val="single"/>
              </w:rPr>
            </w:pPr>
            <w:r w:rsidRPr="0025585A">
              <w:rPr>
                <w:rFonts w:ascii="Arial" w:hAnsi="Arial" w:cs="Arial"/>
                <w:sz w:val="20"/>
                <w:szCs w:val="20"/>
              </w:rPr>
              <w:t xml:space="preserve">RMP </w:t>
            </w:r>
            <w:proofErr w:type="spellStart"/>
            <w:r w:rsidRPr="0025585A">
              <w:rPr>
                <w:rFonts w:ascii="Arial" w:hAnsi="Arial" w:cs="Arial"/>
                <w:sz w:val="20"/>
                <w:szCs w:val="20"/>
              </w:rPr>
              <w:t>Microplastics</w:t>
            </w:r>
            <w:proofErr w:type="spellEnd"/>
            <w:r w:rsidRPr="0025585A">
              <w:rPr>
                <w:rFonts w:ascii="Arial" w:hAnsi="Arial" w:cs="Arial"/>
                <w:sz w:val="20"/>
                <w:szCs w:val="20"/>
              </w:rPr>
              <w:t xml:space="preserve"> Workgroup meeting May 15</w:t>
            </w:r>
          </w:p>
        </w:tc>
      </w:tr>
      <w:tr w:rsidR="004E0C68" w:rsidRPr="00903356"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50BECDF4" w:rsidR="004E0C68" w:rsidRPr="00903356" w:rsidRDefault="00962634" w:rsidP="0025585A">
            <w:pPr>
              <w:pStyle w:val="Body"/>
              <w:spacing w:before="60"/>
              <w:rPr>
                <w:rFonts w:ascii="Arial" w:hAnsi="Arial" w:cs="Arial"/>
                <w:sz w:val="20"/>
                <w:szCs w:val="20"/>
              </w:rPr>
            </w:pPr>
            <w:r w:rsidRPr="00903356">
              <w:rPr>
                <w:rFonts w:ascii="Arial" w:hAnsi="Arial" w:cs="Arial"/>
                <w:b/>
                <w:bCs/>
                <w:sz w:val="20"/>
                <w:szCs w:val="20"/>
              </w:rPr>
              <w:lastRenderedPageBreak/>
              <w:t xml:space="preserve">Next BACWA Permits Committee Meeting:  </w:t>
            </w:r>
            <w:r w:rsidR="00C00DBA" w:rsidRPr="00903356">
              <w:rPr>
                <w:rFonts w:ascii="Arial" w:hAnsi="Arial" w:cs="Arial"/>
                <w:sz w:val="20"/>
                <w:szCs w:val="20"/>
              </w:rPr>
              <w:t xml:space="preserve">Tuesday </w:t>
            </w:r>
            <w:r w:rsidR="0025585A">
              <w:rPr>
                <w:rFonts w:ascii="Arial" w:hAnsi="Arial" w:cs="Arial"/>
                <w:sz w:val="20"/>
                <w:szCs w:val="20"/>
              </w:rPr>
              <w:t>April 10</w:t>
            </w:r>
            <w:r w:rsidR="00C00DBA" w:rsidRPr="00903356">
              <w:rPr>
                <w:rFonts w:ascii="Arial" w:hAnsi="Arial" w:cs="Arial"/>
                <w:sz w:val="20"/>
                <w:szCs w:val="20"/>
              </w:rPr>
              <w:t>, EBMUD Treatment Plant Lab Library</w:t>
            </w:r>
            <w:r w:rsidR="001929E6">
              <w:rPr>
                <w:rFonts w:ascii="Arial" w:hAnsi="Arial" w:cs="Arial"/>
                <w:sz w:val="20"/>
                <w:szCs w:val="20"/>
              </w:rPr>
              <w:t xml:space="preserve">. Meetings will be held from noon to 2pm from now on to </w:t>
            </w:r>
            <w:r w:rsidR="00A52165">
              <w:rPr>
                <w:rFonts w:ascii="Arial" w:hAnsi="Arial" w:cs="Arial"/>
                <w:sz w:val="20"/>
                <w:szCs w:val="20"/>
              </w:rPr>
              <w:t>address</w:t>
            </w:r>
            <w:r w:rsidR="001929E6">
              <w:rPr>
                <w:rFonts w:ascii="Arial" w:hAnsi="Arial" w:cs="Arial"/>
                <w:sz w:val="20"/>
                <w:szCs w:val="20"/>
              </w:rPr>
              <w:t xml:space="preserve"> traffic concerns.</w:t>
            </w:r>
          </w:p>
        </w:tc>
      </w:tr>
    </w:tbl>
    <w:p w14:paraId="0BB1F764" w14:textId="77777777" w:rsidR="004E0C68" w:rsidRPr="00F91427" w:rsidRDefault="004E0C68" w:rsidP="008F6C8E">
      <w:pPr>
        <w:pStyle w:val="Body"/>
        <w:widowControl w:val="0"/>
        <w:rPr>
          <w:rFonts w:ascii="Arial" w:hAnsi="Arial" w:cs="Arial"/>
          <w:sz w:val="20"/>
          <w:szCs w:val="20"/>
        </w:rPr>
      </w:pPr>
    </w:p>
    <w:sectPr w:rsidR="004E0C68" w:rsidRPr="00F91427">
      <w:headerReference w:type="default" r:id="rId13"/>
      <w:footerReference w:type="default" r:id="rId14"/>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DF4E8" w14:textId="77777777" w:rsidR="00CB3E8E" w:rsidRDefault="00CB3E8E">
      <w:r>
        <w:separator/>
      </w:r>
    </w:p>
  </w:endnote>
  <w:endnote w:type="continuationSeparator" w:id="0">
    <w:p w14:paraId="7CE51D04" w14:textId="77777777" w:rsidR="00CB3E8E" w:rsidRDefault="00CB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8429BB">
      <w:rPr>
        <w:rFonts w:ascii="Arial Black" w:eastAsia="Arial Black" w:hAnsi="Arial Black" w:cs="Arial Black"/>
        <w:b/>
        <w:bCs/>
        <w:noProof/>
        <w:spacing w:val="-10"/>
        <w:sz w:val="18"/>
        <w:szCs w:val="18"/>
      </w:rPr>
      <w:t>3</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A4768" w14:textId="77777777" w:rsidR="00CB3E8E" w:rsidRDefault="00CB3E8E">
      <w:r>
        <w:separator/>
      </w:r>
    </w:p>
  </w:footnote>
  <w:footnote w:type="continuationSeparator" w:id="0">
    <w:p w14:paraId="50434B7F" w14:textId="77777777" w:rsidR="00CB3E8E" w:rsidRDefault="00CB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42081B"/>
    <w:multiLevelType w:val="hybridMultilevel"/>
    <w:tmpl w:val="62249A48"/>
    <w:lvl w:ilvl="0" w:tplc="07E2D01E">
      <w:start w:val="1"/>
      <w:numFmt w:val="lowerLetter"/>
      <w:lvlText w:val="%1."/>
      <w:lvlJc w:val="left"/>
      <w:pPr>
        <w:ind w:left="720" w:hanging="360"/>
      </w:pPr>
      <w:rPr>
        <w:rFonts w:hint="default"/>
        <w:b w:val="0"/>
      </w:rPr>
    </w:lvl>
    <w:lvl w:ilvl="1" w:tplc="482AD5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01EA0"/>
    <w:multiLevelType w:val="hybridMultilevel"/>
    <w:tmpl w:val="A1C8161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8578E"/>
    <w:multiLevelType w:val="hybridMultilevel"/>
    <w:tmpl w:val="5E44C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C6D7CFC"/>
    <w:multiLevelType w:val="hybridMultilevel"/>
    <w:tmpl w:val="33D612E8"/>
    <w:lvl w:ilvl="0" w:tplc="BDC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C061E"/>
    <w:multiLevelType w:val="hybridMultilevel"/>
    <w:tmpl w:val="25B03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B1B27"/>
    <w:multiLevelType w:val="hybridMultilevel"/>
    <w:tmpl w:val="D0DAB79A"/>
    <w:lvl w:ilvl="0" w:tplc="0409000F">
      <w:start w:val="1"/>
      <w:numFmt w:val="decimal"/>
      <w:lvlText w:val="%1."/>
      <w:lvlJc w:val="left"/>
      <w:pPr>
        <w:ind w:left="720" w:hanging="360"/>
      </w:pPr>
    </w:lvl>
    <w:lvl w:ilvl="1" w:tplc="FD960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364A"/>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34"/>
  </w:num>
  <w:num w:numId="3">
    <w:abstractNumId w:val="21"/>
  </w:num>
  <w:num w:numId="4">
    <w:abstractNumId w:val="30"/>
  </w:num>
  <w:num w:numId="5">
    <w:abstractNumId w:val="18"/>
  </w:num>
  <w:num w:numId="6">
    <w:abstractNumId w:val="26"/>
  </w:num>
  <w:num w:numId="7">
    <w:abstractNumId w:val="8"/>
  </w:num>
  <w:num w:numId="8">
    <w:abstractNumId w:val="16"/>
  </w:num>
  <w:num w:numId="9">
    <w:abstractNumId w:val="5"/>
  </w:num>
  <w:num w:numId="10">
    <w:abstractNumId w:val="0"/>
  </w:num>
  <w:num w:numId="11">
    <w:abstractNumId w:val="31"/>
  </w:num>
  <w:num w:numId="12">
    <w:abstractNumId w:val="29"/>
  </w:num>
  <w:num w:numId="13">
    <w:abstractNumId w:val="27"/>
  </w:num>
  <w:num w:numId="14">
    <w:abstractNumId w:val="9"/>
  </w:num>
  <w:num w:numId="15">
    <w:abstractNumId w:val="12"/>
  </w:num>
  <w:num w:numId="16">
    <w:abstractNumId w:val="6"/>
  </w:num>
  <w:num w:numId="17">
    <w:abstractNumId w:val="11"/>
  </w:num>
  <w:num w:numId="18">
    <w:abstractNumId w:val="17"/>
  </w:num>
  <w:num w:numId="19">
    <w:abstractNumId w:val="15"/>
  </w:num>
  <w:num w:numId="20">
    <w:abstractNumId w:val="13"/>
  </w:num>
  <w:num w:numId="21">
    <w:abstractNumId w:val="2"/>
  </w:num>
  <w:num w:numId="22">
    <w:abstractNumId w:val="4"/>
  </w:num>
  <w:num w:numId="23">
    <w:abstractNumId w:val="20"/>
  </w:num>
  <w:num w:numId="24">
    <w:abstractNumId w:val="32"/>
  </w:num>
  <w:num w:numId="25">
    <w:abstractNumId w:val="33"/>
  </w:num>
  <w:num w:numId="26">
    <w:abstractNumId w:val="25"/>
  </w:num>
  <w:num w:numId="27">
    <w:abstractNumId w:val="7"/>
  </w:num>
  <w:num w:numId="28">
    <w:abstractNumId w:val="1"/>
  </w:num>
  <w:num w:numId="29">
    <w:abstractNumId w:val="10"/>
  </w:num>
  <w:num w:numId="30">
    <w:abstractNumId w:val="22"/>
  </w:num>
  <w:num w:numId="31">
    <w:abstractNumId w:val="28"/>
  </w:num>
  <w:num w:numId="32">
    <w:abstractNumId w:val="24"/>
  </w:num>
  <w:num w:numId="33">
    <w:abstractNumId w:val="23"/>
  </w:num>
  <w:num w:numId="34">
    <w:abstractNumId w:val="1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036CC"/>
    <w:rsid w:val="00005A23"/>
    <w:rsid w:val="00017984"/>
    <w:rsid w:val="0003018F"/>
    <w:rsid w:val="000360AB"/>
    <w:rsid w:val="00053986"/>
    <w:rsid w:val="00087D46"/>
    <w:rsid w:val="00096769"/>
    <w:rsid w:val="000B6017"/>
    <w:rsid w:val="000D11FA"/>
    <w:rsid w:val="000E2975"/>
    <w:rsid w:val="00102DE2"/>
    <w:rsid w:val="00122AB2"/>
    <w:rsid w:val="00123CEF"/>
    <w:rsid w:val="0013586C"/>
    <w:rsid w:val="001405D3"/>
    <w:rsid w:val="00145232"/>
    <w:rsid w:val="00153907"/>
    <w:rsid w:val="00165FAB"/>
    <w:rsid w:val="00176F47"/>
    <w:rsid w:val="00181B5B"/>
    <w:rsid w:val="001929E6"/>
    <w:rsid w:val="00197075"/>
    <w:rsid w:val="001C7A79"/>
    <w:rsid w:val="001E4183"/>
    <w:rsid w:val="001E6ECF"/>
    <w:rsid w:val="001E7387"/>
    <w:rsid w:val="00205743"/>
    <w:rsid w:val="00214238"/>
    <w:rsid w:val="0022770F"/>
    <w:rsid w:val="0023578D"/>
    <w:rsid w:val="002424E8"/>
    <w:rsid w:val="0025585A"/>
    <w:rsid w:val="00257E0B"/>
    <w:rsid w:val="002878F7"/>
    <w:rsid w:val="002B57DF"/>
    <w:rsid w:val="002B62C5"/>
    <w:rsid w:val="002C1B01"/>
    <w:rsid w:val="002D0C82"/>
    <w:rsid w:val="00306C2F"/>
    <w:rsid w:val="00307C64"/>
    <w:rsid w:val="003204B0"/>
    <w:rsid w:val="003608DE"/>
    <w:rsid w:val="00373FF7"/>
    <w:rsid w:val="003759B1"/>
    <w:rsid w:val="0038714D"/>
    <w:rsid w:val="003A1F81"/>
    <w:rsid w:val="003A5F7F"/>
    <w:rsid w:val="003B2BFC"/>
    <w:rsid w:val="003D23AF"/>
    <w:rsid w:val="003F0E20"/>
    <w:rsid w:val="00406059"/>
    <w:rsid w:val="00462A61"/>
    <w:rsid w:val="00467390"/>
    <w:rsid w:val="00484540"/>
    <w:rsid w:val="004923A3"/>
    <w:rsid w:val="004A2985"/>
    <w:rsid w:val="004A44DB"/>
    <w:rsid w:val="004A4B8C"/>
    <w:rsid w:val="004C3B18"/>
    <w:rsid w:val="004E0C68"/>
    <w:rsid w:val="004F21A8"/>
    <w:rsid w:val="0050329B"/>
    <w:rsid w:val="00534CC2"/>
    <w:rsid w:val="0054223F"/>
    <w:rsid w:val="00550039"/>
    <w:rsid w:val="00556D48"/>
    <w:rsid w:val="00597207"/>
    <w:rsid w:val="005B1B11"/>
    <w:rsid w:val="005B2FCA"/>
    <w:rsid w:val="0063048A"/>
    <w:rsid w:val="00635329"/>
    <w:rsid w:val="006364F5"/>
    <w:rsid w:val="00654A4A"/>
    <w:rsid w:val="006664BE"/>
    <w:rsid w:val="00682798"/>
    <w:rsid w:val="00685C0D"/>
    <w:rsid w:val="006C3057"/>
    <w:rsid w:val="006E4EE2"/>
    <w:rsid w:val="00740E24"/>
    <w:rsid w:val="00783C69"/>
    <w:rsid w:val="007859CF"/>
    <w:rsid w:val="00790CD7"/>
    <w:rsid w:val="007953B2"/>
    <w:rsid w:val="00796D12"/>
    <w:rsid w:val="007A31C5"/>
    <w:rsid w:val="007B15E6"/>
    <w:rsid w:val="007C109A"/>
    <w:rsid w:val="007C6A12"/>
    <w:rsid w:val="007F717B"/>
    <w:rsid w:val="008003D5"/>
    <w:rsid w:val="00814E5A"/>
    <w:rsid w:val="00826CB2"/>
    <w:rsid w:val="00826DA7"/>
    <w:rsid w:val="008429BB"/>
    <w:rsid w:val="00864854"/>
    <w:rsid w:val="008709AD"/>
    <w:rsid w:val="00875C98"/>
    <w:rsid w:val="008C30A4"/>
    <w:rsid w:val="008D0B2D"/>
    <w:rsid w:val="008D1864"/>
    <w:rsid w:val="008E5D11"/>
    <w:rsid w:val="008F6C8E"/>
    <w:rsid w:val="00901432"/>
    <w:rsid w:val="00903356"/>
    <w:rsid w:val="00905D7C"/>
    <w:rsid w:val="009456FA"/>
    <w:rsid w:val="00960462"/>
    <w:rsid w:val="00962634"/>
    <w:rsid w:val="00972575"/>
    <w:rsid w:val="00990959"/>
    <w:rsid w:val="009C583E"/>
    <w:rsid w:val="009D644C"/>
    <w:rsid w:val="009F4716"/>
    <w:rsid w:val="009F55F0"/>
    <w:rsid w:val="00A13716"/>
    <w:rsid w:val="00A15FE6"/>
    <w:rsid w:val="00A24A0A"/>
    <w:rsid w:val="00A40CF0"/>
    <w:rsid w:val="00A52165"/>
    <w:rsid w:val="00A5609E"/>
    <w:rsid w:val="00A62AF7"/>
    <w:rsid w:val="00A7453F"/>
    <w:rsid w:val="00A8015B"/>
    <w:rsid w:val="00A8586B"/>
    <w:rsid w:val="00AB5AB5"/>
    <w:rsid w:val="00AC002C"/>
    <w:rsid w:val="00AF28B3"/>
    <w:rsid w:val="00AF7347"/>
    <w:rsid w:val="00B06DB9"/>
    <w:rsid w:val="00B1648C"/>
    <w:rsid w:val="00B25D41"/>
    <w:rsid w:val="00B4092C"/>
    <w:rsid w:val="00B42EC3"/>
    <w:rsid w:val="00B5757C"/>
    <w:rsid w:val="00B97C6D"/>
    <w:rsid w:val="00BF7290"/>
    <w:rsid w:val="00C00DBA"/>
    <w:rsid w:val="00C368A9"/>
    <w:rsid w:val="00C54EE7"/>
    <w:rsid w:val="00C6659A"/>
    <w:rsid w:val="00C66B3C"/>
    <w:rsid w:val="00C753EB"/>
    <w:rsid w:val="00C96853"/>
    <w:rsid w:val="00CB3E8E"/>
    <w:rsid w:val="00CC12AC"/>
    <w:rsid w:val="00CD2F9B"/>
    <w:rsid w:val="00CE65C5"/>
    <w:rsid w:val="00CF4BA2"/>
    <w:rsid w:val="00D02669"/>
    <w:rsid w:val="00D11F05"/>
    <w:rsid w:val="00D1414E"/>
    <w:rsid w:val="00D1703E"/>
    <w:rsid w:val="00D57161"/>
    <w:rsid w:val="00DA2465"/>
    <w:rsid w:val="00DC556C"/>
    <w:rsid w:val="00DC5EF7"/>
    <w:rsid w:val="00DD2D72"/>
    <w:rsid w:val="00DD5026"/>
    <w:rsid w:val="00DD5140"/>
    <w:rsid w:val="00DE6929"/>
    <w:rsid w:val="00DF3F80"/>
    <w:rsid w:val="00E54242"/>
    <w:rsid w:val="00E6272C"/>
    <w:rsid w:val="00E6648C"/>
    <w:rsid w:val="00E846B0"/>
    <w:rsid w:val="00E918C4"/>
    <w:rsid w:val="00E94A02"/>
    <w:rsid w:val="00EA2D59"/>
    <w:rsid w:val="00EB47D3"/>
    <w:rsid w:val="00EB5E3E"/>
    <w:rsid w:val="00EC2B47"/>
    <w:rsid w:val="00F26376"/>
    <w:rsid w:val="00F31F43"/>
    <w:rsid w:val="00F41258"/>
    <w:rsid w:val="00F53CB3"/>
    <w:rsid w:val="00F91427"/>
    <w:rsid w:val="00F958E0"/>
    <w:rsid w:val="00FA09EC"/>
    <w:rsid w:val="00FE61F2"/>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3CEFD3F8-0478-4B12-BAE7-D15C232B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38714D"/>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DefaultParagraphFont"/>
    <w:rsid w:val="00F91427"/>
    <w:rPr>
      <w:rFonts w:ascii="Arial" w:eastAsia="Arial" w:hAnsi="Arial" w:cs="Arial"/>
      <w:b/>
      <w:bCs/>
      <w:color w:val="0070C0"/>
      <w:sz w:val="20"/>
      <w:szCs w:val="20"/>
      <w:shd w:val="clear" w:color="auto" w:fill="FFFFFF"/>
    </w:rPr>
  </w:style>
  <w:style w:type="character" w:customStyle="1" w:styleId="Hyperlink1">
    <w:name w:val="Hyperlink.1"/>
    <w:basedOn w:val="Hyperlink0"/>
    <w:rsid w:val="00740E24"/>
    <w:rPr>
      <w:rFonts w:ascii="Arial" w:eastAsia="Arial" w:hAnsi="Arial" w:cs="Arial"/>
      <w:b/>
      <w:bCs/>
      <w:color w:val="0070C0"/>
      <w:sz w:val="20"/>
      <w:szCs w:val="2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sz w:val="20"/>
      <w:szCs w:val="2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 w:type="paragraph" w:customStyle="1" w:styleId="Default">
    <w:name w:val="Default"/>
    <w:rsid w:val="000B6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table" w:styleId="TableGrid">
    <w:name w:val="Table Grid"/>
    <w:basedOn w:val="TableNormal"/>
    <w:rsid w:val="004A44DB"/>
    <w:pPr>
      <w:pBdr>
        <w:top w:val="none" w:sz="0" w:space="0" w:color="auto"/>
        <w:left w:val="none" w:sz="0" w:space="0" w:color="auto"/>
        <w:bottom w:val="none" w:sz="0" w:space="0" w:color="auto"/>
        <w:right w:val="none" w:sz="0" w:space="0" w:color="auto"/>
        <w:between w:val="none" w:sz="0" w:space="0" w:color="auto"/>
        <w:bar w:val="none" w:sz="0" w:color="auto"/>
      </w:pBdr>
      <w:ind w:left="1080"/>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20">
      <w:bodyDiv w:val="1"/>
      <w:marLeft w:val="0"/>
      <w:marRight w:val="0"/>
      <w:marTop w:val="0"/>
      <w:marBottom w:val="0"/>
      <w:divBdr>
        <w:top w:val="none" w:sz="0" w:space="0" w:color="auto"/>
        <w:left w:val="none" w:sz="0" w:space="0" w:color="auto"/>
        <w:bottom w:val="none" w:sz="0" w:space="0" w:color="auto"/>
        <w:right w:val="none" w:sz="0" w:space="0" w:color="auto"/>
      </w:divBdr>
      <w:divsChild>
        <w:div w:id="788352956">
          <w:marLeft w:val="0"/>
          <w:marRight w:val="0"/>
          <w:marTop w:val="0"/>
          <w:marBottom w:val="0"/>
          <w:divBdr>
            <w:top w:val="none" w:sz="0" w:space="0" w:color="auto"/>
            <w:left w:val="none" w:sz="0" w:space="0" w:color="auto"/>
            <w:bottom w:val="none" w:sz="0" w:space="0" w:color="auto"/>
            <w:right w:val="none" w:sz="0" w:space="0" w:color="auto"/>
          </w:divBdr>
          <w:divsChild>
            <w:div w:id="12740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143">
      <w:bodyDiv w:val="1"/>
      <w:marLeft w:val="0"/>
      <w:marRight w:val="0"/>
      <w:marTop w:val="0"/>
      <w:marBottom w:val="0"/>
      <w:divBdr>
        <w:top w:val="none" w:sz="0" w:space="0" w:color="auto"/>
        <w:left w:val="none" w:sz="0" w:space="0" w:color="auto"/>
        <w:bottom w:val="none" w:sz="0" w:space="0" w:color="auto"/>
        <w:right w:val="none" w:sz="0" w:space="0" w:color="auto"/>
      </w:divBdr>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942348679">
      <w:bodyDiv w:val="1"/>
      <w:marLeft w:val="0"/>
      <w:marRight w:val="0"/>
      <w:marTop w:val="0"/>
      <w:marBottom w:val="0"/>
      <w:divBdr>
        <w:top w:val="none" w:sz="0" w:space="0" w:color="auto"/>
        <w:left w:val="none" w:sz="0" w:space="0" w:color="auto"/>
        <w:bottom w:val="none" w:sz="0" w:space="0" w:color="auto"/>
        <w:right w:val="none" w:sz="0" w:space="0" w:color="auto"/>
      </w:divBdr>
    </w:div>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 w:id="20563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wa.org/wp-content/uploads/2017/10/Water-Board-Staff-Intention-2nd-Nutrient-Wshed-Permit-10-17.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wa.org/wp-content/uploads/2018/03/Coalition-CEC-comment-ltr-3-1-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8/03/Water-and-Sanitation-Coalition-Comments-on-Hydrogen-Sulfide-MARCH-6-20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bwatershed.org/conferences/" TargetMode="External"/><Relationship Id="rId4" Type="http://schemas.openxmlformats.org/officeDocument/2006/relationships/settings" Target="settings.xml"/><Relationship Id="rId9" Type="http://schemas.openxmlformats.org/officeDocument/2006/relationships/hyperlink" Target="http://www.aqpibayare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C23C-0D44-44E0-8AB0-030C40B3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7</cp:revision>
  <dcterms:created xsi:type="dcterms:W3CDTF">2018-03-13T17:37:00Z</dcterms:created>
  <dcterms:modified xsi:type="dcterms:W3CDTF">2018-03-14T04:45:00Z</dcterms:modified>
</cp:coreProperties>
</file>