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8"/>
        <w:gridCol w:w="6870"/>
      </w:tblGrid>
      <w:tr w:rsidR="004E0C68" w:rsidRPr="00F91427" w14:paraId="0FA142B3" w14:textId="77777777">
        <w:trPr>
          <w:trHeight w:val="713"/>
        </w:trPr>
        <w:tc>
          <w:tcPr>
            <w:tcW w:w="4218" w:type="dxa"/>
            <w:tcBorders>
              <w:top w:val="nil"/>
              <w:left w:val="nil"/>
              <w:bottom w:val="nil"/>
              <w:right w:val="nil"/>
            </w:tcBorders>
            <w:shd w:val="clear" w:color="auto" w:fill="auto"/>
            <w:tcMar>
              <w:top w:w="80" w:type="dxa"/>
              <w:left w:w="260" w:type="dxa"/>
              <w:bottom w:w="80" w:type="dxa"/>
              <w:right w:w="80" w:type="dxa"/>
            </w:tcMar>
          </w:tcPr>
          <w:p w14:paraId="163BA6EA" w14:textId="77777777" w:rsidR="004E0C68" w:rsidRPr="00F91427" w:rsidRDefault="00962634">
            <w:pPr>
              <w:pStyle w:val="CompanyName"/>
              <w:spacing w:line="240" w:lineRule="auto"/>
              <w:ind w:left="180"/>
              <w:rPr>
                <w:rFonts w:ascii="Arial" w:eastAsia="Arial" w:hAnsi="Arial" w:cs="Arial"/>
                <w:b w:val="0"/>
                <w:bCs w:val="0"/>
                <w:sz w:val="20"/>
                <w:szCs w:val="20"/>
              </w:rPr>
            </w:pPr>
            <w:r w:rsidRPr="00F91427">
              <w:rPr>
                <w:rFonts w:ascii="Arial" w:hAnsi="Arial" w:cs="Arial"/>
                <w:b w:val="0"/>
                <w:bCs w:val="0"/>
                <w:sz w:val="20"/>
                <w:szCs w:val="20"/>
              </w:rPr>
              <w:t xml:space="preserve">Permits Committee – </w:t>
            </w:r>
          </w:p>
          <w:p w14:paraId="097F237F" w14:textId="77777777" w:rsidR="004E0C68" w:rsidRPr="00F91427" w:rsidRDefault="00962634">
            <w:pPr>
              <w:pStyle w:val="CompanyName"/>
              <w:spacing w:line="240" w:lineRule="auto"/>
              <w:ind w:left="180"/>
              <w:rPr>
                <w:rFonts w:ascii="Arial" w:hAnsi="Arial" w:cs="Arial"/>
                <w:sz w:val="20"/>
                <w:szCs w:val="20"/>
              </w:rPr>
            </w:pPr>
            <w:r w:rsidRPr="00F91427">
              <w:rPr>
                <w:rFonts w:ascii="Arial" w:hAnsi="Arial" w:cs="Arial"/>
                <w:b w:val="0"/>
                <w:bCs w:val="0"/>
                <w:sz w:val="20"/>
                <w:szCs w:val="20"/>
              </w:rPr>
              <w:t>Report to BACWA Board</w:t>
            </w:r>
          </w:p>
        </w:tc>
        <w:tc>
          <w:tcPr>
            <w:tcW w:w="6870" w:type="dxa"/>
            <w:tcBorders>
              <w:top w:val="nil"/>
              <w:left w:val="nil"/>
              <w:bottom w:val="nil"/>
              <w:right w:val="nil"/>
            </w:tcBorders>
            <w:shd w:val="clear" w:color="auto" w:fill="auto"/>
            <w:tcMar>
              <w:top w:w="80" w:type="dxa"/>
              <w:left w:w="260" w:type="dxa"/>
              <w:bottom w:w="80" w:type="dxa"/>
              <w:right w:w="80" w:type="dxa"/>
            </w:tcMar>
          </w:tcPr>
          <w:p w14:paraId="6D81735C" w14:textId="671AFA99" w:rsidR="004E0C68" w:rsidRPr="00F91427" w:rsidRDefault="00962634">
            <w:pPr>
              <w:pStyle w:val="ReturnAddress"/>
              <w:spacing w:line="240" w:lineRule="auto"/>
              <w:ind w:left="180"/>
              <w:rPr>
                <w:rFonts w:ascii="Arial" w:eastAsia="Arial" w:hAnsi="Arial" w:cs="Arial"/>
                <w:sz w:val="20"/>
                <w:szCs w:val="20"/>
              </w:rPr>
            </w:pPr>
            <w:r w:rsidRPr="00F91427">
              <w:rPr>
                <w:rFonts w:ascii="Arial" w:hAnsi="Arial" w:cs="Arial"/>
                <w:sz w:val="20"/>
                <w:szCs w:val="20"/>
              </w:rPr>
              <w:t xml:space="preserve">Permits Committee Meetings on: </w:t>
            </w:r>
            <w:r w:rsidR="00927E10">
              <w:rPr>
                <w:rFonts w:ascii="Arial" w:hAnsi="Arial" w:cs="Arial"/>
                <w:sz w:val="20"/>
                <w:szCs w:val="20"/>
              </w:rPr>
              <w:t>6/12</w:t>
            </w:r>
            <w:r w:rsidR="00145232">
              <w:rPr>
                <w:rFonts w:ascii="Arial" w:hAnsi="Arial" w:cs="Arial"/>
                <w:sz w:val="20"/>
                <w:szCs w:val="20"/>
              </w:rPr>
              <w:t>/18</w:t>
            </w:r>
          </w:p>
          <w:p w14:paraId="1A33816B" w14:textId="301AFFB8" w:rsidR="004E0C68" w:rsidRPr="00F91427" w:rsidRDefault="0050329B">
            <w:pPr>
              <w:pStyle w:val="ReturnAddress"/>
              <w:spacing w:line="240" w:lineRule="auto"/>
              <w:ind w:left="180"/>
              <w:rPr>
                <w:rFonts w:ascii="Arial" w:eastAsia="Arial" w:hAnsi="Arial" w:cs="Arial"/>
                <w:sz w:val="20"/>
                <w:szCs w:val="20"/>
              </w:rPr>
            </w:pPr>
            <w:r w:rsidRPr="00F91427">
              <w:rPr>
                <w:rFonts w:ascii="Arial" w:hAnsi="Arial" w:cs="Arial"/>
                <w:sz w:val="20"/>
                <w:szCs w:val="20"/>
              </w:rPr>
              <w:t xml:space="preserve">Executive Board Meeting Date: </w:t>
            </w:r>
            <w:r w:rsidR="00927E10">
              <w:rPr>
                <w:rFonts w:ascii="Arial" w:hAnsi="Arial" w:cs="Arial"/>
                <w:sz w:val="20"/>
                <w:szCs w:val="20"/>
              </w:rPr>
              <w:t>6/15</w:t>
            </w:r>
            <w:r w:rsidR="00145232">
              <w:rPr>
                <w:rFonts w:ascii="Arial" w:hAnsi="Arial" w:cs="Arial"/>
                <w:sz w:val="20"/>
                <w:szCs w:val="20"/>
              </w:rPr>
              <w:t>/18</w:t>
            </w:r>
          </w:p>
          <w:p w14:paraId="44F8960D" w14:textId="4BC53D3E" w:rsidR="004E0C68" w:rsidRPr="00F91427" w:rsidRDefault="00373FF7">
            <w:pPr>
              <w:pStyle w:val="ReturnAddress"/>
              <w:spacing w:line="240" w:lineRule="auto"/>
              <w:ind w:left="180"/>
              <w:rPr>
                <w:rFonts w:ascii="Arial" w:hAnsi="Arial" w:cs="Arial"/>
                <w:sz w:val="20"/>
                <w:szCs w:val="20"/>
              </w:rPr>
            </w:pPr>
            <w:r w:rsidRPr="00F91427">
              <w:rPr>
                <w:rFonts w:ascii="Arial" w:hAnsi="Arial" w:cs="Arial"/>
                <w:sz w:val="20"/>
                <w:szCs w:val="20"/>
              </w:rPr>
              <w:t>Committee Chair:   Chris Dembiczak</w:t>
            </w:r>
          </w:p>
        </w:tc>
      </w:tr>
    </w:tbl>
    <w:p w14:paraId="38887590" w14:textId="77777777" w:rsidR="004E0C68" w:rsidRPr="00F91427" w:rsidRDefault="00962634" w:rsidP="00D1414E">
      <w:pPr>
        <w:pStyle w:val="Body"/>
        <w:spacing w:before="120" w:after="120"/>
        <w:ind w:left="180"/>
        <w:rPr>
          <w:rFonts w:ascii="Arial" w:eastAsia="Arial" w:hAnsi="Arial" w:cs="Arial"/>
          <w:b/>
          <w:bCs/>
          <w:sz w:val="20"/>
          <w:szCs w:val="20"/>
        </w:rPr>
      </w:pPr>
      <w:r w:rsidRPr="00F91427">
        <w:rPr>
          <w:rFonts w:ascii="Arial" w:hAnsi="Arial" w:cs="Arial"/>
          <w:b/>
          <w:bCs/>
          <w:sz w:val="20"/>
          <w:szCs w:val="20"/>
          <w:u w:val="single"/>
        </w:rPr>
        <w:t>Committee Request for Board Action</w:t>
      </w:r>
      <w:r w:rsidRPr="00F91427">
        <w:rPr>
          <w:rFonts w:ascii="Arial" w:hAnsi="Arial" w:cs="Arial"/>
          <w:b/>
          <w:bCs/>
          <w:sz w:val="20"/>
          <w:szCs w:val="20"/>
          <w:lang w:val="it-IT"/>
        </w:rPr>
        <w:t>: None</w:t>
      </w:r>
    </w:p>
    <w:p w14:paraId="7BF695F8" w14:textId="772CFAB3" w:rsidR="001E4183" w:rsidRDefault="001E4183" w:rsidP="001E4183">
      <w:pPr>
        <w:pStyle w:val="Body"/>
        <w:ind w:left="187"/>
        <w:rPr>
          <w:rFonts w:ascii="Arial" w:hAnsi="Arial" w:cs="Arial"/>
          <w:b/>
          <w:bCs/>
          <w:sz w:val="20"/>
          <w:szCs w:val="20"/>
        </w:rPr>
      </w:pPr>
      <w:r>
        <w:rPr>
          <w:rFonts w:ascii="Arial" w:hAnsi="Arial" w:cs="Arial"/>
          <w:b/>
          <w:bCs/>
          <w:sz w:val="20"/>
          <w:szCs w:val="20"/>
        </w:rPr>
        <w:t>2</w:t>
      </w:r>
      <w:r w:rsidR="001E01E9">
        <w:rPr>
          <w:rFonts w:ascii="Arial" w:hAnsi="Arial" w:cs="Arial"/>
          <w:b/>
          <w:bCs/>
          <w:sz w:val="20"/>
          <w:szCs w:val="20"/>
        </w:rPr>
        <w:t>1</w:t>
      </w:r>
      <w:r w:rsidRPr="00F91427">
        <w:rPr>
          <w:rFonts w:ascii="Arial" w:hAnsi="Arial" w:cs="Arial"/>
          <w:b/>
          <w:bCs/>
          <w:sz w:val="20"/>
          <w:szCs w:val="20"/>
        </w:rPr>
        <w:t xml:space="preserve"> Participants representing </w:t>
      </w:r>
      <w:r w:rsidR="00C84DD6">
        <w:rPr>
          <w:rFonts w:ascii="Arial" w:hAnsi="Arial" w:cs="Arial"/>
          <w:b/>
          <w:bCs/>
          <w:sz w:val="20"/>
          <w:szCs w:val="20"/>
        </w:rPr>
        <w:t>13</w:t>
      </w:r>
      <w:r w:rsidRPr="00F91427">
        <w:rPr>
          <w:rFonts w:ascii="Arial" w:hAnsi="Arial" w:cs="Arial"/>
          <w:b/>
          <w:bCs/>
          <w:sz w:val="20"/>
          <w:szCs w:val="20"/>
        </w:rPr>
        <w:t xml:space="preserve"> member agencies</w:t>
      </w:r>
    </w:p>
    <w:p w14:paraId="695CF4B7" w14:textId="2E250C1D" w:rsidR="00B1447B" w:rsidRPr="00F91427" w:rsidRDefault="00B1447B" w:rsidP="001E4183">
      <w:pPr>
        <w:pStyle w:val="Body"/>
        <w:ind w:left="187"/>
        <w:rPr>
          <w:rFonts w:ascii="Arial" w:eastAsia="Arial" w:hAnsi="Arial" w:cs="Arial"/>
          <w:b/>
          <w:bCs/>
          <w:sz w:val="20"/>
          <w:szCs w:val="20"/>
        </w:rPr>
      </w:pPr>
      <w:r>
        <w:rPr>
          <w:rFonts w:ascii="Arial" w:hAnsi="Arial" w:cs="Arial"/>
          <w:b/>
          <w:bCs/>
          <w:sz w:val="20"/>
          <w:szCs w:val="20"/>
        </w:rPr>
        <w:t>Regional Water Board and SFEP Staff in Attendance</w:t>
      </w:r>
    </w:p>
    <w:tbl>
      <w:tblPr>
        <w:tblW w:w="1053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30"/>
      </w:tblGrid>
      <w:tr w:rsidR="004E0C68" w:rsidRPr="00903356" w14:paraId="09B24472"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31C97" w14:textId="4DD894F2" w:rsidR="008003D5" w:rsidRPr="00F41258" w:rsidRDefault="009D644C" w:rsidP="00F41258">
            <w:pPr>
              <w:pStyle w:val="Body"/>
              <w:rPr>
                <w:rFonts w:ascii="Arial" w:hAnsi="Arial" w:cs="Arial"/>
                <w:b/>
                <w:bCs/>
                <w:sz w:val="20"/>
                <w:szCs w:val="20"/>
              </w:rPr>
            </w:pPr>
            <w:r w:rsidRPr="00903356">
              <w:rPr>
                <w:rFonts w:ascii="Arial" w:hAnsi="Arial" w:cs="Arial"/>
                <w:b/>
                <w:bCs/>
                <w:sz w:val="20"/>
                <w:szCs w:val="20"/>
              </w:rPr>
              <w:t>Upcoming Permits</w:t>
            </w:r>
          </w:p>
          <w:p w14:paraId="73097BA0" w14:textId="5E4E8322" w:rsidR="00F41258" w:rsidRDefault="00F41258" w:rsidP="00D66130">
            <w:pPr>
              <w:pStyle w:val="Body"/>
              <w:rPr>
                <w:rFonts w:ascii="Arial" w:eastAsia="Times New Roman" w:hAnsi="Arial" w:cs="Arial"/>
                <w:sz w:val="20"/>
                <w:szCs w:val="20"/>
                <w:bdr w:val="none" w:sz="0" w:space="0" w:color="auto"/>
              </w:rPr>
            </w:pPr>
            <w:r>
              <w:rPr>
                <w:rFonts w:ascii="Arial" w:eastAsia="Times New Roman" w:hAnsi="Arial" w:cs="Arial"/>
                <w:b/>
                <w:i/>
                <w:sz w:val="20"/>
                <w:szCs w:val="20"/>
                <w:bdr w:val="none" w:sz="0" w:space="0" w:color="auto"/>
              </w:rPr>
              <w:t xml:space="preserve">June </w:t>
            </w:r>
            <w:r w:rsidR="0022770F">
              <w:rPr>
                <w:rFonts w:ascii="Arial" w:eastAsia="Times New Roman" w:hAnsi="Arial" w:cs="Arial"/>
                <w:b/>
                <w:i/>
                <w:sz w:val="20"/>
                <w:szCs w:val="20"/>
                <w:bdr w:val="none" w:sz="0" w:space="0" w:color="auto"/>
              </w:rPr>
              <w:t>–</w:t>
            </w:r>
            <w:r>
              <w:rPr>
                <w:rFonts w:ascii="Arial" w:eastAsia="Times New Roman" w:hAnsi="Arial" w:cs="Arial"/>
                <w:i/>
                <w:sz w:val="20"/>
                <w:szCs w:val="20"/>
                <w:bdr w:val="none" w:sz="0" w:space="0" w:color="auto"/>
              </w:rPr>
              <w:t xml:space="preserve"> Sausalito</w:t>
            </w:r>
            <w:r w:rsidR="0022770F">
              <w:rPr>
                <w:rFonts w:ascii="Arial" w:eastAsia="Times New Roman" w:hAnsi="Arial" w:cs="Arial"/>
                <w:i/>
                <w:sz w:val="20"/>
                <w:szCs w:val="20"/>
                <w:bdr w:val="none" w:sz="0" w:space="0" w:color="auto"/>
              </w:rPr>
              <w:t>-</w:t>
            </w:r>
            <w:r w:rsidR="0022770F">
              <w:rPr>
                <w:rFonts w:ascii="Arial" w:eastAsia="Times New Roman" w:hAnsi="Arial" w:cs="Arial"/>
                <w:sz w:val="20"/>
                <w:szCs w:val="20"/>
                <w:bdr w:val="none" w:sz="0" w:space="0" w:color="auto"/>
              </w:rPr>
              <w:t xml:space="preserve"> </w:t>
            </w:r>
            <w:r w:rsidR="00C84DD6">
              <w:rPr>
                <w:rFonts w:ascii="Arial" w:eastAsia="Times New Roman" w:hAnsi="Arial" w:cs="Arial"/>
                <w:sz w:val="20"/>
                <w:szCs w:val="20"/>
                <w:bdr w:val="none" w:sz="0" w:space="0" w:color="auto"/>
              </w:rPr>
              <w:t xml:space="preserve">No issues, satellite agencies have not been included in permit. </w:t>
            </w:r>
          </w:p>
          <w:p w14:paraId="05099DF3" w14:textId="77777777" w:rsidR="0022770F" w:rsidRDefault="0022770F" w:rsidP="00C84DD6">
            <w:pPr>
              <w:pStyle w:val="Body"/>
              <w:rPr>
                <w:rFonts w:ascii="Arial" w:eastAsia="Times New Roman" w:hAnsi="Arial" w:cs="Arial"/>
                <w:sz w:val="20"/>
                <w:szCs w:val="20"/>
                <w:bdr w:val="none" w:sz="0" w:space="0" w:color="auto"/>
              </w:rPr>
            </w:pPr>
            <w:r>
              <w:rPr>
                <w:rFonts w:ascii="Arial" w:eastAsia="Times New Roman" w:hAnsi="Arial" w:cs="Arial"/>
                <w:i/>
                <w:sz w:val="20"/>
                <w:szCs w:val="20"/>
                <w:bdr w:val="none" w:sz="0" w:space="0" w:color="auto"/>
              </w:rPr>
              <w:t xml:space="preserve">Burlingame – </w:t>
            </w:r>
            <w:r w:rsidR="00C84DD6">
              <w:rPr>
                <w:rFonts w:ascii="Arial" w:eastAsia="Times New Roman" w:hAnsi="Arial" w:cs="Arial"/>
                <w:sz w:val="20"/>
                <w:szCs w:val="20"/>
                <w:bdr w:val="none" w:sz="0" w:space="0" w:color="auto"/>
              </w:rPr>
              <w:t>No issues, satellite agencies have not been included in permit.</w:t>
            </w:r>
          </w:p>
          <w:p w14:paraId="54423A2E" w14:textId="77777777" w:rsidR="00B1447B" w:rsidRDefault="00B1447B" w:rsidP="00C84DD6">
            <w:pPr>
              <w:pStyle w:val="Body"/>
              <w:rPr>
                <w:rFonts w:ascii="Arial" w:eastAsia="Times New Roman" w:hAnsi="Arial" w:cs="Arial"/>
                <w:sz w:val="20"/>
                <w:szCs w:val="20"/>
                <w:bdr w:val="none" w:sz="0" w:space="0" w:color="auto"/>
              </w:rPr>
            </w:pPr>
            <w:r>
              <w:rPr>
                <w:rFonts w:ascii="Arial" w:eastAsia="Times New Roman" w:hAnsi="Arial" w:cs="Arial"/>
                <w:b/>
                <w:i/>
                <w:sz w:val="20"/>
                <w:szCs w:val="20"/>
                <w:bdr w:val="none" w:sz="0" w:space="0" w:color="auto"/>
              </w:rPr>
              <w:t xml:space="preserve">August – </w:t>
            </w:r>
            <w:r>
              <w:rPr>
                <w:rFonts w:ascii="Arial" w:eastAsia="Times New Roman" w:hAnsi="Arial" w:cs="Arial"/>
                <w:i/>
                <w:sz w:val="20"/>
                <w:szCs w:val="20"/>
                <w:bdr w:val="none" w:sz="0" w:space="0" w:color="auto"/>
              </w:rPr>
              <w:t xml:space="preserve">SASM - </w:t>
            </w:r>
            <w:r>
              <w:rPr>
                <w:rFonts w:ascii="Arial" w:eastAsia="Times New Roman" w:hAnsi="Arial" w:cs="Arial"/>
                <w:sz w:val="20"/>
                <w:szCs w:val="20"/>
                <w:bdr w:val="none" w:sz="0" w:space="0" w:color="auto"/>
              </w:rPr>
              <w:t>No issues, satellite agencies have not been included in permit. SASM does not frequently blend, and owns part of its collection system.  Its satellite systems also have private sewer lateral ordinances.</w:t>
            </w:r>
          </w:p>
          <w:p w14:paraId="3A166F22" w14:textId="563282E4" w:rsidR="001E01E9" w:rsidRPr="001E01E9" w:rsidRDefault="001E01E9" w:rsidP="00C84DD6">
            <w:pPr>
              <w:pStyle w:val="Body"/>
              <w:rPr>
                <w:rFonts w:ascii="Arial" w:eastAsia="Times New Roman" w:hAnsi="Arial" w:cs="Arial"/>
                <w:sz w:val="20"/>
                <w:szCs w:val="20"/>
                <w:bdr w:val="none" w:sz="0" w:space="0" w:color="auto"/>
              </w:rPr>
            </w:pPr>
            <w:r>
              <w:rPr>
                <w:rFonts w:ascii="Arial" w:eastAsia="Times New Roman" w:hAnsi="Arial" w:cs="Arial"/>
                <w:i/>
                <w:sz w:val="20"/>
                <w:szCs w:val="20"/>
                <w:bdr w:val="none" w:sz="0" w:space="0" w:color="auto"/>
              </w:rPr>
              <w:t xml:space="preserve">Tiburon – </w:t>
            </w:r>
            <w:r>
              <w:rPr>
                <w:rFonts w:ascii="Arial" w:eastAsia="Times New Roman" w:hAnsi="Arial" w:cs="Arial"/>
                <w:sz w:val="20"/>
                <w:szCs w:val="20"/>
                <w:bdr w:val="none" w:sz="0" w:space="0" w:color="auto"/>
              </w:rPr>
              <w:t>No known issues.</w:t>
            </w:r>
          </w:p>
        </w:tc>
      </w:tr>
      <w:tr w:rsidR="008E5D11" w:rsidRPr="00903356" w14:paraId="55B8AFA1"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69C04" w14:textId="07214B96" w:rsidR="008E5D11" w:rsidRPr="00903356" w:rsidRDefault="00B1447B" w:rsidP="00DD5026">
            <w:pPr>
              <w:pStyle w:val="Body"/>
              <w:rPr>
                <w:rFonts w:ascii="Arial" w:hAnsi="Arial" w:cs="Arial"/>
                <w:b/>
                <w:bCs/>
                <w:sz w:val="20"/>
                <w:szCs w:val="20"/>
              </w:rPr>
            </w:pPr>
            <w:r>
              <w:rPr>
                <w:rFonts w:ascii="Arial" w:hAnsi="Arial" w:cs="Arial"/>
                <w:b/>
                <w:bCs/>
                <w:sz w:val="20"/>
                <w:szCs w:val="20"/>
              </w:rPr>
              <w:t>Regional Water Board Report-out</w:t>
            </w:r>
          </w:p>
          <w:p w14:paraId="4202D2FD" w14:textId="77777777" w:rsidR="00B95197" w:rsidRDefault="001E01E9" w:rsidP="003E349E">
            <w:pPr>
              <w:pStyle w:val="Body"/>
              <w:rPr>
                <w:rFonts w:ascii="Arial" w:hAnsi="Arial" w:cs="Arial"/>
                <w:bCs/>
                <w:sz w:val="20"/>
                <w:szCs w:val="20"/>
              </w:rPr>
            </w:pPr>
            <w:r>
              <w:rPr>
                <w:rFonts w:ascii="Arial" w:hAnsi="Arial" w:cs="Arial"/>
                <w:bCs/>
                <w:sz w:val="20"/>
                <w:szCs w:val="20"/>
              </w:rPr>
              <w:t xml:space="preserve">Because of the adoption of the Statewide Sediment Quality Objectives, there may need to be some non-substantive changes to the language in permits about SQOs. </w:t>
            </w:r>
          </w:p>
          <w:p w14:paraId="1D688971" w14:textId="77777777" w:rsidR="00B95197" w:rsidRDefault="00B95197" w:rsidP="003E349E">
            <w:pPr>
              <w:pStyle w:val="Body"/>
              <w:rPr>
                <w:rFonts w:ascii="Arial" w:hAnsi="Arial" w:cs="Arial"/>
                <w:bCs/>
                <w:sz w:val="20"/>
                <w:szCs w:val="20"/>
              </w:rPr>
            </w:pPr>
          </w:p>
          <w:p w14:paraId="6C4BD3D3" w14:textId="5133A5B7" w:rsidR="008E5D11" w:rsidRDefault="001E01E9" w:rsidP="003E349E">
            <w:pPr>
              <w:pStyle w:val="Body"/>
              <w:rPr>
                <w:rFonts w:ascii="Arial" w:hAnsi="Arial" w:cs="Arial"/>
                <w:bCs/>
                <w:sz w:val="20"/>
                <w:szCs w:val="20"/>
              </w:rPr>
            </w:pPr>
            <w:r>
              <w:rPr>
                <w:rFonts w:ascii="Arial" w:hAnsi="Arial" w:cs="Arial"/>
                <w:bCs/>
                <w:sz w:val="20"/>
                <w:szCs w:val="20"/>
              </w:rPr>
              <w:t xml:space="preserve">The Regional Water Board is developing changes to the Standard Provision under “Effluent Characterization”. </w:t>
            </w:r>
            <w:r w:rsidR="00A07BE6">
              <w:rPr>
                <w:rFonts w:ascii="Arial" w:hAnsi="Arial" w:cs="Arial"/>
                <w:bCs/>
                <w:sz w:val="20"/>
                <w:szCs w:val="20"/>
              </w:rPr>
              <w:t xml:space="preserve">They would like </w:t>
            </w:r>
            <w:r w:rsidR="00A07BE6" w:rsidRPr="00A07BE6">
              <w:rPr>
                <w:rFonts w:ascii="Arial" w:hAnsi="Arial" w:cs="Arial"/>
                <w:bCs/>
                <w:sz w:val="20"/>
                <w:szCs w:val="20"/>
              </w:rPr>
              <w:t xml:space="preserve">all priority pollutant monitoring conducted for the Effluent Characterization be reported in CIWQS.  To make this happen, they propose to move the priority pollutant monitoring and reporting requirements back into the Monitoring and Reporting Program in future permits.  This will allow the Regional Board to access the data </w:t>
            </w:r>
            <w:r w:rsidR="00A07BE6">
              <w:rPr>
                <w:rFonts w:ascii="Arial" w:hAnsi="Arial" w:cs="Arial"/>
                <w:bCs/>
                <w:sz w:val="20"/>
                <w:szCs w:val="20"/>
              </w:rPr>
              <w:t>more easily</w:t>
            </w:r>
            <w:r w:rsidR="00A07BE6" w:rsidRPr="00A07BE6">
              <w:rPr>
                <w:rFonts w:ascii="Arial" w:hAnsi="Arial" w:cs="Arial"/>
                <w:bCs/>
                <w:sz w:val="20"/>
                <w:szCs w:val="20"/>
              </w:rPr>
              <w:t xml:space="preserve"> for conducting a reasonable potential analysis.  These changes could impact the language in the Alternate Monitoring Plan Order as well. </w:t>
            </w:r>
            <w:r w:rsidR="00A07BE6">
              <w:rPr>
                <w:rFonts w:ascii="Arial" w:hAnsi="Arial" w:cs="Arial"/>
                <w:bCs/>
                <w:sz w:val="20"/>
                <w:szCs w:val="20"/>
              </w:rPr>
              <w:t>N</w:t>
            </w:r>
            <w:r>
              <w:rPr>
                <w:rFonts w:ascii="Arial" w:hAnsi="Arial" w:cs="Arial"/>
                <w:bCs/>
                <w:sz w:val="20"/>
                <w:szCs w:val="20"/>
              </w:rPr>
              <w:t>ew language would requir</w:t>
            </w:r>
            <w:r w:rsidR="003E349E">
              <w:rPr>
                <w:rFonts w:ascii="Arial" w:hAnsi="Arial" w:cs="Arial"/>
                <w:bCs/>
                <w:sz w:val="20"/>
                <w:szCs w:val="20"/>
              </w:rPr>
              <w:t>e dischargers to review priority pollutant concentrations and evaluate whether their concentrations are significantly increasing</w:t>
            </w:r>
            <w:r w:rsidR="00B95197">
              <w:rPr>
                <w:rFonts w:ascii="Arial" w:hAnsi="Arial" w:cs="Arial"/>
                <w:bCs/>
                <w:sz w:val="20"/>
                <w:szCs w:val="20"/>
              </w:rPr>
              <w:t xml:space="preserve"> so there are no surprises during Reasonable Potential Analyses</w:t>
            </w:r>
            <w:r w:rsidR="003E349E">
              <w:rPr>
                <w:rFonts w:ascii="Arial" w:hAnsi="Arial" w:cs="Arial"/>
                <w:bCs/>
                <w:sz w:val="20"/>
                <w:szCs w:val="20"/>
              </w:rPr>
              <w:t>. They must also notify the Regional Water Board within 45 days if any pollutant exceeds water quality objectives.</w:t>
            </w:r>
          </w:p>
          <w:p w14:paraId="4E6D6EB8" w14:textId="77777777" w:rsidR="00B95197" w:rsidRDefault="00B95197" w:rsidP="003E349E">
            <w:pPr>
              <w:pStyle w:val="Body"/>
              <w:rPr>
                <w:rFonts w:ascii="Arial" w:hAnsi="Arial" w:cs="Arial"/>
                <w:bCs/>
                <w:sz w:val="20"/>
                <w:szCs w:val="20"/>
              </w:rPr>
            </w:pPr>
          </w:p>
          <w:p w14:paraId="10F3BF7C" w14:textId="4EE5A9FA" w:rsidR="003E349E" w:rsidRDefault="003E349E" w:rsidP="003E349E">
            <w:pPr>
              <w:pStyle w:val="Body"/>
              <w:rPr>
                <w:rFonts w:ascii="Arial" w:hAnsi="Arial" w:cs="Arial"/>
                <w:bCs/>
                <w:sz w:val="20"/>
                <w:szCs w:val="20"/>
              </w:rPr>
            </w:pPr>
            <w:r>
              <w:rPr>
                <w:rFonts w:ascii="Arial" w:hAnsi="Arial" w:cs="Arial"/>
                <w:bCs/>
                <w:sz w:val="20"/>
                <w:szCs w:val="20"/>
              </w:rPr>
              <w:t xml:space="preserve">There was a discussion about the list of items that could be incorporated into the Basin Plan </w:t>
            </w:r>
            <w:r w:rsidR="00927E10">
              <w:rPr>
                <w:rFonts w:ascii="Arial" w:hAnsi="Arial" w:cs="Arial"/>
                <w:bCs/>
                <w:sz w:val="20"/>
                <w:szCs w:val="20"/>
              </w:rPr>
              <w:t xml:space="preserve">through the Triennial Review Process </w:t>
            </w:r>
            <w:r>
              <w:rPr>
                <w:rFonts w:ascii="Arial" w:hAnsi="Arial" w:cs="Arial"/>
                <w:bCs/>
                <w:sz w:val="20"/>
                <w:szCs w:val="20"/>
              </w:rPr>
              <w:t>that would improve clarity</w:t>
            </w:r>
            <w:r w:rsidR="00927E10">
              <w:rPr>
                <w:rFonts w:ascii="Arial" w:hAnsi="Arial" w:cs="Arial"/>
                <w:bCs/>
                <w:sz w:val="20"/>
                <w:szCs w:val="20"/>
              </w:rPr>
              <w:t xml:space="preserve">.  </w:t>
            </w:r>
            <w:r w:rsidR="00EB4AAC">
              <w:rPr>
                <w:rFonts w:ascii="Arial" w:hAnsi="Arial" w:cs="Arial"/>
                <w:bCs/>
                <w:sz w:val="20"/>
                <w:szCs w:val="20"/>
              </w:rPr>
              <w:t>Referring</w:t>
            </w:r>
            <w:r w:rsidR="00927E10">
              <w:rPr>
                <w:rFonts w:ascii="Arial" w:hAnsi="Arial" w:cs="Arial"/>
                <w:bCs/>
                <w:sz w:val="20"/>
                <w:szCs w:val="20"/>
              </w:rPr>
              <w:t xml:space="preserve"> to the </w:t>
            </w:r>
            <w:hyperlink r:id="rId8" w:history="1">
              <w:r w:rsidR="00927E10" w:rsidRPr="00B95197">
                <w:rPr>
                  <w:rStyle w:val="Hyperlink"/>
                </w:rPr>
                <w:t>Issue Descriptions</w:t>
              </w:r>
              <w:r w:rsidR="00927E10" w:rsidRPr="00927E10">
                <w:rPr>
                  <w:rStyle w:val="Hyperlink"/>
                  <w:rFonts w:eastAsia="Arial Unicode MS"/>
                  <w:u w:color="000000"/>
                  <w:shd w:val="clear" w:color="auto" w:fill="auto"/>
                </w:rPr>
                <w:t>,</w:t>
              </w:r>
            </w:hyperlink>
            <w:r w:rsidR="00927E10">
              <w:rPr>
                <w:rFonts w:ascii="Arial" w:hAnsi="Arial" w:cs="Arial"/>
                <w:bCs/>
                <w:sz w:val="20"/>
                <w:szCs w:val="20"/>
              </w:rPr>
              <w:t xml:space="preserve"> these items</w:t>
            </w:r>
            <w:r>
              <w:rPr>
                <w:rFonts w:ascii="Arial" w:hAnsi="Arial" w:cs="Arial"/>
                <w:bCs/>
                <w:sz w:val="20"/>
                <w:szCs w:val="20"/>
              </w:rPr>
              <w:t xml:space="preserve"> are:</w:t>
            </w:r>
          </w:p>
          <w:p w14:paraId="25A49590" w14:textId="14AC8BC6" w:rsidR="003E349E" w:rsidRPr="003E349E" w:rsidRDefault="003E349E" w:rsidP="003E349E">
            <w:pPr>
              <w:pStyle w:val="Body"/>
              <w:numPr>
                <w:ilvl w:val="0"/>
                <w:numId w:val="37"/>
              </w:numPr>
              <w:rPr>
                <w:rFonts w:ascii="Arial" w:hAnsi="Arial" w:cs="Arial"/>
                <w:bCs/>
                <w:sz w:val="20"/>
                <w:szCs w:val="20"/>
              </w:rPr>
            </w:pPr>
            <w:r w:rsidRPr="003E349E">
              <w:rPr>
                <w:rFonts w:ascii="Arial" w:hAnsi="Arial" w:cs="Arial" w:hint="eastAsia"/>
                <w:bCs/>
                <w:sz w:val="20"/>
                <w:szCs w:val="20"/>
              </w:rPr>
              <w:t>Issue 2.1 - Add Unnamed Water Bodies that Receive Discharges</w:t>
            </w:r>
          </w:p>
          <w:p w14:paraId="360A7F1E" w14:textId="5335A612" w:rsidR="003E349E" w:rsidRPr="003E349E" w:rsidRDefault="003E349E" w:rsidP="003E349E">
            <w:pPr>
              <w:pStyle w:val="Body"/>
              <w:numPr>
                <w:ilvl w:val="0"/>
                <w:numId w:val="37"/>
              </w:numPr>
              <w:rPr>
                <w:rFonts w:ascii="Arial" w:hAnsi="Arial" w:cs="Arial"/>
                <w:bCs/>
                <w:sz w:val="20"/>
                <w:szCs w:val="20"/>
              </w:rPr>
            </w:pPr>
            <w:r w:rsidRPr="003E349E">
              <w:rPr>
                <w:rFonts w:ascii="Arial" w:hAnsi="Arial" w:cs="Arial" w:hint="eastAsia"/>
                <w:bCs/>
                <w:sz w:val="20"/>
                <w:szCs w:val="20"/>
              </w:rPr>
              <w:t>Issue 2.3 Align Ocean Plan and Basin Plan for Recreational Contact Use</w:t>
            </w:r>
          </w:p>
          <w:p w14:paraId="720B38E4" w14:textId="4C30D129" w:rsidR="003E349E" w:rsidRPr="003E349E" w:rsidRDefault="003E349E" w:rsidP="003E349E">
            <w:pPr>
              <w:pStyle w:val="Body"/>
              <w:numPr>
                <w:ilvl w:val="0"/>
                <w:numId w:val="37"/>
              </w:numPr>
              <w:rPr>
                <w:rFonts w:ascii="Arial" w:hAnsi="Arial" w:cs="Arial"/>
                <w:bCs/>
                <w:sz w:val="20"/>
                <w:szCs w:val="20"/>
              </w:rPr>
            </w:pPr>
            <w:r w:rsidRPr="003E349E">
              <w:rPr>
                <w:rFonts w:ascii="Arial" w:hAnsi="Arial" w:cs="Arial" w:hint="eastAsia"/>
                <w:bCs/>
                <w:sz w:val="20"/>
                <w:szCs w:val="20"/>
              </w:rPr>
              <w:t>Issue 3.13 Clarify Implementation Requirements for Mu</w:t>
            </w:r>
            <w:r>
              <w:rPr>
                <w:rFonts w:ascii="Arial" w:hAnsi="Arial" w:cs="Arial" w:hint="eastAsia"/>
                <w:bCs/>
                <w:sz w:val="20"/>
                <w:szCs w:val="20"/>
              </w:rPr>
              <w:t>nicipal Supply and Agricultural</w:t>
            </w:r>
            <w:r>
              <w:rPr>
                <w:rFonts w:ascii="Arial" w:hAnsi="Arial" w:cs="Arial"/>
                <w:bCs/>
                <w:sz w:val="20"/>
                <w:szCs w:val="20"/>
              </w:rPr>
              <w:t xml:space="preserve"> </w:t>
            </w:r>
            <w:r w:rsidRPr="003E349E">
              <w:rPr>
                <w:rFonts w:ascii="Arial" w:hAnsi="Arial" w:cs="Arial"/>
                <w:bCs/>
                <w:sz w:val="20"/>
                <w:szCs w:val="20"/>
              </w:rPr>
              <w:t>Supply Water Quality Objectives</w:t>
            </w:r>
          </w:p>
          <w:p w14:paraId="339273F9" w14:textId="07D4FCD2" w:rsidR="003E349E" w:rsidRPr="003E349E" w:rsidRDefault="003E349E" w:rsidP="003E349E">
            <w:pPr>
              <w:pStyle w:val="Body"/>
              <w:numPr>
                <w:ilvl w:val="0"/>
                <w:numId w:val="37"/>
              </w:numPr>
              <w:rPr>
                <w:rFonts w:ascii="Arial" w:hAnsi="Arial" w:cs="Arial"/>
                <w:bCs/>
                <w:sz w:val="20"/>
                <w:szCs w:val="20"/>
              </w:rPr>
            </w:pPr>
            <w:r w:rsidRPr="003E349E">
              <w:rPr>
                <w:rFonts w:ascii="Arial" w:hAnsi="Arial" w:cs="Arial" w:hint="eastAsia"/>
                <w:bCs/>
                <w:sz w:val="20"/>
                <w:szCs w:val="20"/>
              </w:rPr>
              <w:t>Issue 4.3 Update Cyanide Dilution Credits</w:t>
            </w:r>
          </w:p>
          <w:p w14:paraId="4785090A" w14:textId="38D901CE" w:rsidR="003E349E" w:rsidRPr="00903356" w:rsidRDefault="003E349E" w:rsidP="003E349E">
            <w:pPr>
              <w:pStyle w:val="Body"/>
              <w:numPr>
                <w:ilvl w:val="0"/>
                <w:numId w:val="36"/>
              </w:numPr>
              <w:rPr>
                <w:rFonts w:ascii="Arial" w:hAnsi="Arial" w:cs="Arial"/>
                <w:bCs/>
                <w:sz w:val="20"/>
                <w:szCs w:val="20"/>
              </w:rPr>
            </w:pPr>
            <w:r w:rsidRPr="003E349E">
              <w:rPr>
                <w:rFonts w:ascii="Arial" w:hAnsi="Arial" w:cs="Arial" w:hint="eastAsia"/>
                <w:bCs/>
                <w:sz w:val="20"/>
                <w:szCs w:val="20"/>
              </w:rPr>
              <w:t>Issue 6.1 Clarify Turbidity Water Quality Objective</w:t>
            </w:r>
          </w:p>
        </w:tc>
      </w:tr>
      <w:tr w:rsidR="001E7387" w:rsidRPr="00903356" w14:paraId="7F1EBB87" w14:textId="77777777" w:rsidTr="00B95197">
        <w:trPr>
          <w:trHeight w:val="132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87BC5" w14:textId="1CCFD5DA" w:rsidR="001E7387" w:rsidRPr="00903356" w:rsidRDefault="003E349E" w:rsidP="00DD5026">
            <w:pPr>
              <w:pStyle w:val="Body"/>
              <w:rPr>
                <w:rFonts w:ascii="Arial" w:hAnsi="Arial" w:cs="Arial"/>
                <w:b/>
                <w:bCs/>
                <w:sz w:val="20"/>
                <w:szCs w:val="20"/>
              </w:rPr>
            </w:pPr>
            <w:r>
              <w:rPr>
                <w:rFonts w:ascii="Arial" w:hAnsi="Arial" w:cs="Arial"/>
                <w:b/>
                <w:bCs/>
                <w:sz w:val="20"/>
                <w:szCs w:val="20"/>
              </w:rPr>
              <w:t>State Recycled Water Policy</w:t>
            </w:r>
          </w:p>
          <w:p w14:paraId="55B0EA70" w14:textId="3C62AF07" w:rsidR="004A2985" w:rsidRPr="00903356" w:rsidRDefault="006B2AF2" w:rsidP="00B95197">
            <w:pPr>
              <w:spacing w:after="160" w:line="259" w:lineRule="auto"/>
              <w:rPr>
                <w:rFonts w:ascii="Arial" w:hAnsi="Arial" w:cs="Arial"/>
                <w:sz w:val="20"/>
                <w:szCs w:val="20"/>
              </w:rPr>
            </w:pPr>
            <w:r>
              <w:rPr>
                <w:rFonts w:ascii="Arial" w:hAnsi="Arial" w:cs="Arial"/>
                <w:sz w:val="20"/>
                <w:szCs w:val="20"/>
              </w:rPr>
              <w:t xml:space="preserve">The draft amendment to the State Recycled Water Policy includes a provision that will terminate Regional orders one year after </w:t>
            </w:r>
            <w:r w:rsidR="00B95197">
              <w:rPr>
                <w:rFonts w:ascii="Arial" w:hAnsi="Arial" w:cs="Arial"/>
                <w:sz w:val="20"/>
                <w:szCs w:val="20"/>
              </w:rPr>
              <w:t xml:space="preserve">its </w:t>
            </w:r>
            <w:r>
              <w:rPr>
                <w:rFonts w:ascii="Arial" w:hAnsi="Arial" w:cs="Arial"/>
                <w:sz w:val="20"/>
                <w:szCs w:val="20"/>
              </w:rPr>
              <w:t>adoption.  There was a discussion about how the new General Order does not include coverage for recycled water production, only distribution. The committee recommends that BACWA’s comments to the State Water Board request that the State General Order be amended before 96-011 is terminated</w:t>
            </w:r>
            <w:r w:rsidR="00B95197">
              <w:rPr>
                <w:rFonts w:ascii="Arial" w:hAnsi="Arial" w:cs="Arial"/>
                <w:sz w:val="20"/>
                <w:szCs w:val="20"/>
              </w:rPr>
              <w:t xml:space="preserve"> to include recycled water production</w:t>
            </w:r>
            <w:r>
              <w:rPr>
                <w:rFonts w:ascii="Arial" w:hAnsi="Arial" w:cs="Arial"/>
                <w:sz w:val="20"/>
                <w:szCs w:val="20"/>
              </w:rPr>
              <w:t>.</w:t>
            </w:r>
          </w:p>
        </w:tc>
      </w:tr>
      <w:tr w:rsidR="008E5D11" w:rsidRPr="00903356" w14:paraId="20B542B5"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BBC71" w14:textId="6639A43E" w:rsidR="008E5D11" w:rsidRPr="00B97C6D" w:rsidRDefault="004B7185" w:rsidP="00B97C6D">
            <w:pPr>
              <w:pStyle w:val="Body"/>
              <w:rPr>
                <w:rFonts w:ascii="Arial" w:hAnsi="Arial" w:cs="Arial"/>
                <w:bCs/>
                <w:sz w:val="20"/>
                <w:szCs w:val="20"/>
              </w:rPr>
            </w:pPr>
            <w:r>
              <w:rPr>
                <w:rFonts w:ascii="Arial" w:hAnsi="Arial" w:cs="Arial"/>
                <w:b/>
                <w:bCs/>
                <w:sz w:val="20"/>
                <w:szCs w:val="20"/>
              </w:rPr>
              <w:t>Mercury methods for influent and biosolids</w:t>
            </w:r>
          </w:p>
          <w:p w14:paraId="015E7B85" w14:textId="2A65749C" w:rsidR="00B97C6D" w:rsidRPr="00903356" w:rsidRDefault="004B7185" w:rsidP="003E349E">
            <w:pPr>
              <w:pStyle w:val="Body"/>
              <w:rPr>
                <w:rFonts w:ascii="Arial" w:hAnsi="Arial" w:cs="Arial"/>
                <w:bCs/>
                <w:sz w:val="20"/>
                <w:szCs w:val="20"/>
              </w:rPr>
            </w:pPr>
            <w:r>
              <w:rPr>
                <w:rFonts w:ascii="Arial" w:hAnsi="Arial" w:cs="Arial"/>
                <w:bCs/>
                <w:sz w:val="20"/>
                <w:szCs w:val="20"/>
              </w:rPr>
              <w:t xml:space="preserve">The ultraclean mercury method that is required in permits is generally not suitable for influent or biosolids because it is impossible to get a clean equipment blank. </w:t>
            </w:r>
            <w:r w:rsidR="003E349E">
              <w:rPr>
                <w:rFonts w:ascii="Arial" w:hAnsi="Arial" w:cs="Arial"/>
                <w:bCs/>
                <w:sz w:val="20"/>
                <w:szCs w:val="20"/>
              </w:rPr>
              <w:t>In permits moving forward, the</w:t>
            </w:r>
            <w:r>
              <w:rPr>
                <w:rFonts w:ascii="Arial" w:hAnsi="Arial" w:cs="Arial"/>
                <w:bCs/>
                <w:sz w:val="20"/>
                <w:szCs w:val="20"/>
              </w:rPr>
              <w:t xml:space="preserve"> Regional Water Board </w:t>
            </w:r>
            <w:r w:rsidR="003E349E">
              <w:rPr>
                <w:rFonts w:ascii="Arial" w:hAnsi="Arial" w:cs="Arial"/>
                <w:bCs/>
                <w:sz w:val="20"/>
                <w:szCs w:val="20"/>
              </w:rPr>
              <w:t>will</w:t>
            </w:r>
            <w:r>
              <w:rPr>
                <w:rFonts w:ascii="Arial" w:hAnsi="Arial" w:cs="Arial"/>
                <w:bCs/>
                <w:sz w:val="20"/>
                <w:szCs w:val="20"/>
              </w:rPr>
              <w:t xml:space="preserve"> move the method footnote to indicate</w:t>
            </w:r>
            <w:r w:rsidR="00FE70D6">
              <w:rPr>
                <w:rFonts w:ascii="Arial" w:hAnsi="Arial" w:cs="Arial"/>
                <w:bCs/>
                <w:sz w:val="20"/>
                <w:szCs w:val="20"/>
              </w:rPr>
              <w:t xml:space="preserve"> that the method applies to</w:t>
            </w:r>
            <w:r>
              <w:rPr>
                <w:rFonts w:ascii="Arial" w:hAnsi="Arial" w:cs="Arial"/>
                <w:bCs/>
                <w:sz w:val="20"/>
                <w:szCs w:val="20"/>
              </w:rPr>
              <w:t xml:space="preserve"> just effluent, and not influent and biosolids</w:t>
            </w:r>
            <w:r w:rsidR="003E349E">
              <w:rPr>
                <w:rFonts w:ascii="Arial" w:hAnsi="Arial" w:cs="Arial"/>
                <w:bCs/>
                <w:sz w:val="20"/>
                <w:szCs w:val="20"/>
              </w:rPr>
              <w:t>.</w:t>
            </w:r>
          </w:p>
        </w:tc>
      </w:tr>
      <w:tr w:rsidR="003E349E" w:rsidRPr="00903356" w14:paraId="655E6EDB"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C09D1" w14:textId="77777777" w:rsidR="003E349E" w:rsidRDefault="003E349E" w:rsidP="00B97C6D">
            <w:pPr>
              <w:pStyle w:val="Body"/>
              <w:rPr>
                <w:rFonts w:ascii="Arial" w:hAnsi="Arial" w:cs="Arial"/>
                <w:b/>
                <w:bCs/>
                <w:sz w:val="20"/>
                <w:szCs w:val="20"/>
              </w:rPr>
            </w:pPr>
            <w:r>
              <w:rPr>
                <w:rFonts w:ascii="Arial" w:hAnsi="Arial" w:cs="Arial"/>
                <w:b/>
                <w:bCs/>
                <w:sz w:val="20"/>
                <w:szCs w:val="20"/>
              </w:rPr>
              <w:t>SFEP Presentation</w:t>
            </w:r>
          </w:p>
          <w:p w14:paraId="0E40C1FB" w14:textId="1B8C8B33" w:rsidR="003E349E" w:rsidRPr="003E349E" w:rsidRDefault="003E349E" w:rsidP="00B95197">
            <w:pPr>
              <w:pStyle w:val="Body"/>
              <w:rPr>
                <w:rFonts w:ascii="Arial" w:hAnsi="Arial" w:cs="Arial"/>
                <w:bCs/>
                <w:sz w:val="20"/>
                <w:szCs w:val="20"/>
              </w:rPr>
            </w:pPr>
            <w:r>
              <w:rPr>
                <w:rFonts w:ascii="Arial" w:hAnsi="Arial" w:cs="Arial"/>
                <w:bCs/>
                <w:sz w:val="20"/>
                <w:szCs w:val="20"/>
              </w:rPr>
              <w:t xml:space="preserve">Staff from the San Francisco Estuary Partnership provided </w:t>
            </w:r>
            <w:r w:rsidR="006B2AF2">
              <w:rPr>
                <w:rFonts w:ascii="Arial" w:hAnsi="Arial" w:cs="Arial"/>
                <w:bCs/>
                <w:sz w:val="20"/>
                <w:szCs w:val="20"/>
              </w:rPr>
              <w:t>a presentation on wetlands opportunities in the SF Bay margins. These include treatment wetlands, with a focus on horizontal levies, as well as marshlands sup</w:t>
            </w:r>
            <w:r w:rsidR="00B95197">
              <w:rPr>
                <w:rFonts w:ascii="Arial" w:hAnsi="Arial" w:cs="Arial"/>
                <w:bCs/>
                <w:sz w:val="20"/>
                <w:szCs w:val="20"/>
              </w:rPr>
              <w:t xml:space="preserve">ported by wastewater effluent. </w:t>
            </w:r>
            <w:r w:rsidR="006B2AF2">
              <w:rPr>
                <w:rFonts w:ascii="Arial" w:hAnsi="Arial" w:cs="Arial"/>
                <w:bCs/>
                <w:sz w:val="20"/>
                <w:szCs w:val="20"/>
              </w:rPr>
              <w:t>So far, work has been funded via an EPA grant and conducted in partnership with the Regional Water Board, who have been looking at permitting concerns. They are developing a proposal for SRF funding that would allow them to further their research on contaminant removal, provide designs for projects at EBDA, Palo Alto, and San Leandro, and continue capacity building on the project in terms of collaboration and information exchange.  The Regional Water Board is interested in a test case for a wetlands project, which will likely be Palo Alto’s ecotone project. Collaboration with SFEP could be part of fulfilling the Regional Study that will be part of the next watershed permit, since the projects under consideration are candidates for nutrient removal.</w:t>
            </w:r>
          </w:p>
        </w:tc>
      </w:tr>
      <w:tr w:rsidR="004A2985" w:rsidRPr="00903356" w14:paraId="31BE1F5C"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D1903" w14:textId="671AC2ED" w:rsidR="004A2985" w:rsidRPr="00903356" w:rsidRDefault="00814E5A" w:rsidP="00DD5026">
            <w:pPr>
              <w:pStyle w:val="Body"/>
              <w:rPr>
                <w:rFonts w:ascii="Arial" w:hAnsi="Arial" w:cs="Arial"/>
                <w:b/>
                <w:bCs/>
                <w:sz w:val="20"/>
                <w:szCs w:val="20"/>
              </w:rPr>
            </w:pPr>
            <w:r w:rsidRPr="00903356">
              <w:rPr>
                <w:rFonts w:ascii="Arial" w:hAnsi="Arial" w:cs="Arial"/>
                <w:b/>
                <w:bCs/>
                <w:sz w:val="20"/>
                <w:szCs w:val="20"/>
              </w:rPr>
              <w:lastRenderedPageBreak/>
              <w:t>Nutrients</w:t>
            </w:r>
          </w:p>
          <w:p w14:paraId="4C61DE65" w14:textId="135E8629" w:rsidR="004D0A26" w:rsidRDefault="004B7185" w:rsidP="004D0A26">
            <w:pPr>
              <w:pStyle w:val="Body"/>
              <w:numPr>
                <w:ilvl w:val="0"/>
                <w:numId w:val="28"/>
              </w:numPr>
              <w:rPr>
                <w:rFonts w:ascii="Arial" w:hAnsi="Arial" w:cs="Arial"/>
                <w:bCs/>
                <w:sz w:val="20"/>
                <w:szCs w:val="20"/>
              </w:rPr>
            </w:pPr>
            <w:r>
              <w:rPr>
                <w:rFonts w:ascii="Arial" w:hAnsi="Arial" w:cs="Arial"/>
                <w:bCs/>
                <w:i/>
                <w:sz w:val="20"/>
                <w:szCs w:val="20"/>
              </w:rPr>
              <w:t>Optimization/Upgrade Studies –</w:t>
            </w:r>
            <w:r w:rsidR="004D0A26">
              <w:rPr>
                <w:rFonts w:ascii="Arial" w:hAnsi="Arial" w:cs="Arial"/>
                <w:bCs/>
                <w:sz w:val="20"/>
                <w:szCs w:val="20"/>
              </w:rPr>
              <w:t xml:space="preserve"> </w:t>
            </w:r>
            <w:r w:rsidR="001E01E9">
              <w:rPr>
                <w:rFonts w:ascii="Arial" w:hAnsi="Arial" w:cs="Arial"/>
                <w:bCs/>
                <w:sz w:val="20"/>
                <w:szCs w:val="20"/>
              </w:rPr>
              <w:t>BACWA hosted a workshop on May 31 to review the main body of the Optimization and Upgrade Studies Report</w:t>
            </w:r>
            <w:r w:rsidR="006B2AF2">
              <w:rPr>
                <w:rFonts w:ascii="Arial" w:hAnsi="Arial" w:cs="Arial"/>
                <w:bCs/>
                <w:sz w:val="20"/>
                <w:szCs w:val="20"/>
              </w:rPr>
              <w:t>. Comments from the workshop are being incorporated, and the report is expected to be submitted to the Regional Water Board by the July 1 2018 deadline.  Certification letters have been received from all b</w:t>
            </w:r>
            <w:r w:rsidR="00B95197">
              <w:rPr>
                <w:rFonts w:ascii="Arial" w:hAnsi="Arial" w:cs="Arial"/>
                <w:bCs/>
                <w:sz w:val="20"/>
                <w:szCs w:val="20"/>
              </w:rPr>
              <w:t>ut</w:t>
            </w:r>
            <w:r w:rsidR="006B2AF2">
              <w:rPr>
                <w:rFonts w:ascii="Arial" w:hAnsi="Arial" w:cs="Arial"/>
                <w:bCs/>
                <w:sz w:val="20"/>
                <w:szCs w:val="20"/>
              </w:rPr>
              <w:t xml:space="preserve"> two agencies.</w:t>
            </w:r>
          </w:p>
          <w:p w14:paraId="79905948" w14:textId="0969BC2E" w:rsidR="00D11F05" w:rsidRPr="006B2AF2" w:rsidRDefault="00D11F05" w:rsidP="006B2AF2">
            <w:pPr>
              <w:pStyle w:val="Body"/>
              <w:numPr>
                <w:ilvl w:val="0"/>
                <w:numId w:val="28"/>
              </w:numPr>
              <w:rPr>
                <w:rFonts w:ascii="Arial" w:hAnsi="Arial" w:cs="Arial"/>
                <w:bCs/>
                <w:sz w:val="20"/>
                <w:szCs w:val="20"/>
              </w:rPr>
            </w:pPr>
            <w:r>
              <w:rPr>
                <w:rFonts w:ascii="Arial" w:hAnsi="Arial" w:cs="Arial"/>
                <w:bCs/>
                <w:i/>
                <w:sz w:val="20"/>
                <w:szCs w:val="20"/>
              </w:rPr>
              <w:t>NST meeting –</w:t>
            </w:r>
            <w:r>
              <w:rPr>
                <w:rFonts w:ascii="Arial" w:hAnsi="Arial" w:cs="Arial"/>
                <w:bCs/>
                <w:sz w:val="20"/>
                <w:szCs w:val="20"/>
              </w:rPr>
              <w:t xml:space="preserve"> The Nutrient Strategy Team </w:t>
            </w:r>
            <w:r w:rsidR="004D0A26">
              <w:rPr>
                <w:rFonts w:ascii="Arial" w:hAnsi="Arial" w:cs="Arial"/>
                <w:bCs/>
                <w:sz w:val="20"/>
                <w:szCs w:val="20"/>
              </w:rPr>
              <w:t>met</w:t>
            </w:r>
            <w:r>
              <w:rPr>
                <w:rFonts w:ascii="Arial" w:hAnsi="Arial" w:cs="Arial"/>
                <w:bCs/>
                <w:sz w:val="20"/>
                <w:szCs w:val="20"/>
              </w:rPr>
              <w:t xml:space="preserve"> on </w:t>
            </w:r>
            <w:r w:rsidR="006B2AF2">
              <w:rPr>
                <w:rFonts w:ascii="Arial" w:hAnsi="Arial" w:cs="Arial"/>
                <w:bCs/>
                <w:sz w:val="20"/>
                <w:szCs w:val="20"/>
              </w:rPr>
              <w:t>May 18</w:t>
            </w:r>
            <w:r>
              <w:rPr>
                <w:rFonts w:ascii="Arial" w:hAnsi="Arial" w:cs="Arial"/>
                <w:bCs/>
                <w:sz w:val="20"/>
                <w:szCs w:val="20"/>
              </w:rPr>
              <w:t xml:space="preserve"> to discuss </w:t>
            </w:r>
            <w:r w:rsidR="008429BB">
              <w:rPr>
                <w:rFonts w:ascii="Arial" w:hAnsi="Arial" w:cs="Arial"/>
                <w:bCs/>
                <w:sz w:val="20"/>
                <w:szCs w:val="20"/>
              </w:rPr>
              <w:t>elements of the second watershed permit - the</w:t>
            </w:r>
            <w:r>
              <w:rPr>
                <w:rFonts w:ascii="Arial" w:hAnsi="Arial" w:cs="Arial"/>
                <w:bCs/>
                <w:sz w:val="20"/>
                <w:szCs w:val="20"/>
              </w:rPr>
              <w:t xml:space="preserve"> Regional Study as well as concepts for encouraging early actions and reducing the risk of agencies that plan to implement Capital Projects to reduce nutrients. </w:t>
            </w:r>
            <w:r w:rsidR="006B2AF2">
              <w:rPr>
                <w:rFonts w:ascii="Arial" w:hAnsi="Arial" w:cs="Arial"/>
                <w:bCs/>
                <w:sz w:val="20"/>
                <w:szCs w:val="20"/>
              </w:rPr>
              <w:t>There was some consensus on a concept where early actions could lead to credits that would allow agencies to exceed baseline concentrations for some amount of time in a nutrient load cap scenario.</w:t>
            </w:r>
          </w:p>
        </w:tc>
      </w:tr>
      <w:tr w:rsidR="00F91427" w:rsidRPr="00903356" w14:paraId="371F725A"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EBD7D" w14:textId="0504798C" w:rsidR="00F91427" w:rsidRPr="007B15E6" w:rsidRDefault="004D0A26" w:rsidP="00F91427">
            <w:pPr>
              <w:pStyle w:val="Body"/>
              <w:rPr>
                <w:rStyle w:val="Hyperlink"/>
                <w:color w:val="auto"/>
                <w:u w:val="none"/>
              </w:rPr>
            </w:pPr>
            <w:r>
              <w:rPr>
                <w:rStyle w:val="Hyperlink"/>
                <w:color w:val="auto"/>
                <w:u w:val="none"/>
              </w:rPr>
              <w:t>CECs</w:t>
            </w:r>
          </w:p>
          <w:p w14:paraId="026C5E1E" w14:textId="2C4DA1CC" w:rsidR="004D0A26" w:rsidRPr="004D0A26" w:rsidRDefault="004D0A26" w:rsidP="004D0A26">
            <w:pPr>
              <w:pStyle w:val="BodyText"/>
              <w:spacing w:after="0"/>
              <w:ind w:left="691" w:hanging="360"/>
              <w:rPr>
                <w:rFonts w:ascii="Arial" w:hAnsi="Arial" w:cs="Arial"/>
                <w:sz w:val="20"/>
                <w:szCs w:val="20"/>
              </w:rPr>
            </w:pPr>
            <w:r w:rsidRPr="004D0A26">
              <w:rPr>
                <w:rFonts w:ascii="Arial" w:hAnsi="Arial" w:cs="Arial"/>
                <w:sz w:val="20"/>
                <w:szCs w:val="20"/>
              </w:rPr>
              <w:t>a.</w:t>
            </w:r>
            <w:r w:rsidRPr="004D0A26">
              <w:rPr>
                <w:rFonts w:ascii="Arial" w:hAnsi="Arial" w:cs="Arial"/>
                <w:sz w:val="20"/>
                <w:szCs w:val="20"/>
              </w:rPr>
              <w:tab/>
            </w:r>
            <w:r w:rsidRPr="004D0A26">
              <w:rPr>
                <w:rFonts w:ascii="Arial" w:hAnsi="Arial" w:cs="Arial"/>
                <w:i/>
                <w:sz w:val="20"/>
                <w:szCs w:val="20"/>
              </w:rPr>
              <w:t>BACWA White Paper on CECs participation</w:t>
            </w:r>
            <w:r>
              <w:rPr>
                <w:rFonts w:ascii="Arial" w:hAnsi="Arial" w:cs="Arial"/>
                <w:i/>
                <w:sz w:val="20"/>
                <w:szCs w:val="20"/>
              </w:rPr>
              <w:t xml:space="preserve">- </w:t>
            </w:r>
            <w:r>
              <w:rPr>
                <w:rFonts w:ascii="Arial" w:hAnsi="Arial" w:cs="Arial"/>
                <w:sz w:val="20"/>
                <w:szCs w:val="20"/>
              </w:rPr>
              <w:t xml:space="preserve"> BACWA is developing a White Paper detailing POTW participation in RMP studies. This will be provided to the Water Boards to demonstrate that Region 2 has a robust CECs program, where POTWs participate in studies when needed.  The alternative would be requirements for monitoring from the State Water </w:t>
            </w:r>
            <w:r w:rsidR="00FE70D6">
              <w:rPr>
                <w:rFonts w:ascii="Arial" w:hAnsi="Arial" w:cs="Arial"/>
                <w:sz w:val="20"/>
                <w:szCs w:val="20"/>
              </w:rPr>
              <w:t>B</w:t>
            </w:r>
            <w:r>
              <w:rPr>
                <w:rFonts w:ascii="Arial" w:hAnsi="Arial" w:cs="Arial"/>
                <w:sz w:val="20"/>
                <w:szCs w:val="20"/>
              </w:rPr>
              <w:t>oard.</w:t>
            </w:r>
            <w:r w:rsidR="00927E10">
              <w:rPr>
                <w:rFonts w:ascii="Arial" w:hAnsi="Arial" w:cs="Arial"/>
                <w:sz w:val="20"/>
                <w:szCs w:val="20"/>
              </w:rPr>
              <w:t xml:space="preserve"> The White Paper will provide a menu of POTW characteristics that would allow the RMP to select representative</w:t>
            </w:r>
            <w:r w:rsidR="00B95197">
              <w:rPr>
                <w:rFonts w:ascii="Arial" w:hAnsi="Arial" w:cs="Arial"/>
                <w:sz w:val="20"/>
                <w:szCs w:val="20"/>
              </w:rPr>
              <w:t xml:space="preserve"> POTWs to provide effluent studies for any given sample.</w:t>
            </w:r>
          </w:p>
          <w:p w14:paraId="126367E3" w14:textId="59E39DB3" w:rsidR="004D0A26" w:rsidRPr="00927E10" w:rsidRDefault="004D0A26" w:rsidP="004D0A26">
            <w:pPr>
              <w:pStyle w:val="BodyText"/>
              <w:spacing w:after="0"/>
              <w:ind w:left="691" w:hanging="360"/>
              <w:rPr>
                <w:rFonts w:ascii="Arial" w:hAnsi="Arial" w:cs="Arial"/>
                <w:sz w:val="20"/>
                <w:szCs w:val="20"/>
              </w:rPr>
            </w:pPr>
            <w:r w:rsidRPr="004D0A26">
              <w:rPr>
                <w:rFonts w:ascii="Arial" w:hAnsi="Arial" w:cs="Arial"/>
                <w:sz w:val="20"/>
                <w:szCs w:val="20"/>
              </w:rPr>
              <w:t>b.</w:t>
            </w:r>
            <w:r w:rsidRPr="004D0A26">
              <w:rPr>
                <w:rFonts w:ascii="Arial" w:hAnsi="Arial" w:cs="Arial"/>
                <w:sz w:val="20"/>
                <w:szCs w:val="20"/>
              </w:rPr>
              <w:tab/>
              <w:t xml:space="preserve">RMP CEC Workgroup meeting April 12-13 – </w:t>
            </w:r>
            <w:hyperlink r:id="rId9" w:history="1">
              <w:r w:rsidRPr="004D0A26">
                <w:rPr>
                  <w:rStyle w:val="Hyperlink"/>
                  <w:rFonts w:eastAsiaTheme="minorHAnsi"/>
                  <w:shd w:val="clear" w:color="auto" w:fill="auto"/>
                </w:rPr>
                <w:t>see agenda</w:t>
              </w:r>
            </w:hyperlink>
            <w:r w:rsidR="00927E10">
              <w:rPr>
                <w:rStyle w:val="Hyperlink"/>
                <w:rFonts w:eastAsiaTheme="minorHAnsi"/>
                <w:b w:val="0"/>
                <w:u w:val="none"/>
                <w:shd w:val="clear" w:color="auto" w:fill="auto"/>
              </w:rPr>
              <w:t xml:space="preserve">. </w:t>
            </w:r>
            <w:r w:rsidR="00927E10">
              <w:rPr>
                <w:rStyle w:val="Hyperlink"/>
                <w:rFonts w:eastAsiaTheme="minorHAnsi"/>
                <w:b w:val="0"/>
                <w:color w:val="auto"/>
                <w:u w:val="none"/>
                <w:shd w:val="clear" w:color="auto" w:fill="auto"/>
              </w:rPr>
              <w:t>The group reviewed a series of proposals and selected mostly stormwater studies for recommended funding. There will also likely be a study looking at sunscreen in POTW effluent.</w:t>
            </w:r>
          </w:p>
          <w:p w14:paraId="65D4FDF4" w14:textId="6CD4EC02" w:rsidR="00F91427" w:rsidRPr="00903356" w:rsidRDefault="004D0A26" w:rsidP="004D0A26">
            <w:pPr>
              <w:pStyle w:val="BodyText"/>
              <w:spacing w:after="0" w:line="240" w:lineRule="auto"/>
              <w:ind w:left="691" w:hanging="360"/>
              <w:rPr>
                <w:rFonts w:ascii="Arial" w:hAnsi="Arial" w:cs="Arial"/>
                <w:sz w:val="20"/>
                <w:szCs w:val="20"/>
              </w:rPr>
            </w:pPr>
            <w:r w:rsidRPr="004D0A26">
              <w:rPr>
                <w:rFonts w:ascii="Arial" w:hAnsi="Arial" w:cs="Arial"/>
                <w:sz w:val="20"/>
                <w:szCs w:val="20"/>
              </w:rPr>
              <w:t>c.</w:t>
            </w:r>
            <w:r w:rsidRPr="004D0A26">
              <w:rPr>
                <w:rFonts w:ascii="Arial" w:hAnsi="Arial" w:cs="Arial"/>
                <w:sz w:val="20"/>
                <w:szCs w:val="20"/>
              </w:rPr>
              <w:tab/>
              <w:t>RMP Microplastics Workgroup meeting May 15</w:t>
            </w:r>
            <w:r w:rsidR="00927E10">
              <w:rPr>
                <w:rFonts w:ascii="Arial" w:hAnsi="Arial" w:cs="Arial"/>
                <w:sz w:val="20"/>
                <w:szCs w:val="20"/>
              </w:rPr>
              <w:t>. There was a methods review, and there will be a workgoup to determine how to develop representative analysis techniques to cut down on labor due to particle counting.  The group recommended that the RMP fund studies looking at microplastics in fish guts, and tissues, if funds are available.</w:t>
            </w:r>
          </w:p>
        </w:tc>
      </w:tr>
      <w:tr w:rsidR="005B2FCA" w:rsidRPr="00903356" w14:paraId="2E16D9D0" w14:textId="77777777" w:rsidTr="00927E10">
        <w:trPr>
          <w:trHeight w:val="60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7775A" w14:textId="4EEF8ED0" w:rsidR="005B2FCA" w:rsidRPr="006B1A4F" w:rsidRDefault="004D0A26" w:rsidP="002B62C5">
            <w:pPr>
              <w:rPr>
                <w:rFonts w:ascii="Arial" w:hAnsi="Arial" w:cs="Arial"/>
                <w:bCs/>
                <w:sz w:val="20"/>
                <w:szCs w:val="20"/>
              </w:rPr>
            </w:pPr>
            <w:r>
              <w:rPr>
                <w:rFonts w:ascii="Arial" w:hAnsi="Arial" w:cs="Arial"/>
                <w:b/>
                <w:bCs/>
                <w:sz w:val="20"/>
                <w:szCs w:val="20"/>
              </w:rPr>
              <w:t>Triennial Review</w:t>
            </w:r>
          </w:p>
          <w:p w14:paraId="21A76693" w14:textId="3012BDAB" w:rsidR="008C30A4" w:rsidRPr="0025585A" w:rsidRDefault="00927E10" w:rsidP="00927E10">
            <w:pPr>
              <w:rPr>
                <w:rStyle w:val="Hyperlink"/>
                <w:rFonts w:eastAsia="Arial Unicode MS"/>
                <w:color w:val="auto"/>
                <w:u w:val="none"/>
                <w:shd w:val="clear" w:color="auto" w:fill="auto"/>
              </w:rPr>
            </w:pPr>
            <w:r>
              <w:rPr>
                <w:rStyle w:val="Hyperlink"/>
                <w:rFonts w:eastAsia="Arial Unicode MS"/>
                <w:b w:val="0"/>
                <w:color w:val="auto"/>
                <w:u w:val="none"/>
                <w:shd w:val="clear" w:color="auto" w:fill="auto"/>
              </w:rPr>
              <w:t xml:space="preserve">BACWA submitted </w:t>
            </w:r>
            <w:hyperlink r:id="rId10" w:history="1">
              <w:r w:rsidRPr="00927E10">
                <w:rPr>
                  <w:rStyle w:val="Hyperlink"/>
                  <w:rFonts w:eastAsia="Arial Unicode MS"/>
                  <w:b w:val="0"/>
                  <w:shd w:val="clear" w:color="auto" w:fill="auto"/>
                </w:rPr>
                <w:t>comments</w:t>
              </w:r>
            </w:hyperlink>
            <w:r>
              <w:rPr>
                <w:rStyle w:val="Hyperlink"/>
                <w:rFonts w:eastAsia="Arial Unicode MS"/>
                <w:b w:val="0"/>
                <w:color w:val="auto"/>
                <w:u w:val="none"/>
                <w:shd w:val="clear" w:color="auto" w:fill="auto"/>
              </w:rPr>
              <w:t xml:space="preserve"> on the Triennial review.</w:t>
            </w:r>
            <w:r w:rsidR="00B95197">
              <w:rPr>
                <w:rStyle w:val="Hyperlink"/>
                <w:rFonts w:eastAsia="Arial Unicode MS"/>
                <w:b w:val="0"/>
                <w:color w:val="auto"/>
                <w:u w:val="none"/>
                <w:shd w:val="clear" w:color="auto" w:fill="auto"/>
              </w:rPr>
              <w:t xml:space="preserve"> (See RWB Report-out)</w:t>
            </w:r>
          </w:p>
        </w:tc>
      </w:tr>
      <w:tr w:rsidR="00087D46" w:rsidRPr="00903356" w14:paraId="4AD901CA" w14:textId="77777777" w:rsidTr="001E4183">
        <w:trPr>
          <w:trHeight w:val="360"/>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9495E" w14:textId="77777777" w:rsidR="00307C64" w:rsidRPr="00903356" w:rsidRDefault="00087D46" w:rsidP="00307C64">
            <w:pPr>
              <w:pStyle w:val="Body"/>
              <w:rPr>
                <w:rFonts w:ascii="Arial" w:hAnsi="Arial" w:cs="Arial"/>
                <w:b/>
                <w:bCs/>
                <w:sz w:val="20"/>
                <w:szCs w:val="20"/>
              </w:rPr>
            </w:pPr>
            <w:r w:rsidRPr="00903356">
              <w:rPr>
                <w:rFonts w:ascii="Arial" w:hAnsi="Arial" w:cs="Arial"/>
                <w:b/>
                <w:bCs/>
                <w:sz w:val="20"/>
                <w:szCs w:val="20"/>
              </w:rPr>
              <w:t>Announcements</w:t>
            </w:r>
          </w:p>
          <w:p w14:paraId="425D0693" w14:textId="77777777" w:rsidR="00927E10" w:rsidRPr="00927E10" w:rsidRDefault="00927E10" w:rsidP="00927E10">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689"/>
              <w:rPr>
                <w:rFonts w:ascii="Arial" w:hAnsi="Arial" w:cs="Arial"/>
                <w:sz w:val="20"/>
                <w:szCs w:val="20"/>
                <w:u w:val="single"/>
              </w:rPr>
            </w:pPr>
            <w:r w:rsidRPr="00927E10">
              <w:rPr>
                <w:rFonts w:ascii="Arial" w:hAnsi="Arial" w:cs="Arial"/>
                <w:sz w:val="20"/>
                <w:szCs w:val="20"/>
              </w:rPr>
              <w:t xml:space="preserve">RWB soliciting nominations for 2018 P2 Award – email </w:t>
            </w:r>
            <w:hyperlink r:id="rId11" w:history="1">
              <w:r w:rsidRPr="00927E10">
                <w:rPr>
                  <w:rStyle w:val="Hyperlink"/>
                </w:rPr>
                <w:t>Debbie Phan</w:t>
              </w:r>
            </w:hyperlink>
            <w:r w:rsidRPr="00927E10">
              <w:rPr>
                <w:rFonts w:ascii="Arial" w:hAnsi="Arial" w:cs="Arial"/>
                <w:sz w:val="20"/>
                <w:szCs w:val="20"/>
              </w:rPr>
              <w:t xml:space="preserve"> by July 13</w:t>
            </w:r>
          </w:p>
          <w:p w14:paraId="08233C9D" w14:textId="23D2D1D0" w:rsidR="006B1A4F" w:rsidRPr="00927E10" w:rsidRDefault="00927E10" w:rsidP="00927E10">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689"/>
              <w:rPr>
                <w:rFonts w:ascii="Arial" w:hAnsi="Arial" w:cs="Arial"/>
                <w:sz w:val="22"/>
                <w:szCs w:val="22"/>
                <w:u w:val="single"/>
              </w:rPr>
            </w:pPr>
            <w:r w:rsidRPr="00927E10">
              <w:rPr>
                <w:rFonts w:ascii="Arial" w:hAnsi="Arial" w:cs="Arial"/>
                <w:sz w:val="20"/>
                <w:szCs w:val="20"/>
              </w:rPr>
              <w:t xml:space="preserve">BAAQMD hosting organics recovery Workshop June 25 - </w:t>
            </w:r>
            <w:hyperlink r:id="rId12" w:history="1">
              <w:r w:rsidRPr="00927E10">
                <w:rPr>
                  <w:rStyle w:val="Hyperlink"/>
                </w:rPr>
                <w:t>RSVP</w:t>
              </w:r>
            </w:hyperlink>
          </w:p>
        </w:tc>
      </w:tr>
      <w:tr w:rsidR="00A07BE6" w:rsidRPr="00903356" w14:paraId="418CE6C8" w14:textId="77777777" w:rsidTr="001E4183">
        <w:trPr>
          <w:trHeight w:val="360"/>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E5F98" w14:textId="47DFF2FF" w:rsidR="00A07BE6" w:rsidRDefault="00A07BE6" w:rsidP="00307C64">
            <w:pPr>
              <w:pStyle w:val="Body"/>
              <w:rPr>
                <w:rFonts w:ascii="Arial" w:hAnsi="Arial" w:cs="Arial"/>
                <w:b/>
                <w:bCs/>
                <w:sz w:val="20"/>
                <w:szCs w:val="20"/>
              </w:rPr>
            </w:pPr>
            <w:r>
              <w:rPr>
                <w:rFonts w:ascii="Arial" w:hAnsi="Arial" w:cs="Arial"/>
                <w:b/>
                <w:bCs/>
                <w:sz w:val="20"/>
                <w:szCs w:val="20"/>
              </w:rPr>
              <w:t>Suc</w:t>
            </w:r>
            <w:bookmarkStart w:id="0" w:name="_GoBack"/>
            <w:bookmarkEnd w:id="0"/>
            <w:r>
              <w:rPr>
                <w:rFonts w:ascii="Arial" w:hAnsi="Arial" w:cs="Arial"/>
                <w:b/>
                <w:bCs/>
                <w:sz w:val="20"/>
                <w:szCs w:val="20"/>
              </w:rPr>
              <w:t>cession Planning</w:t>
            </w:r>
          </w:p>
          <w:p w14:paraId="7319D853" w14:textId="2D2CF6D3" w:rsidR="00A07BE6" w:rsidRPr="00A07BE6" w:rsidRDefault="00A07BE6" w:rsidP="00307C64">
            <w:pPr>
              <w:pStyle w:val="Body"/>
              <w:rPr>
                <w:rFonts w:ascii="Arial" w:hAnsi="Arial" w:cs="Arial"/>
                <w:bCs/>
                <w:sz w:val="20"/>
                <w:szCs w:val="20"/>
              </w:rPr>
            </w:pPr>
            <w:r>
              <w:rPr>
                <w:rFonts w:ascii="Arial" w:hAnsi="Arial" w:cs="Arial"/>
                <w:bCs/>
                <w:sz w:val="20"/>
                <w:szCs w:val="20"/>
              </w:rPr>
              <w:t>The committee is seeking a new vice-chair for FY19.</w:t>
            </w:r>
          </w:p>
        </w:tc>
      </w:tr>
      <w:tr w:rsidR="004E0C68" w:rsidRPr="00903356" w14:paraId="1B72519F" w14:textId="77777777">
        <w:trPr>
          <w:trHeight w:val="22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6896A" w14:textId="417D670B" w:rsidR="004E0C68" w:rsidRPr="00903356" w:rsidRDefault="00962634" w:rsidP="00927E10">
            <w:pPr>
              <w:pStyle w:val="Body"/>
              <w:spacing w:before="60"/>
              <w:rPr>
                <w:rFonts w:ascii="Arial" w:hAnsi="Arial" w:cs="Arial"/>
                <w:sz w:val="20"/>
                <w:szCs w:val="20"/>
              </w:rPr>
            </w:pPr>
            <w:r w:rsidRPr="00903356">
              <w:rPr>
                <w:rFonts w:ascii="Arial" w:hAnsi="Arial" w:cs="Arial"/>
                <w:b/>
                <w:bCs/>
                <w:sz w:val="20"/>
                <w:szCs w:val="20"/>
              </w:rPr>
              <w:t>Next BA</w:t>
            </w:r>
            <w:r w:rsidR="00927E10">
              <w:rPr>
                <w:rFonts w:ascii="Arial" w:hAnsi="Arial" w:cs="Arial"/>
                <w:b/>
                <w:bCs/>
                <w:sz w:val="20"/>
                <w:szCs w:val="20"/>
              </w:rPr>
              <w:t xml:space="preserve">CWA Permits Committee Meeting: </w:t>
            </w:r>
            <w:r w:rsidR="00927E10" w:rsidRPr="00927E10">
              <w:rPr>
                <w:rFonts w:ascii="Arial" w:hAnsi="Arial" w:cs="Arial"/>
                <w:sz w:val="20"/>
                <w:szCs w:val="20"/>
              </w:rPr>
              <w:t>Tuesday July 10, 12 to 2pm, EBMUD Lab Library</w:t>
            </w:r>
          </w:p>
        </w:tc>
      </w:tr>
    </w:tbl>
    <w:p w14:paraId="0BB1F764" w14:textId="77777777" w:rsidR="004E0C68" w:rsidRPr="00F91427" w:rsidRDefault="004E0C68" w:rsidP="008F6C8E">
      <w:pPr>
        <w:pStyle w:val="Body"/>
        <w:widowControl w:val="0"/>
        <w:rPr>
          <w:rFonts w:ascii="Arial" w:hAnsi="Arial" w:cs="Arial"/>
          <w:sz w:val="20"/>
          <w:szCs w:val="20"/>
        </w:rPr>
      </w:pPr>
    </w:p>
    <w:sectPr w:rsidR="004E0C68" w:rsidRPr="00F91427">
      <w:headerReference w:type="default" r:id="rId13"/>
      <w:footerReference w:type="default" r:id="rId14"/>
      <w:pgSz w:w="12240" w:h="15840"/>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43665" w14:textId="77777777" w:rsidR="002714DF" w:rsidRDefault="002714DF">
      <w:r>
        <w:separator/>
      </w:r>
    </w:p>
  </w:endnote>
  <w:endnote w:type="continuationSeparator" w:id="0">
    <w:p w14:paraId="2E0A54C9" w14:textId="77777777" w:rsidR="002714DF" w:rsidRDefault="0027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141EE" w14:textId="77777777" w:rsidR="00EA2D59" w:rsidRDefault="00EA2D59">
    <w:pPr>
      <w:pStyle w:val="Footer"/>
      <w:jc w:val="center"/>
    </w:pPr>
    <w:r>
      <w:rPr>
        <w:rFonts w:ascii="Arial Black" w:eastAsia="Arial Black" w:hAnsi="Arial Black" w:cs="Arial Black"/>
        <w:b/>
        <w:bCs/>
        <w:spacing w:val="-10"/>
        <w:sz w:val="18"/>
        <w:szCs w:val="18"/>
      </w:rPr>
      <w:fldChar w:fldCharType="begin"/>
    </w:r>
    <w:r>
      <w:rPr>
        <w:rFonts w:ascii="Arial Black" w:eastAsia="Arial Black" w:hAnsi="Arial Black" w:cs="Arial Black"/>
        <w:b/>
        <w:bCs/>
        <w:spacing w:val="-10"/>
        <w:sz w:val="18"/>
        <w:szCs w:val="18"/>
      </w:rPr>
      <w:instrText xml:space="preserve"> PAGE </w:instrText>
    </w:r>
    <w:r>
      <w:rPr>
        <w:rFonts w:ascii="Arial Black" w:eastAsia="Arial Black" w:hAnsi="Arial Black" w:cs="Arial Black"/>
        <w:b/>
        <w:bCs/>
        <w:spacing w:val="-10"/>
        <w:sz w:val="18"/>
        <w:szCs w:val="18"/>
      </w:rPr>
      <w:fldChar w:fldCharType="separate"/>
    </w:r>
    <w:r w:rsidR="00A07BE6">
      <w:rPr>
        <w:rFonts w:ascii="Arial Black" w:eastAsia="Arial Black" w:hAnsi="Arial Black" w:cs="Arial Black"/>
        <w:b/>
        <w:bCs/>
        <w:noProof/>
        <w:spacing w:val="-10"/>
        <w:sz w:val="18"/>
        <w:szCs w:val="18"/>
      </w:rPr>
      <w:t>2</w:t>
    </w:r>
    <w:r>
      <w:rPr>
        <w:rFonts w:ascii="Arial Black" w:eastAsia="Arial Black" w:hAnsi="Arial Black" w:cs="Arial Black"/>
        <w:b/>
        <w:bCs/>
        <w:spacing w:val="-1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713F6" w14:textId="77777777" w:rsidR="002714DF" w:rsidRDefault="002714DF">
      <w:r>
        <w:separator/>
      </w:r>
    </w:p>
  </w:footnote>
  <w:footnote w:type="continuationSeparator" w:id="0">
    <w:p w14:paraId="1C5602A6" w14:textId="77777777" w:rsidR="002714DF" w:rsidRDefault="00271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0BE0" w14:textId="77777777" w:rsidR="00EA2D59" w:rsidRDefault="00EA2D5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954961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0A02041"/>
    <w:multiLevelType w:val="hybridMultilevel"/>
    <w:tmpl w:val="3C7C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2081B"/>
    <w:multiLevelType w:val="hybridMultilevel"/>
    <w:tmpl w:val="62249A48"/>
    <w:lvl w:ilvl="0" w:tplc="07E2D01E">
      <w:start w:val="1"/>
      <w:numFmt w:val="lowerLetter"/>
      <w:lvlText w:val="%1."/>
      <w:lvlJc w:val="left"/>
      <w:pPr>
        <w:ind w:left="720" w:hanging="360"/>
      </w:pPr>
      <w:rPr>
        <w:rFonts w:hint="default"/>
        <w:b w:val="0"/>
      </w:rPr>
    </w:lvl>
    <w:lvl w:ilvl="1" w:tplc="482AD57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07694"/>
    <w:multiLevelType w:val="hybridMultilevel"/>
    <w:tmpl w:val="C282A55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1EA0"/>
    <w:multiLevelType w:val="hybridMultilevel"/>
    <w:tmpl w:val="A1C8161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296AED"/>
    <w:multiLevelType w:val="hybridMultilevel"/>
    <w:tmpl w:val="8996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376BC"/>
    <w:multiLevelType w:val="hybridMultilevel"/>
    <w:tmpl w:val="C6B49E88"/>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CE93E12"/>
    <w:multiLevelType w:val="hybridMultilevel"/>
    <w:tmpl w:val="E36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730E2"/>
    <w:multiLevelType w:val="hybridMultilevel"/>
    <w:tmpl w:val="9A6A63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47AD6"/>
    <w:multiLevelType w:val="hybridMultilevel"/>
    <w:tmpl w:val="51DE0E20"/>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DFB2B5B"/>
    <w:multiLevelType w:val="hybridMultilevel"/>
    <w:tmpl w:val="F1A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F6638"/>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4002F1B"/>
    <w:multiLevelType w:val="hybridMultilevel"/>
    <w:tmpl w:val="5032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74DBC"/>
    <w:multiLevelType w:val="hybridMultilevel"/>
    <w:tmpl w:val="EF4C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97B97"/>
    <w:multiLevelType w:val="hybridMultilevel"/>
    <w:tmpl w:val="40DA6B4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A1576"/>
    <w:multiLevelType w:val="hybridMultilevel"/>
    <w:tmpl w:val="EEC4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8578E"/>
    <w:multiLevelType w:val="hybridMultilevel"/>
    <w:tmpl w:val="5E44C8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05931"/>
    <w:multiLevelType w:val="hybridMultilevel"/>
    <w:tmpl w:val="065C3A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D74E4"/>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2F42A7A"/>
    <w:multiLevelType w:val="hybridMultilevel"/>
    <w:tmpl w:val="743EF9CA"/>
    <w:lvl w:ilvl="0" w:tplc="E87EE03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019A4"/>
    <w:multiLevelType w:val="hybridMultilevel"/>
    <w:tmpl w:val="B10EED78"/>
    <w:lvl w:ilvl="0" w:tplc="9DE268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7E420F9"/>
    <w:multiLevelType w:val="hybridMultilevel"/>
    <w:tmpl w:val="531CD524"/>
    <w:lvl w:ilvl="0" w:tplc="27149C7E">
      <w:start w:val="1"/>
      <w:numFmt w:val="bullet"/>
      <w:lvlText w:val=""/>
      <w:lvlJc w:val="left"/>
      <w:pPr>
        <w:ind w:left="499"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20ACC8">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A827C">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C0C08">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AA53FE">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94B9FE">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F0F50A">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52B4F6">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D0EC46">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7FB0D3E"/>
    <w:multiLevelType w:val="hybridMultilevel"/>
    <w:tmpl w:val="37ECD768"/>
    <w:lvl w:ilvl="0" w:tplc="F1B2B93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54CDF"/>
    <w:multiLevelType w:val="hybridMultilevel"/>
    <w:tmpl w:val="449EF3E6"/>
    <w:lvl w:ilvl="0" w:tplc="ACE2EE04">
      <w:start w:val="1"/>
      <w:numFmt w:val="bullet"/>
      <w:lvlText w:val="•"/>
      <w:lvlJc w:val="left"/>
      <w:pPr>
        <w:ind w:left="30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149C7E">
      <w:start w:val="1"/>
      <w:numFmt w:val="bullet"/>
      <w:lvlText w:val=""/>
      <w:lvlJc w:val="left"/>
      <w:pPr>
        <w:ind w:left="499" w:hanging="27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D0B218">
      <w:start w:val="1"/>
      <w:numFmt w:val="bullet"/>
      <w:lvlText w:val="•"/>
      <w:lvlJc w:val="left"/>
      <w:pPr>
        <w:ind w:left="728"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DCFD0E">
      <w:start w:val="1"/>
      <w:numFmt w:val="bullet"/>
      <w:lvlText w:val="•"/>
      <w:lvlJc w:val="left"/>
      <w:pPr>
        <w:ind w:left="957"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E076F2">
      <w:start w:val="1"/>
      <w:numFmt w:val="bullet"/>
      <w:lvlText w:val="•"/>
      <w:lvlJc w:val="left"/>
      <w:pPr>
        <w:ind w:left="1186"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47750">
      <w:start w:val="1"/>
      <w:numFmt w:val="bullet"/>
      <w:lvlText w:val="•"/>
      <w:lvlJc w:val="left"/>
      <w:pPr>
        <w:ind w:left="1415"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AAEC76">
      <w:start w:val="1"/>
      <w:numFmt w:val="bullet"/>
      <w:lvlText w:val="•"/>
      <w:lvlJc w:val="left"/>
      <w:pPr>
        <w:ind w:left="1644"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169FE4">
      <w:start w:val="1"/>
      <w:numFmt w:val="bullet"/>
      <w:lvlText w:val="•"/>
      <w:lvlJc w:val="left"/>
      <w:pPr>
        <w:ind w:left="1873"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C9C68">
      <w:start w:val="1"/>
      <w:numFmt w:val="bullet"/>
      <w:lvlText w:val="•"/>
      <w:lvlJc w:val="left"/>
      <w:pPr>
        <w:ind w:left="2102"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C6D7CFC"/>
    <w:multiLevelType w:val="hybridMultilevel"/>
    <w:tmpl w:val="33D612E8"/>
    <w:lvl w:ilvl="0" w:tplc="BDC82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C061E"/>
    <w:multiLevelType w:val="hybridMultilevel"/>
    <w:tmpl w:val="25B03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B1B27"/>
    <w:multiLevelType w:val="hybridMultilevel"/>
    <w:tmpl w:val="D0DAB79A"/>
    <w:lvl w:ilvl="0" w:tplc="0409000F">
      <w:start w:val="1"/>
      <w:numFmt w:val="decimal"/>
      <w:lvlText w:val="%1."/>
      <w:lvlJc w:val="left"/>
      <w:pPr>
        <w:ind w:left="720" w:hanging="360"/>
      </w:pPr>
    </w:lvl>
    <w:lvl w:ilvl="1" w:tplc="FD9601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E323B6"/>
    <w:multiLevelType w:val="hybridMultilevel"/>
    <w:tmpl w:val="616E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F2C48"/>
    <w:multiLevelType w:val="hybridMultilevel"/>
    <w:tmpl w:val="14D6DC12"/>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5345610"/>
    <w:multiLevelType w:val="hybridMultilevel"/>
    <w:tmpl w:val="DEBED7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2364A"/>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6A226CC3"/>
    <w:multiLevelType w:val="hybridMultilevel"/>
    <w:tmpl w:val="93FA7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FF7151E"/>
    <w:multiLevelType w:val="hybridMultilevel"/>
    <w:tmpl w:val="ACEEB48A"/>
    <w:lvl w:ilvl="0" w:tplc="7FAE97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2491CF1"/>
    <w:multiLevelType w:val="multilevel"/>
    <w:tmpl w:val="465A5584"/>
    <w:lvl w:ilvl="0">
      <w:start w:val="1"/>
      <w:numFmt w:val="upperRoman"/>
      <w:lvlText w:val="%1."/>
      <w:lvlJc w:val="right"/>
      <w:pPr>
        <w:ind w:left="720" w:hanging="360"/>
      </w:pPr>
      <w:rPr>
        <w:rFonts w:hint="default"/>
      </w:rPr>
    </w:lvl>
    <w:lvl w:ilvl="1">
      <w:start w:val="1"/>
      <w:numFmt w:val="upperLetter"/>
      <w:pStyle w:val="ListNumber"/>
      <w:lvlText w:val="%2."/>
      <w:lvlJc w:val="left"/>
      <w:pPr>
        <w:ind w:left="1080" w:hanging="360"/>
      </w:pPr>
      <w:rPr>
        <w:rFonts w:hint="default"/>
      </w:rPr>
    </w:lvl>
    <w:lvl w:ilvl="2">
      <w:start w:val="1"/>
      <w:numFmt w:val="decimal"/>
      <w:pStyle w:val="ListNumber2"/>
      <w:lvlText w:val="%3."/>
      <w:lvlJc w:val="righ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4093B18"/>
    <w:multiLevelType w:val="hybridMultilevel"/>
    <w:tmpl w:val="0F5A660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6471F"/>
    <w:multiLevelType w:val="hybridMultilevel"/>
    <w:tmpl w:val="4F54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913157"/>
    <w:multiLevelType w:val="hybridMultilevel"/>
    <w:tmpl w:val="56765BDA"/>
    <w:lvl w:ilvl="0" w:tplc="04090001">
      <w:start w:val="1"/>
      <w:numFmt w:val="bullet"/>
      <w:lvlText w:val=""/>
      <w:lvlJc w:val="left"/>
      <w:pPr>
        <w:ind w:left="499"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8E548E">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48DC4">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D64C54">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A6F888">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FAEC9C">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A2377C">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E4002">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EEAC70">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1"/>
  </w:num>
  <w:num w:numId="2">
    <w:abstractNumId w:val="36"/>
  </w:num>
  <w:num w:numId="3">
    <w:abstractNumId w:val="23"/>
  </w:num>
  <w:num w:numId="4">
    <w:abstractNumId w:val="32"/>
  </w:num>
  <w:num w:numId="5">
    <w:abstractNumId w:val="20"/>
  </w:num>
  <w:num w:numId="6">
    <w:abstractNumId w:val="28"/>
  </w:num>
  <w:num w:numId="7">
    <w:abstractNumId w:val="9"/>
  </w:num>
  <w:num w:numId="8">
    <w:abstractNumId w:val="18"/>
  </w:num>
  <w:num w:numId="9">
    <w:abstractNumId w:val="6"/>
  </w:num>
  <w:num w:numId="10">
    <w:abstractNumId w:val="0"/>
  </w:num>
  <w:num w:numId="11">
    <w:abstractNumId w:val="33"/>
  </w:num>
  <w:num w:numId="12">
    <w:abstractNumId w:val="31"/>
  </w:num>
  <w:num w:numId="13">
    <w:abstractNumId w:val="29"/>
  </w:num>
  <w:num w:numId="14">
    <w:abstractNumId w:val="10"/>
  </w:num>
  <w:num w:numId="15">
    <w:abstractNumId w:val="13"/>
  </w:num>
  <w:num w:numId="16">
    <w:abstractNumId w:val="7"/>
  </w:num>
  <w:num w:numId="17">
    <w:abstractNumId w:val="12"/>
  </w:num>
  <w:num w:numId="18">
    <w:abstractNumId w:val="19"/>
  </w:num>
  <w:num w:numId="19">
    <w:abstractNumId w:val="17"/>
  </w:num>
  <w:num w:numId="20">
    <w:abstractNumId w:val="14"/>
  </w:num>
  <w:num w:numId="21">
    <w:abstractNumId w:val="3"/>
  </w:num>
  <w:num w:numId="22">
    <w:abstractNumId w:val="5"/>
  </w:num>
  <w:num w:numId="23">
    <w:abstractNumId w:val="22"/>
  </w:num>
  <w:num w:numId="24">
    <w:abstractNumId w:val="34"/>
  </w:num>
  <w:num w:numId="25">
    <w:abstractNumId w:val="35"/>
  </w:num>
  <w:num w:numId="26">
    <w:abstractNumId w:val="27"/>
  </w:num>
  <w:num w:numId="27">
    <w:abstractNumId w:val="8"/>
  </w:num>
  <w:num w:numId="28">
    <w:abstractNumId w:val="2"/>
  </w:num>
  <w:num w:numId="29">
    <w:abstractNumId w:val="11"/>
  </w:num>
  <w:num w:numId="30">
    <w:abstractNumId w:val="24"/>
  </w:num>
  <w:num w:numId="31">
    <w:abstractNumId w:val="30"/>
  </w:num>
  <w:num w:numId="32">
    <w:abstractNumId w:val="26"/>
  </w:num>
  <w:num w:numId="33">
    <w:abstractNumId w:val="25"/>
  </w:num>
  <w:num w:numId="34">
    <w:abstractNumId w:val="16"/>
  </w:num>
  <w:num w:numId="35">
    <w:abstractNumId w:val="4"/>
  </w:num>
  <w:num w:numId="36">
    <w:abstractNumId w:val="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68"/>
    <w:rsid w:val="000036CC"/>
    <w:rsid w:val="00005A23"/>
    <w:rsid w:val="00017984"/>
    <w:rsid w:val="0002359C"/>
    <w:rsid w:val="0003018F"/>
    <w:rsid w:val="000360AB"/>
    <w:rsid w:val="00053986"/>
    <w:rsid w:val="00087D46"/>
    <w:rsid w:val="00096769"/>
    <w:rsid w:val="000B6017"/>
    <w:rsid w:val="000D11FA"/>
    <w:rsid w:val="000E2975"/>
    <w:rsid w:val="00102DE2"/>
    <w:rsid w:val="00122AB2"/>
    <w:rsid w:val="00123CEF"/>
    <w:rsid w:val="0013586C"/>
    <w:rsid w:val="001405D3"/>
    <w:rsid w:val="00145232"/>
    <w:rsid w:val="00153907"/>
    <w:rsid w:val="00165FAB"/>
    <w:rsid w:val="00176F47"/>
    <w:rsid w:val="00181B5B"/>
    <w:rsid w:val="001929E6"/>
    <w:rsid w:val="00197075"/>
    <w:rsid w:val="001C7A79"/>
    <w:rsid w:val="001E01E9"/>
    <w:rsid w:val="001E4183"/>
    <w:rsid w:val="001E6ECF"/>
    <w:rsid w:val="001E712C"/>
    <w:rsid w:val="001E7387"/>
    <w:rsid w:val="00205743"/>
    <w:rsid w:val="00214238"/>
    <w:rsid w:val="0022770F"/>
    <w:rsid w:val="0023578D"/>
    <w:rsid w:val="002424E8"/>
    <w:rsid w:val="0025585A"/>
    <w:rsid w:val="00257E0B"/>
    <w:rsid w:val="002714DF"/>
    <w:rsid w:val="002878F7"/>
    <w:rsid w:val="002B57DF"/>
    <w:rsid w:val="002B62C5"/>
    <w:rsid w:val="002C1B01"/>
    <w:rsid w:val="002D0C82"/>
    <w:rsid w:val="00306C2F"/>
    <w:rsid w:val="00307C64"/>
    <w:rsid w:val="003204B0"/>
    <w:rsid w:val="003608DE"/>
    <w:rsid w:val="00373FF7"/>
    <w:rsid w:val="003759B1"/>
    <w:rsid w:val="0038714D"/>
    <w:rsid w:val="003A1F81"/>
    <w:rsid w:val="003A5F7F"/>
    <w:rsid w:val="003B2BFC"/>
    <w:rsid w:val="003D23AF"/>
    <w:rsid w:val="003E349E"/>
    <w:rsid w:val="003F0E20"/>
    <w:rsid w:val="00406059"/>
    <w:rsid w:val="00462A61"/>
    <w:rsid w:val="00467390"/>
    <w:rsid w:val="00484540"/>
    <w:rsid w:val="004923A3"/>
    <w:rsid w:val="004A2985"/>
    <w:rsid w:val="004A44DB"/>
    <w:rsid w:val="004A4B8C"/>
    <w:rsid w:val="004A6525"/>
    <w:rsid w:val="004B7185"/>
    <w:rsid w:val="004C3B18"/>
    <w:rsid w:val="004D0A26"/>
    <w:rsid w:val="004E0C68"/>
    <w:rsid w:val="004F21A8"/>
    <w:rsid w:val="0050329B"/>
    <w:rsid w:val="00534CC2"/>
    <w:rsid w:val="0054223F"/>
    <w:rsid w:val="00550039"/>
    <w:rsid w:val="00556D48"/>
    <w:rsid w:val="00597207"/>
    <w:rsid w:val="005B1B11"/>
    <w:rsid w:val="005B2FCA"/>
    <w:rsid w:val="0063048A"/>
    <w:rsid w:val="00635329"/>
    <w:rsid w:val="006364F5"/>
    <w:rsid w:val="00654A4A"/>
    <w:rsid w:val="006664BE"/>
    <w:rsid w:val="00682798"/>
    <w:rsid w:val="00685C0D"/>
    <w:rsid w:val="006B1A4F"/>
    <w:rsid w:val="006B2AF2"/>
    <w:rsid w:val="006C3057"/>
    <w:rsid w:val="006E4EE2"/>
    <w:rsid w:val="00740E24"/>
    <w:rsid w:val="00783C69"/>
    <w:rsid w:val="007859CF"/>
    <w:rsid w:val="00790CD7"/>
    <w:rsid w:val="007953B2"/>
    <w:rsid w:val="00796D12"/>
    <w:rsid w:val="007A31C5"/>
    <w:rsid w:val="007B15E6"/>
    <w:rsid w:val="007C109A"/>
    <w:rsid w:val="007C6A12"/>
    <w:rsid w:val="007F717B"/>
    <w:rsid w:val="008003D5"/>
    <w:rsid w:val="00814E5A"/>
    <w:rsid w:val="00826CB2"/>
    <w:rsid w:val="00826DA7"/>
    <w:rsid w:val="008429BB"/>
    <w:rsid w:val="00864854"/>
    <w:rsid w:val="008709AD"/>
    <w:rsid w:val="00875C98"/>
    <w:rsid w:val="008C30A4"/>
    <w:rsid w:val="008D0B2D"/>
    <w:rsid w:val="008D1864"/>
    <w:rsid w:val="008E5D11"/>
    <w:rsid w:val="008F6C8E"/>
    <w:rsid w:val="00901432"/>
    <w:rsid w:val="00903356"/>
    <w:rsid w:val="00905D7C"/>
    <w:rsid w:val="00927E10"/>
    <w:rsid w:val="009456FA"/>
    <w:rsid w:val="00960462"/>
    <w:rsid w:val="00962634"/>
    <w:rsid w:val="00972575"/>
    <w:rsid w:val="00990959"/>
    <w:rsid w:val="009C583E"/>
    <w:rsid w:val="009D644C"/>
    <w:rsid w:val="009F4716"/>
    <w:rsid w:val="009F55F0"/>
    <w:rsid w:val="009F6434"/>
    <w:rsid w:val="00A07BE6"/>
    <w:rsid w:val="00A13716"/>
    <w:rsid w:val="00A15FE6"/>
    <w:rsid w:val="00A24A0A"/>
    <w:rsid w:val="00A40CF0"/>
    <w:rsid w:val="00A52165"/>
    <w:rsid w:val="00A5609E"/>
    <w:rsid w:val="00A62AF7"/>
    <w:rsid w:val="00A7453F"/>
    <w:rsid w:val="00A8015B"/>
    <w:rsid w:val="00A8586B"/>
    <w:rsid w:val="00AB5AB5"/>
    <w:rsid w:val="00AC002C"/>
    <w:rsid w:val="00AC711E"/>
    <w:rsid w:val="00AF28B3"/>
    <w:rsid w:val="00AF7347"/>
    <w:rsid w:val="00B06DB9"/>
    <w:rsid w:val="00B1447B"/>
    <w:rsid w:val="00B1648C"/>
    <w:rsid w:val="00B25D41"/>
    <w:rsid w:val="00B4092C"/>
    <w:rsid w:val="00B42EC3"/>
    <w:rsid w:val="00B55531"/>
    <w:rsid w:val="00B5757C"/>
    <w:rsid w:val="00B95197"/>
    <w:rsid w:val="00B97C6D"/>
    <w:rsid w:val="00BE2B97"/>
    <w:rsid w:val="00BF7290"/>
    <w:rsid w:val="00C00DBA"/>
    <w:rsid w:val="00C368A9"/>
    <w:rsid w:val="00C54EE7"/>
    <w:rsid w:val="00C6659A"/>
    <w:rsid w:val="00C66B3C"/>
    <w:rsid w:val="00C753EB"/>
    <w:rsid w:val="00C84DD6"/>
    <w:rsid w:val="00C96853"/>
    <w:rsid w:val="00CB3E8E"/>
    <w:rsid w:val="00CC12AC"/>
    <w:rsid w:val="00CD2F9B"/>
    <w:rsid w:val="00CE65C5"/>
    <w:rsid w:val="00CF4BA2"/>
    <w:rsid w:val="00D02669"/>
    <w:rsid w:val="00D11F05"/>
    <w:rsid w:val="00D1414E"/>
    <w:rsid w:val="00D1703E"/>
    <w:rsid w:val="00D57161"/>
    <w:rsid w:val="00D66130"/>
    <w:rsid w:val="00DA2465"/>
    <w:rsid w:val="00DC556C"/>
    <w:rsid w:val="00DC5EF7"/>
    <w:rsid w:val="00DD2D72"/>
    <w:rsid w:val="00DD5026"/>
    <w:rsid w:val="00DD5140"/>
    <w:rsid w:val="00DE6929"/>
    <w:rsid w:val="00DF3F80"/>
    <w:rsid w:val="00E54242"/>
    <w:rsid w:val="00E6272C"/>
    <w:rsid w:val="00E6648C"/>
    <w:rsid w:val="00E846B0"/>
    <w:rsid w:val="00E918C4"/>
    <w:rsid w:val="00E94A02"/>
    <w:rsid w:val="00EA2D59"/>
    <w:rsid w:val="00EB47D3"/>
    <w:rsid w:val="00EB4AAC"/>
    <w:rsid w:val="00EB5E3E"/>
    <w:rsid w:val="00EC2B47"/>
    <w:rsid w:val="00F26376"/>
    <w:rsid w:val="00F31F43"/>
    <w:rsid w:val="00F37968"/>
    <w:rsid w:val="00F41258"/>
    <w:rsid w:val="00F53CB3"/>
    <w:rsid w:val="00F76CBD"/>
    <w:rsid w:val="00F91427"/>
    <w:rsid w:val="00F958E0"/>
    <w:rsid w:val="00FA09EC"/>
    <w:rsid w:val="00FE61F2"/>
    <w:rsid w:val="00FE70D6"/>
    <w:rsid w:val="00FE7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AB782"/>
  <w15:docId w15:val="{3CEFD3F8-0478-4B12-BAE7-D15C232B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Hyperlink0"/>
    <w:rsid w:val="0038714D"/>
    <w:rPr>
      <w:rFonts w:ascii="Arial" w:eastAsia="Arial" w:hAnsi="Arial" w:cs="Arial"/>
      <w:b/>
      <w:bCs/>
      <w:color w:val="0070C0"/>
      <w:sz w:val="20"/>
      <w:szCs w:val="20"/>
      <w:u w:val="single" w:color="0070C0"/>
      <w:shd w:val="clear" w:color="auto" w:fill="FFFFFF"/>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keepLines/>
      <w:tabs>
        <w:tab w:val="center" w:pos="4320"/>
        <w:tab w:val="right" w:pos="8640"/>
      </w:tabs>
      <w:spacing w:line="190" w:lineRule="atLeast"/>
    </w:pPr>
    <w:rPr>
      <w:rFonts w:cs="Arial Unicode MS"/>
      <w:caps/>
      <w:color w:val="000000"/>
      <w:sz w:val="15"/>
      <w:szCs w:val="15"/>
      <w:u w:color="000000"/>
    </w:rPr>
  </w:style>
  <w:style w:type="paragraph" w:customStyle="1" w:styleId="Body">
    <w:name w:val="Body"/>
    <w:rPr>
      <w:rFonts w:cs="Arial Unicode MS"/>
      <w:color w:val="000000"/>
      <w:sz w:val="24"/>
      <w:szCs w:val="24"/>
      <w:u w:color="000000"/>
    </w:rPr>
  </w:style>
  <w:style w:type="paragraph" w:customStyle="1" w:styleId="CompanyName">
    <w:name w:val="Company Name"/>
    <w:pPr>
      <w:keepNext/>
      <w:keepLines/>
      <w:spacing w:line="220" w:lineRule="atLeast"/>
    </w:pPr>
    <w:rPr>
      <w:rFonts w:ascii="Arial Black" w:eastAsia="Arial Black" w:hAnsi="Arial Black" w:cs="Arial Black"/>
      <w:b/>
      <w:bCs/>
      <w:color w:val="000000"/>
      <w:spacing w:val="-25"/>
      <w:kern w:val="28"/>
      <w:sz w:val="32"/>
      <w:szCs w:val="32"/>
      <w:u w:color="000000"/>
    </w:rPr>
  </w:style>
  <w:style w:type="paragraph" w:customStyle="1" w:styleId="ReturnAddress">
    <w:name w:val="Return Address"/>
    <w:pPr>
      <w:keepLines/>
      <w:tabs>
        <w:tab w:val="left" w:pos="2160"/>
      </w:tabs>
      <w:spacing w:line="160" w:lineRule="atLeast"/>
    </w:pPr>
    <w:rPr>
      <w:rFonts w:cs="Arial Unicode MS"/>
      <w:color w:val="000000"/>
      <w:sz w:val="14"/>
      <w:szCs w:val="14"/>
      <w:u w:color="000000"/>
    </w:rPr>
  </w:style>
  <w:style w:type="character" w:customStyle="1" w:styleId="Link">
    <w:name w:val="Link"/>
    <w:rPr>
      <w:color w:val="0000FF"/>
      <w:u w:val="single" w:color="0000FF"/>
    </w:rPr>
  </w:style>
  <w:style w:type="character" w:customStyle="1" w:styleId="Hyperlink0">
    <w:name w:val="Hyperlink.0"/>
    <w:basedOn w:val="DefaultParagraphFont"/>
    <w:rsid w:val="00F91427"/>
    <w:rPr>
      <w:rFonts w:ascii="Arial" w:eastAsia="Arial" w:hAnsi="Arial" w:cs="Arial"/>
      <w:b/>
      <w:bCs/>
      <w:color w:val="0070C0"/>
      <w:sz w:val="20"/>
      <w:szCs w:val="20"/>
      <w:shd w:val="clear" w:color="auto" w:fill="FFFFFF"/>
    </w:rPr>
  </w:style>
  <w:style w:type="character" w:customStyle="1" w:styleId="Hyperlink1">
    <w:name w:val="Hyperlink.1"/>
    <w:basedOn w:val="Hyperlink0"/>
    <w:rsid w:val="00740E24"/>
    <w:rPr>
      <w:rFonts w:ascii="Arial" w:eastAsia="Arial" w:hAnsi="Arial" w:cs="Arial"/>
      <w:b/>
      <w:bCs/>
      <w:color w:val="0070C0"/>
      <w:sz w:val="20"/>
      <w:szCs w:val="20"/>
      <w:u w:val="single" w:color="0070C0"/>
      <w:shd w:val="clear" w:color="auto" w:fill="FFFFFF"/>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character" w:customStyle="1" w:styleId="Hyperlink2">
    <w:name w:val="Hyperlink.2"/>
    <w:basedOn w:val="Hyperlink1"/>
    <w:rsid w:val="00740E24"/>
    <w:rPr>
      <w:rFonts w:ascii="Arial" w:eastAsia="Arial" w:hAnsi="Arial" w:cs="Arial"/>
      <w:b/>
      <w:bCs/>
      <w:color w:val="0070C0"/>
      <w:sz w:val="20"/>
      <w:szCs w:val="20"/>
      <w:u w:val="single" w:color="0070C0"/>
      <w:shd w:val="clear" w:color="auto" w:fill="FFFFFF"/>
    </w:rPr>
  </w:style>
  <w:style w:type="character" w:customStyle="1" w:styleId="Hyperlink3">
    <w:name w:val="Hyperlink.3"/>
    <w:basedOn w:val="Link"/>
    <w:rPr>
      <w:rFonts w:ascii="Arial" w:eastAsia="Arial" w:hAnsi="Arial" w:cs="Arial"/>
      <w:color w:val="0000FF"/>
      <w:u w:val="single" w:color="0000FF"/>
      <w:shd w:val="clear" w:color="auto" w:fill="FFFFFF"/>
      <w:lang w:val="en-US"/>
    </w:rPr>
  </w:style>
  <w:style w:type="character" w:customStyle="1" w:styleId="Hyperlink4">
    <w:name w:val="Hyperlink.4"/>
    <w:basedOn w:val="Link"/>
    <w:rPr>
      <w:rFonts w:ascii="Arial" w:eastAsia="Arial" w:hAnsi="Arial" w:cs="Arial"/>
      <w:b/>
      <w:bCs/>
      <w:color w:val="0070C0"/>
      <w:u w:val="single" w:color="0070C0"/>
      <w:shd w:val="clear" w:color="auto" w:fill="FFFFFF"/>
      <w:lang w:val="en-US"/>
    </w:rPr>
  </w:style>
  <w:style w:type="character" w:customStyle="1" w:styleId="Hyperlink5">
    <w:name w:val="Hyperlink.5"/>
    <w:basedOn w:val="Link"/>
    <w:rPr>
      <w:rFonts w:ascii="Arial" w:eastAsia="Arial" w:hAnsi="Arial" w:cs="Arial"/>
      <w:color w:val="0000FF"/>
      <w:u w:val="single" w:color="0000FF"/>
      <w:lang w:val="en-US"/>
    </w:rPr>
  </w:style>
  <w:style w:type="paragraph" w:styleId="NormalWeb">
    <w:name w:val="Normal (Web)"/>
    <w:basedOn w:val="Normal"/>
    <w:uiPriority w:val="99"/>
    <w:semiHidden/>
    <w:unhideWhenUsed/>
    <w:rsid w:val="00DD5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C96853"/>
    <w:rPr>
      <w:b/>
      <w:bCs/>
    </w:rPr>
  </w:style>
  <w:style w:type="paragraph" w:styleId="BodyText">
    <w:name w:val="Body Text"/>
    <w:basedOn w:val="Normal"/>
    <w:link w:val="BodyTextChar"/>
    <w:rsid w:val="009F55F0"/>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HAnsi" w:hAnsiTheme="minorHAnsi" w:cstheme="minorBidi"/>
      <w:sz w:val="22"/>
      <w:szCs w:val="22"/>
      <w:bdr w:val="none" w:sz="0" w:space="0" w:color="auto"/>
    </w:rPr>
  </w:style>
  <w:style w:type="character" w:customStyle="1" w:styleId="BodyTextChar">
    <w:name w:val="Body Text Char"/>
    <w:basedOn w:val="DefaultParagraphFont"/>
    <w:link w:val="BodyText"/>
    <w:rsid w:val="009F55F0"/>
    <w:rPr>
      <w:rFonts w:asciiTheme="minorHAnsi" w:eastAsiaTheme="minorHAnsi" w:hAnsiTheme="minorHAnsi" w:cstheme="minorBidi"/>
      <w:sz w:val="22"/>
      <w:szCs w:val="22"/>
      <w:bdr w:val="none" w:sz="0" w:space="0" w:color="auto"/>
    </w:rPr>
  </w:style>
  <w:style w:type="paragraph" w:styleId="ListNumber">
    <w:name w:val="List Number"/>
    <w:basedOn w:val="BodyText"/>
    <w:rsid w:val="009F55F0"/>
    <w:pPr>
      <w:numPr>
        <w:ilvl w:val="1"/>
        <w:numId w:val="11"/>
      </w:numPr>
      <w:spacing w:before="60"/>
    </w:pPr>
  </w:style>
  <w:style w:type="paragraph" w:styleId="ListNumber2">
    <w:name w:val="List Number 2"/>
    <w:basedOn w:val="ListNumber"/>
    <w:rsid w:val="009F55F0"/>
    <w:pPr>
      <w:numPr>
        <w:ilvl w:val="2"/>
      </w:numPr>
    </w:pPr>
  </w:style>
  <w:style w:type="paragraph" w:styleId="ListBullet5">
    <w:name w:val="List Bullet 5"/>
    <w:basedOn w:val="Normal"/>
    <w:uiPriority w:val="99"/>
    <w:semiHidden/>
    <w:rsid w:val="009F55F0"/>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EA2D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D59"/>
    <w:rPr>
      <w:rFonts w:ascii="Lucida Grande" w:hAnsi="Lucida Grande" w:cs="Lucida Grande"/>
      <w:sz w:val="18"/>
      <w:szCs w:val="18"/>
    </w:rPr>
  </w:style>
  <w:style w:type="character" w:styleId="CommentReference">
    <w:name w:val="annotation reference"/>
    <w:basedOn w:val="DefaultParagraphFont"/>
    <w:uiPriority w:val="99"/>
    <w:semiHidden/>
    <w:unhideWhenUsed/>
    <w:rsid w:val="00826CB2"/>
    <w:rPr>
      <w:sz w:val="16"/>
      <w:szCs w:val="16"/>
    </w:rPr>
  </w:style>
  <w:style w:type="paragraph" w:styleId="CommentText">
    <w:name w:val="annotation text"/>
    <w:basedOn w:val="Normal"/>
    <w:link w:val="CommentTextChar"/>
    <w:uiPriority w:val="99"/>
    <w:semiHidden/>
    <w:unhideWhenUsed/>
    <w:rsid w:val="00826CB2"/>
    <w:rPr>
      <w:sz w:val="20"/>
      <w:szCs w:val="20"/>
    </w:rPr>
  </w:style>
  <w:style w:type="character" w:customStyle="1" w:styleId="CommentTextChar">
    <w:name w:val="Comment Text Char"/>
    <w:basedOn w:val="DefaultParagraphFont"/>
    <w:link w:val="CommentText"/>
    <w:uiPriority w:val="99"/>
    <w:semiHidden/>
    <w:rsid w:val="00826CB2"/>
  </w:style>
  <w:style w:type="paragraph" w:styleId="CommentSubject">
    <w:name w:val="annotation subject"/>
    <w:basedOn w:val="CommentText"/>
    <w:next w:val="CommentText"/>
    <w:link w:val="CommentSubjectChar"/>
    <w:uiPriority w:val="99"/>
    <w:semiHidden/>
    <w:unhideWhenUsed/>
    <w:rsid w:val="00826CB2"/>
    <w:rPr>
      <w:b/>
      <w:bCs/>
    </w:rPr>
  </w:style>
  <w:style w:type="character" w:customStyle="1" w:styleId="CommentSubjectChar">
    <w:name w:val="Comment Subject Char"/>
    <w:basedOn w:val="CommentTextChar"/>
    <w:link w:val="CommentSubject"/>
    <w:uiPriority w:val="99"/>
    <w:semiHidden/>
    <w:rsid w:val="00826CB2"/>
    <w:rPr>
      <w:b/>
      <w:bCs/>
    </w:rPr>
  </w:style>
  <w:style w:type="character" w:styleId="FollowedHyperlink">
    <w:name w:val="FollowedHyperlink"/>
    <w:basedOn w:val="DefaultParagraphFont"/>
    <w:uiPriority w:val="99"/>
    <w:semiHidden/>
    <w:unhideWhenUsed/>
    <w:rsid w:val="00DA2465"/>
    <w:rPr>
      <w:color w:val="FF00FF" w:themeColor="followedHyperlink"/>
      <w:u w:val="single"/>
    </w:rPr>
  </w:style>
  <w:style w:type="character" w:customStyle="1" w:styleId="hp">
    <w:name w:val="hp"/>
    <w:basedOn w:val="DefaultParagraphFont"/>
    <w:rsid w:val="00307C64"/>
  </w:style>
  <w:style w:type="paragraph" w:customStyle="1" w:styleId="Default">
    <w:name w:val="Default"/>
    <w:rsid w:val="000B60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 w:type="table" w:styleId="TableGrid">
    <w:name w:val="Table Grid"/>
    <w:basedOn w:val="TableNormal"/>
    <w:rsid w:val="004A44DB"/>
    <w:pPr>
      <w:pBdr>
        <w:top w:val="none" w:sz="0" w:space="0" w:color="auto"/>
        <w:left w:val="none" w:sz="0" w:space="0" w:color="auto"/>
        <w:bottom w:val="none" w:sz="0" w:space="0" w:color="auto"/>
        <w:right w:val="none" w:sz="0" w:space="0" w:color="auto"/>
        <w:between w:val="none" w:sz="0" w:space="0" w:color="auto"/>
        <w:bar w:val="none" w:sz="0" w:color="auto"/>
      </w:pBdr>
      <w:ind w:left="1080"/>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04020">
      <w:bodyDiv w:val="1"/>
      <w:marLeft w:val="0"/>
      <w:marRight w:val="0"/>
      <w:marTop w:val="0"/>
      <w:marBottom w:val="0"/>
      <w:divBdr>
        <w:top w:val="none" w:sz="0" w:space="0" w:color="auto"/>
        <w:left w:val="none" w:sz="0" w:space="0" w:color="auto"/>
        <w:bottom w:val="none" w:sz="0" w:space="0" w:color="auto"/>
        <w:right w:val="none" w:sz="0" w:space="0" w:color="auto"/>
      </w:divBdr>
      <w:divsChild>
        <w:div w:id="788352956">
          <w:marLeft w:val="0"/>
          <w:marRight w:val="0"/>
          <w:marTop w:val="0"/>
          <w:marBottom w:val="0"/>
          <w:divBdr>
            <w:top w:val="none" w:sz="0" w:space="0" w:color="auto"/>
            <w:left w:val="none" w:sz="0" w:space="0" w:color="auto"/>
            <w:bottom w:val="none" w:sz="0" w:space="0" w:color="auto"/>
            <w:right w:val="none" w:sz="0" w:space="0" w:color="auto"/>
          </w:divBdr>
          <w:divsChild>
            <w:div w:id="12740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4143">
      <w:bodyDiv w:val="1"/>
      <w:marLeft w:val="0"/>
      <w:marRight w:val="0"/>
      <w:marTop w:val="0"/>
      <w:marBottom w:val="0"/>
      <w:divBdr>
        <w:top w:val="none" w:sz="0" w:space="0" w:color="auto"/>
        <w:left w:val="none" w:sz="0" w:space="0" w:color="auto"/>
        <w:bottom w:val="none" w:sz="0" w:space="0" w:color="auto"/>
        <w:right w:val="none" w:sz="0" w:space="0" w:color="auto"/>
      </w:divBdr>
    </w:div>
    <w:div w:id="733282912">
      <w:bodyDiv w:val="1"/>
      <w:marLeft w:val="0"/>
      <w:marRight w:val="0"/>
      <w:marTop w:val="0"/>
      <w:marBottom w:val="0"/>
      <w:divBdr>
        <w:top w:val="none" w:sz="0" w:space="0" w:color="auto"/>
        <w:left w:val="none" w:sz="0" w:space="0" w:color="auto"/>
        <w:bottom w:val="none" w:sz="0" w:space="0" w:color="auto"/>
        <w:right w:val="none" w:sz="0" w:space="0" w:color="auto"/>
      </w:divBdr>
    </w:div>
    <w:div w:id="840774417">
      <w:bodyDiv w:val="1"/>
      <w:marLeft w:val="0"/>
      <w:marRight w:val="0"/>
      <w:marTop w:val="0"/>
      <w:marBottom w:val="0"/>
      <w:divBdr>
        <w:top w:val="none" w:sz="0" w:space="0" w:color="auto"/>
        <w:left w:val="none" w:sz="0" w:space="0" w:color="auto"/>
        <w:bottom w:val="none" w:sz="0" w:space="0" w:color="auto"/>
        <w:right w:val="none" w:sz="0" w:space="0" w:color="auto"/>
      </w:divBdr>
    </w:div>
    <w:div w:id="942348679">
      <w:bodyDiv w:val="1"/>
      <w:marLeft w:val="0"/>
      <w:marRight w:val="0"/>
      <w:marTop w:val="0"/>
      <w:marBottom w:val="0"/>
      <w:divBdr>
        <w:top w:val="none" w:sz="0" w:space="0" w:color="auto"/>
        <w:left w:val="none" w:sz="0" w:space="0" w:color="auto"/>
        <w:bottom w:val="none" w:sz="0" w:space="0" w:color="auto"/>
        <w:right w:val="none" w:sz="0" w:space="0" w:color="auto"/>
      </w:divBdr>
    </w:div>
    <w:div w:id="1153259252">
      <w:bodyDiv w:val="1"/>
      <w:marLeft w:val="0"/>
      <w:marRight w:val="0"/>
      <w:marTop w:val="0"/>
      <w:marBottom w:val="0"/>
      <w:divBdr>
        <w:top w:val="none" w:sz="0" w:space="0" w:color="auto"/>
        <w:left w:val="none" w:sz="0" w:space="0" w:color="auto"/>
        <w:bottom w:val="none" w:sz="0" w:space="0" w:color="auto"/>
        <w:right w:val="none" w:sz="0" w:space="0" w:color="auto"/>
      </w:divBdr>
    </w:div>
    <w:div w:id="1598292134">
      <w:bodyDiv w:val="1"/>
      <w:marLeft w:val="0"/>
      <w:marRight w:val="0"/>
      <w:marTop w:val="0"/>
      <w:marBottom w:val="0"/>
      <w:divBdr>
        <w:top w:val="none" w:sz="0" w:space="0" w:color="auto"/>
        <w:left w:val="none" w:sz="0" w:space="0" w:color="auto"/>
        <w:bottom w:val="none" w:sz="0" w:space="0" w:color="auto"/>
        <w:right w:val="none" w:sz="0" w:space="0" w:color="auto"/>
      </w:divBdr>
    </w:div>
    <w:div w:id="1744449599">
      <w:bodyDiv w:val="1"/>
      <w:marLeft w:val="0"/>
      <w:marRight w:val="0"/>
      <w:marTop w:val="0"/>
      <w:marBottom w:val="0"/>
      <w:divBdr>
        <w:top w:val="none" w:sz="0" w:space="0" w:color="auto"/>
        <w:left w:val="none" w:sz="0" w:space="0" w:color="auto"/>
        <w:bottom w:val="none" w:sz="0" w:space="0" w:color="auto"/>
        <w:right w:val="none" w:sz="0" w:space="0" w:color="auto"/>
      </w:divBdr>
    </w:div>
    <w:div w:id="1953854213">
      <w:bodyDiv w:val="1"/>
      <w:marLeft w:val="0"/>
      <w:marRight w:val="0"/>
      <w:marTop w:val="0"/>
      <w:marBottom w:val="0"/>
      <w:divBdr>
        <w:top w:val="none" w:sz="0" w:space="0" w:color="auto"/>
        <w:left w:val="none" w:sz="0" w:space="0" w:color="auto"/>
        <w:bottom w:val="none" w:sz="0" w:space="0" w:color="auto"/>
        <w:right w:val="none" w:sz="0" w:space="0" w:color="auto"/>
      </w:divBdr>
    </w:div>
    <w:div w:id="20563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terboards.ca.gov/sanfranciscobay/water_issues/programs/planningtmdls/basinplan/web/docs/Triennial_Review/Brief_Issue_Description_2018_Triennial_4-18-18%20pos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entbrite.com/e/developing-a-sustainable-organics-recovery-sector-registration-461606347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n,%20Debbie@Waterboards%20%3cDebbie.Phan@Waterboards.ca.gov%3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cwa.org/wp-content/uploads/2018/06/BACWA-comments-Triennial-Review-2018.pdf" TargetMode="External"/><Relationship Id="rId4" Type="http://schemas.openxmlformats.org/officeDocument/2006/relationships/settings" Target="settings.xml"/><Relationship Id="rId9" Type="http://schemas.openxmlformats.org/officeDocument/2006/relationships/hyperlink" Target="https://bacwa.org/document/ecwg-agenda-4-11-1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0ED1-15EE-4267-92B9-84421A8B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East Bay Municipal Utility District</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Lorien Fono</dc:creator>
  <cp:lastModifiedBy>Lorien Fono</cp:lastModifiedBy>
  <cp:revision>4</cp:revision>
  <dcterms:created xsi:type="dcterms:W3CDTF">2018-06-13T15:58:00Z</dcterms:created>
  <dcterms:modified xsi:type="dcterms:W3CDTF">2018-06-13T16:01:00Z</dcterms:modified>
</cp:coreProperties>
</file>