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7F575" w14:textId="3FF678D5" w:rsidR="00D85251" w:rsidRPr="001B1399" w:rsidRDefault="00D85251" w:rsidP="00A300C3">
      <w:pPr>
        <w:pStyle w:val="Heading1"/>
      </w:pPr>
      <w:bookmarkStart w:id="0" w:name="_Toc527448260"/>
      <w:r w:rsidRPr="001B1399">
        <w:t>White Paper</w:t>
      </w:r>
      <w:r>
        <w:t xml:space="preserve"> </w:t>
      </w:r>
      <w:bookmarkEnd w:id="0"/>
    </w:p>
    <w:p w14:paraId="57203E07" w14:textId="281407B8" w:rsidR="00D85251" w:rsidRPr="001B1399" w:rsidRDefault="00D85251" w:rsidP="00D85251">
      <w:pPr>
        <w:pStyle w:val="Heading3"/>
      </w:pPr>
      <w:bookmarkStart w:id="1" w:name="_Toc527448261"/>
      <w:proofErr w:type="spellStart"/>
      <w:r w:rsidRPr="001B1399">
        <w:rPr>
          <w:i/>
        </w:rPr>
        <w:t>Ceriodaphnia</w:t>
      </w:r>
      <w:proofErr w:type="spellEnd"/>
      <w:r w:rsidRPr="001B1399">
        <w:rPr>
          <w:i/>
        </w:rPr>
        <w:t xml:space="preserve"> </w:t>
      </w:r>
      <w:proofErr w:type="spellStart"/>
      <w:r w:rsidRPr="001B1399">
        <w:rPr>
          <w:i/>
        </w:rPr>
        <w:t>dubia</w:t>
      </w:r>
      <w:proofErr w:type="spellEnd"/>
      <w:r w:rsidRPr="001B1399">
        <w:t xml:space="preserve"> </w:t>
      </w:r>
      <w:r w:rsidR="00671B37">
        <w:t>S</w:t>
      </w:r>
      <w:r w:rsidRPr="001B1399">
        <w:t xml:space="preserve">hort-term </w:t>
      </w:r>
      <w:r w:rsidR="00671B37">
        <w:t>C</w:t>
      </w:r>
      <w:r w:rsidRPr="001B1399">
        <w:t xml:space="preserve">hronic </w:t>
      </w:r>
      <w:r w:rsidR="00671B37">
        <w:t>R</w:t>
      </w:r>
      <w:r w:rsidRPr="001B1399">
        <w:t xml:space="preserve">eproduction </w:t>
      </w:r>
      <w:r w:rsidR="00671B37">
        <w:t>T</w:t>
      </w:r>
      <w:r w:rsidRPr="001B1399">
        <w:t xml:space="preserve">est:  Understanding the </w:t>
      </w:r>
      <w:r w:rsidR="00671B37">
        <w:t>P</w:t>
      </w:r>
      <w:r w:rsidRPr="001B1399">
        <w:t xml:space="preserve">robability of </w:t>
      </w:r>
      <w:r w:rsidR="00EF11F0">
        <w:t>I</w:t>
      </w:r>
      <w:r w:rsidR="00EF11F0" w:rsidRPr="00EF11F0">
        <w:t xml:space="preserve">ncorrect </w:t>
      </w:r>
      <w:r w:rsidR="00EF11F0">
        <w:t>D</w:t>
      </w:r>
      <w:r w:rsidR="00EF11F0" w:rsidRPr="00EF11F0">
        <w:t xml:space="preserve">eterminations of </w:t>
      </w:r>
      <w:r w:rsidR="00EF11F0">
        <w:t>T</w:t>
      </w:r>
      <w:r w:rsidR="00EF11F0" w:rsidRPr="00EF11F0">
        <w:t>oxicity</w:t>
      </w:r>
      <w:r w:rsidR="00AF3D2E">
        <w:t xml:space="preserve"> in Non-toxic Samples</w:t>
      </w:r>
      <w:r w:rsidRPr="001B1399">
        <w:t xml:space="preserve"> </w:t>
      </w:r>
      <w:bookmarkEnd w:id="1"/>
    </w:p>
    <w:p w14:paraId="0AF8790C" w14:textId="26D27C60" w:rsidR="00D85251" w:rsidRPr="00D85251" w:rsidRDefault="00D85251" w:rsidP="003A0E4E">
      <w:pPr>
        <w:spacing w:after="0"/>
        <w:ind w:left="720"/>
        <w:rPr>
          <w:rFonts w:cs="Times New Roman"/>
          <w:szCs w:val="24"/>
        </w:rPr>
      </w:pPr>
      <w:r w:rsidRPr="00D85251">
        <w:rPr>
          <w:rFonts w:cs="Times New Roman"/>
          <w:szCs w:val="24"/>
        </w:rPr>
        <w:t xml:space="preserve">Prepared for </w:t>
      </w:r>
      <w:r w:rsidR="00450C7A">
        <w:rPr>
          <w:rFonts w:cs="Times New Roman"/>
          <w:szCs w:val="24"/>
        </w:rPr>
        <w:t xml:space="preserve">the </w:t>
      </w:r>
      <w:r w:rsidRPr="00D85251">
        <w:rPr>
          <w:rFonts w:cs="Times New Roman"/>
          <w:szCs w:val="24"/>
        </w:rPr>
        <w:t>California Association of Sanitation Agencies (CASA)</w:t>
      </w:r>
    </w:p>
    <w:p w14:paraId="7948876A" w14:textId="2DC4C188" w:rsidR="00D85251" w:rsidRPr="00D85251" w:rsidRDefault="00D85251" w:rsidP="003A0E4E">
      <w:pPr>
        <w:spacing w:after="0"/>
        <w:ind w:left="720"/>
        <w:rPr>
          <w:rFonts w:cs="Times New Roman"/>
          <w:szCs w:val="24"/>
        </w:rPr>
      </w:pPr>
      <w:r w:rsidRPr="00D85251">
        <w:rPr>
          <w:rFonts w:cs="Times New Roman"/>
          <w:szCs w:val="24"/>
        </w:rPr>
        <w:t>Prepared by Larry Walker Associates</w:t>
      </w:r>
      <w:r w:rsidR="00450C7A">
        <w:rPr>
          <w:rFonts w:cs="Times New Roman"/>
          <w:szCs w:val="24"/>
        </w:rPr>
        <w:t>, Inc., Davis, California</w:t>
      </w:r>
    </w:p>
    <w:p w14:paraId="56AA0E91" w14:textId="7114F279" w:rsidR="00A9704C" w:rsidRPr="00D85251" w:rsidRDefault="00632002" w:rsidP="003A0E4E">
      <w:pPr>
        <w:ind w:left="720"/>
        <w:rPr>
          <w:rFonts w:cs="Times New Roman"/>
          <w:szCs w:val="24"/>
        </w:rPr>
      </w:pPr>
      <w:r>
        <w:rPr>
          <w:rFonts w:cs="Times New Roman"/>
          <w:szCs w:val="24"/>
        </w:rPr>
        <w:t xml:space="preserve">November 28, </w:t>
      </w:r>
      <w:r w:rsidR="00D85251" w:rsidRPr="00D85251">
        <w:rPr>
          <w:rFonts w:cs="Times New Roman"/>
          <w:szCs w:val="24"/>
        </w:rPr>
        <w:t>2018</w:t>
      </w:r>
    </w:p>
    <w:p w14:paraId="3BDADBEF" w14:textId="77777777" w:rsidR="00D85251" w:rsidRPr="00D85251" w:rsidRDefault="00D85251" w:rsidP="00A300C3">
      <w:pPr>
        <w:pStyle w:val="Heading2"/>
      </w:pPr>
      <w:bookmarkStart w:id="2" w:name="_Toc527448262"/>
      <w:r w:rsidRPr="00D85251">
        <w:t>Executive Summary</w:t>
      </w:r>
      <w:bookmarkEnd w:id="2"/>
    </w:p>
    <w:p w14:paraId="563425E2" w14:textId="7FA33027" w:rsidR="00D85251" w:rsidRPr="00D85251" w:rsidRDefault="00D85251" w:rsidP="00D85251">
      <w:pPr>
        <w:spacing w:before="120"/>
        <w:rPr>
          <w:rFonts w:cs="Times New Roman"/>
          <w:szCs w:val="24"/>
        </w:rPr>
      </w:pPr>
      <w:r w:rsidRPr="00D85251">
        <w:rPr>
          <w:rFonts w:cs="Times New Roman"/>
          <w:szCs w:val="24"/>
        </w:rPr>
        <w:t xml:space="preserve">The results of </w:t>
      </w:r>
      <w:proofErr w:type="spellStart"/>
      <w:r w:rsidRPr="00D85251">
        <w:rPr>
          <w:rFonts w:cs="Times New Roman"/>
          <w:i/>
          <w:szCs w:val="24"/>
        </w:rPr>
        <w:t>Ceriodaphnia</w:t>
      </w:r>
      <w:proofErr w:type="spellEnd"/>
      <w:r w:rsidRPr="00D85251">
        <w:rPr>
          <w:rFonts w:cs="Times New Roman"/>
          <w:i/>
          <w:szCs w:val="24"/>
        </w:rPr>
        <w:t xml:space="preserve"> </w:t>
      </w:r>
      <w:proofErr w:type="spellStart"/>
      <w:r w:rsidRPr="00D85251">
        <w:rPr>
          <w:rFonts w:cs="Times New Roman"/>
          <w:i/>
          <w:szCs w:val="24"/>
        </w:rPr>
        <w:t>dubia</w:t>
      </w:r>
      <w:proofErr w:type="spellEnd"/>
      <w:r w:rsidRPr="00D85251">
        <w:rPr>
          <w:rFonts w:cs="Times New Roman"/>
          <w:szCs w:val="24"/>
        </w:rPr>
        <w:t xml:space="preserve"> short-term chronic tests are important in the NPDES permit compliance world given the frequency of occurrence of samples deemed to be toxic using this testing method. Questions regarding the variability of WET tests in general, and the </w:t>
      </w:r>
      <w:proofErr w:type="spellStart"/>
      <w:r w:rsidR="002424A1" w:rsidRPr="00E6684F">
        <w:rPr>
          <w:rFonts w:cs="Times New Roman"/>
          <w:i/>
          <w:szCs w:val="24"/>
        </w:rPr>
        <w:t>Ceriodaphnia</w:t>
      </w:r>
      <w:proofErr w:type="spellEnd"/>
      <w:r w:rsidR="002424A1" w:rsidRPr="00E6684F">
        <w:rPr>
          <w:rFonts w:cs="Times New Roman"/>
          <w:i/>
          <w:szCs w:val="24"/>
        </w:rPr>
        <w:t xml:space="preserve"> </w:t>
      </w:r>
      <w:proofErr w:type="spellStart"/>
      <w:r w:rsidR="002424A1" w:rsidRPr="00E6684F">
        <w:rPr>
          <w:rFonts w:cs="Times New Roman"/>
          <w:i/>
          <w:szCs w:val="24"/>
        </w:rPr>
        <w:t>dubia</w:t>
      </w:r>
      <w:proofErr w:type="spellEnd"/>
      <w:r w:rsidR="002424A1" w:rsidRPr="00E6684F">
        <w:rPr>
          <w:rFonts w:cs="Times New Roman"/>
          <w:szCs w:val="24"/>
        </w:rPr>
        <w:t xml:space="preserve"> </w:t>
      </w:r>
      <w:r w:rsidRPr="00D85251">
        <w:rPr>
          <w:rFonts w:cs="Times New Roman"/>
          <w:szCs w:val="24"/>
        </w:rPr>
        <w:t xml:space="preserve">short-term chronic reproduction </w:t>
      </w:r>
      <w:proofErr w:type="gramStart"/>
      <w:r w:rsidRPr="00D85251">
        <w:rPr>
          <w:rFonts w:cs="Times New Roman"/>
          <w:szCs w:val="24"/>
        </w:rPr>
        <w:t>test in particular, have</w:t>
      </w:r>
      <w:proofErr w:type="gramEnd"/>
      <w:r w:rsidRPr="00D85251">
        <w:rPr>
          <w:rFonts w:cs="Times New Roman"/>
          <w:szCs w:val="24"/>
        </w:rPr>
        <w:t xml:space="preserve"> existed for over twenty years. Various studies have been performed to address these questions, but questions and concerns remain, based on recent experience. The implementation of a new statistical approach to the interpretation of WET testing results in NPDES permits and the proposed adoption of numeric effluent limits based on WET test</w:t>
      </w:r>
      <w:r w:rsidR="00634388">
        <w:rPr>
          <w:rFonts w:cs="Times New Roman"/>
          <w:szCs w:val="24"/>
        </w:rPr>
        <w:t>ing</w:t>
      </w:r>
      <w:r w:rsidRPr="00D85251">
        <w:rPr>
          <w:rFonts w:cs="Times New Roman"/>
          <w:szCs w:val="24"/>
        </w:rPr>
        <w:t xml:space="preserve"> results has amplified these concerns in California. </w:t>
      </w:r>
    </w:p>
    <w:p w14:paraId="299E2293" w14:textId="4C97FAEC" w:rsidR="00D85251" w:rsidRPr="00D85251" w:rsidRDefault="00D85251" w:rsidP="00D85251">
      <w:pPr>
        <w:spacing w:before="120"/>
        <w:rPr>
          <w:rFonts w:cs="Times New Roman"/>
          <w:szCs w:val="24"/>
        </w:rPr>
      </w:pPr>
      <w:r w:rsidRPr="00D85251">
        <w:rPr>
          <w:rFonts w:cs="Times New Roman"/>
          <w:szCs w:val="24"/>
        </w:rPr>
        <w:t xml:space="preserve">The purpose of this analysis is to </w:t>
      </w:r>
      <w:r w:rsidR="00FA007D">
        <w:rPr>
          <w:rFonts w:cs="Times New Roman"/>
          <w:szCs w:val="24"/>
        </w:rPr>
        <w:t xml:space="preserve">summarize existing chronic toxicity </w:t>
      </w:r>
      <w:proofErr w:type="spellStart"/>
      <w:r w:rsidR="00FA007D" w:rsidRPr="00D85251">
        <w:rPr>
          <w:rFonts w:cs="Times New Roman"/>
          <w:i/>
          <w:szCs w:val="24"/>
        </w:rPr>
        <w:t>Ceriodaphnia</w:t>
      </w:r>
      <w:proofErr w:type="spellEnd"/>
      <w:r w:rsidR="00FA007D" w:rsidRPr="00D85251">
        <w:rPr>
          <w:rFonts w:cs="Times New Roman"/>
          <w:i/>
          <w:szCs w:val="24"/>
        </w:rPr>
        <w:t xml:space="preserve"> </w:t>
      </w:r>
      <w:proofErr w:type="spellStart"/>
      <w:r w:rsidR="00FA007D" w:rsidRPr="00D85251">
        <w:rPr>
          <w:rFonts w:cs="Times New Roman"/>
          <w:i/>
          <w:szCs w:val="24"/>
        </w:rPr>
        <w:t>dubia</w:t>
      </w:r>
      <w:proofErr w:type="spellEnd"/>
      <w:r w:rsidR="00FA007D" w:rsidRPr="00D85251">
        <w:rPr>
          <w:rFonts w:cs="Times New Roman"/>
          <w:szCs w:val="24"/>
        </w:rPr>
        <w:t xml:space="preserve"> </w:t>
      </w:r>
      <w:r w:rsidR="00FA007D">
        <w:rPr>
          <w:rFonts w:cs="Times New Roman"/>
          <w:szCs w:val="24"/>
        </w:rPr>
        <w:t xml:space="preserve">reproduction test data </w:t>
      </w:r>
      <w:r w:rsidR="00FA007D" w:rsidRPr="00D85251">
        <w:rPr>
          <w:rFonts w:cs="Times New Roman"/>
          <w:szCs w:val="24"/>
        </w:rPr>
        <w:t xml:space="preserve">from prior studies </w:t>
      </w:r>
      <w:r w:rsidR="00FA007D">
        <w:rPr>
          <w:rFonts w:cs="Times New Roman"/>
          <w:szCs w:val="24"/>
        </w:rPr>
        <w:t xml:space="preserve">conducted on known non-toxic blank samples and to </w:t>
      </w:r>
      <w:r w:rsidRPr="00D85251">
        <w:rPr>
          <w:rFonts w:cs="Times New Roman"/>
          <w:szCs w:val="24"/>
        </w:rPr>
        <w:t xml:space="preserve">assess whether </w:t>
      </w:r>
      <w:r w:rsidR="00FA007D">
        <w:rPr>
          <w:rFonts w:cs="Times New Roman"/>
          <w:szCs w:val="24"/>
        </w:rPr>
        <w:t xml:space="preserve">the </w:t>
      </w:r>
      <w:r w:rsidRPr="00D85251">
        <w:rPr>
          <w:rFonts w:cs="Times New Roman"/>
          <w:szCs w:val="24"/>
        </w:rPr>
        <w:t xml:space="preserve">results are </w:t>
      </w:r>
      <w:proofErr w:type="gramStart"/>
      <w:r w:rsidRPr="00D85251">
        <w:rPr>
          <w:rFonts w:cs="Times New Roman"/>
          <w:szCs w:val="24"/>
        </w:rPr>
        <w:t>sufficient</w:t>
      </w:r>
      <w:proofErr w:type="gramEnd"/>
      <w:r w:rsidRPr="00D85251">
        <w:rPr>
          <w:rFonts w:cs="Times New Roman"/>
          <w:szCs w:val="24"/>
        </w:rPr>
        <w:t xml:space="preserve"> to resolve concerns regarding the variability of interlaboratory </w:t>
      </w:r>
      <w:proofErr w:type="spellStart"/>
      <w:r w:rsidRPr="00D85251">
        <w:rPr>
          <w:rFonts w:cs="Times New Roman"/>
          <w:i/>
          <w:szCs w:val="24"/>
        </w:rPr>
        <w:t>Ceriodaphnia</w:t>
      </w:r>
      <w:proofErr w:type="spellEnd"/>
      <w:r w:rsidRPr="00D85251">
        <w:rPr>
          <w:rFonts w:cs="Times New Roman"/>
          <w:i/>
          <w:szCs w:val="24"/>
        </w:rPr>
        <w:t xml:space="preserve"> </w:t>
      </w:r>
      <w:proofErr w:type="spellStart"/>
      <w:r w:rsidRPr="00D85251">
        <w:rPr>
          <w:rFonts w:cs="Times New Roman"/>
          <w:i/>
          <w:szCs w:val="24"/>
        </w:rPr>
        <w:t>dubia</w:t>
      </w:r>
      <w:proofErr w:type="spellEnd"/>
      <w:r w:rsidRPr="00D85251">
        <w:rPr>
          <w:rFonts w:cs="Times New Roman"/>
          <w:szCs w:val="24"/>
        </w:rPr>
        <w:t xml:space="preserve"> test results or whether additional testing is advisable to develop recommendations to reduce observed variability.  </w:t>
      </w:r>
    </w:p>
    <w:p w14:paraId="32A12237" w14:textId="4102217E" w:rsidR="00D85251" w:rsidRDefault="00D85251" w:rsidP="00D85251">
      <w:pPr>
        <w:spacing w:before="120"/>
        <w:rPr>
          <w:rFonts w:cs="Times New Roman"/>
          <w:szCs w:val="24"/>
        </w:rPr>
      </w:pPr>
      <w:r w:rsidRPr="00D85251">
        <w:rPr>
          <w:rFonts w:cs="Times New Roman"/>
          <w:szCs w:val="24"/>
        </w:rPr>
        <w:t xml:space="preserve">The approach used in this white paper is to summarize the background of the short-term chronic WET testing program from its outset under the Clean Water Act, to identify what is known about the potential sources of WET testing variability, to document the significance of the </w:t>
      </w:r>
      <w:proofErr w:type="spellStart"/>
      <w:r w:rsidRPr="00D85251">
        <w:rPr>
          <w:rFonts w:cs="Times New Roman"/>
          <w:i/>
          <w:szCs w:val="24"/>
        </w:rPr>
        <w:t>Ceriodaphnia</w:t>
      </w:r>
      <w:proofErr w:type="spellEnd"/>
      <w:r w:rsidRPr="00D85251">
        <w:rPr>
          <w:rFonts w:cs="Times New Roman"/>
          <w:i/>
          <w:szCs w:val="24"/>
        </w:rPr>
        <w:t xml:space="preserve"> </w:t>
      </w:r>
      <w:proofErr w:type="spellStart"/>
      <w:r w:rsidRPr="00D85251">
        <w:rPr>
          <w:rFonts w:cs="Times New Roman"/>
          <w:i/>
          <w:szCs w:val="24"/>
        </w:rPr>
        <w:t>dubia</w:t>
      </w:r>
      <w:proofErr w:type="spellEnd"/>
      <w:r w:rsidRPr="00D85251">
        <w:rPr>
          <w:rFonts w:cs="Times New Roman"/>
          <w:szCs w:val="24"/>
        </w:rPr>
        <w:t xml:space="preserve"> chronic test as a driver of NPDES permit compliance actions, and, as a first step, to perform </w:t>
      </w:r>
      <w:r w:rsidR="00395A4E">
        <w:rPr>
          <w:rFonts w:cs="Times New Roman"/>
          <w:szCs w:val="24"/>
        </w:rPr>
        <w:t xml:space="preserve">a </w:t>
      </w:r>
      <w:r w:rsidRPr="00D85251">
        <w:rPr>
          <w:rFonts w:cs="Times New Roman"/>
          <w:szCs w:val="24"/>
        </w:rPr>
        <w:t>statistical analysis using the raw data from three available “blank” studies, taking those data at face value, i.e.</w:t>
      </w:r>
      <w:r w:rsidR="00FA6CC1">
        <w:rPr>
          <w:rFonts w:cs="Times New Roman"/>
          <w:szCs w:val="24"/>
        </w:rPr>
        <w:t>,</w:t>
      </w:r>
      <w:r w:rsidRPr="00D85251">
        <w:rPr>
          <w:rFonts w:cs="Times New Roman"/>
          <w:szCs w:val="24"/>
        </w:rPr>
        <w:t xml:space="preserve"> treating all samples </w:t>
      </w:r>
      <w:r w:rsidR="002B7746">
        <w:rPr>
          <w:rFonts w:cs="Times New Roman"/>
          <w:szCs w:val="24"/>
        </w:rPr>
        <w:t xml:space="preserve">meeting test acceptability criteria </w:t>
      </w:r>
      <w:r w:rsidRPr="00D85251">
        <w:rPr>
          <w:rFonts w:cs="Times New Roman"/>
          <w:szCs w:val="24"/>
        </w:rPr>
        <w:t xml:space="preserve">as valid, recognizing that concerns have been raised regarding the validity of </w:t>
      </w:r>
      <w:r w:rsidR="00395A4E">
        <w:rPr>
          <w:rFonts w:cs="Times New Roman"/>
          <w:szCs w:val="24"/>
        </w:rPr>
        <w:t>certain</w:t>
      </w:r>
      <w:r w:rsidRPr="00D85251">
        <w:rPr>
          <w:rFonts w:cs="Times New Roman"/>
          <w:szCs w:val="24"/>
        </w:rPr>
        <w:t xml:space="preserve"> data. Following this approach, results were developed using the three common statistical approaches for interpretation of WET testing, </w:t>
      </w:r>
      <w:r w:rsidR="00395A4E">
        <w:rPr>
          <w:rFonts w:cs="Times New Roman"/>
          <w:szCs w:val="24"/>
        </w:rPr>
        <w:t>including the</w:t>
      </w:r>
      <w:r w:rsidRPr="00D85251">
        <w:rPr>
          <w:rFonts w:cs="Times New Roman"/>
          <w:szCs w:val="24"/>
        </w:rPr>
        <w:t xml:space="preserve"> Test of Significant Toxicity (TST), </w:t>
      </w:r>
      <w:r>
        <w:rPr>
          <w:rFonts w:cs="Times New Roman"/>
          <w:szCs w:val="24"/>
        </w:rPr>
        <w:t>c</w:t>
      </w:r>
      <w:r w:rsidRPr="00D85251">
        <w:rPr>
          <w:rFonts w:cs="Times New Roman"/>
          <w:szCs w:val="24"/>
        </w:rPr>
        <w:t xml:space="preserve">onventional hypothesis testing resulting in a determination of No Observable Effect Concentrations (NOEC), and point estimate techniques resulting in determination of Inhibition Concentrations at 25% effect level (IC25). Results from the statistical analysis were then considered in the overall context of concerns regarding the quality of “blank” samples, the methods used in the performance of the studies, and/or the quality of the laboratory work.  </w:t>
      </w:r>
    </w:p>
    <w:p w14:paraId="1C7E1AC7" w14:textId="68DDBA2C" w:rsidR="00FA007D" w:rsidRPr="001B1399" w:rsidRDefault="000010F3" w:rsidP="00442230">
      <w:pPr>
        <w:pStyle w:val="TableTitle"/>
        <w:keepLines/>
      </w:pPr>
      <w:r>
        <w:t xml:space="preserve">Prior Analysis </w:t>
      </w:r>
      <w:r w:rsidR="00FA007D">
        <w:t>Summary</w:t>
      </w:r>
      <w:r>
        <w:t>: Percent of</w:t>
      </w:r>
      <w:r w:rsidR="00FA007D">
        <w:t xml:space="preserve"> Blank Samples Incorrectly Identified as Toxic</w:t>
      </w:r>
    </w:p>
    <w:tbl>
      <w:tblPr>
        <w:tblW w:w="6390" w:type="dxa"/>
        <w:tblLayout w:type="fixed"/>
        <w:tblLook w:val="04A0" w:firstRow="1" w:lastRow="0" w:firstColumn="1" w:lastColumn="0" w:noHBand="0" w:noVBand="1"/>
      </w:tblPr>
      <w:tblGrid>
        <w:gridCol w:w="1597"/>
        <w:gridCol w:w="1598"/>
        <w:gridCol w:w="1597"/>
        <w:gridCol w:w="1598"/>
      </w:tblGrid>
      <w:tr w:rsidR="00FA007D" w:rsidRPr="001B1399" w14:paraId="5CF0244B" w14:textId="77777777" w:rsidTr="000010F3">
        <w:trPr>
          <w:trHeight w:val="264"/>
          <w:tblHeader/>
        </w:trPr>
        <w:tc>
          <w:tcPr>
            <w:tcW w:w="1597" w:type="dxa"/>
            <w:tcBorders>
              <w:top w:val="single" w:sz="4" w:space="0" w:color="auto"/>
              <w:left w:val="nil"/>
              <w:bottom w:val="single" w:sz="4" w:space="0" w:color="auto"/>
              <w:right w:val="nil"/>
            </w:tcBorders>
            <w:shd w:val="clear" w:color="auto" w:fill="auto"/>
            <w:noWrap/>
            <w:vAlign w:val="bottom"/>
            <w:hideMark/>
          </w:tcPr>
          <w:p w14:paraId="2CD616CA" w14:textId="506F6AD9" w:rsidR="00FA007D" w:rsidRPr="001B1399" w:rsidRDefault="00FA007D" w:rsidP="00442230">
            <w:pPr>
              <w:pStyle w:val="TableBodyText"/>
              <w:keepNext/>
              <w:keepLines/>
            </w:pPr>
            <w:r w:rsidRPr="001B1399">
              <w:t>Study</w:t>
            </w:r>
            <w:r w:rsidR="008F556A">
              <w:t xml:space="preserve"> Name</w:t>
            </w:r>
          </w:p>
        </w:tc>
        <w:tc>
          <w:tcPr>
            <w:tcW w:w="1598" w:type="dxa"/>
            <w:tcBorders>
              <w:top w:val="single" w:sz="4" w:space="0" w:color="auto"/>
              <w:left w:val="nil"/>
              <w:bottom w:val="single" w:sz="4" w:space="0" w:color="auto"/>
              <w:right w:val="nil"/>
            </w:tcBorders>
            <w:shd w:val="clear" w:color="auto" w:fill="auto"/>
            <w:noWrap/>
            <w:vAlign w:val="bottom"/>
          </w:tcPr>
          <w:p w14:paraId="2C351CB3" w14:textId="6529C4CD" w:rsidR="00FA007D" w:rsidRPr="001B1399" w:rsidRDefault="000010F3" w:rsidP="00442230">
            <w:pPr>
              <w:pStyle w:val="TableBodyText"/>
              <w:keepNext/>
              <w:keepLines/>
            </w:pPr>
            <w:r w:rsidRPr="001B1399">
              <w:t>NOEC</w:t>
            </w:r>
          </w:p>
        </w:tc>
        <w:tc>
          <w:tcPr>
            <w:tcW w:w="1597" w:type="dxa"/>
            <w:tcBorders>
              <w:top w:val="single" w:sz="4" w:space="0" w:color="auto"/>
              <w:left w:val="nil"/>
              <w:bottom w:val="single" w:sz="4" w:space="0" w:color="auto"/>
              <w:right w:val="nil"/>
            </w:tcBorders>
            <w:shd w:val="clear" w:color="auto" w:fill="auto"/>
            <w:noWrap/>
            <w:vAlign w:val="bottom"/>
          </w:tcPr>
          <w:p w14:paraId="0C9AC64A" w14:textId="0F9E77CE" w:rsidR="00FA007D" w:rsidRPr="001B1399" w:rsidRDefault="000010F3" w:rsidP="00442230">
            <w:pPr>
              <w:pStyle w:val="TableBodyText"/>
              <w:keepNext/>
              <w:keepLines/>
            </w:pPr>
            <w:r w:rsidRPr="001B1399">
              <w:t>IC25</w:t>
            </w:r>
          </w:p>
        </w:tc>
        <w:tc>
          <w:tcPr>
            <w:tcW w:w="1598" w:type="dxa"/>
            <w:tcBorders>
              <w:top w:val="single" w:sz="4" w:space="0" w:color="auto"/>
              <w:left w:val="nil"/>
              <w:bottom w:val="single" w:sz="4" w:space="0" w:color="auto"/>
              <w:right w:val="nil"/>
            </w:tcBorders>
            <w:shd w:val="clear" w:color="auto" w:fill="auto"/>
            <w:noWrap/>
            <w:vAlign w:val="bottom"/>
          </w:tcPr>
          <w:p w14:paraId="28B5AE65" w14:textId="54D7C3A7" w:rsidR="00FA007D" w:rsidRPr="001B1399" w:rsidRDefault="000010F3" w:rsidP="00442230">
            <w:pPr>
              <w:pStyle w:val="TableBodyText"/>
              <w:keepNext/>
              <w:keepLines/>
            </w:pPr>
            <w:r w:rsidRPr="001B1399">
              <w:t>TST</w:t>
            </w:r>
          </w:p>
        </w:tc>
      </w:tr>
      <w:tr w:rsidR="00FA007D" w:rsidRPr="001B1399" w14:paraId="7160F4AF" w14:textId="77777777" w:rsidTr="000010F3">
        <w:trPr>
          <w:trHeight w:val="264"/>
        </w:trPr>
        <w:tc>
          <w:tcPr>
            <w:tcW w:w="1597" w:type="dxa"/>
            <w:tcBorders>
              <w:top w:val="single" w:sz="4" w:space="0" w:color="auto"/>
              <w:left w:val="nil"/>
              <w:bottom w:val="dotted" w:sz="4" w:space="0" w:color="auto"/>
              <w:right w:val="nil"/>
            </w:tcBorders>
            <w:shd w:val="clear" w:color="auto" w:fill="auto"/>
            <w:noWrap/>
            <w:vAlign w:val="center"/>
            <w:hideMark/>
          </w:tcPr>
          <w:p w14:paraId="03AD35A7" w14:textId="7861B9BF" w:rsidR="00FA007D" w:rsidRPr="001B1399" w:rsidRDefault="00FA007D" w:rsidP="00442230">
            <w:pPr>
              <w:pStyle w:val="TableBodyText"/>
              <w:keepNext/>
              <w:keepLines/>
            </w:pPr>
            <w:r w:rsidRPr="001B1399">
              <w:t>EPA</w:t>
            </w:r>
            <w:r w:rsidR="000010F3" w:rsidRPr="000010F3">
              <w:rPr>
                <w:vertAlign w:val="superscript"/>
              </w:rPr>
              <w:t>[a]</w:t>
            </w:r>
          </w:p>
        </w:tc>
        <w:tc>
          <w:tcPr>
            <w:tcW w:w="1598" w:type="dxa"/>
            <w:tcBorders>
              <w:top w:val="single" w:sz="4" w:space="0" w:color="auto"/>
              <w:left w:val="nil"/>
              <w:bottom w:val="dotted" w:sz="4" w:space="0" w:color="auto"/>
              <w:right w:val="nil"/>
            </w:tcBorders>
            <w:shd w:val="clear" w:color="auto" w:fill="auto"/>
            <w:noWrap/>
            <w:vAlign w:val="bottom"/>
            <w:hideMark/>
          </w:tcPr>
          <w:p w14:paraId="26F00A6E" w14:textId="4381F27A" w:rsidR="00FA007D" w:rsidRPr="001B1399" w:rsidRDefault="000010F3" w:rsidP="00442230">
            <w:pPr>
              <w:pStyle w:val="TableBodyText"/>
              <w:keepNext/>
              <w:keepLines/>
            </w:pPr>
            <w:r w:rsidRPr="001B1399">
              <w:t>3.6%</w:t>
            </w:r>
          </w:p>
        </w:tc>
        <w:tc>
          <w:tcPr>
            <w:tcW w:w="1597" w:type="dxa"/>
            <w:tcBorders>
              <w:top w:val="single" w:sz="4" w:space="0" w:color="auto"/>
              <w:left w:val="nil"/>
              <w:bottom w:val="dotted" w:sz="4" w:space="0" w:color="auto"/>
              <w:right w:val="nil"/>
            </w:tcBorders>
            <w:shd w:val="clear" w:color="auto" w:fill="auto"/>
            <w:noWrap/>
            <w:vAlign w:val="bottom"/>
          </w:tcPr>
          <w:p w14:paraId="61CCF1BB" w14:textId="6C9BB5BD" w:rsidR="00FA007D" w:rsidRPr="001B1399" w:rsidRDefault="000010F3" w:rsidP="00442230">
            <w:pPr>
              <w:pStyle w:val="TableBodyText"/>
              <w:keepNext/>
              <w:keepLines/>
            </w:pPr>
            <w:r w:rsidRPr="001B1399">
              <w:t>7.1%</w:t>
            </w:r>
          </w:p>
        </w:tc>
        <w:tc>
          <w:tcPr>
            <w:tcW w:w="1598" w:type="dxa"/>
            <w:tcBorders>
              <w:top w:val="single" w:sz="4" w:space="0" w:color="auto"/>
              <w:left w:val="nil"/>
              <w:bottom w:val="dotted" w:sz="4" w:space="0" w:color="auto"/>
              <w:right w:val="nil"/>
            </w:tcBorders>
            <w:shd w:val="clear" w:color="auto" w:fill="auto"/>
            <w:noWrap/>
            <w:vAlign w:val="bottom"/>
            <w:hideMark/>
          </w:tcPr>
          <w:p w14:paraId="0E626FA0" w14:textId="20041154" w:rsidR="00FA007D" w:rsidRPr="001B1399" w:rsidRDefault="000010F3" w:rsidP="00442230">
            <w:pPr>
              <w:pStyle w:val="TableBodyText"/>
              <w:keepNext/>
              <w:keepLines/>
            </w:pPr>
            <w:r w:rsidRPr="001B1399">
              <w:t>14%</w:t>
            </w:r>
          </w:p>
        </w:tc>
      </w:tr>
      <w:tr w:rsidR="00FA007D" w:rsidRPr="001B1399" w14:paraId="30D0FA2F" w14:textId="77777777" w:rsidTr="000010F3">
        <w:trPr>
          <w:trHeight w:val="264"/>
        </w:trPr>
        <w:tc>
          <w:tcPr>
            <w:tcW w:w="1597" w:type="dxa"/>
            <w:tcBorders>
              <w:top w:val="dotted" w:sz="4" w:space="0" w:color="auto"/>
              <w:left w:val="nil"/>
              <w:bottom w:val="dotted" w:sz="4" w:space="0" w:color="auto"/>
              <w:right w:val="nil"/>
            </w:tcBorders>
            <w:shd w:val="clear" w:color="auto" w:fill="auto"/>
            <w:noWrap/>
            <w:vAlign w:val="center"/>
            <w:hideMark/>
          </w:tcPr>
          <w:p w14:paraId="51A72D75" w14:textId="77777777" w:rsidR="00FA007D" w:rsidRPr="001B1399" w:rsidRDefault="00FA007D" w:rsidP="00442230">
            <w:pPr>
              <w:pStyle w:val="TableBodyText"/>
              <w:keepNext/>
              <w:keepLines/>
            </w:pPr>
            <w:r w:rsidRPr="001B1399">
              <w:t>SMC</w:t>
            </w:r>
          </w:p>
        </w:tc>
        <w:tc>
          <w:tcPr>
            <w:tcW w:w="1598" w:type="dxa"/>
            <w:tcBorders>
              <w:top w:val="dotted" w:sz="4" w:space="0" w:color="auto"/>
              <w:left w:val="nil"/>
              <w:bottom w:val="dotted" w:sz="4" w:space="0" w:color="auto"/>
              <w:right w:val="nil"/>
            </w:tcBorders>
            <w:shd w:val="clear" w:color="auto" w:fill="auto"/>
            <w:noWrap/>
            <w:vAlign w:val="bottom"/>
          </w:tcPr>
          <w:p w14:paraId="1587B799" w14:textId="7C95D297" w:rsidR="00FA007D" w:rsidRPr="001B1399" w:rsidRDefault="000010F3" w:rsidP="00442230">
            <w:pPr>
              <w:pStyle w:val="TableBodyText"/>
              <w:keepNext/>
              <w:keepLines/>
            </w:pPr>
            <w:r w:rsidRPr="001B1399">
              <w:t>36%</w:t>
            </w:r>
          </w:p>
        </w:tc>
        <w:tc>
          <w:tcPr>
            <w:tcW w:w="1597" w:type="dxa"/>
            <w:tcBorders>
              <w:top w:val="dotted" w:sz="4" w:space="0" w:color="auto"/>
              <w:left w:val="nil"/>
              <w:bottom w:val="dotted" w:sz="4" w:space="0" w:color="auto"/>
              <w:right w:val="nil"/>
            </w:tcBorders>
            <w:shd w:val="clear" w:color="auto" w:fill="auto"/>
            <w:noWrap/>
            <w:vAlign w:val="bottom"/>
          </w:tcPr>
          <w:p w14:paraId="129B371C" w14:textId="3B38E431" w:rsidR="00FA007D" w:rsidRPr="001B1399" w:rsidRDefault="000010F3" w:rsidP="00442230">
            <w:pPr>
              <w:pStyle w:val="TableBodyText"/>
              <w:keepNext/>
              <w:keepLines/>
            </w:pPr>
            <w:r w:rsidRPr="001B1399">
              <w:t>45%</w:t>
            </w:r>
          </w:p>
        </w:tc>
        <w:tc>
          <w:tcPr>
            <w:tcW w:w="1598" w:type="dxa"/>
            <w:tcBorders>
              <w:top w:val="dotted" w:sz="4" w:space="0" w:color="auto"/>
              <w:left w:val="nil"/>
              <w:bottom w:val="dotted" w:sz="4" w:space="0" w:color="auto"/>
              <w:right w:val="nil"/>
            </w:tcBorders>
            <w:shd w:val="clear" w:color="auto" w:fill="auto"/>
            <w:noWrap/>
            <w:vAlign w:val="bottom"/>
            <w:hideMark/>
          </w:tcPr>
          <w:p w14:paraId="679DEE6F" w14:textId="3A75C406" w:rsidR="00FA007D" w:rsidRPr="001B1399" w:rsidRDefault="000010F3" w:rsidP="00442230">
            <w:pPr>
              <w:pStyle w:val="TableBodyText"/>
              <w:keepNext/>
              <w:keepLines/>
            </w:pPr>
            <w:r w:rsidRPr="001B1399">
              <w:t>55%</w:t>
            </w:r>
          </w:p>
        </w:tc>
      </w:tr>
      <w:tr w:rsidR="000010F3" w:rsidRPr="001B1399" w14:paraId="67639032" w14:textId="77777777" w:rsidTr="000010F3">
        <w:trPr>
          <w:trHeight w:val="264"/>
        </w:trPr>
        <w:tc>
          <w:tcPr>
            <w:tcW w:w="1597" w:type="dxa"/>
            <w:tcBorders>
              <w:top w:val="dotted" w:sz="4" w:space="0" w:color="auto"/>
              <w:left w:val="nil"/>
              <w:bottom w:val="single" w:sz="4" w:space="0" w:color="auto"/>
              <w:right w:val="nil"/>
            </w:tcBorders>
            <w:shd w:val="clear" w:color="auto" w:fill="auto"/>
            <w:noWrap/>
            <w:vAlign w:val="center"/>
            <w:hideMark/>
          </w:tcPr>
          <w:p w14:paraId="67C9DEF4" w14:textId="77777777" w:rsidR="000010F3" w:rsidRPr="001B1399" w:rsidRDefault="000010F3" w:rsidP="00442230">
            <w:pPr>
              <w:pStyle w:val="TableBodyText"/>
              <w:keepNext/>
              <w:keepLines/>
            </w:pPr>
            <w:r w:rsidRPr="001B1399">
              <w:t>WC</w:t>
            </w:r>
          </w:p>
        </w:tc>
        <w:tc>
          <w:tcPr>
            <w:tcW w:w="1598" w:type="dxa"/>
            <w:tcBorders>
              <w:top w:val="dotted" w:sz="4" w:space="0" w:color="auto"/>
              <w:left w:val="nil"/>
              <w:bottom w:val="single" w:sz="4" w:space="0" w:color="auto"/>
              <w:right w:val="nil"/>
            </w:tcBorders>
            <w:shd w:val="clear" w:color="auto" w:fill="auto"/>
            <w:noWrap/>
            <w:vAlign w:val="bottom"/>
          </w:tcPr>
          <w:p w14:paraId="467B25FC" w14:textId="4AD5F5A1" w:rsidR="000010F3" w:rsidRPr="001B1399" w:rsidRDefault="000010F3" w:rsidP="00442230">
            <w:pPr>
              <w:pStyle w:val="TableBodyText"/>
              <w:keepNext/>
              <w:keepLines/>
            </w:pPr>
            <w:r w:rsidRPr="001B1399">
              <w:t>3</w:t>
            </w:r>
            <w:r w:rsidR="00744CF4">
              <w:t>3</w:t>
            </w:r>
            <w:r w:rsidRPr="001B1399">
              <w:t>%</w:t>
            </w:r>
          </w:p>
        </w:tc>
        <w:tc>
          <w:tcPr>
            <w:tcW w:w="1597" w:type="dxa"/>
            <w:tcBorders>
              <w:top w:val="dotted" w:sz="4" w:space="0" w:color="auto"/>
              <w:left w:val="nil"/>
              <w:bottom w:val="single" w:sz="4" w:space="0" w:color="auto"/>
              <w:right w:val="nil"/>
            </w:tcBorders>
            <w:shd w:val="clear" w:color="auto" w:fill="auto"/>
            <w:noWrap/>
            <w:vAlign w:val="bottom"/>
          </w:tcPr>
          <w:p w14:paraId="7D6D0B3C" w14:textId="1D78FF7A" w:rsidR="000010F3" w:rsidRPr="001B1399" w:rsidRDefault="00744CF4" w:rsidP="00442230">
            <w:pPr>
              <w:pStyle w:val="TableBodyText"/>
              <w:keepNext/>
              <w:keepLines/>
            </w:pPr>
            <w:r>
              <w:t>33</w:t>
            </w:r>
            <w:r w:rsidR="000010F3" w:rsidRPr="001B1399">
              <w:t>%</w:t>
            </w:r>
          </w:p>
        </w:tc>
        <w:tc>
          <w:tcPr>
            <w:tcW w:w="1598" w:type="dxa"/>
            <w:tcBorders>
              <w:top w:val="dotted" w:sz="4" w:space="0" w:color="auto"/>
              <w:left w:val="nil"/>
              <w:bottom w:val="single" w:sz="4" w:space="0" w:color="auto"/>
              <w:right w:val="nil"/>
            </w:tcBorders>
            <w:shd w:val="clear" w:color="auto" w:fill="auto"/>
            <w:noWrap/>
            <w:vAlign w:val="bottom"/>
          </w:tcPr>
          <w:p w14:paraId="5B550311" w14:textId="7DA8FC2F" w:rsidR="000010F3" w:rsidRPr="001B1399" w:rsidRDefault="00744CF4" w:rsidP="00442230">
            <w:pPr>
              <w:pStyle w:val="TableBodyText"/>
              <w:keepNext/>
              <w:keepLines/>
            </w:pPr>
            <w:r>
              <w:t>38</w:t>
            </w:r>
            <w:r w:rsidR="000010F3" w:rsidRPr="001B1399">
              <w:t>%</w:t>
            </w:r>
          </w:p>
        </w:tc>
      </w:tr>
    </w:tbl>
    <w:p w14:paraId="234DB6A2" w14:textId="276E29E8" w:rsidR="00FA007D" w:rsidRPr="00A9704C" w:rsidRDefault="000010F3" w:rsidP="00442230">
      <w:pPr>
        <w:pStyle w:val="TableFootnote"/>
        <w:keepLines/>
      </w:pPr>
      <w:r>
        <w:t xml:space="preserve">[a] </w:t>
      </w:r>
      <w:r w:rsidR="009C46A8">
        <w:t>T</w:t>
      </w:r>
      <w:r w:rsidR="00442230">
        <w:t>he study originally included t</w:t>
      </w:r>
      <w:r>
        <w:t>wo test results</w:t>
      </w:r>
      <w:r w:rsidR="009C46A8">
        <w:t xml:space="preserve"> </w:t>
      </w:r>
      <w:r>
        <w:t xml:space="preserve">that EPA </w:t>
      </w:r>
      <w:r w:rsidR="00442230">
        <w:t>subsequently</w:t>
      </w:r>
      <w:r>
        <w:t xml:space="preserve"> </w:t>
      </w:r>
      <w:r w:rsidR="00442230">
        <w:t>wished to reject</w:t>
      </w:r>
      <w:r>
        <w:t xml:space="preserve"> as being invalid.</w:t>
      </w:r>
      <w:r w:rsidR="00EB7A5C">
        <w:t xml:space="preserve"> </w:t>
      </w:r>
      <w:r w:rsidR="00442230">
        <w:t xml:space="preserve">Their reason for rejecting the first result (EPA-9450) was due to a high </w:t>
      </w:r>
      <w:proofErr w:type="spellStart"/>
      <w:r w:rsidR="00442230">
        <w:t>pMSD</w:t>
      </w:r>
      <w:proofErr w:type="spellEnd"/>
      <w:r w:rsidR="00442230">
        <w:t xml:space="preserve">, </w:t>
      </w:r>
      <w:r w:rsidR="00EB7A5C">
        <w:t xml:space="preserve">but the protocol dictates that a high </w:t>
      </w:r>
      <w:proofErr w:type="spellStart"/>
      <w:r w:rsidR="00EB7A5C">
        <w:t>pMSD</w:t>
      </w:r>
      <w:proofErr w:type="spellEnd"/>
      <w:r w:rsidR="00EB7A5C">
        <w:t xml:space="preserve"> has no impact on a toxicity test. </w:t>
      </w:r>
      <w:r w:rsidR="00442230">
        <w:t>The second result (EPA-9332)</w:t>
      </w:r>
      <w:r w:rsidR="00EB7A5C">
        <w:t xml:space="preserve"> was considered valid in 2002 but </w:t>
      </w:r>
      <w:r w:rsidR="00442230">
        <w:t>13 years later</w:t>
      </w:r>
      <w:r w:rsidR="00EB7A5C">
        <w:t xml:space="preserve"> was stated not to have three broods.</w:t>
      </w:r>
      <w:r w:rsidR="00442230">
        <w:t xml:space="preserve"> Both results were included in this analysis. </w:t>
      </w:r>
    </w:p>
    <w:p w14:paraId="3E9596F5" w14:textId="52C233AF" w:rsidR="0027541F" w:rsidRPr="002B7746" w:rsidRDefault="00D3739A" w:rsidP="002B7746">
      <w:pPr>
        <w:spacing w:before="120"/>
      </w:pPr>
      <w:r w:rsidRPr="00A9704C">
        <w:rPr>
          <w:rFonts w:cs="Times New Roman"/>
          <w:szCs w:val="24"/>
        </w:rPr>
        <w:t xml:space="preserve">While the statistical analysis of available </w:t>
      </w:r>
      <w:r w:rsidR="00EF11F0">
        <w:rPr>
          <w:rFonts w:cs="Times New Roman"/>
          <w:szCs w:val="24"/>
        </w:rPr>
        <w:t xml:space="preserve">data </w:t>
      </w:r>
      <w:r w:rsidRPr="00A9704C">
        <w:rPr>
          <w:rFonts w:cs="Times New Roman"/>
          <w:szCs w:val="24"/>
        </w:rPr>
        <w:t xml:space="preserve">indicates that </w:t>
      </w:r>
      <w:r w:rsidR="009F20F9">
        <w:rPr>
          <w:rFonts w:cs="Times New Roman"/>
          <w:szCs w:val="24"/>
        </w:rPr>
        <w:t xml:space="preserve">the rate of </w:t>
      </w:r>
      <w:r w:rsidR="00EF11F0">
        <w:rPr>
          <w:rFonts w:cs="Times New Roman"/>
          <w:szCs w:val="24"/>
        </w:rPr>
        <w:t>incorrect determinations of toxicity</w:t>
      </w:r>
      <w:r w:rsidR="00EF11F0" w:rsidRPr="00A9704C">
        <w:rPr>
          <w:rFonts w:cs="Times New Roman"/>
          <w:szCs w:val="24"/>
        </w:rPr>
        <w:t xml:space="preserve"> </w:t>
      </w:r>
      <w:r w:rsidR="009F20F9">
        <w:rPr>
          <w:rFonts w:cs="Times New Roman"/>
          <w:szCs w:val="24"/>
        </w:rPr>
        <w:t>was</w:t>
      </w:r>
      <w:r w:rsidRPr="00A9704C">
        <w:rPr>
          <w:rFonts w:cs="Times New Roman"/>
          <w:szCs w:val="24"/>
        </w:rPr>
        <w:t xml:space="preserve"> unacceptably high, </w:t>
      </w:r>
      <w:r>
        <w:rPr>
          <w:rFonts w:cs="Times New Roman"/>
          <w:szCs w:val="24"/>
        </w:rPr>
        <w:t>t</w:t>
      </w:r>
      <w:r w:rsidR="00D85251" w:rsidRPr="00D85251">
        <w:rPr>
          <w:rFonts w:cs="Times New Roman"/>
          <w:szCs w:val="24"/>
        </w:rPr>
        <w:t xml:space="preserve">he overall assessment </w:t>
      </w:r>
      <w:r w:rsidR="00FA007D">
        <w:rPr>
          <w:rFonts w:cs="Times New Roman"/>
          <w:szCs w:val="24"/>
        </w:rPr>
        <w:t xml:space="preserve">found </w:t>
      </w:r>
      <w:r w:rsidR="00D85251" w:rsidRPr="00D85251">
        <w:rPr>
          <w:rFonts w:cs="Times New Roman"/>
          <w:szCs w:val="24"/>
        </w:rPr>
        <w:t xml:space="preserve">that current studies and data are insufficient to resolve outstanding questions regarding variability of </w:t>
      </w:r>
      <w:proofErr w:type="spellStart"/>
      <w:r w:rsidR="00D85251" w:rsidRPr="00D85251">
        <w:rPr>
          <w:rFonts w:cs="Times New Roman"/>
          <w:i/>
          <w:szCs w:val="24"/>
        </w:rPr>
        <w:t>Ceriodaphnia</w:t>
      </w:r>
      <w:proofErr w:type="spellEnd"/>
      <w:r w:rsidR="00D85251" w:rsidRPr="00D85251">
        <w:rPr>
          <w:rFonts w:cs="Times New Roman"/>
          <w:i/>
          <w:szCs w:val="24"/>
        </w:rPr>
        <w:t xml:space="preserve"> </w:t>
      </w:r>
      <w:proofErr w:type="spellStart"/>
      <w:r w:rsidR="00D85251" w:rsidRPr="00D85251">
        <w:rPr>
          <w:rFonts w:cs="Times New Roman"/>
          <w:i/>
          <w:szCs w:val="24"/>
        </w:rPr>
        <w:t>dubia</w:t>
      </w:r>
      <w:proofErr w:type="spellEnd"/>
      <w:r w:rsidR="00D85251" w:rsidRPr="00D85251">
        <w:rPr>
          <w:rFonts w:cs="Times New Roman"/>
          <w:szCs w:val="24"/>
        </w:rPr>
        <w:t xml:space="preserve"> chronic WET test results and </w:t>
      </w:r>
      <w:bookmarkStart w:id="3" w:name="_Hlk527618227"/>
      <w:r w:rsidR="00FA007D">
        <w:rPr>
          <w:rFonts w:cs="Times New Roman"/>
          <w:szCs w:val="24"/>
        </w:rPr>
        <w:t>incorrect determinations of toxicity</w:t>
      </w:r>
      <w:bookmarkEnd w:id="3"/>
      <w:r w:rsidR="00D85251" w:rsidRPr="00D85251">
        <w:rPr>
          <w:rFonts w:cs="Times New Roman"/>
          <w:szCs w:val="24"/>
        </w:rPr>
        <w:t xml:space="preserve">. </w:t>
      </w:r>
      <w:r w:rsidR="00FA007D">
        <w:rPr>
          <w:rFonts w:cs="Times New Roman"/>
          <w:szCs w:val="24"/>
        </w:rPr>
        <w:t xml:space="preserve">This study </w:t>
      </w:r>
      <w:r w:rsidR="00636DEF">
        <w:rPr>
          <w:rFonts w:cs="Times New Roman"/>
          <w:szCs w:val="24"/>
        </w:rPr>
        <w:t xml:space="preserve">suggests </w:t>
      </w:r>
      <w:r w:rsidR="00D85251" w:rsidRPr="00D85251">
        <w:rPr>
          <w:rFonts w:cs="Times New Roman"/>
          <w:szCs w:val="24"/>
        </w:rPr>
        <w:t xml:space="preserve">that performance of a properly designed and implemented “blank” study with </w:t>
      </w:r>
      <w:proofErr w:type="gramStart"/>
      <w:r w:rsidR="00D85251" w:rsidRPr="00D85251">
        <w:rPr>
          <w:rFonts w:cs="Times New Roman"/>
          <w:szCs w:val="24"/>
        </w:rPr>
        <w:t>sufficient</w:t>
      </w:r>
      <w:proofErr w:type="gramEnd"/>
      <w:r w:rsidR="00D85251" w:rsidRPr="00D85251">
        <w:rPr>
          <w:rFonts w:cs="Times New Roman"/>
          <w:szCs w:val="24"/>
        </w:rPr>
        <w:t xml:space="preserve"> statistical power would have the potential to resolve concerns by better quantifying the occurrence of </w:t>
      </w:r>
      <w:r w:rsidR="00FA007D">
        <w:rPr>
          <w:rFonts w:cs="Times New Roman"/>
          <w:szCs w:val="24"/>
        </w:rPr>
        <w:t>incorrect determinations of toxicity</w:t>
      </w:r>
      <w:r w:rsidR="00FA007D" w:rsidRPr="00D85251">
        <w:rPr>
          <w:rFonts w:cs="Times New Roman"/>
          <w:szCs w:val="24"/>
        </w:rPr>
        <w:t xml:space="preserve"> </w:t>
      </w:r>
      <w:r w:rsidR="00D85251" w:rsidRPr="00D85251">
        <w:rPr>
          <w:rFonts w:cs="Times New Roman"/>
          <w:szCs w:val="24"/>
        </w:rPr>
        <w:t xml:space="preserve">and, if appropriate, </w:t>
      </w:r>
      <w:r w:rsidR="00395A4E">
        <w:rPr>
          <w:rFonts w:cs="Times New Roman"/>
          <w:szCs w:val="24"/>
        </w:rPr>
        <w:t xml:space="preserve">by </w:t>
      </w:r>
      <w:r w:rsidR="00D85251" w:rsidRPr="00D85251">
        <w:rPr>
          <w:rFonts w:cs="Times New Roman"/>
          <w:szCs w:val="24"/>
        </w:rPr>
        <w:t xml:space="preserve">examining measures that may reduce such results to an acceptable level while not impacting the ability to </w:t>
      </w:r>
      <w:r w:rsidR="00FA007D">
        <w:rPr>
          <w:rFonts w:cs="Times New Roman"/>
          <w:szCs w:val="24"/>
        </w:rPr>
        <w:t xml:space="preserve">correctly </w:t>
      </w:r>
      <w:r w:rsidR="00D85251" w:rsidRPr="00D85251">
        <w:rPr>
          <w:rFonts w:cs="Times New Roman"/>
          <w:szCs w:val="24"/>
        </w:rPr>
        <w:t>detect toxic samples</w:t>
      </w:r>
      <w:r w:rsidR="00D85251" w:rsidRPr="002B7746">
        <w:rPr>
          <w:rFonts w:cs="Times New Roman"/>
          <w:szCs w:val="24"/>
        </w:rPr>
        <w:t xml:space="preserve">. </w:t>
      </w:r>
    </w:p>
    <w:p w14:paraId="14C19B27" w14:textId="0A29C3BD" w:rsidR="000010F3" w:rsidRDefault="000010F3">
      <w:pPr>
        <w:spacing w:after="0"/>
        <w:rPr>
          <w:rFonts w:ascii="Arial" w:hAnsi="Arial"/>
          <w:b/>
          <w:caps/>
        </w:rPr>
      </w:pPr>
      <w:bookmarkStart w:id="4" w:name="_Toc527448263"/>
    </w:p>
    <w:p w14:paraId="49898473" w14:textId="77777777" w:rsidR="000010F3" w:rsidRDefault="000010F3" w:rsidP="00E6684F">
      <w:pPr>
        <w:pStyle w:val="Heading2"/>
        <w:sectPr w:rsidR="000010F3" w:rsidSect="00395A4E">
          <w:footerReference w:type="default" r:id="rId8"/>
          <w:pgSz w:w="12240" w:h="15840"/>
          <w:pgMar w:top="1440" w:right="1440" w:bottom="1440" w:left="1440" w:header="720" w:footer="720" w:gutter="0"/>
          <w:pgNumType w:start="1" w:chapStyle="1"/>
          <w:cols w:space="720"/>
          <w:docGrid w:linePitch="299"/>
        </w:sectPr>
      </w:pPr>
    </w:p>
    <w:p w14:paraId="288CAF13" w14:textId="1DD32D9C" w:rsidR="00D85251" w:rsidRPr="00D85251" w:rsidRDefault="00D85251" w:rsidP="00E6684F">
      <w:pPr>
        <w:pStyle w:val="Heading2"/>
      </w:pPr>
      <w:r w:rsidRPr="00D85251">
        <w:t>Introduction</w:t>
      </w:r>
      <w:bookmarkEnd w:id="4"/>
    </w:p>
    <w:p w14:paraId="38253017" w14:textId="77777777" w:rsidR="00D85251" w:rsidRPr="00D85251" w:rsidRDefault="00D85251" w:rsidP="00E6684F">
      <w:pPr>
        <w:pStyle w:val="Heading3"/>
      </w:pPr>
      <w:bookmarkStart w:id="5" w:name="_Toc527448264"/>
      <w:r w:rsidRPr="00D85251">
        <w:t>Purpose</w:t>
      </w:r>
      <w:bookmarkEnd w:id="5"/>
    </w:p>
    <w:p w14:paraId="05B2A113" w14:textId="327B3DBB" w:rsidR="00D85251" w:rsidRPr="00D85251" w:rsidRDefault="00D85251" w:rsidP="00D85251">
      <w:pPr>
        <w:spacing w:before="120"/>
        <w:rPr>
          <w:rFonts w:cs="Times New Roman"/>
          <w:szCs w:val="24"/>
        </w:rPr>
      </w:pPr>
      <w:r w:rsidRPr="00D85251">
        <w:rPr>
          <w:rFonts w:cs="Times New Roman"/>
          <w:szCs w:val="24"/>
        </w:rPr>
        <w:t xml:space="preserve">The purpose of the information provided in this white paper is to evaluate whether adequate data presently exist to determine the probability of falsely identifying non-toxic samples as toxic in assessing </w:t>
      </w:r>
      <w:proofErr w:type="spellStart"/>
      <w:r w:rsidRPr="00D85251">
        <w:rPr>
          <w:rFonts w:cs="Times New Roman"/>
          <w:i/>
          <w:szCs w:val="24"/>
        </w:rPr>
        <w:t>Ceriodaphnia</w:t>
      </w:r>
      <w:proofErr w:type="spellEnd"/>
      <w:r w:rsidRPr="00D85251">
        <w:rPr>
          <w:rFonts w:cs="Times New Roman"/>
          <w:i/>
          <w:szCs w:val="24"/>
        </w:rPr>
        <w:t xml:space="preserve"> </w:t>
      </w:r>
      <w:proofErr w:type="spellStart"/>
      <w:r w:rsidRPr="00D85251">
        <w:rPr>
          <w:rFonts w:cs="Times New Roman"/>
          <w:i/>
          <w:szCs w:val="24"/>
        </w:rPr>
        <w:t>dubia</w:t>
      </w:r>
      <w:proofErr w:type="spellEnd"/>
      <w:r w:rsidRPr="00D85251">
        <w:rPr>
          <w:rFonts w:cs="Times New Roman"/>
          <w:szCs w:val="24"/>
        </w:rPr>
        <w:t xml:space="preserve"> reproduction test results using various EPA statistical methods (i.e., Test of Significant Toxicity (TST), </w:t>
      </w:r>
      <w:r>
        <w:rPr>
          <w:rFonts w:cs="Times New Roman"/>
          <w:szCs w:val="24"/>
        </w:rPr>
        <w:t>c</w:t>
      </w:r>
      <w:r w:rsidRPr="00D85251">
        <w:rPr>
          <w:rFonts w:cs="Times New Roman"/>
          <w:szCs w:val="24"/>
        </w:rPr>
        <w:t xml:space="preserve">onventional hypothesis testing resulting in a determination of No Observable Effect Concentrations (NOEC), and point estimate techniques resulting in determination of Inhibition Concentrations at 25% effect level (IC25)). If available data </w:t>
      </w:r>
      <w:r w:rsidR="00395A4E">
        <w:rPr>
          <w:rFonts w:cs="Times New Roman"/>
          <w:szCs w:val="24"/>
        </w:rPr>
        <w:t>are</w:t>
      </w:r>
      <w:r w:rsidRPr="00D85251">
        <w:rPr>
          <w:rFonts w:cs="Times New Roman"/>
          <w:szCs w:val="24"/>
        </w:rPr>
        <w:t xml:space="preserve"> found to be insufficient, the additional purpose of this white paper is to offer recommendations regarding the need for additional research to improve understanding of this issue.</w:t>
      </w:r>
    </w:p>
    <w:p w14:paraId="30DA0AA7" w14:textId="0B78E5CB" w:rsidR="00D85251" w:rsidRPr="00D85251" w:rsidRDefault="00D85251" w:rsidP="00D85251">
      <w:pPr>
        <w:spacing w:before="120"/>
        <w:rPr>
          <w:rFonts w:cs="Times New Roman"/>
          <w:szCs w:val="24"/>
        </w:rPr>
      </w:pPr>
      <w:r w:rsidRPr="00D85251">
        <w:rPr>
          <w:rFonts w:cs="Times New Roman"/>
          <w:szCs w:val="24"/>
        </w:rPr>
        <w:t>The drivers for</w:t>
      </w:r>
      <w:r w:rsidR="00395A4E">
        <w:rPr>
          <w:rFonts w:cs="Times New Roman"/>
          <w:szCs w:val="24"/>
        </w:rPr>
        <w:t xml:space="preserve"> the</w:t>
      </w:r>
      <w:r w:rsidRPr="00D85251">
        <w:rPr>
          <w:rFonts w:cs="Times New Roman"/>
          <w:szCs w:val="24"/>
        </w:rPr>
        <w:t xml:space="preserve"> preparation of this white paper are threefold: (1) </w:t>
      </w:r>
      <w:proofErr w:type="spellStart"/>
      <w:r w:rsidRPr="00D85251">
        <w:rPr>
          <w:rFonts w:cs="Times New Roman"/>
          <w:i/>
          <w:szCs w:val="24"/>
        </w:rPr>
        <w:t>Ceriodaphnia</w:t>
      </w:r>
      <w:proofErr w:type="spellEnd"/>
      <w:r w:rsidRPr="00D85251">
        <w:rPr>
          <w:rFonts w:cs="Times New Roman"/>
          <w:i/>
          <w:szCs w:val="24"/>
        </w:rPr>
        <w:t xml:space="preserve"> </w:t>
      </w:r>
      <w:proofErr w:type="spellStart"/>
      <w:r w:rsidRPr="00D85251">
        <w:rPr>
          <w:rFonts w:cs="Times New Roman"/>
          <w:i/>
          <w:szCs w:val="24"/>
        </w:rPr>
        <w:t>dubia</w:t>
      </w:r>
      <w:proofErr w:type="spellEnd"/>
      <w:r w:rsidRPr="00D85251">
        <w:rPr>
          <w:rFonts w:cs="Times New Roman"/>
          <w:szCs w:val="24"/>
        </w:rPr>
        <w:t xml:space="preserve"> short-term chronic reproduction testing continues to provide an indication of low level toxicity in a significant number of highly treated POTW effluents, (2) inter-laboratory studies continue to suggest that there is significant variability in </w:t>
      </w:r>
      <w:proofErr w:type="spellStart"/>
      <w:r w:rsidRPr="00D85251">
        <w:rPr>
          <w:rFonts w:cs="Times New Roman"/>
          <w:i/>
          <w:szCs w:val="24"/>
        </w:rPr>
        <w:t>Ceriodaphnia</w:t>
      </w:r>
      <w:proofErr w:type="spellEnd"/>
      <w:r w:rsidRPr="00D85251">
        <w:rPr>
          <w:rFonts w:cs="Times New Roman"/>
          <w:i/>
          <w:szCs w:val="24"/>
        </w:rPr>
        <w:t xml:space="preserve"> </w:t>
      </w:r>
      <w:proofErr w:type="spellStart"/>
      <w:r w:rsidRPr="00D85251">
        <w:rPr>
          <w:rFonts w:cs="Times New Roman"/>
          <w:i/>
          <w:szCs w:val="24"/>
        </w:rPr>
        <w:t>dubia</w:t>
      </w:r>
      <w:proofErr w:type="spellEnd"/>
      <w:r w:rsidRPr="00D85251">
        <w:rPr>
          <w:rFonts w:cs="Times New Roman"/>
          <w:szCs w:val="24"/>
        </w:rPr>
        <w:t xml:space="preserve"> chronic reproduction test results </w:t>
      </w:r>
      <w:r w:rsidR="00AD1E21">
        <w:rPr>
          <w:rFonts w:cs="Times New Roman"/>
          <w:szCs w:val="24"/>
        </w:rPr>
        <w:t>among</w:t>
      </w:r>
      <w:r w:rsidRPr="00D85251">
        <w:rPr>
          <w:rFonts w:cs="Times New Roman"/>
          <w:szCs w:val="24"/>
        </w:rPr>
        <w:t xml:space="preserve"> laboratories, including testing on blank samples, and (3) significant compliance costs associated with accelerated testing and TRE procedures to address </w:t>
      </w:r>
      <w:proofErr w:type="spellStart"/>
      <w:r w:rsidRPr="00D85251">
        <w:rPr>
          <w:rFonts w:cs="Times New Roman"/>
          <w:i/>
          <w:szCs w:val="24"/>
        </w:rPr>
        <w:t>Ceriodaphnia</w:t>
      </w:r>
      <w:proofErr w:type="spellEnd"/>
      <w:r w:rsidRPr="00D85251">
        <w:rPr>
          <w:rFonts w:cs="Times New Roman"/>
          <w:i/>
          <w:szCs w:val="24"/>
        </w:rPr>
        <w:t xml:space="preserve"> </w:t>
      </w:r>
      <w:proofErr w:type="spellStart"/>
      <w:r w:rsidRPr="00D85251">
        <w:rPr>
          <w:rFonts w:cs="Times New Roman"/>
          <w:i/>
          <w:szCs w:val="24"/>
        </w:rPr>
        <w:t>dubia</w:t>
      </w:r>
      <w:proofErr w:type="spellEnd"/>
      <w:r w:rsidRPr="00D85251">
        <w:rPr>
          <w:rFonts w:cs="Times New Roman"/>
          <w:szCs w:val="24"/>
        </w:rPr>
        <w:t xml:space="preserve"> chronic test results are currently occurring and are anticipated to continue or increase under the proposed </w:t>
      </w:r>
      <w:r w:rsidR="00AF4797">
        <w:rPr>
          <w:rFonts w:cs="Times New Roman"/>
          <w:szCs w:val="24"/>
        </w:rPr>
        <w:t>State Water Resources Control Board (</w:t>
      </w:r>
      <w:r w:rsidRPr="00D85251">
        <w:rPr>
          <w:rFonts w:cs="Times New Roman"/>
          <w:szCs w:val="24"/>
        </w:rPr>
        <w:t>State Water Board</w:t>
      </w:r>
      <w:r w:rsidR="00AF4797">
        <w:rPr>
          <w:rFonts w:cs="Times New Roman"/>
          <w:szCs w:val="24"/>
        </w:rPr>
        <w:t>)</w:t>
      </w:r>
      <w:r w:rsidRPr="00D85251">
        <w:rPr>
          <w:rFonts w:cs="Times New Roman"/>
          <w:szCs w:val="24"/>
        </w:rPr>
        <w:t xml:space="preserve"> Toxicity </w:t>
      </w:r>
      <w:r w:rsidR="002B7746">
        <w:rPr>
          <w:rFonts w:cs="Times New Roman"/>
          <w:szCs w:val="24"/>
        </w:rPr>
        <w:t>Plan</w:t>
      </w:r>
      <w:r w:rsidRPr="00D85251">
        <w:rPr>
          <w:rFonts w:cs="Times New Roman"/>
          <w:szCs w:val="24"/>
        </w:rPr>
        <w:t xml:space="preserve"> provisions of the Inland Surface Waters Plan. If identified, measures to reduce the occurrence of findings of toxicity in non-toxic samples while still finding toxicity where it exists would provide benefits to both the regulated and regulatory community in terms of conserved time and resources.</w:t>
      </w:r>
    </w:p>
    <w:p w14:paraId="37D77DB6" w14:textId="648C0E37" w:rsidR="00D85251" w:rsidRPr="00D85251" w:rsidRDefault="00D85251" w:rsidP="002B7746">
      <w:pPr>
        <w:pStyle w:val="Heading3"/>
      </w:pPr>
      <w:bookmarkStart w:id="6" w:name="_Toc527448265"/>
      <w:r w:rsidRPr="00D85251">
        <w:t>Background</w:t>
      </w:r>
      <w:bookmarkEnd w:id="6"/>
    </w:p>
    <w:p w14:paraId="60FE8F2C" w14:textId="7589E921" w:rsidR="00D85251" w:rsidRPr="00D85251" w:rsidRDefault="00D85251" w:rsidP="00D85251">
      <w:pPr>
        <w:spacing w:before="120"/>
        <w:rPr>
          <w:rFonts w:cs="Times New Roman"/>
          <w:szCs w:val="24"/>
        </w:rPr>
      </w:pPr>
      <w:r w:rsidRPr="00D85251">
        <w:rPr>
          <w:rFonts w:cs="Times New Roman"/>
          <w:szCs w:val="24"/>
        </w:rPr>
        <w:t>The USEPA</w:t>
      </w:r>
      <w:r w:rsidR="00395A4E">
        <w:rPr>
          <w:rFonts w:cs="Times New Roman"/>
          <w:szCs w:val="24"/>
        </w:rPr>
        <w:t>’s</w:t>
      </w:r>
      <w:r w:rsidRPr="00D85251">
        <w:rPr>
          <w:rFonts w:cs="Times New Roman"/>
          <w:szCs w:val="24"/>
        </w:rPr>
        <w:t xml:space="preserve"> focus on short-term chronic Whole Effluent Toxicity (WET) testing began in the 1980s as one of many actions taken to implement the Clean Water Act. Whole effluent toxicity is the aggregate toxic effect of an aqueous sample (e.g. effluent, receiving water) measured directly by an aquatic toxicity test. Aquatic toxicity tests are laboratory experiments that measure the biological effect (e.g. growth, survival, reproduction) of effluent or receiving waters on test organisms. In aquatic toxicity tests, organisms of a specific species are held in test chambers </w:t>
      </w:r>
      <w:r w:rsidR="00AD1E21">
        <w:rPr>
          <w:rFonts w:cs="Times New Roman"/>
          <w:szCs w:val="24"/>
        </w:rPr>
        <w:t xml:space="preserve">under controlled laboratory conditions </w:t>
      </w:r>
      <w:r w:rsidRPr="00D85251">
        <w:rPr>
          <w:rFonts w:cs="Times New Roman"/>
          <w:szCs w:val="24"/>
        </w:rPr>
        <w:t>and exposed to one or more concentrations of an aqueous sample, such as a reference toxicant, effluent, or receiving water, and observations are made at pre-determined exposure periods. At the end of the test, the responses of the test organisms are used to estimate the effects of the aqueous sample being tested. The primary advantage of the use of WET tests is the fact that the test integrates the effects of all chemicals in the tested sample.</w:t>
      </w:r>
    </w:p>
    <w:p w14:paraId="20C785F2" w14:textId="6A8D770F" w:rsidR="00D85251" w:rsidRPr="00D85251" w:rsidRDefault="00D85251" w:rsidP="00D85251">
      <w:pPr>
        <w:spacing w:before="120"/>
        <w:rPr>
          <w:rFonts w:cs="Times New Roman"/>
          <w:szCs w:val="24"/>
        </w:rPr>
      </w:pPr>
      <w:r w:rsidRPr="00D85251">
        <w:rPr>
          <w:rFonts w:cs="Times New Roman"/>
          <w:szCs w:val="24"/>
        </w:rPr>
        <w:t xml:space="preserve">Starting in 1985, USEPA published its first versions of short-term methods for estimating </w:t>
      </w:r>
      <w:r w:rsidR="00634388">
        <w:rPr>
          <w:rFonts w:cs="Times New Roman"/>
          <w:szCs w:val="24"/>
        </w:rPr>
        <w:t xml:space="preserve">the </w:t>
      </w:r>
      <w:r w:rsidRPr="00D85251">
        <w:rPr>
          <w:rFonts w:cs="Times New Roman"/>
          <w:szCs w:val="24"/>
        </w:rPr>
        <w:t xml:space="preserve">chronic toxicity of effluents and receiving waters. In March 1991, USEPA issued the Technical Support Document for Water Quality-based Toxics Control (TSD) which, among other things, described the intended use of WET testing in NPDES permits. USEPA promulgated WET test methods in October 1995 for use in the NPDES program.  </w:t>
      </w:r>
    </w:p>
    <w:p w14:paraId="216A4B2A" w14:textId="0AE64F28" w:rsidR="00D85251" w:rsidRPr="00D85251" w:rsidRDefault="00D85251" w:rsidP="00D85251">
      <w:pPr>
        <w:spacing w:before="120"/>
        <w:rPr>
          <w:rFonts w:cs="Times New Roman"/>
          <w:szCs w:val="24"/>
        </w:rPr>
      </w:pPr>
      <w:r w:rsidRPr="00D85251">
        <w:rPr>
          <w:rFonts w:cs="Times New Roman"/>
          <w:szCs w:val="24"/>
        </w:rPr>
        <w:t>As a result of this direction from USEPA, since the mid-1990s, short-term chronic WET tests have been used in NPDES permits throughout California. In freshwater situations, the USEPA “three species” suite of short-term chronic tests has been commonly used in NPDES permits.  This suite of tests includes water flea (</w:t>
      </w:r>
      <w:proofErr w:type="spellStart"/>
      <w:r w:rsidRPr="00D85251">
        <w:rPr>
          <w:rFonts w:cs="Times New Roman"/>
          <w:i/>
          <w:szCs w:val="24"/>
        </w:rPr>
        <w:t>Ceriodaphnia</w:t>
      </w:r>
      <w:proofErr w:type="spellEnd"/>
      <w:r w:rsidRPr="00D85251">
        <w:rPr>
          <w:rFonts w:cs="Times New Roman"/>
          <w:i/>
          <w:szCs w:val="24"/>
        </w:rPr>
        <w:t xml:space="preserve"> </w:t>
      </w:r>
      <w:proofErr w:type="spellStart"/>
      <w:r w:rsidRPr="00D85251">
        <w:rPr>
          <w:rFonts w:cs="Times New Roman"/>
          <w:i/>
          <w:szCs w:val="24"/>
        </w:rPr>
        <w:t>dubia</w:t>
      </w:r>
      <w:proofErr w:type="spellEnd"/>
      <w:r w:rsidRPr="00D85251">
        <w:rPr>
          <w:rFonts w:cs="Times New Roman"/>
          <w:szCs w:val="24"/>
        </w:rPr>
        <w:t>) survival and reproduction, algae (</w:t>
      </w:r>
      <w:proofErr w:type="spellStart"/>
      <w:r w:rsidRPr="00D85251">
        <w:rPr>
          <w:rFonts w:cs="Times New Roman"/>
          <w:i/>
          <w:szCs w:val="24"/>
        </w:rPr>
        <w:t>Selanastrum</w:t>
      </w:r>
      <w:proofErr w:type="spellEnd"/>
      <w:r w:rsidRPr="00D85251">
        <w:rPr>
          <w:rFonts w:cs="Times New Roman"/>
          <w:i/>
          <w:szCs w:val="24"/>
        </w:rPr>
        <w:t xml:space="preserve"> </w:t>
      </w:r>
      <w:proofErr w:type="spellStart"/>
      <w:r w:rsidRPr="00D85251">
        <w:rPr>
          <w:rFonts w:cs="Times New Roman"/>
          <w:i/>
          <w:szCs w:val="24"/>
        </w:rPr>
        <w:t>capricornutum</w:t>
      </w:r>
      <w:proofErr w:type="spellEnd"/>
      <w:r w:rsidRPr="00D85251">
        <w:rPr>
          <w:rFonts w:cs="Times New Roman"/>
          <w:szCs w:val="24"/>
        </w:rPr>
        <w:t>) growth</w:t>
      </w:r>
      <w:r w:rsidR="002A6306">
        <w:rPr>
          <w:rFonts w:cs="Times New Roman"/>
          <w:szCs w:val="24"/>
        </w:rPr>
        <w:t>,</w:t>
      </w:r>
      <w:r w:rsidRPr="00D85251">
        <w:rPr>
          <w:rFonts w:cs="Times New Roman"/>
          <w:szCs w:val="24"/>
        </w:rPr>
        <w:t xml:space="preserve"> and </w:t>
      </w:r>
      <w:r w:rsidR="00AD1E21">
        <w:rPr>
          <w:rFonts w:cs="Times New Roman"/>
          <w:szCs w:val="24"/>
        </w:rPr>
        <w:t>f</w:t>
      </w:r>
      <w:r w:rsidRPr="00D85251">
        <w:rPr>
          <w:rFonts w:cs="Times New Roman"/>
          <w:szCs w:val="24"/>
        </w:rPr>
        <w:t>athead minnow (</w:t>
      </w:r>
      <w:proofErr w:type="spellStart"/>
      <w:r w:rsidRPr="00D85251">
        <w:rPr>
          <w:rFonts w:cs="Times New Roman"/>
          <w:i/>
          <w:szCs w:val="24"/>
        </w:rPr>
        <w:t>Pimephales</w:t>
      </w:r>
      <w:proofErr w:type="spellEnd"/>
      <w:r w:rsidRPr="00D85251">
        <w:rPr>
          <w:rFonts w:cs="Times New Roman"/>
          <w:i/>
          <w:szCs w:val="24"/>
        </w:rPr>
        <w:t xml:space="preserve"> </w:t>
      </w:r>
      <w:proofErr w:type="spellStart"/>
      <w:r w:rsidRPr="00D85251">
        <w:rPr>
          <w:rFonts w:cs="Times New Roman"/>
          <w:i/>
          <w:szCs w:val="24"/>
        </w:rPr>
        <w:t>promelas</w:t>
      </w:r>
      <w:proofErr w:type="spellEnd"/>
      <w:r w:rsidRPr="00D85251">
        <w:rPr>
          <w:rFonts w:cs="Times New Roman"/>
          <w:szCs w:val="24"/>
        </w:rPr>
        <w:t>) larval growth and survival.</w:t>
      </w:r>
    </w:p>
    <w:p w14:paraId="05D25138" w14:textId="24F026AB" w:rsidR="00D85251" w:rsidRPr="00D85251" w:rsidRDefault="00D85251" w:rsidP="00D85251">
      <w:pPr>
        <w:spacing w:before="120"/>
        <w:rPr>
          <w:rFonts w:cs="Times New Roman"/>
          <w:szCs w:val="24"/>
        </w:rPr>
      </w:pPr>
      <w:r w:rsidRPr="00D85251">
        <w:rPr>
          <w:rFonts w:cs="Times New Roman"/>
          <w:szCs w:val="24"/>
        </w:rPr>
        <w:t xml:space="preserve">In 2000, a statewide approach to the use of short-term chronic toxicity tests in NPDES permits was established by the State Water Board in the State Implementation Plan (SIP), which described the implementation of toxicity provisions contained in the Inland Surface Waters Plan. The SIP prescribed a narrative permitting approach, with toxicity test result “triggers” leading to action including accelerated monitoring and, where monitoring continued to show toxicity, performance of TREs. At the time of adoption of this statewide approach, the common statistical </w:t>
      </w:r>
      <w:r w:rsidR="00634388">
        <w:rPr>
          <w:rFonts w:cs="Times New Roman"/>
          <w:szCs w:val="24"/>
        </w:rPr>
        <w:t>methods</w:t>
      </w:r>
      <w:r w:rsidRPr="00D85251">
        <w:rPr>
          <w:rFonts w:cs="Times New Roman"/>
          <w:szCs w:val="24"/>
        </w:rPr>
        <w:t xml:space="preserve"> used to interpret toxicity results in California </w:t>
      </w:r>
      <w:r w:rsidR="002A6306">
        <w:rPr>
          <w:rFonts w:cs="Times New Roman"/>
          <w:szCs w:val="24"/>
        </w:rPr>
        <w:t>we</w:t>
      </w:r>
      <w:r w:rsidRPr="00D85251">
        <w:rPr>
          <w:rFonts w:cs="Times New Roman"/>
          <w:szCs w:val="24"/>
        </w:rPr>
        <w:t>re the hypothesis testing (NOEC) approach and the point estimate (IC25) approach.</w:t>
      </w:r>
    </w:p>
    <w:p w14:paraId="70828557" w14:textId="17DCCE6E" w:rsidR="00D85251" w:rsidRPr="00D85251" w:rsidRDefault="00D85251" w:rsidP="00D85251">
      <w:pPr>
        <w:spacing w:before="120"/>
        <w:rPr>
          <w:rFonts w:cs="Times New Roman"/>
          <w:szCs w:val="24"/>
        </w:rPr>
      </w:pPr>
      <w:r w:rsidRPr="00D85251">
        <w:rPr>
          <w:rFonts w:cs="Times New Roman"/>
          <w:szCs w:val="24"/>
        </w:rPr>
        <w:t xml:space="preserve">A new statewide Toxicity </w:t>
      </w:r>
      <w:r w:rsidR="002B7746">
        <w:rPr>
          <w:rFonts w:cs="Times New Roman"/>
          <w:szCs w:val="24"/>
        </w:rPr>
        <w:t>Plan</w:t>
      </w:r>
      <w:r w:rsidRPr="00D85251">
        <w:rPr>
          <w:rFonts w:cs="Times New Roman"/>
          <w:szCs w:val="24"/>
        </w:rPr>
        <w:t xml:space="preserve"> is expected to be adopted by the </w:t>
      </w:r>
      <w:r w:rsidR="00AF4797">
        <w:rPr>
          <w:rFonts w:cs="Times New Roman"/>
          <w:szCs w:val="24"/>
        </w:rPr>
        <w:t>State Water Board</w:t>
      </w:r>
      <w:r w:rsidRPr="00D85251">
        <w:rPr>
          <w:rFonts w:cs="Times New Roman"/>
          <w:szCs w:val="24"/>
        </w:rPr>
        <w:t xml:space="preserve"> in 2019, replacing the current NPDES permitting approach in the SIP. That </w:t>
      </w:r>
      <w:r w:rsidR="002A6306">
        <w:rPr>
          <w:rFonts w:cs="Times New Roman"/>
          <w:szCs w:val="24"/>
        </w:rPr>
        <w:t>Plan</w:t>
      </w:r>
      <w:r w:rsidRPr="00D85251">
        <w:rPr>
          <w:rFonts w:cs="Times New Roman"/>
          <w:szCs w:val="24"/>
        </w:rPr>
        <w:t xml:space="preserve"> is anticipated to change from the above-described narrative approach to the use of numeric toxicity effluent limitations in NPDES permits and </w:t>
      </w:r>
      <w:r w:rsidR="00634388">
        <w:rPr>
          <w:rFonts w:cs="Times New Roman"/>
          <w:szCs w:val="24"/>
        </w:rPr>
        <w:t xml:space="preserve">the </w:t>
      </w:r>
      <w:r w:rsidRPr="00D85251">
        <w:rPr>
          <w:rFonts w:cs="Times New Roman"/>
          <w:szCs w:val="24"/>
        </w:rPr>
        <w:t>use of a new statistical approach, the Test of Significant Toxicity (TST), to interpret test results.</w:t>
      </w:r>
    </w:p>
    <w:p w14:paraId="5A425D0E" w14:textId="47090FE3" w:rsidR="00D85251" w:rsidRPr="00D85251" w:rsidRDefault="00D85251" w:rsidP="00D85251">
      <w:pPr>
        <w:spacing w:before="120"/>
        <w:rPr>
          <w:rFonts w:cs="Times New Roman"/>
          <w:szCs w:val="24"/>
        </w:rPr>
      </w:pPr>
      <w:r w:rsidRPr="00D85251">
        <w:rPr>
          <w:rFonts w:cs="Times New Roman"/>
          <w:szCs w:val="24"/>
        </w:rPr>
        <w:t xml:space="preserve">Since </w:t>
      </w:r>
      <w:r w:rsidR="002A6306">
        <w:rPr>
          <w:rFonts w:cs="Times New Roman"/>
          <w:szCs w:val="24"/>
        </w:rPr>
        <w:t xml:space="preserve">the </w:t>
      </w:r>
      <w:r w:rsidRPr="00D85251">
        <w:rPr>
          <w:rFonts w:cs="Times New Roman"/>
          <w:szCs w:val="24"/>
        </w:rPr>
        <w:t xml:space="preserve">issuance of the TSD and culminating in </w:t>
      </w:r>
      <w:r w:rsidR="002A6306">
        <w:rPr>
          <w:rFonts w:cs="Times New Roman"/>
          <w:szCs w:val="24"/>
        </w:rPr>
        <w:t xml:space="preserve">the </w:t>
      </w:r>
      <w:r w:rsidRPr="00D85251">
        <w:rPr>
          <w:rFonts w:cs="Times New Roman"/>
          <w:szCs w:val="24"/>
        </w:rPr>
        <w:t xml:space="preserve">promulgation of WET test methods in 1995, concerns were voiced by the regulated community regarding </w:t>
      </w:r>
      <w:r w:rsidR="002A6306">
        <w:rPr>
          <w:rFonts w:cs="Times New Roman"/>
          <w:szCs w:val="24"/>
        </w:rPr>
        <w:t xml:space="preserve">the </w:t>
      </w:r>
      <w:r w:rsidRPr="00D85251">
        <w:rPr>
          <w:rFonts w:cs="Times New Roman"/>
          <w:szCs w:val="24"/>
        </w:rPr>
        <w:t xml:space="preserve">use of short-term chronic tests for NPDES permit compliance. </w:t>
      </w:r>
      <w:r w:rsidR="00634388">
        <w:rPr>
          <w:rFonts w:cs="Times New Roman"/>
          <w:szCs w:val="24"/>
        </w:rPr>
        <w:t>Issues of c</w:t>
      </w:r>
      <w:r w:rsidRPr="00D85251">
        <w:rPr>
          <w:rFonts w:cs="Times New Roman"/>
          <w:szCs w:val="24"/>
        </w:rPr>
        <w:t>oncern</w:t>
      </w:r>
      <w:r w:rsidR="00634388">
        <w:rPr>
          <w:rFonts w:cs="Times New Roman"/>
          <w:szCs w:val="24"/>
        </w:rPr>
        <w:t xml:space="preserve"> </w:t>
      </w:r>
      <w:r w:rsidRPr="00D85251">
        <w:rPr>
          <w:rFonts w:cs="Times New Roman"/>
          <w:szCs w:val="24"/>
        </w:rPr>
        <w:t xml:space="preserve">have included variability of biological test results, differences in methodologies and capabilities </w:t>
      </w:r>
      <w:r w:rsidR="00AD1E21">
        <w:rPr>
          <w:rFonts w:cs="Times New Roman"/>
          <w:szCs w:val="24"/>
        </w:rPr>
        <w:t>among</w:t>
      </w:r>
      <w:r w:rsidRPr="00D85251">
        <w:rPr>
          <w:rFonts w:cs="Times New Roman"/>
          <w:szCs w:val="24"/>
        </w:rPr>
        <w:t xml:space="preserve"> laboratories, inability to dependably determine causation of chronic toxicity, </w:t>
      </w:r>
      <w:r w:rsidR="002A6306">
        <w:rPr>
          <w:rFonts w:cs="Times New Roman"/>
          <w:szCs w:val="24"/>
        </w:rPr>
        <w:t xml:space="preserve">and </w:t>
      </w:r>
      <w:r w:rsidRPr="00D85251">
        <w:rPr>
          <w:rFonts w:cs="Times New Roman"/>
          <w:szCs w:val="24"/>
        </w:rPr>
        <w:t>choice of statistical methods to interpret test results</w:t>
      </w:r>
      <w:r w:rsidR="002A6306">
        <w:rPr>
          <w:rFonts w:cs="Times New Roman"/>
          <w:szCs w:val="24"/>
        </w:rPr>
        <w:t>.</w:t>
      </w:r>
    </w:p>
    <w:p w14:paraId="3EF8C511" w14:textId="41DF5DFE" w:rsidR="00D85251" w:rsidRPr="00D85251" w:rsidRDefault="00D85251" w:rsidP="00D85251">
      <w:pPr>
        <w:spacing w:before="120"/>
        <w:rPr>
          <w:rFonts w:cs="Times New Roman"/>
          <w:szCs w:val="24"/>
        </w:rPr>
      </w:pPr>
      <w:r w:rsidRPr="00D85251">
        <w:rPr>
          <w:rFonts w:cs="Times New Roman"/>
          <w:szCs w:val="24"/>
        </w:rPr>
        <w:t>Those concerns led to a lawsuit (</w:t>
      </w:r>
      <w:proofErr w:type="spellStart"/>
      <w:r w:rsidRPr="00D85251">
        <w:rPr>
          <w:rFonts w:cs="Times New Roman"/>
          <w:szCs w:val="24"/>
        </w:rPr>
        <w:t>WestCAS</w:t>
      </w:r>
      <w:proofErr w:type="spellEnd"/>
      <w:r w:rsidRPr="00D85251">
        <w:rPr>
          <w:rFonts w:cs="Times New Roman"/>
          <w:szCs w:val="24"/>
        </w:rPr>
        <w:t xml:space="preserve"> and Edison Electric Institute et </w:t>
      </w:r>
      <w:r w:rsidR="002A6306">
        <w:rPr>
          <w:rFonts w:cs="Times New Roman"/>
          <w:szCs w:val="24"/>
        </w:rPr>
        <w:t>a</w:t>
      </w:r>
      <w:r w:rsidRPr="00D85251">
        <w:rPr>
          <w:rFonts w:cs="Times New Roman"/>
          <w:szCs w:val="24"/>
        </w:rPr>
        <w:t>l</w:t>
      </w:r>
      <w:r w:rsidR="002A6306">
        <w:rPr>
          <w:rFonts w:cs="Times New Roman"/>
          <w:szCs w:val="24"/>
        </w:rPr>
        <w:t>.</w:t>
      </w:r>
      <w:r w:rsidRPr="00D85251">
        <w:rPr>
          <w:rFonts w:cs="Times New Roman"/>
          <w:szCs w:val="24"/>
        </w:rPr>
        <w:t xml:space="preserve"> vs</w:t>
      </w:r>
      <w:r w:rsidR="002A6306">
        <w:rPr>
          <w:rFonts w:cs="Times New Roman"/>
          <w:szCs w:val="24"/>
        </w:rPr>
        <w:t>.</w:t>
      </w:r>
      <w:r w:rsidRPr="00D85251">
        <w:rPr>
          <w:rFonts w:cs="Times New Roman"/>
          <w:szCs w:val="24"/>
        </w:rPr>
        <w:t xml:space="preserve"> USEPA) in the mid-1990’s. The litigation was settled in July 1998. The following points were contained in the settlement agreement:</w:t>
      </w:r>
    </w:p>
    <w:p w14:paraId="68ACF4FD" w14:textId="3125B06B" w:rsidR="00D85251" w:rsidRPr="00D85251" w:rsidRDefault="00D85251" w:rsidP="00D85251">
      <w:pPr>
        <w:pStyle w:val="ListParagraph"/>
        <w:numPr>
          <w:ilvl w:val="0"/>
          <w:numId w:val="30"/>
        </w:numPr>
        <w:spacing w:before="120"/>
        <w:rPr>
          <w:rFonts w:cs="Times New Roman"/>
          <w:szCs w:val="24"/>
        </w:rPr>
      </w:pPr>
      <w:r w:rsidRPr="00D85251">
        <w:rPr>
          <w:rFonts w:cs="Times New Roman"/>
          <w:szCs w:val="24"/>
        </w:rPr>
        <w:t>Agreement by USEPA to perform multi-laboratory evaluation of twelve WET tests</w:t>
      </w:r>
      <w:r w:rsidR="002A6306">
        <w:rPr>
          <w:rFonts w:cs="Times New Roman"/>
          <w:szCs w:val="24"/>
        </w:rPr>
        <w:t>,</w:t>
      </w:r>
    </w:p>
    <w:p w14:paraId="4E3F899E" w14:textId="0C880D6D" w:rsidR="00D85251" w:rsidRPr="00D85251" w:rsidRDefault="00D85251" w:rsidP="00D85251">
      <w:pPr>
        <w:pStyle w:val="ListParagraph"/>
        <w:numPr>
          <w:ilvl w:val="0"/>
          <w:numId w:val="30"/>
        </w:numPr>
        <w:spacing w:before="120"/>
        <w:rPr>
          <w:rFonts w:cs="Times New Roman"/>
          <w:szCs w:val="24"/>
        </w:rPr>
      </w:pPr>
      <w:r w:rsidRPr="00D85251">
        <w:rPr>
          <w:rFonts w:cs="Times New Roman"/>
          <w:szCs w:val="24"/>
        </w:rPr>
        <w:t>Agreement by USEPA to prepare guidance on how to take WET test variability into account in NPDES permits</w:t>
      </w:r>
      <w:r w:rsidR="002A6306">
        <w:rPr>
          <w:rFonts w:cs="Times New Roman"/>
          <w:szCs w:val="24"/>
        </w:rPr>
        <w:t>,</w:t>
      </w:r>
      <w:r w:rsidR="00AD1E21">
        <w:rPr>
          <w:rFonts w:cs="Times New Roman"/>
          <w:szCs w:val="24"/>
        </w:rPr>
        <w:t xml:space="preserve"> and</w:t>
      </w:r>
    </w:p>
    <w:p w14:paraId="768F47F7" w14:textId="7366B394" w:rsidR="00D85251" w:rsidRPr="00D85251" w:rsidRDefault="00D85251" w:rsidP="00D85251">
      <w:pPr>
        <w:pStyle w:val="ListParagraph"/>
        <w:numPr>
          <w:ilvl w:val="0"/>
          <w:numId w:val="30"/>
        </w:numPr>
        <w:spacing w:before="120"/>
        <w:rPr>
          <w:rFonts w:cs="Times New Roman"/>
          <w:szCs w:val="24"/>
        </w:rPr>
      </w:pPr>
      <w:r w:rsidRPr="00D85251">
        <w:rPr>
          <w:rFonts w:cs="Times New Roman"/>
          <w:szCs w:val="24"/>
        </w:rPr>
        <w:t>Agreement by USEPA to consider minor clarifications to WET test methods</w:t>
      </w:r>
      <w:r w:rsidR="002A6306">
        <w:rPr>
          <w:rFonts w:cs="Times New Roman"/>
          <w:szCs w:val="24"/>
        </w:rPr>
        <w:t>.</w:t>
      </w:r>
    </w:p>
    <w:p w14:paraId="3C75DE13" w14:textId="33E7AD36" w:rsidR="00D85251" w:rsidRPr="00D85251" w:rsidRDefault="00D85251" w:rsidP="00D85251">
      <w:pPr>
        <w:spacing w:before="120"/>
        <w:rPr>
          <w:rFonts w:cs="Times New Roman"/>
          <w:szCs w:val="24"/>
        </w:rPr>
      </w:pPr>
      <w:r w:rsidRPr="00D85251">
        <w:rPr>
          <w:rFonts w:cs="Times New Roman"/>
          <w:szCs w:val="24"/>
        </w:rPr>
        <w:t xml:space="preserve">In response to the litigation, USEPA performed a study in the late 1990’s titled </w:t>
      </w:r>
      <w:r w:rsidRPr="00D85251">
        <w:rPr>
          <w:rFonts w:cs="Times New Roman"/>
          <w:i/>
          <w:szCs w:val="24"/>
        </w:rPr>
        <w:t>Understanding and Accounting for Method Variability in Whole Effluent Toxicity Applications Under the National Pollutant Discharge Elimination System Program</w:t>
      </w:r>
      <w:r w:rsidRPr="00D85251">
        <w:rPr>
          <w:rFonts w:cs="Times New Roman"/>
          <w:szCs w:val="24"/>
        </w:rPr>
        <w:t xml:space="preserve"> (EPA 833-R000-003, June 2000). The document was produced to address questions raised regarding WET test method variability and to satisfy a requirement of the July 1998 settlement agreement. The document addresses potential sources of variability associated with WET testing, steps to minimize variability, and means to address variability in the NPDES permitting program. The document was produced by an EPA workgroup and was externally peer reviewed. </w:t>
      </w:r>
      <w:r w:rsidR="002A6306">
        <w:rPr>
          <w:rFonts w:cs="Times New Roman"/>
          <w:szCs w:val="24"/>
        </w:rPr>
        <w:t>I</w:t>
      </w:r>
      <w:r w:rsidRPr="00D85251">
        <w:rPr>
          <w:rFonts w:cs="Times New Roman"/>
          <w:szCs w:val="24"/>
        </w:rPr>
        <w:t xml:space="preserve">mportant findings </w:t>
      </w:r>
      <w:r w:rsidR="002A6306">
        <w:rPr>
          <w:rFonts w:cs="Times New Roman"/>
          <w:szCs w:val="24"/>
        </w:rPr>
        <w:t xml:space="preserve">of the document </w:t>
      </w:r>
      <w:r w:rsidRPr="00D85251">
        <w:rPr>
          <w:rFonts w:cs="Times New Roman"/>
          <w:szCs w:val="24"/>
        </w:rPr>
        <w:t>included:</w:t>
      </w:r>
    </w:p>
    <w:p w14:paraId="10D5652F" w14:textId="5B63F7CB" w:rsidR="00D85251" w:rsidRPr="00D85251" w:rsidRDefault="00D85251" w:rsidP="00D85251">
      <w:pPr>
        <w:pStyle w:val="ListParagraph"/>
        <w:numPr>
          <w:ilvl w:val="0"/>
          <w:numId w:val="11"/>
        </w:numPr>
        <w:spacing w:before="120"/>
        <w:rPr>
          <w:rFonts w:cs="Times New Roman"/>
          <w:szCs w:val="24"/>
        </w:rPr>
      </w:pPr>
      <w:r w:rsidRPr="00D85251">
        <w:rPr>
          <w:rFonts w:cs="Times New Roman"/>
          <w:szCs w:val="24"/>
        </w:rPr>
        <w:t>The TSD approach to reasonable potential determinations and effluent limit derivation is “appropriately protective</w:t>
      </w:r>
      <w:r w:rsidR="00634388">
        <w:rPr>
          <w:rFonts w:cs="Times New Roman"/>
          <w:szCs w:val="24"/>
        </w:rPr>
        <w:t>.</w:t>
      </w:r>
      <w:r w:rsidRPr="00D85251">
        <w:rPr>
          <w:rFonts w:cs="Times New Roman"/>
          <w:szCs w:val="24"/>
        </w:rPr>
        <w:t xml:space="preserve">” It would be inappropriate to </w:t>
      </w:r>
      <w:proofErr w:type="gramStart"/>
      <w:r w:rsidRPr="00D85251">
        <w:rPr>
          <w:rFonts w:cs="Times New Roman"/>
          <w:szCs w:val="24"/>
        </w:rPr>
        <w:t>make adjustments to</w:t>
      </w:r>
      <w:proofErr w:type="gramEnd"/>
      <w:r w:rsidRPr="00D85251">
        <w:rPr>
          <w:rFonts w:cs="Times New Roman"/>
          <w:szCs w:val="24"/>
        </w:rPr>
        <w:t xml:space="preserve"> the TSD methodology to account for toxicity test variability in NPDES permitting</w:t>
      </w:r>
      <w:r>
        <w:rPr>
          <w:rFonts w:cs="Times New Roman"/>
          <w:szCs w:val="24"/>
        </w:rPr>
        <w:t>.</w:t>
      </w:r>
    </w:p>
    <w:p w14:paraId="65976D3A" w14:textId="3269C5E2" w:rsidR="00D85251" w:rsidRPr="00D85251" w:rsidRDefault="00D85251" w:rsidP="00D85251">
      <w:pPr>
        <w:pStyle w:val="ListParagraph"/>
        <w:numPr>
          <w:ilvl w:val="0"/>
          <w:numId w:val="11"/>
        </w:numPr>
        <w:spacing w:before="120"/>
        <w:rPr>
          <w:rFonts w:cs="Times New Roman"/>
          <w:szCs w:val="24"/>
        </w:rPr>
      </w:pPr>
      <w:r w:rsidRPr="00D85251">
        <w:rPr>
          <w:rFonts w:cs="Times New Roman"/>
          <w:szCs w:val="24"/>
        </w:rPr>
        <w:t>The hypothesis test procedures prescribed in USEPA’s WET methods will provide adequate protection against false conclusions that an effluent is toxic. The use of an alpha factor of 0.05 established the expected maximum rate of such errors (i.e.</w:t>
      </w:r>
      <w:r w:rsidR="00FA6CC1">
        <w:rPr>
          <w:rFonts w:cs="Times New Roman"/>
          <w:szCs w:val="24"/>
        </w:rPr>
        <w:t>,</w:t>
      </w:r>
      <w:r w:rsidRPr="00D85251">
        <w:rPr>
          <w:rFonts w:cs="Times New Roman"/>
          <w:szCs w:val="24"/>
        </w:rPr>
        <w:t xml:space="preserve"> one in twenty samples). The hypothesis test procedure is designed to provide an error rate no greater than the alpha value when default assumptions are met. If a test is properly conducted and correctly interpreted, </w:t>
      </w:r>
      <w:r w:rsidR="00EF11F0">
        <w:rPr>
          <w:rFonts w:cs="Times New Roman"/>
          <w:szCs w:val="24"/>
        </w:rPr>
        <w:t>incorrect determinations of toxicity</w:t>
      </w:r>
      <w:r w:rsidR="00EF11F0" w:rsidRPr="00D85251">
        <w:rPr>
          <w:rFonts w:cs="Times New Roman"/>
          <w:szCs w:val="24"/>
        </w:rPr>
        <w:t xml:space="preserve"> </w:t>
      </w:r>
      <w:r w:rsidR="00EF11F0">
        <w:rPr>
          <w:rFonts w:cs="Times New Roman"/>
          <w:szCs w:val="24"/>
        </w:rPr>
        <w:t>should be</w:t>
      </w:r>
      <w:r w:rsidRPr="00D85251">
        <w:rPr>
          <w:rFonts w:cs="Times New Roman"/>
          <w:szCs w:val="24"/>
        </w:rPr>
        <w:t xml:space="preserve"> impossible.</w:t>
      </w:r>
    </w:p>
    <w:p w14:paraId="7D4629E6" w14:textId="77777777" w:rsidR="00D85251" w:rsidRPr="00D85251" w:rsidRDefault="00D85251" w:rsidP="00D85251">
      <w:pPr>
        <w:pStyle w:val="ListParagraph"/>
        <w:numPr>
          <w:ilvl w:val="0"/>
          <w:numId w:val="11"/>
        </w:numPr>
        <w:spacing w:before="120"/>
        <w:rPr>
          <w:rFonts w:cs="Times New Roman"/>
          <w:szCs w:val="24"/>
        </w:rPr>
      </w:pPr>
      <w:r w:rsidRPr="00D85251">
        <w:rPr>
          <w:rFonts w:cs="Times New Roman"/>
          <w:szCs w:val="24"/>
        </w:rPr>
        <w:t>The variability of promulgated WET methods is within the range of variability experienced in other types of analysis (e.g. chemical analyses used in NPDES permit compliance determinations).</w:t>
      </w:r>
    </w:p>
    <w:p w14:paraId="07C268F9" w14:textId="280D46E4" w:rsidR="00D85251" w:rsidRPr="00D85251" w:rsidRDefault="00D85251" w:rsidP="00D85251">
      <w:pPr>
        <w:pStyle w:val="ListParagraph"/>
        <w:numPr>
          <w:ilvl w:val="0"/>
          <w:numId w:val="11"/>
        </w:numPr>
        <w:spacing w:before="120"/>
        <w:rPr>
          <w:rFonts w:cs="Times New Roman"/>
          <w:szCs w:val="24"/>
        </w:rPr>
      </w:pPr>
      <w:r w:rsidRPr="00D85251">
        <w:rPr>
          <w:rFonts w:cs="Times New Roman"/>
          <w:szCs w:val="24"/>
        </w:rPr>
        <w:t>Standardizing the choice of reference toxicants, the concentrations to be tested</w:t>
      </w:r>
      <w:r w:rsidR="00B53909">
        <w:rPr>
          <w:rFonts w:cs="Times New Roman"/>
          <w:szCs w:val="24"/>
        </w:rPr>
        <w:t>,</w:t>
      </w:r>
      <w:r w:rsidRPr="00D85251">
        <w:rPr>
          <w:rFonts w:cs="Times New Roman"/>
          <w:szCs w:val="24"/>
        </w:rPr>
        <w:t xml:space="preserve"> and the range of acceptable effect concentrations for each test method would help resolve quality assurance problems.</w:t>
      </w:r>
    </w:p>
    <w:p w14:paraId="4841DB38" w14:textId="6A2EAB38" w:rsidR="00D85251" w:rsidRPr="00D85251" w:rsidRDefault="00D85251" w:rsidP="00D85251">
      <w:pPr>
        <w:pStyle w:val="ListParagraph"/>
        <w:numPr>
          <w:ilvl w:val="0"/>
          <w:numId w:val="11"/>
        </w:numPr>
        <w:spacing w:before="120"/>
        <w:rPr>
          <w:rFonts w:cs="Times New Roman"/>
          <w:szCs w:val="24"/>
        </w:rPr>
      </w:pPr>
      <w:r w:rsidRPr="00D85251">
        <w:rPr>
          <w:rFonts w:cs="Times New Roman"/>
          <w:szCs w:val="24"/>
        </w:rPr>
        <w:t>The data analysis performed for this study did not reveal the potential sources and causes of variability, such as using different sources of test organisms, dilution water</w:t>
      </w:r>
      <w:r w:rsidR="0055648E">
        <w:rPr>
          <w:rFonts w:cs="Times New Roman"/>
          <w:szCs w:val="24"/>
        </w:rPr>
        <w:t>,</w:t>
      </w:r>
      <w:r w:rsidRPr="00D85251">
        <w:rPr>
          <w:rFonts w:cs="Times New Roman"/>
          <w:szCs w:val="24"/>
        </w:rPr>
        <w:t xml:space="preserve"> and food. Assessment of these sources of variability would require well-designed studies.</w:t>
      </w:r>
    </w:p>
    <w:p w14:paraId="2183C71E" w14:textId="3425156D" w:rsidR="00D85251" w:rsidRPr="00D85251" w:rsidRDefault="00D85251" w:rsidP="00D85251">
      <w:pPr>
        <w:pStyle w:val="ListParagraph"/>
        <w:numPr>
          <w:ilvl w:val="0"/>
          <w:numId w:val="11"/>
        </w:numPr>
        <w:spacing w:before="120"/>
        <w:rPr>
          <w:rFonts w:cs="Times New Roman"/>
          <w:szCs w:val="24"/>
        </w:rPr>
      </w:pPr>
      <w:r w:rsidRPr="00D85251">
        <w:rPr>
          <w:rFonts w:cs="Times New Roman"/>
          <w:szCs w:val="24"/>
        </w:rPr>
        <w:t xml:space="preserve">Interim coefficients of variation (CVs) were developed for promulgated WET methods, pending completion of additional USEPA inter-laboratory studies (see </w:t>
      </w:r>
      <w:r w:rsidR="00634388">
        <w:rPr>
          <w:rFonts w:cs="Times New Roman"/>
          <w:szCs w:val="24"/>
        </w:rPr>
        <w:t xml:space="preserve">the </w:t>
      </w:r>
      <w:r w:rsidRPr="00D85251">
        <w:rPr>
          <w:rFonts w:cs="Times New Roman"/>
          <w:szCs w:val="24"/>
        </w:rPr>
        <w:t>USEPA 2001 study described below)</w:t>
      </w:r>
      <w:r>
        <w:rPr>
          <w:rFonts w:cs="Times New Roman"/>
          <w:szCs w:val="24"/>
        </w:rPr>
        <w:t>.</w:t>
      </w:r>
    </w:p>
    <w:p w14:paraId="577A8038" w14:textId="18AD4F77" w:rsidR="00D85251" w:rsidRDefault="00D85251" w:rsidP="00D85251">
      <w:pPr>
        <w:spacing w:before="120"/>
        <w:rPr>
          <w:rFonts w:cs="Times New Roman"/>
          <w:szCs w:val="24"/>
        </w:rPr>
      </w:pPr>
      <w:r w:rsidRPr="00D85251">
        <w:rPr>
          <w:rFonts w:cs="Times New Roman"/>
          <w:szCs w:val="24"/>
        </w:rPr>
        <w:t xml:space="preserve">Of </w:t>
      </w:r>
      <w:proofErr w:type="gramStart"/>
      <w:r w:rsidRPr="00D85251">
        <w:rPr>
          <w:rFonts w:cs="Times New Roman"/>
          <w:szCs w:val="24"/>
        </w:rPr>
        <w:t>particular interest</w:t>
      </w:r>
      <w:proofErr w:type="gramEnd"/>
      <w:r w:rsidRPr="00D85251">
        <w:rPr>
          <w:rFonts w:cs="Times New Roman"/>
          <w:szCs w:val="24"/>
        </w:rPr>
        <w:t xml:space="preserve"> for this white paper are (1) the findings regarding </w:t>
      </w:r>
      <w:r w:rsidR="00EF11F0">
        <w:rPr>
          <w:rFonts w:cs="Times New Roman"/>
          <w:szCs w:val="24"/>
        </w:rPr>
        <w:t>incorrect determinations of toxicity</w:t>
      </w:r>
      <w:r w:rsidR="00EF11F0" w:rsidRPr="00D85251">
        <w:rPr>
          <w:rFonts w:cs="Times New Roman"/>
          <w:szCs w:val="24"/>
        </w:rPr>
        <w:t xml:space="preserve"> </w:t>
      </w:r>
      <w:r w:rsidRPr="00D85251">
        <w:rPr>
          <w:rFonts w:cs="Times New Roman"/>
          <w:szCs w:val="24"/>
        </w:rPr>
        <w:t xml:space="preserve">under the hypothesis testing approach and (2) the conclusion that evaluation of sources of variability in WET test results would require well-designed special studies. </w:t>
      </w:r>
    </w:p>
    <w:p w14:paraId="04329F99" w14:textId="0CD701FA" w:rsidR="0055648E" w:rsidRPr="00D85251" w:rsidRDefault="0055648E" w:rsidP="0055648E">
      <w:pPr>
        <w:pStyle w:val="Heading2"/>
      </w:pPr>
      <w:r>
        <w:t>Problem Definition</w:t>
      </w:r>
    </w:p>
    <w:p w14:paraId="3CA49518" w14:textId="77777777" w:rsidR="00D85251" w:rsidRPr="00D85251" w:rsidRDefault="00D85251" w:rsidP="00D85251">
      <w:pPr>
        <w:pStyle w:val="Heading3"/>
      </w:pPr>
      <w:bookmarkStart w:id="7" w:name="_Toc527448266"/>
      <w:r w:rsidRPr="00D85251">
        <w:t>Why is a blank study potentially important?</w:t>
      </w:r>
      <w:bookmarkEnd w:id="7"/>
    </w:p>
    <w:p w14:paraId="10F8962F" w14:textId="0CA61BD1" w:rsidR="00D85251" w:rsidRPr="00D85251" w:rsidRDefault="00B92797" w:rsidP="00D85251">
      <w:pPr>
        <w:spacing w:before="120"/>
        <w:rPr>
          <w:rFonts w:cs="Times New Roman"/>
          <w:szCs w:val="24"/>
        </w:rPr>
      </w:pPr>
      <w:r>
        <w:rPr>
          <w:rFonts w:cs="Times New Roman"/>
          <w:szCs w:val="24"/>
        </w:rPr>
        <w:t xml:space="preserve">The proper evaluation of any test method requires the assessment of “known” samples. In toxicity testing, a blank sample is the only known sample available. </w:t>
      </w:r>
      <w:r w:rsidR="00D85251" w:rsidRPr="00D85251">
        <w:rPr>
          <w:rFonts w:cs="Times New Roman"/>
          <w:szCs w:val="24"/>
        </w:rPr>
        <w:t>If, in fact, the occurrence of determinations of toxicity in non-toxic samples</w:t>
      </w:r>
      <w:r w:rsidR="00DE1D10">
        <w:rPr>
          <w:rFonts w:cs="Times New Roman"/>
          <w:szCs w:val="24"/>
        </w:rPr>
        <w:t xml:space="preserve"> </w:t>
      </w:r>
      <w:r w:rsidR="00D85251" w:rsidRPr="00D85251">
        <w:rPr>
          <w:rFonts w:cs="Times New Roman"/>
          <w:szCs w:val="24"/>
        </w:rPr>
        <w:t>is unacceptably high</w:t>
      </w:r>
      <w:r w:rsidR="00CE5B44">
        <w:rPr>
          <w:rFonts w:cs="Times New Roman"/>
          <w:szCs w:val="24"/>
        </w:rPr>
        <w:t xml:space="preserve"> for a given method</w:t>
      </w:r>
      <w:r w:rsidR="00D85251" w:rsidRPr="00D85251">
        <w:rPr>
          <w:rFonts w:cs="Times New Roman"/>
          <w:szCs w:val="24"/>
        </w:rPr>
        <w:t>, this would caus</w:t>
      </w:r>
      <w:r w:rsidR="0055648E">
        <w:rPr>
          <w:rFonts w:cs="Times New Roman"/>
          <w:szCs w:val="24"/>
        </w:rPr>
        <w:t>e</w:t>
      </w:r>
      <w:r w:rsidR="00D85251" w:rsidRPr="00D85251">
        <w:rPr>
          <w:rFonts w:cs="Times New Roman"/>
          <w:szCs w:val="24"/>
        </w:rPr>
        <w:t xml:space="preserve"> a significant waste of resources. A study to</w:t>
      </w:r>
      <w:r>
        <w:rPr>
          <w:rFonts w:cs="Times New Roman"/>
          <w:szCs w:val="24"/>
        </w:rPr>
        <w:t xml:space="preserve"> quantify and thereby</w:t>
      </w:r>
      <w:r w:rsidR="00D85251" w:rsidRPr="00D85251">
        <w:rPr>
          <w:rFonts w:cs="Times New Roman"/>
          <w:szCs w:val="24"/>
        </w:rPr>
        <w:t xml:space="preserve"> reduce such results would be valuable.</w:t>
      </w:r>
      <w:r>
        <w:rPr>
          <w:rFonts w:cs="Times New Roman"/>
          <w:szCs w:val="24"/>
        </w:rPr>
        <w:t xml:space="preserve"> </w:t>
      </w:r>
    </w:p>
    <w:p w14:paraId="2BA64219" w14:textId="77777777" w:rsidR="00D85251" w:rsidRPr="00D85251" w:rsidRDefault="00D85251" w:rsidP="00D85251">
      <w:pPr>
        <w:spacing w:before="120"/>
        <w:rPr>
          <w:rFonts w:cs="Times New Roman"/>
          <w:szCs w:val="24"/>
        </w:rPr>
      </w:pPr>
      <w:r w:rsidRPr="00D85251">
        <w:rPr>
          <w:rFonts w:cs="Times New Roman"/>
          <w:szCs w:val="24"/>
        </w:rPr>
        <w:t xml:space="preserve">The 2000 USEPA study identified </w:t>
      </w:r>
      <w:proofErr w:type="gramStart"/>
      <w:r w:rsidRPr="00D85251">
        <w:rPr>
          <w:rFonts w:cs="Times New Roman"/>
          <w:szCs w:val="24"/>
        </w:rPr>
        <w:t>a number of</w:t>
      </w:r>
      <w:proofErr w:type="gramEnd"/>
      <w:r w:rsidRPr="00D85251">
        <w:rPr>
          <w:rFonts w:cs="Times New Roman"/>
          <w:szCs w:val="24"/>
        </w:rPr>
        <w:t xml:space="preserve"> categories of short-term chronic WET test variability, which can be described as follows:   </w:t>
      </w:r>
    </w:p>
    <w:p w14:paraId="24427554" w14:textId="772D9C06" w:rsidR="00D85251" w:rsidRPr="00D85251" w:rsidRDefault="00D85251" w:rsidP="00D85251">
      <w:pPr>
        <w:pStyle w:val="ListParagraph"/>
        <w:numPr>
          <w:ilvl w:val="0"/>
          <w:numId w:val="31"/>
        </w:numPr>
        <w:spacing w:before="120"/>
        <w:rPr>
          <w:rFonts w:cs="Times New Roman"/>
          <w:szCs w:val="24"/>
        </w:rPr>
      </w:pPr>
      <w:r w:rsidRPr="00D85251">
        <w:rPr>
          <w:rFonts w:cs="Times New Roman"/>
          <w:szCs w:val="24"/>
        </w:rPr>
        <w:t>Variations within the standard methods, e.g.</w:t>
      </w:r>
      <w:r w:rsidR="0055648E">
        <w:rPr>
          <w:rFonts w:cs="Times New Roman"/>
          <w:szCs w:val="24"/>
        </w:rPr>
        <w:t>,</w:t>
      </w:r>
      <w:r w:rsidRPr="00D85251">
        <w:rPr>
          <w:rFonts w:cs="Times New Roman"/>
          <w:szCs w:val="24"/>
        </w:rPr>
        <w:t xml:space="preserve"> test organisms, dilution water, feeding, sample handling, renewals, control tests,</w:t>
      </w:r>
      <w:r w:rsidR="0055648E">
        <w:rPr>
          <w:rFonts w:cs="Times New Roman"/>
          <w:szCs w:val="24"/>
        </w:rPr>
        <w:t xml:space="preserve"> and</w:t>
      </w:r>
      <w:r w:rsidRPr="00D85251">
        <w:rPr>
          <w:rFonts w:cs="Times New Roman"/>
          <w:szCs w:val="24"/>
        </w:rPr>
        <w:t xml:space="preserve"> dilution series</w:t>
      </w:r>
      <w:r w:rsidR="0055648E">
        <w:rPr>
          <w:rFonts w:cs="Times New Roman"/>
          <w:szCs w:val="24"/>
        </w:rPr>
        <w:t>;</w:t>
      </w:r>
    </w:p>
    <w:p w14:paraId="249BCC7E" w14:textId="2195535E" w:rsidR="00D85251" w:rsidRPr="00D85251" w:rsidRDefault="00D85251" w:rsidP="00D85251">
      <w:pPr>
        <w:pStyle w:val="ListParagraph"/>
        <w:numPr>
          <w:ilvl w:val="0"/>
          <w:numId w:val="31"/>
        </w:numPr>
        <w:spacing w:before="120"/>
        <w:rPr>
          <w:rFonts w:cs="Times New Roman"/>
          <w:szCs w:val="24"/>
        </w:rPr>
      </w:pPr>
      <w:r w:rsidRPr="00D85251">
        <w:rPr>
          <w:rFonts w:cs="Times New Roman"/>
          <w:szCs w:val="24"/>
        </w:rPr>
        <w:t>Variations within laboratories, e.g.</w:t>
      </w:r>
      <w:r w:rsidR="0055648E">
        <w:rPr>
          <w:rFonts w:cs="Times New Roman"/>
          <w:szCs w:val="24"/>
        </w:rPr>
        <w:t>,</w:t>
      </w:r>
      <w:r w:rsidRPr="00D85251">
        <w:rPr>
          <w:rFonts w:cs="Times New Roman"/>
          <w:szCs w:val="24"/>
        </w:rPr>
        <w:t xml:space="preserve"> </w:t>
      </w:r>
      <w:proofErr w:type="gramStart"/>
      <w:r w:rsidRPr="00D85251">
        <w:rPr>
          <w:rFonts w:cs="Times New Roman"/>
          <w:szCs w:val="24"/>
        </w:rPr>
        <w:t>all of</w:t>
      </w:r>
      <w:proofErr w:type="gramEnd"/>
      <w:r w:rsidRPr="00D85251">
        <w:rPr>
          <w:rFonts w:cs="Times New Roman"/>
          <w:szCs w:val="24"/>
        </w:rPr>
        <w:t xml:space="preserve"> the above plus analysts</w:t>
      </w:r>
      <w:r w:rsidR="0055648E">
        <w:rPr>
          <w:rFonts w:cs="Times New Roman"/>
          <w:szCs w:val="24"/>
        </w:rPr>
        <w:t xml:space="preserve"> and</w:t>
      </w:r>
      <w:r w:rsidRPr="00D85251">
        <w:rPr>
          <w:rFonts w:cs="Times New Roman"/>
          <w:szCs w:val="24"/>
        </w:rPr>
        <w:t xml:space="preserve"> application of standard methods</w:t>
      </w:r>
      <w:r w:rsidR="0055648E">
        <w:rPr>
          <w:rFonts w:cs="Times New Roman"/>
          <w:szCs w:val="24"/>
        </w:rPr>
        <w:t>;</w:t>
      </w:r>
    </w:p>
    <w:p w14:paraId="0800C15D" w14:textId="3765C5B7" w:rsidR="00D85251" w:rsidRPr="00D85251" w:rsidRDefault="00D85251" w:rsidP="00D85251">
      <w:pPr>
        <w:pStyle w:val="ListParagraph"/>
        <w:numPr>
          <w:ilvl w:val="0"/>
          <w:numId w:val="31"/>
        </w:numPr>
        <w:spacing w:before="120"/>
        <w:rPr>
          <w:rFonts w:cs="Times New Roman"/>
          <w:szCs w:val="24"/>
        </w:rPr>
      </w:pPr>
      <w:r w:rsidRPr="00D85251">
        <w:rPr>
          <w:rFonts w:cs="Times New Roman"/>
          <w:szCs w:val="24"/>
        </w:rPr>
        <w:t xml:space="preserve">Variations </w:t>
      </w:r>
      <w:r w:rsidR="00AD1E21">
        <w:rPr>
          <w:rFonts w:cs="Times New Roman"/>
          <w:szCs w:val="24"/>
        </w:rPr>
        <w:t>among</w:t>
      </w:r>
      <w:r w:rsidRPr="00D85251">
        <w:rPr>
          <w:rFonts w:cs="Times New Roman"/>
          <w:szCs w:val="24"/>
        </w:rPr>
        <w:t xml:space="preserve"> laboratories, e.g.</w:t>
      </w:r>
      <w:r w:rsidR="0055648E">
        <w:rPr>
          <w:rFonts w:cs="Times New Roman"/>
          <w:szCs w:val="24"/>
        </w:rPr>
        <w:t>,</w:t>
      </w:r>
      <w:r w:rsidRPr="00D85251">
        <w:rPr>
          <w:rFonts w:cs="Times New Roman"/>
          <w:szCs w:val="24"/>
        </w:rPr>
        <w:t xml:space="preserve"> </w:t>
      </w:r>
      <w:proofErr w:type="gramStart"/>
      <w:r w:rsidRPr="00D85251">
        <w:rPr>
          <w:rFonts w:cs="Times New Roman"/>
          <w:szCs w:val="24"/>
        </w:rPr>
        <w:t>all of</w:t>
      </w:r>
      <w:proofErr w:type="gramEnd"/>
      <w:r w:rsidRPr="00D85251">
        <w:rPr>
          <w:rFonts w:cs="Times New Roman"/>
          <w:szCs w:val="24"/>
        </w:rPr>
        <w:t xml:space="preserve"> the above plus analysts</w:t>
      </w:r>
      <w:r w:rsidR="0055648E">
        <w:rPr>
          <w:rFonts w:cs="Times New Roman"/>
          <w:szCs w:val="24"/>
        </w:rPr>
        <w:t xml:space="preserve"> and</w:t>
      </w:r>
      <w:r w:rsidRPr="00D85251">
        <w:rPr>
          <w:rFonts w:cs="Times New Roman"/>
          <w:szCs w:val="24"/>
        </w:rPr>
        <w:t xml:space="preserve"> application of standard methods</w:t>
      </w:r>
      <w:r w:rsidR="0055648E">
        <w:rPr>
          <w:rFonts w:cs="Times New Roman"/>
          <w:szCs w:val="24"/>
        </w:rPr>
        <w:t>;</w:t>
      </w:r>
    </w:p>
    <w:p w14:paraId="2006BA1E" w14:textId="14308164" w:rsidR="00D85251" w:rsidRPr="00D85251" w:rsidRDefault="00D85251" w:rsidP="00D85251">
      <w:pPr>
        <w:pStyle w:val="ListParagraph"/>
        <w:numPr>
          <w:ilvl w:val="0"/>
          <w:numId w:val="31"/>
        </w:numPr>
        <w:spacing w:before="120"/>
        <w:rPr>
          <w:rFonts w:cs="Times New Roman"/>
          <w:szCs w:val="24"/>
        </w:rPr>
      </w:pPr>
      <w:r w:rsidRPr="00D85251">
        <w:rPr>
          <w:rFonts w:cs="Times New Roman"/>
          <w:szCs w:val="24"/>
        </w:rPr>
        <w:t>Different methods of statistical analysis, e.g.</w:t>
      </w:r>
      <w:r w:rsidR="0055648E">
        <w:rPr>
          <w:rFonts w:cs="Times New Roman"/>
          <w:szCs w:val="24"/>
        </w:rPr>
        <w:t>,</w:t>
      </w:r>
      <w:r w:rsidRPr="00D85251">
        <w:rPr>
          <w:rFonts w:cs="Times New Roman"/>
          <w:szCs w:val="24"/>
        </w:rPr>
        <w:t xml:space="preserve"> hypothesis testing (NOEC)</w:t>
      </w:r>
      <w:r w:rsidR="0055648E">
        <w:rPr>
          <w:rFonts w:cs="Times New Roman"/>
          <w:szCs w:val="24"/>
        </w:rPr>
        <w:t xml:space="preserve">, </w:t>
      </w:r>
      <w:r w:rsidRPr="00D85251">
        <w:rPr>
          <w:rFonts w:cs="Times New Roman"/>
          <w:szCs w:val="24"/>
        </w:rPr>
        <w:t>point estimates (IC25)</w:t>
      </w:r>
      <w:r>
        <w:rPr>
          <w:rFonts w:cs="Times New Roman"/>
          <w:szCs w:val="24"/>
        </w:rPr>
        <w:t>.</w:t>
      </w:r>
    </w:p>
    <w:p w14:paraId="3D1EE69E" w14:textId="77777777" w:rsidR="00D85251" w:rsidRPr="00D85251" w:rsidRDefault="00D85251" w:rsidP="00D85251">
      <w:pPr>
        <w:spacing w:before="120"/>
        <w:rPr>
          <w:rFonts w:cs="Times New Roman"/>
          <w:szCs w:val="24"/>
        </w:rPr>
      </w:pPr>
      <w:r w:rsidRPr="00D85251">
        <w:rPr>
          <w:rFonts w:cs="Times New Roman"/>
          <w:szCs w:val="24"/>
        </w:rPr>
        <w:t>The 2000 USEPA study also identified the following sources of inter-laboratory variability:</w:t>
      </w:r>
    </w:p>
    <w:p w14:paraId="65820D71" w14:textId="0A7930D9" w:rsidR="00D85251" w:rsidRPr="00D85251" w:rsidRDefault="00D85251" w:rsidP="00D85251">
      <w:pPr>
        <w:pStyle w:val="ListParagraph"/>
        <w:numPr>
          <w:ilvl w:val="0"/>
          <w:numId w:val="29"/>
        </w:numPr>
        <w:spacing w:before="120"/>
        <w:rPr>
          <w:rFonts w:cs="Times New Roman"/>
          <w:szCs w:val="24"/>
        </w:rPr>
      </w:pPr>
      <w:r w:rsidRPr="00D85251">
        <w:rPr>
          <w:rFonts w:cs="Times New Roman"/>
          <w:szCs w:val="24"/>
        </w:rPr>
        <w:t>Different concentrations in a dilution series</w:t>
      </w:r>
      <w:r>
        <w:rPr>
          <w:rFonts w:cs="Times New Roman"/>
          <w:szCs w:val="24"/>
        </w:rPr>
        <w:t>,</w:t>
      </w:r>
    </w:p>
    <w:p w14:paraId="494AA448" w14:textId="6653B977" w:rsidR="00D85251" w:rsidRPr="00D85251" w:rsidRDefault="00D85251" w:rsidP="00D85251">
      <w:pPr>
        <w:pStyle w:val="ListParagraph"/>
        <w:numPr>
          <w:ilvl w:val="0"/>
          <w:numId w:val="29"/>
        </w:numPr>
        <w:spacing w:before="120"/>
        <w:rPr>
          <w:rFonts w:cs="Times New Roman"/>
          <w:szCs w:val="24"/>
        </w:rPr>
      </w:pPr>
      <w:r w:rsidRPr="00D85251">
        <w:rPr>
          <w:rFonts w:cs="Times New Roman"/>
          <w:szCs w:val="24"/>
        </w:rPr>
        <w:t>Different dilution waters</w:t>
      </w:r>
      <w:r>
        <w:rPr>
          <w:rFonts w:cs="Times New Roman"/>
          <w:szCs w:val="24"/>
        </w:rPr>
        <w:t>,</w:t>
      </w:r>
    </w:p>
    <w:p w14:paraId="4F8D3E24" w14:textId="34FEF2C2" w:rsidR="00D85251" w:rsidRPr="00D85251" w:rsidRDefault="00D85251" w:rsidP="00D85251">
      <w:pPr>
        <w:pStyle w:val="ListParagraph"/>
        <w:numPr>
          <w:ilvl w:val="0"/>
          <w:numId w:val="29"/>
        </w:numPr>
        <w:spacing w:before="120"/>
        <w:rPr>
          <w:rFonts w:cs="Times New Roman"/>
          <w:szCs w:val="24"/>
        </w:rPr>
      </w:pPr>
      <w:r w:rsidRPr="00D85251">
        <w:rPr>
          <w:rFonts w:cs="Times New Roman"/>
          <w:szCs w:val="24"/>
        </w:rPr>
        <w:t>Different foods and feeding regimes</w:t>
      </w:r>
      <w:r>
        <w:rPr>
          <w:rFonts w:cs="Times New Roman"/>
          <w:szCs w:val="24"/>
        </w:rPr>
        <w:t>,</w:t>
      </w:r>
    </w:p>
    <w:p w14:paraId="7895B8B3" w14:textId="21598B55" w:rsidR="00D85251" w:rsidRPr="00D85251" w:rsidRDefault="00D85251" w:rsidP="00D85251">
      <w:pPr>
        <w:pStyle w:val="ListParagraph"/>
        <w:numPr>
          <w:ilvl w:val="0"/>
          <w:numId w:val="29"/>
        </w:numPr>
        <w:spacing w:before="120"/>
        <w:rPr>
          <w:rFonts w:cs="Times New Roman"/>
          <w:szCs w:val="24"/>
        </w:rPr>
      </w:pPr>
      <w:r w:rsidRPr="00D85251">
        <w:rPr>
          <w:rFonts w:cs="Times New Roman"/>
          <w:szCs w:val="24"/>
        </w:rPr>
        <w:t>Differences in cultures of test organisms (genotypic and phenotypic differences in sensitivity)</w:t>
      </w:r>
      <w:r>
        <w:rPr>
          <w:rFonts w:cs="Times New Roman"/>
          <w:szCs w:val="24"/>
        </w:rPr>
        <w:t>, and</w:t>
      </w:r>
    </w:p>
    <w:p w14:paraId="22DBB220" w14:textId="03430C48" w:rsidR="00D85251" w:rsidRPr="00D85251" w:rsidRDefault="00D85251" w:rsidP="00D85251">
      <w:pPr>
        <w:pStyle w:val="ListParagraph"/>
        <w:numPr>
          <w:ilvl w:val="0"/>
          <w:numId w:val="29"/>
        </w:numPr>
        <w:spacing w:before="120"/>
        <w:rPr>
          <w:rFonts w:cs="Times New Roman"/>
          <w:szCs w:val="24"/>
        </w:rPr>
      </w:pPr>
      <w:r w:rsidRPr="00D85251">
        <w:rPr>
          <w:rFonts w:cs="Times New Roman"/>
          <w:szCs w:val="24"/>
        </w:rPr>
        <w:t>Different reference toxicant methods or reporting</w:t>
      </w:r>
      <w:r>
        <w:rPr>
          <w:rFonts w:cs="Times New Roman"/>
          <w:szCs w:val="24"/>
        </w:rPr>
        <w:t>.</w:t>
      </w:r>
    </w:p>
    <w:p w14:paraId="614D3C48" w14:textId="29570676" w:rsidR="00D85251" w:rsidRPr="00D85251" w:rsidRDefault="00D85251" w:rsidP="00D85251">
      <w:pPr>
        <w:spacing w:before="120"/>
        <w:rPr>
          <w:rFonts w:cs="Times New Roman"/>
          <w:szCs w:val="24"/>
        </w:rPr>
      </w:pPr>
      <w:r w:rsidRPr="00D85251">
        <w:rPr>
          <w:rFonts w:cs="Times New Roman"/>
          <w:szCs w:val="24"/>
        </w:rPr>
        <w:t>Depending on the specific design elements, an inter-laboratory blank study could help answer questions regarding some of the sources of variability both within and between laboratories and could identify potential solutions to reduce that variability.</w:t>
      </w:r>
    </w:p>
    <w:p w14:paraId="6B0E7B02" w14:textId="77777777" w:rsidR="00D85251" w:rsidRPr="001B1399" w:rsidRDefault="00D85251" w:rsidP="00D85251">
      <w:pPr>
        <w:pStyle w:val="Heading3"/>
      </w:pPr>
      <w:bookmarkStart w:id="8" w:name="_Toc527448267"/>
      <w:r w:rsidRPr="001B1399">
        <w:t xml:space="preserve">Why focus on the </w:t>
      </w:r>
      <w:proofErr w:type="spellStart"/>
      <w:r w:rsidRPr="00982C01">
        <w:rPr>
          <w:i/>
        </w:rPr>
        <w:t>Ceriodaphnia</w:t>
      </w:r>
      <w:proofErr w:type="spellEnd"/>
      <w:r w:rsidRPr="00982C01">
        <w:rPr>
          <w:i/>
        </w:rPr>
        <w:t xml:space="preserve"> </w:t>
      </w:r>
      <w:proofErr w:type="spellStart"/>
      <w:r w:rsidRPr="00982C01">
        <w:rPr>
          <w:i/>
        </w:rPr>
        <w:t>dubia</w:t>
      </w:r>
      <w:proofErr w:type="spellEnd"/>
      <w:r w:rsidRPr="001B1399">
        <w:t xml:space="preserve"> reproduction test?</w:t>
      </w:r>
      <w:bookmarkEnd w:id="8"/>
    </w:p>
    <w:p w14:paraId="2591E84D" w14:textId="39646977" w:rsidR="00D85251" w:rsidRPr="00D85251" w:rsidRDefault="00D85251" w:rsidP="00D85251">
      <w:pPr>
        <w:spacing w:before="120"/>
        <w:rPr>
          <w:rFonts w:cs="Times New Roman"/>
          <w:szCs w:val="24"/>
        </w:rPr>
      </w:pPr>
      <w:r w:rsidRPr="00D85251">
        <w:rPr>
          <w:rFonts w:cs="Times New Roman"/>
          <w:szCs w:val="24"/>
        </w:rPr>
        <w:t xml:space="preserve">As one example, recent work has been performed to assess the results of short-term chronic toxicity testing in the Central Valley for the period 2011 to 2017. </w:t>
      </w:r>
      <w:r w:rsidR="00A6331B">
        <w:rPr>
          <w:rFonts w:cs="Times New Roman"/>
          <w:szCs w:val="24"/>
        </w:rPr>
        <w:t>The study has been performed as a special study funded by members of the Central Valley Clean Water Association (CVCWA), an association of publicly-owned treatment works (POTWs) located in the Central Valley</w:t>
      </w:r>
      <w:r w:rsidR="00AA66B7" w:rsidRPr="00AA66B7">
        <w:rPr>
          <w:rStyle w:val="FootnoteReference"/>
          <w:rFonts w:cs="Times New Roman"/>
          <w:szCs w:val="24"/>
        </w:rPr>
        <w:footnoteReference w:id="1"/>
      </w:r>
      <w:r w:rsidR="00A6331B">
        <w:rPr>
          <w:rFonts w:cs="Times New Roman"/>
          <w:szCs w:val="24"/>
        </w:rPr>
        <w:t xml:space="preserve">. </w:t>
      </w:r>
      <w:r w:rsidRPr="00D85251">
        <w:rPr>
          <w:rFonts w:cs="Times New Roman"/>
          <w:szCs w:val="24"/>
        </w:rPr>
        <w:t xml:space="preserve">The results of that study indicate that </w:t>
      </w:r>
      <w:proofErr w:type="spellStart"/>
      <w:r w:rsidRPr="00D85251">
        <w:rPr>
          <w:rFonts w:cs="Times New Roman"/>
          <w:i/>
          <w:szCs w:val="24"/>
        </w:rPr>
        <w:t>Ceriodaphnia</w:t>
      </w:r>
      <w:proofErr w:type="spellEnd"/>
      <w:r w:rsidRPr="00D85251">
        <w:rPr>
          <w:rFonts w:cs="Times New Roman"/>
          <w:i/>
          <w:szCs w:val="24"/>
        </w:rPr>
        <w:t xml:space="preserve"> </w:t>
      </w:r>
      <w:proofErr w:type="spellStart"/>
      <w:r w:rsidRPr="00D85251">
        <w:rPr>
          <w:rFonts w:cs="Times New Roman"/>
          <w:i/>
          <w:szCs w:val="24"/>
        </w:rPr>
        <w:t>dubia</w:t>
      </w:r>
      <w:proofErr w:type="spellEnd"/>
      <w:r w:rsidRPr="00D85251">
        <w:rPr>
          <w:rFonts w:cs="Times New Roman"/>
          <w:szCs w:val="24"/>
        </w:rPr>
        <w:t xml:space="preserve"> short-term chronic reproduction tests are a primary source of findings of apparent toxicity in effluent samples from POTWs in the Central Valley, including </w:t>
      </w:r>
      <w:r w:rsidR="006F747C">
        <w:rPr>
          <w:rFonts w:cs="Times New Roman"/>
          <w:szCs w:val="24"/>
        </w:rPr>
        <w:t>many</w:t>
      </w:r>
      <w:r w:rsidRPr="00D85251">
        <w:rPr>
          <w:rFonts w:cs="Times New Roman"/>
          <w:szCs w:val="24"/>
        </w:rPr>
        <w:t xml:space="preserve"> POTWs with advanced treatment systems. These results are consistent with results reported by others (</w:t>
      </w:r>
      <w:r w:rsidR="00AD1E21">
        <w:rPr>
          <w:rFonts w:cs="Times New Roman"/>
          <w:szCs w:val="24"/>
        </w:rPr>
        <w:t xml:space="preserve">e.g., </w:t>
      </w:r>
      <w:r w:rsidRPr="00D85251">
        <w:rPr>
          <w:rFonts w:cs="Times New Roman"/>
          <w:szCs w:val="24"/>
        </w:rPr>
        <w:t>LACSD, City of San Jose</w:t>
      </w:r>
      <w:r>
        <w:rPr>
          <w:rFonts w:cs="Times New Roman"/>
          <w:szCs w:val="24"/>
        </w:rPr>
        <w:t xml:space="preserve">) </w:t>
      </w:r>
      <w:r w:rsidRPr="00D85251">
        <w:rPr>
          <w:rFonts w:cs="Times New Roman"/>
          <w:szCs w:val="24"/>
        </w:rPr>
        <w:t>and are believed to provide a representative sampling of California POTWs discharging to effluent</w:t>
      </w:r>
      <w:r w:rsidR="006F747C">
        <w:rPr>
          <w:rFonts w:cs="Times New Roman"/>
          <w:szCs w:val="24"/>
        </w:rPr>
        <w:t>-</w:t>
      </w:r>
      <w:r w:rsidRPr="00D85251">
        <w:rPr>
          <w:rFonts w:cs="Times New Roman"/>
          <w:szCs w:val="24"/>
        </w:rPr>
        <w:t>dependent water bodies.</w:t>
      </w:r>
    </w:p>
    <w:p w14:paraId="69898D17" w14:textId="2EED09F1" w:rsidR="00D85251" w:rsidRPr="00D85251" w:rsidRDefault="00D85251" w:rsidP="00D85251">
      <w:pPr>
        <w:pStyle w:val="Caption"/>
        <w:spacing w:before="120" w:after="120"/>
        <w:rPr>
          <w:rFonts w:ascii="Times New Roman" w:hAnsi="Times New Roman" w:cs="Times New Roman"/>
          <w:sz w:val="24"/>
          <w:szCs w:val="24"/>
        </w:rPr>
      </w:pPr>
      <w:bookmarkStart w:id="9" w:name="_Ref500949131"/>
      <w:bookmarkStart w:id="10" w:name="_Toc516593023"/>
      <w:r w:rsidRPr="00D85251">
        <w:rPr>
          <w:rFonts w:ascii="Times New Roman" w:hAnsi="Times New Roman" w:cs="Times New Roman"/>
          <w:b w:val="0"/>
          <w:sz w:val="24"/>
          <w:szCs w:val="24"/>
        </w:rPr>
        <w:t>As shown in</w:t>
      </w:r>
      <w:r w:rsidR="006F747C">
        <w:rPr>
          <w:rFonts w:ascii="Times New Roman" w:hAnsi="Times New Roman" w:cs="Times New Roman"/>
          <w:b w:val="0"/>
          <w:sz w:val="24"/>
          <w:szCs w:val="24"/>
        </w:rPr>
        <w:t xml:space="preserve"> </w:t>
      </w:r>
      <w:r w:rsidR="006F747C" w:rsidRPr="006F747C">
        <w:rPr>
          <w:rFonts w:ascii="Times New Roman" w:hAnsi="Times New Roman" w:cs="Times New Roman"/>
          <w:sz w:val="24"/>
          <w:szCs w:val="24"/>
        </w:rPr>
        <w:fldChar w:fldCharType="begin"/>
      </w:r>
      <w:r w:rsidR="006F747C" w:rsidRPr="006F747C">
        <w:rPr>
          <w:rFonts w:ascii="Times New Roman" w:hAnsi="Times New Roman" w:cs="Times New Roman"/>
          <w:sz w:val="24"/>
          <w:szCs w:val="24"/>
        </w:rPr>
        <w:instrText xml:space="preserve"> REF _Ref527450452 \h  \* MERGEFORMAT </w:instrText>
      </w:r>
      <w:r w:rsidR="006F747C" w:rsidRPr="006F747C">
        <w:rPr>
          <w:rFonts w:ascii="Times New Roman" w:hAnsi="Times New Roman" w:cs="Times New Roman"/>
          <w:sz w:val="24"/>
          <w:szCs w:val="24"/>
        </w:rPr>
      </w:r>
      <w:r w:rsidR="006F747C" w:rsidRPr="006F747C">
        <w:rPr>
          <w:rFonts w:ascii="Times New Roman" w:hAnsi="Times New Roman" w:cs="Times New Roman"/>
          <w:sz w:val="24"/>
          <w:szCs w:val="24"/>
        </w:rPr>
        <w:fldChar w:fldCharType="separate"/>
      </w:r>
      <w:r w:rsidR="006F747C" w:rsidRPr="006F747C">
        <w:rPr>
          <w:rFonts w:ascii="Times New Roman" w:hAnsi="Times New Roman" w:cs="Times New Roman"/>
          <w:sz w:val="24"/>
          <w:szCs w:val="24"/>
        </w:rPr>
        <w:t>Table 1</w:t>
      </w:r>
      <w:r w:rsidR="006F747C" w:rsidRPr="006F747C">
        <w:rPr>
          <w:rFonts w:ascii="Times New Roman" w:hAnsi="Times New Roman" w:cs="Times New Roman"/>
          <w:sz w:val="24"/>
          <w:szCs w:val="24"/>
        </w:rPr>
        <w:fldChar w:fldCharType="end"/>
      </w:r>
      <w:r w:rsidR="006F747C">
        <w:rPr>
          <w:rFonts w:ascii="Times New Roman" w:hAnsi="Times New Roman" w:cs="Times New Roman"/>
          <w:b w:val="0"/>
          <w:sz w:val="24"/>
          <w:szCs w:val="24"/>
        </w:rPr>
        <w:t>,</w:t>
      </w:r>
      <w:r w:rsidRPr="00D85251">
        <w:rPr>
          <w:rFonts w:ascii="Times New Roman" w:hAnsi="Times New Roman" w:cs="Times New Roman"/>
          <w:b w:val="0"/>
          <w:sz w:val="24"/>
          <w:szCs w:val="24"/>
        </w:rPr>
        <w:t xml:space="preserve"> most (73%) of the POTWs with NPDES permits (</w:t>
      </w:r>
      <w:r w:rsidR="006F747C">
        <w:rPr>
          <w:rFonts w:ascii="Times New Roman" w:hAnsi="Times New Roman" w:cs="Times New Roman"/>
          <w:b w:val="0"/>
          <w:sz w:val="24"/>
          <w:szCs w:val="24"/>
        </w:rPr>
        <w:t xml:space="preserve">those </w:t>
      </w:r>
      <w:r w:rsidRPr="00D85251">
        <w:rPr>
          <w:rFonts w:ascii="Times New Roman" w:hAnsi="Times New Roman" w:cs="Times New Roman"/>
          <w:b w:val="0"/>
          <w:sz w:val="24"/>
          <w:szCs w:val="24"/>
        </w:rPr>
        <w:t>dischar</w:t>
      </w:r>
      <w:r w:rsidR="006F747C">
        <w:rPr>
          <w:rFonts w:ascii="Times New Roman" w:hAnsi="Times New Roman" w:cs="Times New Roman"/>
          <w:b w:val="0"/>
          <w:sz w:val="24"/>
          <w:szCs w:val="24"/>
        </w:rPr>
        <w:t>ging</w:t>
      </w:r>
      <w:r w:rsidRPr="00D85251">
        <w:rPr>
          <w:rFonts w:ascii="Times New Roman" w:hAnsi="Times New Roman" w:cs="Times New Roman"/>
          <w:b w:val="0"/>
          <w:sz w:val="24"/>
          <w:szCs w:val="24"/>
        </w:rPr>
        <w:t xml:space="preserve"> to surface waters) in the Central Valley are tertiary facilities. Essentially </w:t>
      </w:r>
      <w:proofErr w:type="gramStart"/>
      <w:r w:rsidRPr="00D85251">
        <w:rPr>
          <w:rFonts w:ascii="Times New Roman" w:hAnsi="Times New Roman" w:cs="Times New Roman"/>
          <w:b w:val="0"/>
          <w:sz w:val="24"/>
          <w:szCs w:val="24"/>
        </w:rPr>
        <w:t>all of</w:t>
      </w:r>
      <w:proofErr w:type="gramEnd"/>
      <w:r w:rsidRPr="00D85251">
        <w:rPr>
          <w:rFonts w:ascii="Times New Roman" w:hAnsi="Times New Roman" w:cs="Times New Roman"/>
          <w:b w:val="0"/>
          <w:sz w:val="24"/>
          <w:szCs w:val="24"/>
        </w:rPr>
        <w:t xml:space="preserve"> these POTWs discharge to effluent</w:t>
      </w:r>
      <w:r w:rsidR="008F4D09">
        <w:rPr>
          <w:rFonts w:ascii="Times New Roman" w:hAnsi="Times New Roman" w:cs="Times New Roman"/>
          <w:b w:val="0"/>
          <w:sz w:val="24"/>
          <w:szCs w:val="24"/>
        </w:rPr>
        <w:t>-</w:t>
      </w:r>
      <w:r w:rsidRPr="00D85251">
        <w:rPr>
          <w:rFonts w:ascii="Times New Roman" w:hAnsi="Times New Roman" w:cs="Times New Roman"/>
          <w:b w:val="0"/>
          <w:sz w:val="24"/>
          <w:szCs w:val="24"/>
        </w:rPr>
        <w:t>dominated streams and receive no dilution credit in their NPDES permits.</w:t>
      </w:r>
    </w:p>
    <w:p w14:paraId="5CF69142" w14:textId="4FF472A1" w:rsidR="00D85251" w:rsidRPr="001B1399" w:rsidRDefault="00D85251" w:rsidP="00D85251">
      <w:pPr>
        <w:pStyle w:val="TableTitle"/>
      </w:pPr>
      <w:bookmarkStart w:id="11" w:name="_Ref527450452"/>
      <w:r w:rsidRPr="001B1399">
        <w:t xml:space="preserve">Table </w:t>
      </w:r>
      <w:r w:rsidR="00345B95">
        <w:rPr>
          <w:noProof/>
        </w:rPr>
        <w:fldChar w:fldCharType="begin"/>
      </w:r>
      <w:r w:rsidR="00345B95">
        <w:rPr>
          <w:noProof/>
        </w:rPr>
        <w:instrText xml:space="preserve"> SEQ Table \* ARABIC </w:instrText>
      </w:r>
      <w:r w:rsidR="00345B95">
        <w:rPr>
          <w:noProof/>
        </w:rPr>
        <w:fldChar w:fldCharType="separate"/>
      </w:r>
      <w:r w:rsidR="006F0139">
        <w:rPr>
          <w:noProof/>
        </w:rPr>
        <w:t>1</w:t>
      </w:r>
      <w:r w:rsidR="00345B95">
        <w:rPr>
          <w:noProof/>
        </w:rPr>
        <w:fldChar w:fldCharType="end"/>
      </w:r>
      <w:bookmarkEnd w:id="9"/>
      <w:bookmarkEnd w:id="11"/>
      <w:r w:rsidRPr="001B1399">
        <w:t xml:space="preserve">. Comparison of POTWs with NPDES </w:t>
      </w:r>
      <w:r w:rsidR="008F4D09">
        <w:t>P</w:t>
      </w:r>
      <w:r w:rsidRPr="001B1399">
        <w:t>ermits in Toxicity Special Study to All Central Valley POTWs.</w:t>
      </w:r>
      <w:bookmarkEnd w:id="10"/>
    </w:p>
    <w:tbl>
      <w:tblPr>
        <w:tblStyle w:val="TableGrid"/>
        <w:tblW w:w="0" w:type="auto"/>
        <w:tblLook w:val="04A0" w:firstRow="1" w:lastRow="0" w:firstColumn="1" w:lastColumn="0" w:noHBand="0" w:noVBand="1"/>
      </w:tblPr>
      <w:tblGrid>
        <w:gridCol w:w="2229"/>
        <w:gridCol w:w="1710"/>
        <w:gridCol w:w="1800"/>
        <w:gridCol w:w="2649"/>
      </w:tblGrid>
      <w:tr w:rsidR="00D85251" w:rsidRPr="00D85251" w14:paraId="163EE42A" w14:textId="77777777" w:rsidTr="006F0139">
        <w:trPr>
          <w:cnfStyle w:val="100000000000" w:firstRow="1" w:lastRow="0" w:firstColumn="0" w:lastColumn="0" w:oddVBand="0" w:evenVBand="0" w:oddHBand="0" w:evenHBand="0" w:firstRowFirstColumn="0" w:firstRowLastColumn="0" w:lastRowFirstColumn="0" w:lastRowLastColumn="0"/>
          <w:trHeight w:val="431"/>
        </w:trPr>
        <w:tc>
          <w:tcPr>
            <w:tcW w:w="2229" w:type="dxa"/>
          </w:tcPr>
          <w:p w14:paraId="7A2F6C03" w14:textId="77777777" w:rsidR="00D85251" w:rsidRPr="00D85251" w:rsidRDefault="00D85251" w:rsidP="0027541F">
            <w:pPr>
              <w:pStyle w:val="TableBodyText"/>
              <w:keepNext/>
            </w:pPr>
          </w:p>
        </w:tc>
        <w:tc>
          <w:tcPr>
            <w:tcW w:w="1710" w:type="dxa"/>
            <w:vAlign w:val="center"/>
          </w:tcPr>
          <w:p w14:paraId="084FA388" w14:textId="77777777" w:rsidR="00D85251" w:rsidRPr="00D85251" w:rsidRDefault="00D85251" w:rsidP="0027541F">
            <w:pPr>
              <w:pStyle w:val="TableBodyText"/>
              <w:keepNext/>
            </w:pPr>
            <w:r w:rsidRPr="00D85251">
              <w:t>Total Central Valley POTWs</w:t>
            </w:r>
          </w:p>
        </w:tc>
        <w:tc>
          <w:tcPr>
            <w:tcW w:w="1800" w:type="dxa"/>
            <w:vAlign w:val="center"/>
          </w:tcPr>
          <w:p w14:paraId="7241565F" w14:textId="77777777" w:rsidR="00D85251" w:rsidRPr="00D85251" w:rsidRDefault="00D85251" w:rsidP="0027541F">
            <w:pPr>
              <w:pStyle w:val="TableBodyText"/>
              <w:keepNext/>
            </w:pPr>
            <w:r w:rsidRPr="00D85251">
              <w:t>Number of POTWs in Study</w:t>
            </w:r>
          </w:p>
        </w:tc>
        <w:tc>
          <w:tcPr>
            <w:tcW w:w="2649" w:type="dxa"/>
            <w:vAlign w:val="center"/>
          </w:tcPr>
          <w:p w14:paraId="4F9B5CAB" w14:textId="35D9F416" w:rsidR="00D85251" w:rsidRPr="00D85251" w:rsidRDefault="00D85251" w:rsidP="0027541F">
            <w:pPr>
              <w:pStyle w:val="TableBodyText"/>
              <w:keepNext/>
            </w:pPr>
            <w:r w:rsidRPr="00D85251">
              <w:t>Total Number of Chronic Toxicity Test Reports</w:t>
            </w:r>
            <w:r w:rsidR="006F0139" w:rsidRPr="006F0139">
              <w:rPr>
                <w:vertAlign w:val="superscript"/>
              </w:rPr>
              <w:t>[a]</w:t>
            </w:r>
          </w:p>
        </w:tc>
      </w:tr>
      <w:tr w:rsidR="00D85251" w:rsidRPr="00D85251" w14:paraId="2BAA648A" w14:textId="77777777" w:rsidTr="006F0139">
        <w:tc>
          <w:tcPr>
            <w:tcW w:w="5739" w:type="dxa"/>
            <w:gridSpan w:val="3"/>
            <w:tcBorders>
              <w:bottom w:val="dotted" w:sz="4" w:space="0" w:color="auto"/>
            </w:tcBorders>
            <w:vAlign w:val="center"/>
          </w:tcPr>
          <w:p w14:paraId="05C3E326" w14:textId="77777777" w:rsidR="00D85251" w:rsidRPr="006F0139" w:rsidRDefault="00D85251" w:rsidP="0027541F">
            <w:pPr>
              <w:pStyle w:val="TableBodyText"/>
              <w:keepNext/>
              <w:rPr>
                <w:b/>
                <w:i/>
              </w:rPr>
            </w:pPr>
            <w:r w:rsidRPr="006F0139">
              <w:rPr>
                <w:b/>
                <w:i/>
              </w:rPr>
              <w:t>Treatment Type</w:t>
            </w:r>
          </w:p>
        </w:tc>
        <w:tc>
          <w:tcPr>
            <w:tcW w:w="2649" w:type="dxa"/>
            <w:tcBorders>
              <w:bottom w:val="dotted" w:sz="4" w:space="0" w:color="auto"/>
            </w:tcBorders>
          </w:tcPr>
          <w:p w14:paraId="46EDCBA5" w14:textId="77777777" w:rsidR="00D85251" w:rsidRPr="00D85251" w:rsidRDefault="00D85251" w:rsidP="0027541F">
            <w:pPr>
              <w:pStyle w:val="TableBodyText"/>
              <w:keepNext/>
            </w:pPr>
          </w:p>
        </w:tc>
      </w:tr>
      <w:tr w:rsidR="00D85251" w:rsidRPr="00D85251" w14:paraId="717168FC" w14:textId="77777777" w:rsidTr="006F0139">
        <w:tc>
          <w:tcPr>
            <w:tcW w:w="2229" w:type="dxa"/>
            <w:tcBorders>
              <w:top w:val="dotted" w:sz="4" w:space="0" w:color="auto"/>
              <w:bottom w:val="dotted" w:sz="4" w:space="0" w:color="auto"/>
            </w:tcBorders>
          </w:tcPr>
          <w:p w14:paraId="42DFD5AE" w14:textId="5D8B560A" w:rsidR="00D85251" w:rsidRPr="00D85251" w:rsidRDefault="006F0139" w:rsidP="0027541F">
            <w:pPr>
              <w:pStyle w:val="TableBodyText"/>
              <w:keepNext/>
            </w:pPr>
            <w:r>
              <w:t xml:space="preserve">  </w:t>
            </w:r>
            <w:r w:rsidR="00D85251" w:rsidRPr="00D85251">
              <w:t>Secondary</w:t>
            </w:r>
          </w:p>
        </w:tc>
        <w:tc>
          <w:tcPr>
            <w:tcW w:w="1710" w:type="dxa"/>
            <w:tcBorders>
              <w:top w:val="dotted" w:sz="4" w:space="0" w:color="auto"/>
              <w:bottom w:val="dotted" w:sz="4" w:space="0" w:color="auto"/>
            </w:tcBorders>
            <w:vAlign w:val="center"/>
          </w:tcPr>
          <w:p w14:paraId="20153BFF" w14:textId="77777777" w:rsidR="00D85251" w:rsidRPr="00D85251" w:rsidRDefault="00D85251" w:rsidP="0027541F">
            <w:pPr>
              <w:pStyle w:val="TableBodyText"/>
              <w:keepNext/>
            </w:pPr>
            <w:r w:rsidRPr="00D85251">
              <w:t>15 (19%)</w:t>
            </w:r>
          </w:p>
        </w:tc>
        <w:tc>
          <w:tcPr>
            <w:tcW w:w="1800" w:type="dxa"/>
            <w:tcBorders>
              <w:top w:val="dotted" w:sz="4" w:space="0" w:color="auto"/>
              <w:bottom w:val="dotted" w:sz="4" w:space="0" w:color="auto"/>
            </w:tcBorders>
            <w:vAlign w:val="center"/>
          </w:tcPr>
          <w:p w14:paraId="69AB598F" w14:textId="77777777" w:rsidR="00D85251" w:rsidRPr="00D85251" w:rsidRDefault="00D85251" w:rsidP="0027541F">
            <w:pPr>
              <w:pStyle w:val="TableBodyText"/>
              <w:keepNext/>
            </w:pPr>
            <w:r w:rsidRPr="00D85251">
              <w:t>14 (21%)</w:t>
            </w:r>
          </w:p>
        </w:tc>
        <w:tc>
          <w:tcPr>
            <w:tcW w:w="2649" w:type="dxa"/>
            <w:tcBorders>
              <w:top w:val="dotted" w:sz="4" w:space="0" w:color="auto"/>
              <w:bottom w:val="dotted" w:sz="4" w:space="0" w:color="auto"/>
            </w:tcBorders>
            <w:vAlign w:val="center"/>
          </w:tcPr>
          <w:p w14:paraId="6D97BE6E" w14:textId="77777777" w:rsidR="00D85251" w:rsidRPr="00D85251" w:rsidRDefault="00D85251" w:rsidP="0027541F">
            <w:pPr>
              <w:pStyle w:val="TableBodyText"/>
              <w:keepNext/>
            </w:pPr>
            <w:r w:rsidRPr="00D85251">
              <w:t>620 (21%)</w:t>
            </w:r>
          </w:p>
        </w:tc>
      </w:tr>
      <w:tr w:rsidR="00D85251" w:rsidRPr="00D85251" w14:paraId="6549A4E5" w14:textId="77777777" w:rsidTr="006F0139">
        <w:tc>
          <w:tcPr>
            <w:tcW w:w="2229" w:type="dxa"/>
            <w:tcBorders>
              <w:top w:val="dotted" w:sz="4" w:space="0" w:color="auto"/>
              <w:bottom w:val="dotted" w:sz="4" w:space="0" w:color="auto"/>
            </w:tcBorders>
          </w:tcPr>
          <w:p w14:paraId="26D58276" w14:textId="0D5878A6" w:rsidR="00D85251" w:rsidRPr="00D85251" w:rsidRDefault="006F0139" w:rsidP="0027541F">
            <w:pPr>
              <w:pStyle w:val="TableBodyText"/>
              <w:keepNext/>
            </w:pPr>
            <w:r>
              <w:t xml:space="preserve">  </w:t>
            </w:r>
            <w:r w:rsidR="00D85251" w:rsidRPr="00D85251">
              <w:t>Advanced Secondary</w:t>
            </w:r>
          </w:p>
        </w:tc>
        <w:tc>
          <w:tcPr>
            <w:tcW w:w="1710" w:type="dxa"/>
            <w:tcBorders>
              <w:top w:val="dotted" w:sz="4" w:space="0" w:color="auto"/>
              <w:bottom w:val="dotted" w:sz="4" w:space="0" w:color="auto"/>
            </w:tcBorders>
            <w:vAlign w:val="center"/>
          </w:tcPr>
          <w:p w14:paraId="67FAA688" w14:textId="77777777" w:rsidR="00D85251" w:rsidRPr="00D85251" w:rsidRDefault="00D85251" w:rsidP="0027541F">
            <w:pPr>
              <w:pStyle w:val="TableBodyText"/>
              <w:keepNext/>
            </w:pPr>
            <w:r w:rsidRPr="00D85251">
              <w:t>6 (8%)</w:t>
            </w:r>
          </w:p>
        </w:tc>
        <w:tc>
          <w:tcPr>
            <w:tcW w:w="1800" w:type="dxa"/>
            <w:tcBorders>
              <w:top w:val="dotted" w:sz="4" w:space="0" w:color="auto"/>
              <w:bottom w:val="dotted" w:sz="4" w:space="0" w:color="auto"/>
            </w:tcBorders>
            <w:vAlign w:val="center"/>
          </w:tcPr>
          <w:p w14:paraId="15D39C0E" w14:textId="77777777" w:rsidR="00D85251" w:rsidRPr="00D85251" w:rsidRDefault="00D85251" w:rsidP="0027541F">
            <w:pPr>
              <w:pStyle w:val="TableBodyText"/>
              <w:keepNext/>
            </w:pPr>
            <w:r w:rsidRPr="00D85251">
              <w:t>5 (8%)</w:t>
            </w:r>
          </w:p>
        </w:tc>
        <w:tc>
          <w:tcPr>
            <w:tcW w:w="2649" w:type="dxa"/>
            <w:tcBorders>
              <w:top w:val="dotted" w:sz="4" w:space="0" w:color="auto"/>
              <w:bottom w:val="dotted" w:sz="4" w:space="0" w:color="auto"/>
            </w:tcBorders>
            <w:vAlign w:val="center"/>
          </w:tcPr>
          <w:p w14:paraId="72168718" w14:textId="77777777" w:rsidR="00D85251" w:rsidRPr="00D85251" w:rsidRDefault="00D85251" w:rsidP="0027541F">
            <w:pPr>
              <w:pStyle w:val="TableBodyText"/>
              <w:keepNext/>
            </w:pPr>
            <w:r w:rsidRPr="00D85251">
              <w:t>145 (5%)</w:t>
            </w:r>
          </w:p>
        </w:tc>
      </w:tr>
      <w:tr w:rsidR="00D85251" w:rsidRPr="00D85251" w14:paraId="3A836C46" w14:textId="77777777" w:rsidTr="006F0139">
        <w:tc>
          <w:tcPr>
            <w:tcW w:w="2229" w:type="dxa"/>
            <w:tcBorders>
              <w:top w:val="dotted" w:sz="4" w:space="0" w:color="auto"/>
              <w:bottom w:val="single" w:sz="4" w:space="0" w:color="auto"/>
            </w:tcBorders>
          </w:tcPr>
          <w:p w14:paraId="5547C4B9" w14:textId="5D1EFB6F" w:rsidR="00D85251" w:rsidRPr="00D85251" w:rsidRDefault="006F0139" w:rsidP="0027541F">
            <w:pPr>
              <w:pStyle w:val="TableBodyText"/>
              <w:keepNext/>
            </w:pPr>
            <w:r>
              <w:t xml:space="preserve">  </w:t>
            </w:r>
            <w:r w:rsidR="00D85251" w:rsidRPr="00D85251">
              <w:t>Tertiary</w:t>
            </w:r>
          </w:p>
        </w:tc>
        <w:tc>
          <w:tcPr>
            <w:tcW w:w="1710" w:type="dxa"/>
            <w:tcBorders>
              <w:top w:val="dotted" w:sz="4" w:space="0" w:color="auto"/>
              <w:bottom w:val="single" w:sz="4" w:space="0" w:color="auto"/>
            </w:tcBorders>
            <w:vAlign w:val="center"/>
          </w:tcPr>
          <w:p w14:paraId="3D52DDC0" w14:textId="77777777" w:rsidR="00D85251" w:rsidRPr="00D85251" w:rsidRDefault="00D85251" w:rsidP="0027541F">
            <w:pPr>
              <w:pStyle w:val="TableBodyText"/>
              <w:keepNext/>
            </w:pPr>
            <w:r w:rsidRPr="00D85251">
              <w:t>56 (73%)</w:t>
            </w:r>
          </w:p>
        </w:tc>
        <w:tc>
          <w:tcPr>
            <w:tcW w:w="1800" w:type="dxa"/>
            <w:tcBorders>
              <w:top w:val="dotted" w:sz="4" w:space="0" w:color="auto"/>
              <w:bottom w:val="single" w:sz="4" w:space="0" w:color="auto"/>
            </w:tcBorders>
            <w:vAlign w:val="center"/>
          </w:tcPr>
          <w:p w14:paraId="2F11E1D9" w14:textId="77777777" w:rsidR="00D85251" w:rsidRPr="00D85251" w:rsidRDefault="00D85251" w:rsidP="0027541F">
            <w:pPr>
              <w:pStyle w:val="TableBodyText"/>
              <w:keepNext/>
            </w:pPr>
            <w:r w:rsidRPr="00D85251">
              <w:t>47 (71%)</w:t>
            </w:r>
          </w:p>
        </w:tc>
        <w:tc>
          <w:tcPr>
            <w:tcW w:w="2649" w:type="dxa"/>
            <w:tcBorders>
              <w:top w:val="dotted" w:sz="4" w:space="0" w:color="auto"/>
              <w:bottom w:val="single" w:sz="4" w:space="0" w:color="auto"/>
            </w:tcBorders>
            <w:vAlign w:val="center"/>
          </w:tcPr>
          <w:p w14:paraId="5C12062A" w14:textId="77777777" w:rsidR="00D85251" w:rsidRPr="00D85251" w:rsidRDefault="00D85251" w:rsidP="0027541F">
            <w:pPr>
              <w:pStyle w:val="TableBodyText"/>
              <w:keepNext/>
            </w:pPr>
            <w:r w:rsidRPr="00D85251">
              <w:t>2,187 (74%)</w:t>
            </w:r>
          </w:p>
        </w:tc>
      </w:tr>
      <w:tr w:rsidR="00D85251" w:rsidRPr="00D85251" w14:paraId="116DA739" w14:textId="77777777" w:rsidTr="006F0139">
        <w:tc>
          <w:tcPr>
            <w:tcW w:w="5739" w:type="dxa"/>
            <w:gridSpan w:val="3"/>
            <w:tcBorders>
              <w:top w:val="single" w:sz="4" w:space="0" w:color="auto"/>
              <w:bottom w:val="dotted" w:sz="4" w:space="0" w:color="000000"/>
            </w:tcBorders>
          </w:tcPr>
          <w:p w14:paraId="5EDD8C4C" w14:textId="77777777" w:rsidR="00D85251" w:rsidRPr="006F0139" w:rsidRDefault="00D85251" w:rsidP="0027541F">
            <w:pPr>
              <w:pStyle w:val="TableBodyText"/>
              <w:keepNext/>
              <w:rPr>
                <w:b/>
                <w:i/>
              </w:rPr>
            </w:pPr>
            <w:r w:rsidRPr="006F0139">
              <w:rPr>
                <w:b/>
                <w:i/>
              </w:rPr>
              <w:t>Disinfection Process</w:t>
            </w:r>
          </w:p>
        </w:tc>
        <w:tc>
          <w:tcPr>
            <w:tcW w:w="2649" w:type="dxa"/>
            <w:tcBorders>
              <w:top w:val="single" w:sz="4" w:space="0" w:color="auto"/>
              <w:bottom w:val="dotted" w:sz="4" w:space="0" w:color="000000"/>
            </w:tcBorders>
          </w:tcPr>
          <w:p w14:paraId="745C3BC3" w14:textId="77777777" w:rsidR="00D85251" w:rsidRPr="00D85251" w:rsidRDefault="00D85251" w:rsidP="0027541F">
            <w:pPr>
              <w:pStyle w:val="TableBodyText"/>
              <w:keepNext/>
            </w:pPr>
          </w:p>
        </w:tc>
      </w:tr>
      <w:tr w:rsidR="00D85251" w:rsidRPr="00D85251" w14:paraId="6D5DBB37" w14:textId="77777777" w:rsidTr="006F0139">
        <w:tc>
          <w:tcPr>
            <w:tcW w:w="2229" w:type="dxa"/>
            <w:tcBorders>
              <w:top w:val="dotted" w:sz="4" w:space="0" w:color="000000"/>
              <w:bottom w:val="dotted" w:sz="4" w:space="0" w:color="000000"/>
            </w:tcBorders>
          </w:tcPr>
          <w:p w14:paraId="36B4E117" w14:textId="371360E3" w:rsidR="00D85251" w:rsidRPr="00D85251" w:rsidRDefault="006F0139" w:rsidP="0027541F">
            <w:pPr>
              <w:pStyle w:val="TableBodyText"/>
              <w:keepNext/>
            </w:pPr>
            <w:r>
              <w:t xml:space="preserve">  </w:t>
            </w:r>
            <w:r w:rsidR="00D85251" w:rsidRPr="00D85251">
              <w:t>Chlorination</w:t>
            </w:r>
            <w:r w:rsidRPr="006F0139">
              <w:rPr>
                <w:vertAlign w:val="superscript"/>
              </w:rPr>
              <w:t>[</w:t>
            </w:r>
            <w:r w:rsidR="00816475">
              <w:rPr>
                <w:vertAlign w:val="superscript"/>
              </w:rPr>
              <w:t>b</w:t>
            </w:r>
            <w:r w:rsidRPr="006F0139">
              <w:rPr>
                <w:vertAlign w:val="superscript"/>
              </w:rPr>
              <w:t>]</w:t>
            </w:r>
          </w:p>
        </w:tc>
        <w:tc>
          <w:tcPr>
            <w:tcW w:w="1710" w:type="dxa"/>
            <w:tcBorders>
              <w:top w:val="dotted" w:sz="4" w:space="0" w:color="000000"/>
              <w:bottom w:val="dotted" w:sz="4" w:space="0" w:color="000000"/>
            </w:tcBorders>
            <w:vAlign w:val="center"/>
          </w:tcPr>
          <w:p w14:paraId="542C0FB6" w14:textId="77777777" w:rsidR="00D85251" w:rsidRPr="00D85251" w:rsidRDefault="00D85251" w:rsidP="0027541F">
            <w:pPr>
              <w:pStyle w:val="TableBodyText"/>
              <w:keepNext/>
            </w:pPr>
            <w:r w:rsidRPr="00D85251">
              <w:t>39 (51%)</w:t>
            </w:r>
          </w:p>
        </w:tc>
        <w:tc>
          <w:tcPr>
            <w:tcW w:w="1800" w:type="dxa"/>
            <w:tcBorders>
              <w:top w:val="dotted" w:sz="4" w:space="0" w:color="000000"/>
              <w:bottom w:val="dotted" w:sz="4" w:space="0" w:color="000000"/>
            </w:tcBorders>
            <w:vAlign w:val="center"/>
          </w:tcPr>
          <w:p w14:paraId="3963A996" w14:textId="77777777" w:rsidR="00D85251" w:rsidRPr="00D85251" w:rsidRDefault="00D85251" w:rsidP="0027541F">
            <w:pPr>
              <w:pStyle w:val="TableBodyText"/>
              <w:keepNext/>
            </w:pPr>
            <w:r w:rsidRPr="00D85251">
              <w:t>31 (47%)</w:t>
            </w:r>
          </w:p>
        </w:tc>
        <w:tc>
          <w:tcPr>
            <w:tcW w:w="2649" w:type="dxa"/>
            <w:tcBorders>
              <w:top w:val="dotted" w:sz="4" w:space="0" w:color="000000"/>
              <w:bottom w:val="dotted" w:sz="4" w:space="0" w:color="000000"/>
            </w:tcBorders>
            <w:vAlign w:val="center"/>
          </w:tcPr>
          <w:p w14:paraId="3F6DAB9F" w14:textId="77777777" w:rsidR="00D85251" w:rsidRPr="00D85251" w:rsidRDefault="00D85251" w:rsidP="0027541F">
            <w:pPr>
              <w:pStyle w:val="TableBodyText"/>
              <w:keepNext/>
            </w:pPr>
            <w:r w:rsidRPr="00D85251">
              <w:t>1,144 (39%)</w:t>
            </w:r>
          </w:p>
        </w:tc>
      </w:tr>
      <w:tr w:rsidR="00D85251" w:rsidRPr="00D85251" w14:paraId="140B75B0" w14:textId="77777777" w:rsidTr="006F0139">
        <w:tc>
          <w:tcPr>
            <w:tcW w:w="2229" w:type="dxa"/>
            <w:tcBorders>
              <w:top w:val="dotted" w:sz="4" w:space="0" w:color="000000"/>
              <w:bottom w:val="single" w:sz="4" w:space="0" w:color="000000"/>
            </w:tcBorders>
          </w:tcPr>
          <w:p w14:paraId="3FE41F9F" w14:textId="1A801B27" w:rsidR="00D85251" w:rsidRPr="00D85251" w:rsidRDefault="006F0139" w:rsidP="00D85251">
            <w:pPr>
              <w:pStyle w:val="TableBodyText"/>
            </w:pPr>
            <w:r>
              <w:t xml:space="preserve">  </w:t>
            </w:r>
            <w:r w:rsidR="00D85251" w:rsidRPr="00D85251">
              <w:t>Ultraviolet</w:t>
            </w:r>
            <w:r w:rsidRPr="006F0139">
              <w:rPr>
                <w:vertAlign w:val="superscript"/>
              </w:rPr>
              <w:t>[</w:t>
            </w:r>
            <w:r w:rsidR="00816475">
              <w:rPr>
                <w:vertAlign w:val="superscript"/>
              </w:rPr>
              <w:t>b</w:t>
            </w:r>
            <w:r w:rsidRPr="006F0139">
              <w:rPr>
                <w:vertAlign w:val="superscript"/>
              </w:rPr>
              <w:t>]</w:t>
            </w:r>
          </w:p>
        </w:tc>
        <w:tc>
          <w:tcPr>
            <w:tcW w:w="1710" w:type="dxa"/>
            <w:tcBorders>
              <w:top w:val="dotted" w:sz="4" w:space="0" w:color="000000"/>
              <w:bottom w:val="single" w:sz="4" w:space="0" w:color="000000"/>
            </w:tcBorders>
            <w:vAlign w:val="center"/>
          </w:tcPr>
          <w:p w14:paraId="2D9DED4E" w14:textId="77777777" w:rsidR="00D85251" w:rsidRPr="00D85251" w:rsidRDefault="00D85251" w:rsidP="00D85251">
            <w:pPr>
              <w:pStyle w:val="TableBodyText"/>
            </w:pPr>
            <w:r w:rsidRPr="00D85251">
              <w:t>38 (49%)</w:t>
            </w:r>
          </w:p>
        </w:tc>
        <w:tc>
          <w:tcPr>
            <w:tcW w:w="1800" w:type="dxa"/>
            <w:tcBorders>
              <w:top w:val="dotted" w:sz="4" w:space="0" w:color="000000"/>
              <w:bottom w:val="single" w:sz="4" w:space="0" w:color="000000"/>
            </w:tcBorders>
            <w:vAlign w:val="center"/>
          </w:tcPr>
          <w:p w14:paraId="1EA59B4F" w14:textId="77777777" w:rsidR="00D85251" w:rsidRPr="00D85251" w:rsidRDefault="00D85251" w:rsidP="00D85251">
            <w:pPr>
              <w:pStyle w:val="TableBodyText"/>
            </w:pPr>
            <w:r w:rsidRPr="00D85251">
              <w:t>35 (53%)</w:t>
            </w:r>
          </w:p>
        </w:tc>
        <w:tc>
          <w:tcPr>
            <w:tcW w:w="2649" w:type="dxa"/>
            <w:tcBorders>
              <w:top w:val="dotted" w:sz="4" w:space="0" w:color="000000"/>
              <w:bottom w:val="single" w:sz="4" w:space="0" w:color="000000"/>
            </w:tcBorders>
            <w:vAlign w:val="center"/>
          </w:tcPr>
          <w:p w14:paraId="5243F499" w14:textId="77777777" w:rsidR="00D85251" w:rsidRPr="00D85251" w:rsidRDefault="00D85251" w:rsidP="00D85251">
            <w:pPr>
              <w:pStyle w:val="TableBodyText"/>
            </w:pPr>
            <w:r w:rsidRPr="00D85251">
              <w:t>1,808 (61%)</w:t>
            </w:r>
          </w:p>
        </w:tc>
      </w:tr>
    </w:tbl>
    <w:p w14:paraId="16AEAE31" w14:textId="73E96FFE" w:rsidR="00D85251" w:rsidRPr="001B1399" w:rsidRDefault="006F0139" w:rsidP="00816475">
      <w:pPr>
        <w:pStyle w:val="TableFootnote"/>
        <w:ind w:left="288" w:hanging="288"/>
      </w:pPr>
      <w:r>
        <w:t xml:space="preserve">[a] </w:t>
      </w:r>
      <w:r w:rsidR="00D85251" w:rsidRPr="001B1399">
        <w:t>Chronic toxicity test reports include routine chronic toxicity testing, accelerated testing, and TRE/TIE-related testing.</w:t>
      </w:r>
    </w:p>
    <w:p w14:paraId="465D4BB1" w14:textId="2D1D4DB5" w:rsidR="00D85251" w:rsidRDefault="006F0139" w:rsidP="00816475">
      <w:pPr>
        <w:pStyle w:val="TableFootnote"/>
        <w:ind w:left="288" w:hanging="288"/>
      </w:pPr>
      <w:r>
        <w:t xml:space="preserve">[b] </w:t>
      </w:r>
      <w:r w:rsidR="00D85251" w:rsidRPr="001B1399">
        <w:t>Nevada County Sanitation District No. 1 Lake Wildwood Wastewater Treatment Plant converted from chlorination to ultraviolet light disinfection in 2013. The data analys</w:t>
      </w:r>
      <w:r>
        <w:t>i</w:t>
      </w:r>
      <w:r w:rsidR="00D85251" w:rsidRPr="001B1399">
        <w:t>s consider</w:t>
      </w:r>
      <w:r>
        <w:t>s</w:t>
      </w:r>
      <w:r w:rsidR="00D85251" w:rsidRPr="001B1399">
        <w:t xml:space="preserve"> the disinfection method utilized at the time of the chronic toxicity test and groups information appropriately. For this table, this facility is considered an ultraviolet light disinfection facility.</w:t>
      </w:r>
    </w:p>
    <w:p w14:paraId="583AE3E8" w14:textId="77777777" w:rsidR="0027541F" w:rsidRPr="001B1399" w:rsidRDefault="0027541F" w:rsidP="00816475">
      <w:pPr>
        <w:pStyle w:val="TableFootnote"/>
        <w:ind w:left="288" w:hanging="288"/>
      </w:pPr>
    </w:p>
    <w:p w14:paraId="6572B76C" w14:textId="53C17F39" w:rsidR="00D85251" w:rsidRPr="006F0139" w:rsidRDefault="00D85251" w:rsidP="006F0139">
      <w:pPr>
        <w:spacing w:before="120"/>
        <w:rPr>
          <w:rFonts w:cs="Times New Roman"/>
          <w:szCs w:val="24"/>
        </w:rPr>
      </w:pPr>
      <w:bookmarkStart w:id="12" w:name="_Ref516504767"/>
      <w:bookmarkStart w:id="13" w:name="_Toc516593024"/>
      <w:r w:rsidRPr="006F0139">
        <w:rPr>
          <w:rFonts w:cs="Times New Roman"/>
          <w:szCs w:val="24"/>
        </w:rPr>
        <w:t>As shown in</w:t>
      </w:r>
      <w:r w:rsidR="008F4D09">
        <w:rPr>
          <w:rFonts w:cs="Times New Roman"/>
          <w:szCs w:val="24"/>
        </w:rPr>
        <w:t xml:space="preserve"> </w:t>
      </w:r>
      <w:r w:rsidR="008F4D09" w:rsidRPr="008F4D09">
        <w:rPr>
          <w:rFonts w:cs="Times New Roman"/>
          <w:b/>
          <w:szCs w:val="24"/>
        </w:rPr>
        <w:fldChar w:fldCharType="begin"/>
      </w:r>
      <w:r w:rsidR="008F4D09" w:rsidRPr="008F4D09">
        <w:rPr>
          <w:rFonts w:cs="Times New Roman"/>
          <w:b/>
          <w:szCs w:val="24"/>
        </w:rPr>
        <w:instrText xml:space="preserve"> REF _Ref527450545 \h  \* MERGEFORMAT </w:instrText>
      </w:r>
      <w:r w:rsidR="008F4D09" w:rsidRPr="008F4D09">
        <w:rPr>
          <w:rFonts w:cs="Times New Roman"/>
          <w:b/>
          <w:szCs w:val="24"/>
        </w:rPr>
      </w:r>
      <w:r w:rsidR="008F4D09" w:rsidRPr="008F4D09">
        <w:rPr>
          <w:rFonts w:cs="Times New Roman"/>
          <w:b/>
          <w:szCs w:val="24"/>
        </w:rPr>
        <w:fldChar w:fldCharType="separate"/>
      </w:r>
      <w:r w:rsidR="008F4D09" w:rsidRPr="008F4D09">
        <w:rPr>
          <w:rFonts w:cs="Times New Roman"/>
          <w:b/>
          <w:szCs w:val="24"/>
        </w:rPr>
        <w:t>Table 2</w:t>
      </w:r>
      <w:r w:rsidR="008F4D09" w:rsidRPr="008F4D09">
        <w:rPr>
          <w:rFonts w:cs="Times New Roman"/>
          <w:b/>
          <w:szCs w:val="24"/>
        </w:rPr>
        <w:fldChar w:fldCharType="end"/>
      </w:r>
      <w:r w:rsidRPr="006F0139">
        <w:rPr>
          <w:rFonts w:cs="Times New Roman"/>
          <w:szCs w:val="24"/>
        </w:rPr>
        <w:t xml:space="preserve">, for the period from </w:t>
      </w:r>
      <w:r w:rsidR="008F4D09">
        <w:rPr>
          <w:rFonts w:cs="Times New Roman"/>
          <w:szCs w:val="24"/>
        </w:rPr>
        <w:t xml:space="preserve">January </w:t>
      </w:r>
      <w:r w:rsidRPr="006F0139">
        <w:rPr>
          <w:rFonts w:cs="Times New Roman"/>
          <w:szCs w:val="24"/>
        </w:rPr>
        <w:t xml:space="preserve">2011 to March 2017, </w:t>
      </w:r>
      <w:proofErr w:type="spellStart"/>
      <w:r w:rsidRPr="006F0139">
        <w:rPr>
          <w:rFonts w:cs="Times New Roman"/>
          <w:i/>
          <w:szCs w:val="24"/>
        </w:rPr>
        <w:t>Ceriodaphnia</w:t>
      </w:r>
      <w:proofErr w:type="spellEnd"/>
      <w:r w:rsidRPr="006F0139">
        <w:rPr>
          <w:rFonts w:cs="Times New Roman"/>
          <w:i/>
          <w:szCs w:val="24"/>
        </w:rPr>
        <w:t xml:space="preserve"> </w:t>
      </w:r>
      <w:proofErr w:type="spellStart"/>
      <w:r w:rsidRPr="006F0139">
        <w:rPr>
          <w:rFonts w:cs="Times New Roman"/>
          <w:i/>
          <w:szCs w:val="24"/>
        </w:rPr>
        <w:t>dubia</w:t>
      </w:r>
      <w:proofErr w:type="spellEnd"/>
      <w:r w:rsidRPr="006F0139">
        <w:rPr>
          <w:rFonts w:cs="Times New Roman"/>
          <w:szCs w:val="24"/>
        </w:rPr>
        <w:t xml:space="preserve"> chronic test reproduction results have yielded the greatest frequency of toxicity in effluent samples in the Central Valley for POTWs which have no dilution credit and must meet chronic toxicity triggers of 1 </w:t>
      </w:r>
      <w:proofErr w:type="spellStart"/>
      <w:r w:rsidRPr="006F0139">
        <w:rPr>
          <w:rFonts w:cs="Times New Roman"/>
          <w:szCs w:val="24"/>
        </w:rPr>
        <w:t>TUc</w:t>
      </w:r>
      <w:proofErr w:type="spellEnd"/>
      <w:r w:rsidRPr="006F0139">
        <w:rPr>
          <w:rFonts w:cs="Times New Roman"/>
          <w:szCs w:val="24"/>
        </w:rPr>
        <w:t xml:space="preserve">. For Central Valley POTWs in this category, </w:t>
      </w:r>
      <w:proofErr w:type="spellStart"/>
      <w:r w:rsidRPr="006F0139">
        <w:rPr>
          <w:rFonts w:cs="Times New Roman"/>
          <w:i/>
          <w:szCs w:val="24"/>
        </w:rPr>
        <w:t>Ceriodaphnia</w:t>
      </w:r>
      <w:proofErr w:type="spellEnd"/>
      <w:r w:rsidRPr="006F0139">
        <w:rPr>
          <w:rFonts w:cs="Times New Roman"/>
          <w:i/>
          <w:szCs w:val="24"/>
        </w:rPr>
        <w:t xml:space="preserve"> </w:t>
      </w:r>
      <w:proofErr w:type="spellStart"/>
      <w:r w:rsidRPr="006F0139">
        <w:rPr>
          <w:rFonts w:cs="Times New Roman"/>
          <w:i/>
          <w:szCs w:val="24"/>
        </w:rPr>
        <w:t>dubia</w:t>
      </w:r>
      <w:proofErr w:type="spellEnd"/>
      <w:r w:rsidRPr="006F0139">
        <w:rPr>
          <w:rFonts w:cs="Times New Roman"/>
          <w:szCs w:val="24"/>
        </w:rPr>
        <w:t xml:space="preserve"> reproduction results have accounted for 55% of all toxicity trigger exceedances for the period in question. The frequency of toxicity trigger exceedances for the routine tests </w:t>
      </w:r>
      <w:r w:rsidR="008F4D09">
        <w:rPr>
          <w:rFonts w:cs="Times New Roman"/>
          <w:szCs w:val="24"/>
        </w:rPr>
        <w:t>performed</w:t>
      </w:r>
      <w:r w:rsidRPr="006F0139">
        <w:rPr>
          <w:rFonts w:cs="Times New Roman"/>
          <w:szCs w:val="24"/>
        </w:rPr>
        <w:t xml:space="preserve"> is shown to be 16% in</w:t>
      </w:r>
      <w:r w:rsidR="008F4D09">
        <w:rPr>
          <w:rFonts w:cs="Times New Roman"/>
          <w:szCs w:val="24"/>
        </w:rPr>
        <w:t xml:space="preserve"> </w:t>
      </w:r>
      <w:r w:rsidR="008F4D09" w:rsidRPr="008F4D09">
        <w:rPr>
          <w:rFonts w:cs="Times New Roman"/>
          <w:b/>
          <w:szCs w:val="24"/>
        </w:rPr>
        <w:fldChar w:fldCharType="begin"/>
      </w:r>
      <w:r w:rsidR="008F4D09" w:rsidRPr="008F4D09">
        <w:rPr>
          <w:rFonts w:cs="Times New Roman"/>
          <w:b/>
          <w:szCs w:val="24"/>
        </w:rPr>
        <w:instrText xml:space="preserve"> REF _Ref527450545 \h  \* MERGEFORMAT </w:instrText>
      </w:r>
      <w:r w:rsidR="008F4D09" w:rsidRPr="008F4D09">
        <w:rPr>
          <w:rFonts w:cs="Times New Roman"/>
          <w:b/>
          <w:szCs w:val="24"/>
        </w:rPr>
      </w:r>
      <w:r w:rsidR="008F4D09" w:rsidRPr="008F4D09">
        <w:rPr>
          <w:rFonts w:cs="Times New Roman"/>
          <w:b/>
          <w:szCs w:val="24"/>
        </w:rPr>
        <w:fldChar w:fldCharType="separate"/>
      </w:r>
      <w:r w:rsidR="008F4D09" w:rsidRPr="008F4D09">
        <w:rPr>
          <w:rFonts w:cs="Times New Roman"/>
          <w:b/>
          <w:szCs w:val="24"/>
        </w:rPr>
        <w:t>Table 2</w:t>
      </w:r>
      <w:r w:rsidR="008F4D09" w:rsidRPr="008F4D09">
        <w:rPr>
          <w:rFonts w:cs="Times New Roman"/>
          <w:b/>
          <w:szCs w:val="24"/>
        </w:rPr>
        <w:fldChar w:fldCharType="end"/>
      </w:r>
      <w:r w:rsidRPr="006F0139">
        <w:rPr>
          <w:rFonts w:cs="Times New Roman"/>
          <w:szCs w:val="24"/>
        </w:rPr>
        <w:t>.</w:t>
      </w:r>
    </w:p>
    <w:p w14:paraId="7CF3862B" w14:textId="098EB6BA" w:rsidR="00D85251" w:rsidRPr="001B1399" w:rsidRDefault="00D85251" w:rsidP="006F0139">
      <w:pPr>
        <w:pStyle w:val="TableTitle"/>
      </w:pPr>
      <w:bookmarkStart w:id="14" w:name="_Ref527450545"/>
      <w:r w:rsidRPr="001B1399">
        <w:t xml:space="preserve">Table </w:t>
      </w:r>
      <w:r w:rsidR="00345B95">
        <w:rPr>
          <w:noProof/>
        </w:rPr>
        <w:fldChar w:fldCharType="begin"/>
      </w:r>
      <w:r w:rsidR="00345B95">
        <w:rPr>
          <w:noProof/>
        </w:rPr>
        <w:instrText xml:space="preserve"> SEQ Table \* ARABIC </w:instrText>
      </w:r>
      <w:r w:rsidR="00345B95">
        <w:rPr>
          <w:noProof/>
        </w:rPr>
        <w:fldChar w:fldCharType="separate"/>
      </w:r>
      <w:r w:rsidR="006F0139">
        <w:rPr>
          <w:noProof/>
        </w:rPr>
        <w:t>2</w:t>
      </w:r>
      <w:r w:rsidR="00345B95">
        <w:rPr>
          <w:noProof/>
        </w:rPr>
        <w:fldChar w:fldCharType="end"/>
      </w:r>
      <w:bookmarkEnd w:id="12"/>
      <w:bookmarkEnd w:id="14"/>
      <w:r w:rsidRPr="001B1399">
        <w:t>. Central Valley POTWs Chronic Toxicity Trigger Exceedances, January 2011 to March 2017.</w:t>
      </w:r>
      <w:bookmarkEnd w:id="13"/>
    </w:p>
    <w:tbl>
      <w:tblPr>
        <w:tblStyle w:val="TableGrid"/>
        <w:tblW w:w="0" w:type="auto"/>
        <w:tblLook w:val="04A0" w:firstRow="1" w:lastRow="0" w:firstColumn="1" w:lastColumn="0" w:noHBand="0" w:noVBand="1"/>
      </w:tblPr>
      <w:tblGrid>
        <w:gridCol w:w="3694"/>
        <w:gridCol w:w="1674"/>
        <w:gridCol w:w="2125"/>
        <w:gridCol w:w="1867"/>
      </w:tblGrid>
      <w:tr w:rsidR="00D85251" w:rsidRPr="006F0139" w14:paraId="697D2061" w14:textId="77777777" w:rsidTr="006F0139">
        <w:trPr>
          <w:cnfStyle w:val="100000000000" w:firstRow="1" w:lastRow="0" w:firstColumn="0" w:lastColumn="0" w:oddVBand="0" w:evenVBand="0" w:oddHBand="0" w:evenHBand="0" w:firstRowFirstColumn="0" w:firstRowLastColumn="0" w:lastRowFirstColumn="0" w:lastRowLastColumn="0"/>
          <w:tblHeader/>
        </w:trPr>
        <w:tc>
          <w:tcPr>
            <w:tcW w:w="3780" w:type="dxa"/>
            <w:vAlign w:val="center"/>
          </w:tcPr>
          <w:p w14:paraId="256F1AF4" w14:textId="77777777" w:rsidR="00D85251" w:rsidRPr="006F0139" w:rsidRDefault="00D85251" w:rsidP="006F0139">
            <w:pPr>
              <w:pStyle w:val="TableBodyText"/>
              <w:rPr>
                <w:rFonts w:cs="Arial"/>
                <w:szCs w:val="20"/>
              </w:rPr>
            </w:pPr>
            <w:r w:rsidRPr="006F0139">
              <w:rPr>
                <w:rFonts w:cs="Arial"/>
                <w:szCs w:val="20"/>
              </w:rPr>
              <w:t>Test Organism/Endpoint</w:t>
            </w:r>
          </w:p>
        </w:tc>
        <w:tc>
          <w:tcPr>
            <w:tcW w:w="1710" w:type="dxa"/>
            <w:vAlign w:val="center"/>
          </w:tcPr>
          <w:p w14:paraId="3269DBE2" w14:textId="77777777" w:rsidR="00D85251" w:rsidRPr="006F0139" w:rsidRDefault="00D85251" w:rsidP="006F0139">
            <w:pPr>
              <w:pStyle w:val="TableBodyText"/>
              <w:rPr>
                <w:rFonts w:cs="Arial"/>
                <w:szCs w:val="20"/>
              </w:rPr>
            </w:pPr>
            <w:r w:rsidRPr="006F0139">
              <w:rPr>
                <w:rFonts w:cs="Arial"/>
                <w:szCs w:val="20"/>
              </w:rPr>
              <w:t>Total Number of Chronic Toxicity Tests</w:t>
            </w:r>
          </w:p>
        </w:tc>
        <w:tc>
          <w:tcPr>
            <w:tcW w:w="2160" w:type="dxa"/>
            <w:vAlign w:val="center"/>
          </w:tcPr>
          <w:p w14:paraId="22252D64" w14:textId="77777777" w:rsidR="00D85251" w:rsidRPr="006F0139" w:rsidRDefault="00D85251" w:rsidP="006F0139">
            <w:pPr>
              <w:pStyle w:val="TableBodyText"/>
              <w:rPr>
                <w:rFonts w:cs="Arial"/>
                <w:szCs w:val="20"/>
              </w:rPr>
            </w:pPr>
            <w:r w:rsidRPr="006F0139">
              <w:rPr>
                <w:rFonts w:cs="Arial"/>
                <w:szCs w:val="20"/>
              </w:rPr>
              <w:t>Number of Chronic Toxicity Trigger Exceedances (%)</w:t>
            </w:r>
          </w:p>
        </w:tc>
        <w:tc>
          <w:tcPr>
            <w:tcW w:w="1908" w:type="dxa"/>
            <w:vAlign w:val="center"/>
          </w:tcPr>
          <w:p w14:paraId="074B2954" w14:textId="77777777" w:rsidR="00D85251" w:rsidRPr="006F0139" w:rsidRDefault="00D85251" w:rsidP="006F0139">
            <w:pPr>
              <w:pStyle w:val="TableBodyText"/>
              <w:rPr>
                <w:rFonts w:cs="Arial"/>
                <w:szCs w:val="20"/>
              </w:rPr>
            </w:pPr>
            <w:r w:rsidRPr="006F0139">
              <w:rPr>
                <w:rFonts w:cs="Arial"/>
                <w:szCs w:val="20"/>
              </w:rPr>
              <w:t>Number and Percent of Central Valley POTWs Impacted</w:t>
            </w:r>
          </w:p>
        </w:tc>
      </w:tr>
      <w:tr w:rsidR="00D85251" w:rsidRPr="006F0139" w14:paraId="1AAF4FA0" w14:textId="77777777" w:rsidTr="006F0139">
        <w:tc>
          <w:tcPr>
            <w:tcW w:w="9558" w:type="dxa"/>
            <w:gridSpan w:val="4"/>
            <w:tcBorders>
              <w:bottom w:val="dotted" w:sz="4" w:space="0" w:color="auto"/>
            </w:tcBorders>
          </w:tcPr>
          <w:p w14:paraId="0050112B" w14:textId="7B090724" w:rsidR="00D85251" w:rsidRPr="006F0139" w:rsidRDefault="00D85251" w:rsidP="006F0139">
            <w:pPr>
              <w:pStyle w:val="TableBodyText"/>
              <w:rPr>
                <w:rFonts w:cs="Arial"/>
                <w:b/>
                <w:i/>
                <w:szCs w:val="20"/>
              </w:rPr>
            </w:pPr>
            <w:r w:rsidRPr="006F0139">
              <w:rPr>
                <w:rFonts w:cs="Arial"/>
                <w:b/>
                <w:i/>
                <w:szCs w:val="20"/>
              </w:rPr>
              <w:t xml:space="preserve">Central Valley POTWs with Chronic Toxicity Trigger = 1 </w:t>
            </w:r>
            <w:proofErr w:type="spellStart"/>
            <w:r w:rsidRPr="006F0139">
              <w:rPr>
                <w:rFonts w:cs="Arial"/>
                <w:b/>
                <w:i/>
                <w:szCs w:val="20"/>
              </w:rPr>
              <w:t>TUc</w:t>
            </w:r>
            <w:proofErr w:type="spellEnd"/>
            <w:r w:rsidR="006F0139" w:rsidRPr="006F0139">
              <w:rPr>
                <w:rFonts w:cs="Arial"/>
                <w:b/>
                <w:i/>
                <w:szCs w:val="20"/>
                <w:vertAlign w:val="superscript"/>
              </w:rPr>
              <w:t>[a]</w:t>
            </w:r>
          </w:p>
        </w:tc>
      </w:tr>
      <w:tr w:rsidR="00D85251" w:rsidRPr="006F0139" w14:paraId="16BF5F98" w14:textId="77777777" w:rsidTr="006F0139">
        <w:tc>
          <w:tcPr>
            <w:tcW w:w="3780" w:type="dxa"/>
            <w:tcBorders>
              <w:top w:val="dotted" w:sz="4" w:space="0" w:color="auto"/>
              <w:bottom w:val="dotted" w:sz="4" w:space="0" w:color="auto"/>
            </w:tcBorders>
          </w:tcPr>
          <w:p w14:paraId="528E7F06" w14:textId="77777777" w:rsidR="00D85251" w:rsidRPr="006F0139" w:rsidRDefault="00D85251" w:rsidP="006F0139">
            <w:pPr>
              <w:pStyle w:val="TableBodyText"/>
              <w:rPr>
                <w:rFonts w:cs="Arial"/>
                <w:szCs w:val="20"/>
              </w:rPr>
            </w:pPr>
            <w:proofErr w:type="spellStart"/>
            <w:r w:rsidRPr="006F0139">
              <w:rPr>
                <w:rFonts w:cs="Arial"/>
                <w:i/>
                <w:szCs w:val="20"/>
              </w:rPr>
              <w:t>Pimephales</w:t>
            </w:r>
            <w:proofErr w:type="spellEnd"/>
            <w:r w:rsidRPr="006F0139">
              <w:rPr>
                <w:rFonts w:cs="Arial"/>
                <w:i/>
                <w:szCs w:val="20"/>
              </w:rPr>
              <w:t xml:space="preserve"> </w:t>
            </w:r>
            <w:proofErr w:type="spellStart"/>
            <w:r w:rsidRPr="006F0139">
              <w:rPr>
                <w:rFonts w:cs="Arial"/>
                <w:i/>
                <w:szCs w:val="20"/>
              </w:rPr>
              <w:t>promelas</w:t>
            </w:r>
            <w:proofErr w:type="spellEnd"/>
            <w:r w:rsidRPr="006F0139">
              <w:rPr>
                <w:rFonts w:cs="Arial"/>
                <w:szCs w:val="20"/>
              </w:rPr>
              <w:t xml:space="preserve"> (survival)</w:t>
            </w:r>
          </w:p>
        </w:tc>
        <w:tc>
          <w:tcPr>
            <w:tcW w:w="1710" w:type="dxa"/>
            <w:tcBorders>
              <w:top w:val="dotted" w:sz="4" w:space="0" w:color="auto"/>
              <w:bottom w:val="dotted" w:sz="4" w:space="0" w:color="auto"/>
            </w:tcBorders>
          </w:tcPr>
          <w:p w14:paraId="3FABDF7B" w14:textId="77777777" w:rsidR="00D85251" w:rsidRPr="006F0139" w:rsidRDefault="00D85251" w:rsidP="006F0139">
            <w:pPr>
              <w:pStyle w:val="TableBodyText"/>
              <w:rPr>
                <w:rFonts w:cs="Arial"/>
                <w:szCs w:val="20"/>
              </w:rPr>
            </w:pPr>
            <w:r w:rsidRPr="006F0139">
              <w:rPr>
                <w:rFonts w:cs="Arial"/>
                <w:szCs w:val="20"/>
              </w:rPr>
              <w:t>832</w:t>
            </w:r>
          </w:p>
        </w:tc>
        <w:tc>
          <w:tcPr>
            <w:tcW w:w="2160" w:type="dxa"/>
            <w:tcBorders>
              <w:top w:val="dotted" w:sz="4" w:space="0" w:color="auto"/>
              <w:bottom w:val="dotted" w:sz="4" w:space="0" w:color="auto"/>
            </w:tcBorders>
          </w:tcPr>
          <w:p w14:paraId="3FA9369E" w14:textId="77777777" w:rsidR="00D85251" w:rsidRPr="006F0139" w:rsidRDefault="00D85251" w:rsidP="006F0139">
            <w:pPr>
              <w:pStyle w:val="TableBodyText"/>
              <w:rPr>
                <w:rFonts w:cs="Arial"/>
                <w:szCs w:val="20"/>
              </w:rPr>
            </w:pPr>
            <w:r w:rsidRPr="006F0139">
              <w:rPr>
                <w:rFonts w:cs="Arial"/>
                <w:szCs w:val="20"/>
              </w:rPr>
              <w:t>4 (0.5%)</w:t>
            </w:r>
          </w:p>
        </w:tc>
        <w:tc>
          <w:tcPr>
            <w:tcW w:w="1908" w:type="dxa"/>
            <w:tcBorders>
              <w:top w:val="dotted" w:sz="4" w:space="0" w:color="auto"/>
              <w:bottom w:val="dotted" w:sz="4" w:space="0" w:color="auto"/>
            </w:tcBorders>
          </w:tcPr>
          <w:p w14:paraId="59A1296F" w14:textId="77777777" w:rsidR="00D85251" w:rsidRPr="006F0139" w:rsidRDefault="00D85251" w:rsidP="006F0139">
            <w:pPr>
              <w:pStyle w:val="TableBodyText"/>
              <w:rPr>
                <w:rFonts w:cs="Arial"/>
                <w:szCs w:val="20"/>
              </w:rPr>
            </w:pPr>
            <w:r w:rsidRPr="006F0139">
              <w:rPr>
                <w:rFonts w:cs="Arial"/>
                <w:szCs w:val="20"/>
              </w:rPr>
              <w:t>2 (3.4%)</w:t>
            </w:r>
          </w:p>
        </w:tc>
      </w:tr>
      <w:tr w:rsidR="00D85251" w:rsidRPr="006F0139" w14:paraId="3C0C43DA" w14:textId="77777777" w:rsidTr="006F0139">
        <w:tc>
          <w:tcPr>
            <w:tcW w:w="3780" w:type="dxa"/>
            <w:tcBorders>
              <w:top w:val="dotted" w:sz="4" w:space="0" w:color="auto"/>
              <w:bottom w:val="dotted" w:sz="4" w:space="0" w:color="auto"/>
            </w:tcBorders>
          </w:tcPr>
          <w:p w14:paraId="46C2FCA5" w14:textId="77777777" w:rsidR="00D85251" w:rsidRPr="006F0139" w:rsidRDefault="00D85251" w:rsidP="006F0139">
            <w:pPr>
              <w:pStyle w:val="TableBodyText"/>
              <w:rPr>
                <w:rFonts w:cs="Arial"/>
                <w:szCs w:val="20"/>
              </w:rPr>
            </w:pPr>
            <w:proofErr w:type="spellStart"/>
            <w:r w:rsidRPr="006F0139">
              <w:rPr>
                <w:rFonts w:cs="Arial"/>
                <w:i/>
                <w:szCs w:val="20"/>
              </w:rPr>
              <w:t>Pimephales</w:t>
            </w:r>
            <w:proofErr w:type="spellEnd"/>
            <w:r w:rsidRPr="006F0139">
              <w:rPr>
                <w:rFonts w:cs="Arial"/>
                <w:i/>
                <w:szCs w:val="20"/>
              </w:rPr>
              <w:t xml:space="preserve"> </w:t>
            </w:r>
            <w:proofErr w:type="spellStart"/>
            <w:r w:rsidRPr="006F0139">
              <w:rPr>
                <w:rFonts w:cs="Arial"/>
                <w:i/>
                <w:szCs w:val="20"/>
              </w:rPr>
              <w:t>promelas</w:t>
            </w:r>
            <w:proofErr w:type="spellEnd"/>
            <w:r w:rsidRPr="006F0139">
              <w:rPr>
                <w:rFonts w:cs="Arial"/>
                <w:szCs w:val="20"/>
              </w:rPr>
              <w:t xml:space="preserve"> (growth)</w:t>
            </w:r>
          </w:p>
        </w:tc>
        <w:tc>
          <w:tcPr>
            <w:tcW w:w="1710" w:type="dxa"/>
            <w:tcBorders>
              <w:top w:val="dotted" w:sz="4" w:space="0" w:color="auto"/>
              <w:bottom w:val="dotted" w:sz="4" w:space="0" w:color="auto"/>
            </w:tcBorders>
          </w:tcPr>
          <w:p w14:paraId="41632926" w14:textId="77777777" w:rsidR="00D85251" w:rsidRPr="006F0139" w:rsidRDefault="00D85251" w:rsidP="006F0139">
            <w:pPr>
              <w:pStyle w:val="TableBodyText"/>
              <w:rPr>
                <w:rFonts w:cs="Arial"/>
                <w:szCs w:val="20"/>
              </w:rPr>
            </w:pPr>
            <w:r w:rsidRPr="006F0139">
              <w:rPr>
                <w:rFonts w:cs="Arial"/>
                <w:szCs w:val="20"/>
              </w:rPr>
              <w:t>834</w:t>
            </w:r>
          </w:p>
        </w:tc>
        <w:tc>
          <w:tcPr>
            <w:tcW w:w="2160" w:type="dxa"/>
            <w:tcBorders>
              <w:top w:val="dotted" w:sz="4" w:space="0" w:color="auto"/>
              <w:bottom w:val="dotted" w:sz="4" w:space="0" w:color="auto"/>
            </w:tcBorders>
          </w:tcPr>
          <w:p w14:paraId="142E5D2A" w14:textId="77777777" w:rsidR="00D85251" w:rsidRPr="006F0139" w:rsidRDefault="00D85251" w:rsidP="006F0139">
            <w:pPr>
              <w:pStyle w:val="TableBodyText"/>
              <w:rPr>
                <w:rFonts w:cs="Arial"/>
                <w:szCs w:val="20"/>
              </w:rPr>
            </w:pPr>
            <w:r w:rsidRPr="006F0139">
              <w:rPr>
                <w:rFonts w:cs="Arial"/>
                <w:szCs w:val="20"/>
              </w:rPr>
              <w:t>20 (2.4%)</w:t>
            </w:r>
          </w:p>
        </w:tc>
        <w:tc>
          <w:tcPr>
            <w:tcW w:w="1908" w:type="dxa"/>
            <w:tcBorders>
              <w:top w:val="dotted" w:sz="4" w:space="0" w:color="auto"/>
              <w:bottom w:val="dotted" w:sz="4" w:space="0" w:color="auto"/>
            </w:tcBorders>
          </w:tcPr>
          <w:p w14:paraId="51B8DD3D" w14:textId="77777777" w:rsidR="00D85251" w:rsidRPr="006F0139" w:rsidRDefault="00D85251" w:rsidP="006F0139">
            <w:pPr>
              <w:pStyle w:val="TableBodyText"/>
              <w:rPr>
                <w:rFonts w:cs="Arial"/>
                <w:szCs w:val="20"/>
              </w:rPr>
            </w:pPr>
            <w:r w:rsidRPr="006F0139">
              <w:rPr>
                <w:rFonts w:cs="Arial"/>
                <w:szCs w:val="20"/>
              </w:rPr>
              <w:t>15 (25.4%)</w:t>
            </w:r>
          </w:p>
        </w:tc>
      </w:tr>
      <w:tr w:rsidR="00D85251" w:rsidRPr="006F0139" w14:paraId="5A1C75AD" w14:textId="77777777" w:rsidTr="006F0139">
        <w:tc>
          <w:tcPr>
            <w:tcW w:w="3780" w:type="dxa"/>
            <w:tcBorders>
              <w:top w:val="dotted" w:sz="4" w:space="0" w:color="auto"/>
              <w:bottom w:val="dotted" w:sz="4" w:space="0" w:color="auto"/>
            </w:tcBorders>
          </w:tcPr>
          <w:p w14:paraId="3D93E21B" w14:textId="77777777" w:rsidR="00D85251" w:rsidRPr="006F0139" w:rsidRDefault="00D85251" w:rsidP="006F0139">
            <w:pPr>
              <w:pStyle w:val="TableBodyText"/>
              <w:rPr>
                <w:rFonts w:cs="Arial"/>
                <w:szCs w:val="20"/>
              </w:rPr>
            </w:pPr>
            <w:proofErr w:type="spellStart"/>
            <w:r w:rsidRPr="006F0139">
              <w:rPr>
                <w:rFonts w:cs="Arial"/>
                <w:i/>
                <w:szCs w:val="20"/>
              </w:rPr>
              <w:t>Ceriodaphnia</w:t>
            </w:r>
            <w:proofErr w:type="spellEnd"/>
            <w:r w:rsidRPr="006F0139">
              <w:rPr>
                <w:rFonts w:cs="Arial"/>
                <w:i/>
                <w:szCs w:val="20"/>
              </w:rPr>
              <w:t xml:space="preserve"> </w:t>
            </w:r>
            <w:proofErr w:type="spellStart"/>
            <w:r w:rsidRPr="006F0139">
              <w:rPr>
                <w:rFonts w:cs="Arial"/>
                <w:i/>
                <w:szCs w:val="20"/>
              </w:rPr>
              <w:t>dubia</w:t>
            </w:r>
            <w:proofErr w:type="spellEnd"/>
            <w:r w:rsidRPr="006F0139">
              <w:rPr>
                <w:rFonts w:cs="Arial"/>
                <w:szCs w:val="20"/>
              </w:rPr>
              <w:t xml:space="preserve"> (survival)</w:t>
            </w:r>
          </w:p>
        </w:tc>
        <w:tc>
          <w:tcPr>
            <w:tcW w:w="1710" w:type="dxa"/>
            <w:tcBorders>
              <w:top w:val="dotted" w:sz="4" w:space="0" w:color="auto"/>
              <w:bottom w:val="dotted" w:sz="4" w:space="0" w:color="auto"/>
            </w:tcBorders>
          </w:tcPr>
          <w:p w14:paraId="6D55EC77" w14:textId="77777777" w:rsidR="00D85251" w:rsidRPr="006F0139" w:rsidRDefault="00D85251" w:rsidP="006F0139">
            <w:pPr>
              <w:pStyle w:val="TableBodyText"/>
              <w:rPr>
                <w:rFonts w:cs="Arial"/>
                <w:szCs w:val="20"/>
              </w:rPr>
            </w:pPr>
            <w:r w:rsidRPr="006F0139">
              <w:rPr>
                <w:rFonts w:cs="Arial"/>
                <w:szCs w:val="20"/>
              </w:rPr>
              <w:t>818</w:t>
            </w:r>
          </w:p>
        </w:tc>
        <w:tc>
          <w:tcPr>
            <w:tcW w:w="2160" w:type="dxa"/>
            <w:tcBorders>
              <w:top w:val="dotted" w:sz="4" w:space="0" w:color="auto"/>
              <w:bottom w:val="dotted" w:sz="4" w:space="0" w:color="auto"/>
            </w:tcBorders>
          </w:tcPr>
          <w:p w14:paraId="145D7616" w14:textId="77777777" w:rsidR="00D85251" w:rsidRPr="006F0139" w:rsidRDefault="00D85251" w:rsidP="006F0139">
            <w:pPr>
              <w:pStyle w:val="TableBodyText"/>
              <w:rPr>
                <w:rFonts w:cs="Arial"/>
                <w:szCs w:val="20"/>
              </w:rPr>
            </w:pPr>
            <w:r w:rsidRPr="006F0139">
              <w:rPr>
                <w:rFonts w:cs="Arial"/>
                <w:szCs w:val="20"/>
              </w:rPr>
              <w:t>9 (1.1%)</w:t>
            </w:r>
          </w:p>
        </w:tc>
        <w:tc>
          <w:tcPr>
            <w:tcW w:w="1908" w:type="dxa"/>
            <w:tcBorders>
              <w:top w:val="dotted" w:sz="4" w:space="0" w:color="auto"/>
              <w:bottom w:val="dotted" w:sz="4" w:space="0" w:color="auto"/>
            </w:tcBorders>
          </w:tcPr>
          <w:p w14:paraId="6087F059" w14:textId="77777777" w:rsidR="00D85251" w:rsidRPr="006F0139" w:rsidRDefault="00D85251" w:rsidP="006F0139">
            <w:pPr>
              <w:pStyle w:val="TableBodyText"/>
              <w:rPr>
                <w:rFonts w:cs="Arial"/>
                <w:szCs w:val="20"/>
              </w:rPr>
            </w:pPr>
            <w:r w:rsidRPr="006F0139">
              <w:rPr>
                <w:rFonts w:cs="Arial"/>
                <w:szCs w:val="20"/>
              </w:rPr>
              <w:t>7 (11.8%)</w:t>
            </w:r>
          </w:p>
        </w:tc>
      </w:tr>
      <w:tr w:rsidR="00D85251" w:rsidRPr="006F0139" w14:paraId="54CE4FE3" w14:textId="77777777" w:rsidTr="006F0139">
        <w:tc>
          <w:tcPr>
            <w:tcW w:w="3780" w:type="dxa"/>
            <w:tcBorders>
              <w:top w:val="dotted" w:sz="4" w:space="0" w:color="auto"/>
              <w:bottom w:val="dotted" w:sz="4" w:space="0" w:color="auto"/>
            </w:tcBorders>
          </w:tcPr>
          <w:p w14:paraId="10DB448B" w14:textId="77777777" w:rsidR="00D85251" w:rsidRPr="006F0139" w:rsidRDefault="00D85251" w:rsidP="006F0139">
            <w:pPr>
              <w:pStyle w:val="TableBodyText"/>
              <w:rPr>
                <w:rFonts w:cs="Arial"/>
                <w:szCs w:val="20"/>
              </w:rPr>
            </w:pPr>
            <w:proofErr w:type="spellStart"/>
            <w:r w:rsidRPr="006F0139">
              <w:rPr>
                <w:rFonts w:cs="Arial"/>
                <w:i/>
                <w:szCs w:val="20"/>
              </w:rPr>
              <w:t>Ceriodaphnia</w:t>
            </w:r>
            <w:proofErr w:type="spellEnd"/>
            <w:r w:rsidRPr="006F0139">
              <w:rPr>
                <w:rFonts w:cs="Arial"/>
                <w:i/>
                <w:szCs w:val="20"/>
              </w:rPr>
              <w:t xml:space="preserve"> </w:t>
            </w:r>
            <w:proofErr w:type="spellStart"/>
            <w:r w:rsidRPr="006F0139">
              <w:rPr>
                <w:rFonts w:cs="Arial"/>
                <w:i/>
                <w:szCs w:val="20"/>
              </w:rPr>
              <w:t>dubia</w:t>
            </w:r>
            <w:proofErr w:type="spellEnd"/>
            <w:r w:rsidRPr="006F0139">
              <w:rPr>
                <w:rFonts w:cs="Arial"/>
                <w:szCs w:val="20"/>
              </w:rPr>
              <w:t xml:space="preserve"> (reproduction)</w:t>
            </w:r>
          </w:p>
        </w:tc>
        <w:tc>
          <w:tcPr>
            <w:tcW w:w="1710" w:type="dxa"/>
            <w:tcBorders>
              <w:top w:val="dotted" w:sz="4" w:space="0" w:color="auto"/>
              <w:bottom w:val="dotted" w:sz="4" w:space="0" w:color="auto"/>
            </w:tcBorders>
          </w:tcPr>
          <w:p w14:paraId="46E1420A" w14:textId="77777777" w:rsidR="00D85251" w:rsidRPr="006F0139" w:rsidRDefault="00D85251" w:rsidP="006F0139">
            <w:pPr>
              <w:pStyle w:val="TableBodyText"/>
              <w:rPr>
                <w:rFonts w:cs="Arial"/>
                <w:szCs w:val="20"/>
              </w:rPr>
            </w:pPr>
            <w:r w:rsidRPr="006F0139">
              <w:rPr>
                <w:rFonts w:cs="Arial"/>
                <w:szCs w:val="20"/>
              </w:rPr>
              <w:t>820</w:t>
            </w:r>
          </w:p>
        </w:tc>
        <w:tc>
          <w:tcPr>
            <w:tcW w:w="2160" w:type="dxa"/>
            <w:tcBorders>
              <w:top w:val="dotted" w:sz="4" w:space="0" w:color="auto"/>
              <w:bottom w:val="dotted" w:sz="4" w:space="0" w:color="auto"/>
            </w:tcBorders>
          </w:tcPr>
          <w:p w14:paraId="4AAF66A7" w14:textId="77777777" w:rsidR="00D85251" w:rsidRPr="006F0139" w:rsidRDefault="00D85251" w:rsidP="006F0139">
            <w:pPr>
              <w:pStyle w:val="TableBodyText"/>
              <w:rPr>
                <w:rFonts w:cs="Arial"/>
                <w:szCs w:val="20"/>
              </w:rPr>
            </w:pPr>
            <w:r w:rsidRPr="006F0139">
              <w:rPr>
                <w:rFonts w:cs="Arial"/>
                <w:szCs w:val="20"/>
              </w:rPr>
              <w:t>131 (16.0%)</w:t>
            </w:r>
          </w:p>
        </w:tc>
        <w:tc>
          <w:tcPr>
            <w:tcW w:w="1908" w:type="dxa"/>
            <w:tcBorders>
              <w:top w:val="dotted" w:sz="4" w:space="0" w:color="auto"/>
              <w:bottom w:val="dotted" w:sz="4" w:space="0" w:color="auto"/>
            </w:tcBorders>
          </w:tcPr>
          <w:p w14:paraId="4601F985" w14:textId="77777777" w:rsidR="00D85251" w:rsidRPr="006F0139" w:rsidRDefault="00D85251" w:rsidP="006F0139">
            <w:pPr>
              <w:pStyle w:val="TableBodyText"/>
              <w:rPr>
                <w:rFonts w:cs="Arial"/>
                <w:szCs w:val="20"/>
              </w:rPr>
            </w:pPr>
            <w:r w:rsidRPr="006F0139">
              <w:rPr>
                <w:rFonts w:cs="Arial"/>
                <w:szCs w:val="20"/>
              </w:rPr>
              <w:t>38 (64.4%)</w:t>
            </w:r>
          </w:p>
        </w:tc>
      </w:tr>
      <w:tr w:rsidR="00D85251" w:rsidRPr="006F0139" w14:paraId="424149A5" w14:textId="77777777" w:rsidTr="006F0139">
        <w:tc>
          <w:tcPr>
            <w:tcW w:w="3780" w:type="dxa"/>
            <w:tcBorders>
              <w:top w:val="dotted" w:sz="4" w:space="0" w:color="auto"/>
              <w:bottom w:val="single" w:sz="4" w:space="0" w:color="auto"/>
            </w:tcBorders>
          </w:tcPr>
          <w:p w14:paraId="09DB98E0" w14:textId="77777777" w:rsidR="00D85251" w:rsidRPr="006F0139" w:rsidRDefault="00D85251" w:rsidP="006F0139">
            <w:pPr>
              <w:pStyle w:val="TableBodyText"/>
              <w:rPr>
                <w:rFonts w:cs="Arial"/>
                <w:szCs w:val="20"/>
              </w:rPr>
            </w:pPr>
            <w:proofErr w:type="spellStart"/>
            <w:r w:rsidRPr="006F0139">
              <w:rPr>
                <w:rFonts w:cs="Arial"/>
                <w:i/>
                <w:szCs w:val="20"/>
              </w:rPr>
              <w:t>Selenastrum</w:t>
            </w:r>
            <w:proofErr w:type="spellEnd"/>
            <w:r w:rsidRPr="006F0139">
              <w:rPr>
                <w:rFonts w:cs="Arial"/>
                <w:i/>
                <w:szCs w:val="20"/>
              </w:rPr>
              <w:t xml:space="preserve"> </w:t>
            </w:r>
            <w:proofErr w:type="spellStart"/>
            <w:r w:rsidRPr="006F0139">
              <w:rPr>
                <w:rFonts w:cs="Arial"/>
                <w:i/>
                <w:szCs w:val="20"/>
              </w:rPr>
              <w:t>capricornutum</w:t>
            </w:r>
            <w:proofErr w:type="spellEnd"/>
            <w:r w:rsidRPr="006F0139">
              <w:rPr>
                <w:rFonts w:cs="Arial"/>
                <w:szCs w:val="20"/>
              </w:rPr>
              <w:t xml:space="preserve"> (growth)</w:t>
            </w:r>
          </w:p>
        </w:tc>
        <w:tc>
          <w:tcPr>
            <w:tcW w:w="1710" w:type="dxa"/>
            <w:tcBorders>
              <w:top w:val="dotted" w:sz="4" w:space="0" w:color="auto"/>
              <w:bottom w:val="single" w:sz="4" w:space="0" w:color="auto"/>
            </w:tcBorders>
          </w:tcPr>
          <w:p w14:paraId="488481F2" w14:textId="77777777" w:rsidR="00D85251" w:rsidRPr="006F0139" w:rsidRDefault="00D85251" w:rsidP="006F0139">
            <w:pPr>
              <w:pStyle w:val="TableBodyText"/>
              <w:rPr>
                <w:rFonts w:cs="Arial"/>
                <w:szCs w:val="20"/>
              </w:rPr>
            </w:pPr>
            <w:r w:rsidRPr="006F0139">
              <w:rPr>
                <w:rFonts w:cs="Arial"/>
                <w:szCs w:val="20"/>
              </w:rPr>
              <w:t>835</w:t>
            </w:r>
          </w:p>
        </w:tc>
        <w:tc>
          <w:tcPr>
            <w:tcW w:w="2160" w:type="dxa"/>
            <w:tcBorders>
              <w:top w:val="dotted" w:sz="4" w:space="0" w:color="auto"/>
              <w:bottom w:val="single" w:sz="4" w:space="0" w:color="auto"/>
            </w:tcBorders>
          </w:tcPr>
          <w:p w14:paraId="1E7A0013" w14:textId="77777777" w:rsidR="00D85251" w:rsidRPr="006F0139" w:rsidRDefault="00D85251" w:rsidP="006F0139">
            <w:pPr>
              <w:pStyle w:val="TableBodyText"/>
              <w:rPr>
                <w:rFonts w:cs="Arial"/>
                <w:szCs w:val="20"/>
              </w:rPr>
            </w:pPr>
            <w:r w:rsidRPr="006F0139">
              <w:rPr>
                <w:rFonts w:cs="Arial"/>
                <w:szCs w:val="20"/>
              </w:rPr>
              <w:t>76 (9.1%)</w:t>
            </w:r>
          </w:p>
        </w:tc>
        <w:tc>
          <w:tcPr>
            <w:tcW w:w="1908" w:type="dxa"/>
            <w:tcBorders>
              <w:top w:val="dotted" w:sz="4" w:space="0" w:color="auto"/>
              <w:bottom w:val="single" w:sz="4" w:space="0" w:color="auto"/>
            </w:tcBorders>
          </w:tcPr>
          <w:p w14:paraId="4961A69A" w14:textId="77777777" w:rsidR="00D85251" w:rsidRPr="006F0139" w:rsidRDefault="00D85251" w:rsidP="006F0139">
            <w:pPr>
              <w:pStyle w:val="TableBodyText"/>
              <w:rPr>
                <w:rFonts w:cs="Arial"/>
                <w:szCs w:val="20"/>
              </w:rPr>
            </w:pPr>
            <w:r w:rsidRPr="006F0139">
              <w:rPr>
                <w:rFonts w:cs="Arial"/>
                <w:szCs w:val="20"/>
              </w:rPr>
              <w:t>29 (49.2%)</w:t>
            </w:r>
          </w:p>
        </w:tc>
      </w:tr>
      <w:tr w:rsidR="00D85251" w:rsidRPr="006F0139" w14:paraId="3D096877" w14:textId="77777777" w:rsidTr="006F0139">
        <w:tc>
          <w:tcPr>
            <w:tcW w:w="9558" w:type="dxa"/>
            <w:gridSpan w:val="4"/>
            <w:tcBorders>
              <w:top w:val="single" w:sz="4" w:space="0" w:color="auto"/>
              <w:bottom w:val="dotted" w:sz="4" w:space="0" w:color="000000"/>
            </w:tcBorders>
            <w:vAlign w:val="center"/>
          </w:tcPr>
          <w:p w14:paraId="5DB327C4" w14:textId="08744D4F" w:rsidR="00D85251" w:rsidRPr="006F0139" w:rsidRDefault="00D85251" w:rsidP="006F0139">
            <w:pPr>
              <w:pStyle w:val="TableBodyText"/>
              <w:rPr>
                <w:rFonts w:cs="Arial"/>
                <w:b/>
                <w:i/>
                <w:szCs w:val="20"/>
              </w:rPr>
            </w:pPr>
            <w:r w:rsidRPr="006F0139">
              <w:rPr>
                <w:rFonts w:cs="Arial"/>
                <w:b/>
                <w:i/>
                <w:szCs w:val="20"/>
              </w:rPr>
              <w:t xml:space="preserve">Central Valley POTWs with Chronic Toxicity Trigger &gt; 1 </w:t>
            </w:r>
            <w:proofErr w:type="spellStart"/>
            <w:r w:rsidRPr="006F0139">
              <w:rPr>
                <w:rFonts w:cs="Arial"/>
                <w:b/>
                <w:i/>
                <w:szCs w:val="20"/>
              </w:rPr>
              <w:t>TUc</w:t>
            </w:r>
            <w:proofErr w:type="spellEnd"/>
            <w:r w:rsidR="006F0139" w:rsidRPr="006F0139">
              <w:rPr>
                <w:rFonts w:cs="Arial"/>
                <w:b/>
                <w:i/>
                <w:szCs w:val="20"/>
                <w:vertAlign w:val="superscript"/>
              </w:rPr>
              <w:t>[b]</w:t>
            </w:r>
          </w:p>
        </w:tc>
      </w:tr>
      <w:tr w:rsidR="00D85251" w:rsidRPr="006F0139" w14:paraId="3E93F28A" w14:textId="77777777" w:rsidTr="006F0139">
        <w:tc>
          <w:tcPr>
            <w:tcW w:w="3780" w:type="dxa"/>
            <w:tcBorders>
              <w:top w:val="dotted" w:sz="4" w:space="0" w:color="000000"/>
              <w:bottom w:val="dotted" w:sz="4" w:space="0" w:color="000000"/>
            </w:tcBorders>
          </w:tcPr>
          <w:p w14:paraId="2CF9640A" w14:textId="77777777" w:rsidR="00D85251" w:rsidRPr="006F0139" w:rsidRDefault="00D85251" w:rsidP="006F0139">
            <w:pPr>
              <w:pStyle w:val="TableBodyText"/>
              <w:rPr>
                <w:rFonts w:cs="Arial"/>
                <w:szCs w:val="20"/>
              </w:rPr>
            </w:pPr>
            <w:proofErr w:type="spellStart"/>
            <w:r w:rsidRPr="006F0139">
              <w:rPr>
                <w:rFonts w:cs="Arial"/>
                <w:i/>
                <w:szCs w:val="20"/>
              </w:rPr>
              <w:t>Pimephales</w:t>
            </w:r>
            <w:proofErr w:type="spellEnd"/>
            <w:r w:rsidRPr="006F0139">
              <w:rPr>
                <w:rFonts w:cs="Arial"/>
                <w:i/>
                <w:szCs w:val="20"/>
              </w:rPr>
              <w:t xml:space="preserve"> </w:t>
            </w:r>
            <w:proofErr w:type="spellStart"/>
            <w:r w:rsidRPr="006F0139">
              <w:rPr>
                <w:rFonts w:cs="Arial"/>
                <w:i/>
                <w:szCs w:val="20"/>
              </w:rPr>
              <w:t>promelas</w:t>
            </w:r>
            <w:proofErr w:type="spellEnd"/>
            <w:r w:rsidRPr="006F0139">
              <w:rPr>
                <w:rFonts w:cs="Arial"/>
                <w:szCs w:val="20"/>
              </w:rPr>
              <w:t xml:space="preserve"> (survival)</w:t>
            </w:r>
          </w:p>
        </w:tc>
        <w:tc>
          <w:tcPr>
            <w:tcW w:w="1710" w:type="dxa"/>
            <w:tcBorders>
              <w:top w:val="dotted" w:sz="4" w:space="0" w:color="000000"/>
              <w:bottom w:val="dotted" w:sz="4" w:space="0" w:color="000000"/>
            </w:tcBorders>
          </w:tcPr>
          <w:p w14:paraId="767FA00F" w14:textId="77777777" w:rsidR="00D85251" w:rsidRPr="006F0139" w:rsidRDefault="00D85251" w:rsidP="006F0139">
            <w:pPr>
              <w:pStyle w:val="TableBodyText"/>
              <w:rPr>
                <w:rFonts w:cs="Arial"/>
                <w:szCs w:val="20"/>
              </w:rPr>
            </w:pPr>
            <w:r w:rsidRPr="006F0139">
              <w:rPr>
                <w:rFonts w:cs="Arial"/>
                <w:szCs w:val="20"/>
              </w:rPr>
              <w:t>128</w:t>
            </w:r>
          </w:p>
        </w:tc>
        <w:tc>
          <w:tcPr>
            <w:tcW w:w="2160" w:type="dxa"/>
            <w:tcBorders>
              <w:top w:val="dotted" w:sz="4" w:space="0" w:color="000000"/>
              <w:bottom w:val="dotted" w:sz="4" w:space="0" w:color="000000"/>
            </w:tcBorders>
          </w:tcPr>
          <w:p w14:paraId="192C43C8" w14:textId="77777777" w:rsidR="00D85251" w:rsidRPr="006F0139" w:rsidRDefault="00D85251" w:rsidP="006F0139">
            <w:pPr>
              <w:pStyle w:val="TableBodyText"/>
              <w:rPr>
                <w:rFonts w:cs="Arial"/>
                <w:szCs w:val="20"/>
              </w:rPr>
            </w:pPr>
            <w:r w:rsidRPr="006F0139">
              <w:rPr>
                <w:rFonts w:cs="Arial"/>
                <w:szCs w:val="20"/>
              </w:rPr>
              <w:t>2 (1.6%)</w:t>
            </w:r>
          </w:p>
        </w:tc>
        <w:tc>
          <w:tcPr>
            <w:tcW w:w="1908" w:type="dxa"/>
            <w:tcBorders>
              <w:top w:val="dotted" w:sz="4" w:space="0" w:color="000000"/>
              <w:bottom w:val="dotted" w:sz="4" w:space="0" w:color="000000"/>
            </w:tcBorders>
          </w:tcPr>
          <w:p w14:paraId="52310B86" w14:textId="77777777" w:rsidR="00D85251" w:rsidRPr="006F0139" w:rsidRDefault="00D85251" w:rsidP="006F0139">
            <w:pPr>
              <w:pStyle w:val="TableBodyText"/>
              <w:rPr>
                <w:rFonts w:cs="Arial"/>
                <w:szCs w:val="20"/>
              </w:rPr>
            </w:pPr>
            <w:r w:rsidRPr="006F0139">
              <w:rPr>
                <w:rFonts w:cs="Arial"/>
                <w:szCs w:val="20"/>
              </w:rPr>
              <w:t>1 (14.3%)</w:t>
            </w:r>
          </w:p>
        </w:tc>
      </w:tr>
      <w:tr w:rsidR="00D85251" w:rsidRPr="006F0139" w14:paraId="16E60805" w14:textId="77777777" w:rsidTr="006F0139">
        <w:tc>
          <w:tcPr>
            <w:tcW w:w="3780" w:type="dxa"/>
            <w:tcBorders>
              <w:top w:val="dotted" w:sz="4" w:space="0" w:color="000000"/>
              <w:bottom w:val="dotted" w:sz="4" w:space="0" w:color="000000"/>
            </w:tcBorders>
          </w:tcPr>
          <w:p w14:paraId="4CCC7053" w14:textId="77777777" w:rsidR="00D85251" w:rsidRPr="006F0139" w:rsidRDefault="00D85251" w:rsidP="006F0139">
            <w:pPr>
              <w:pStyle w:val="TableBodyText"/>
              <w:rPr>
                <w:rFonts w:cs="Arial"/>
                <w:szCs w:val="20"/>
              </w:rPr>
            </w:pPr>
            <w:proofErr w:type="spellStart"/>
            <w:r w:rsidRPr="006F0139">
              <w:rPr>
                <w:rFonts w:cs="Arial"/>
                <w:i/>
                <w:szCs w:val="20"/>
              </w:rPr>
              <w:t>Pimephales</w:t>
            </w:r>
            <w:proofErr w:type="spellEnd"/>
            <w:r w:rsidRPr="006F0139">
              <w:rPr>
                <w:rFonts w:cs="Arial"/>
                <w:i/>
                <w:szCs w:val="20"/>
              </w:rPr>
              <w:t xml:space="preserve"> </w:t>
            </w:r>
            <w:proofErr w:type="spellStart"/>
            <w:r w:rsidRPr="006F0139">
              <w:rPr>
                <w:rFonts w:cs="Arial"/>
                <w:i/>
                <w:szCs w:val="20"/>
              </w:rPr>
              <w:t>promelas</w:t>
            </w:r>
            <w:proofErr w:type="spellEnd"/>
            <w:r w:rsidRPr="006F0139">
              <w:rPr>
                <w:rFonts w:cs="Arial"/>
                <w:szCs w:val="20"/>
              </w:rPr>
              <w:t xml:space="preserve"> (growth)</w:t>
            </w:r>
          </w:p>
        </w:tc>
        <w:tc>
          <w:tcPr>
            <w:tcW w:w="1710" w:type="dxa"/>
            <w:tcBorders>
              <w:top w:val="dotted" w:sz="4" w:space="0" w:color="000000"/>
              <w:bottom w:val="dotted" w:sz="4" w:space="0" w:color="000000"/>
            </w:tcBorders>
          </w:tcPr>
          <w:p w14:paraId="59FDF1F9" w14:textId="77777777" w:rsidR="00D85251" w:rsidRPr="006F0139" w:rsidRDefault="00D85251" w:rsidP="006F0139">
            <w:pPr>
              <w:pStyle w:val="TableBodyText"/>
              <w:rPr>
                <w:rFonts w:cs="Arial"/>
                <w:szCs w:val="20"/>
              </w:rPr>
            </w:pPr>
            <w:r w:rsidRPr="006F0139">
              <w:rPr>
                <w:rFonts w:cs="Arial"/>
                <w:szCs w:val="20"/>
              </w:rPr>
              <w:t>128</w:t>
            </w:r>
          </w:p>
        </w:tc>
        <w:tc>
          <w:tcPr>
            <w:tcW w:w="2160" w:type="dxa"/>
            <w:tcBorders>
              <w:top w:val="dotted" w:sz="4" w:space="0" w:color="000000"/>
              <w:bottom w:val="dotted" w:sz="4" w:space="0" w:color="000000"/>
            </w:tcBorders>
          </w:tcPr>
          <w:p w14:paraId="7E38C4C8" w14:textId="77777777" w:rsidR="00D85251" w:rsidRPr="006F0139" w:rsidRDefault="00D85251" w:rsidP="006F0139">
            <w:pPr>
              <w:pStyle w:val="TableBodyText"/>
              <w:rPr>
                <w:rFonts w:cs="Arial"/>
                <w:szCs w:val="20"/>
              </w:rPr>
            </w:pPr>
            <w:r w:rsidRPr="006F0139">
              <w:rPr>
                <w:rFonts w:cs="Arial"/>
                <w:szCs w:val="20"/>
              </w:rPr>
              <w:t>2 (1.6%)</w:t>
            </w:r>
          </w:p>
        </w:tc>
        <w:tc>
          <w:tcPr>
            <w:tcW w:w="1908" w:type="dxa"/>
            <w:tcBorders>
              <w:top w:val="dotted" w:sz="4" w:space="0" w:color="000000"/>
              <w:bottom w:val="dotted" w:sz="4" w:space="0" w:color="000000"/>
            </w:tcBorders>
          </w:tcPr>
          <w:p w14:paraId="62E21900" w14:textId="77777777" w:rsidR="00D85251" w:rsidRPr="006F0139" w:rsidRDefault="00D85251" w:rsidP="006F0139">
            <w:pPr>
              <w:pStyle w:val="TableBodyText"/>
              <w:rPr>
                <w:rFonts w:cs="Arial"/>
                <w:szCs w:val="20"/>
              </w:rPr>
            </w:pPr>
            <w:r w:rsidRPr="006F0139">
              <w:rPr>
                <w:rFonts w:cs="Arial"/>
                <w:szCs w:val="20"/>
              </w:rPr>
              <w:t>1 (14.3%)</w:t>
            </w:r>
          </w:p>
        </w:tc>
      </w:tr>
      <w:tr w:rsidR="00D85251" w:rsidRPr="006F0139" w14:paraId="5EF9C69C" w14:textId="77777777" w:rsidTr="006F0139">
        <w:tc>
          <w:tcPr>
            <w:tcW w:w="3780" w:type="dxa"/>
            <w:tcBorders>
              <w:top w:val="dotted" w:sz="4" w:space="0" w:color="000000"/>
              <w:bottom w:val="dotted" w:sz="4" w:space="0" w:color="000000"/>
            </w:tcBorders>
          </w:tcPr>
          <w:p w14:paraId="11CE5454" w14:textId="77777777" w:rsidR="00D85251" w:rsidRPr="006F0139" w:rsidRDefault="00D85251" w:rsidP="006F0139">
            <w:pPr>
              <w:pStyle w:val="TableBodyText"/>
              <w:rPr>
                <w:rFonts w:cs="Arial"/>
                <w:szCs w:val="20"/>
              </w:rPr>
            </w:pPr>
            <w:proofErr w:type="spellStart"/>
            <w:r w:rsidRPr="006F0139">
              <w:rPr>
                <w:rFonts w:cs="Arial"/>
                <w:i/>
                <w:szCs w:val="20"/>
              </w:rPr>
              <w:t>Ceriodaphnia</w:t>
            </w:r>
            <w:proofErr w:type="spellEnd"/>
            <w:r w:rsidRPr="006F0139">
              <w:rPr>
                <w:rFonts w:cs="Arial"/>
                <w:i/>
                <w:szCs w:val="20"/>
              </w:rPr>
              <w:t xml:space="preserve"> </w:t>
            </w:r>
            <w:proofErr w:type="spellStart"/>
            <w:r w:rsidRPr="006F0139">
              <w:rPr>
                <w:rFonts w:cs="Arial"/>
                <w:i/>
                <w:szCs w:val="20"/>
              </w:rPr>
              <w:t>dubia</w:t>
            </w:r>
            <w:proofErr w:type="spellEnd"/>
            <w:r w:rsidRPr="006F0139">
              <w:rPr>
                <w:rFonts w:cs="Arial"/>
                <w:szCs w:val="20"/>
              </w:rPr>
              <w:t xml:space="preserve"> (survival)</w:t>
            </w:r>
          </w:p>
        </w:tc>
        <w:tc>
          <w:tcPr>
            <w:tcW w:w="1710" w:type="dxa"/>
            <w:tcBorders>
              <w:top w:val="dotted" w:sz="4" w:space="0" w:color="000000"/>
              <w:bottom w:val="dotted" w:sz="4" w:space="0" w:color="000000"/>
            </w:tcBorders>
          </w:tcPr>
          <w:p w14:paraId="3385C9F2" w14:textId="77777777" w:rsidR="00D85251" w:rsidRPr="006F0139" w:rsidRDefault="00D85251" w:rsidP="006F0139">
            <w:pPr>
              <w:pStyle w:val="TableBodyText"/>
              <w:rPr>
                <w:rFonts w:cs="Arial"/>
                <w:szCs w:val="20"/>
              </w:rPr>
            </w:pPr>
            <w:r w:rsidRPr="006F0139">
              <w:rPr>
                <w:rFonts w:cs="Arial"/>
                <w:szCs w:val="20"/>
              </w:rPr>
              <w:t>137</w:t>
            </w:r>
          </w:p>
        </w:tc>
        <w:tc>
          <w:tcPr>
            <w:tcW w:w="2160" w:type="dxa"/>
            <w:tcBorders>
              <w:top w:val="dotted" w:sz="4" w:space="0" w:color="000000"/>
              <w:bottom w:val="dotted" w:sz="4" w:space="0" w:color="000000"/>
            </w:tcBorders>
          </w:tcPr>
          <w:p w14:paraId="2EA121EE" w14:textId="77777777" w:rsidR="00D85251" w:rsidRPr="006F0139" w:rsidRDefault="00D85251" w:rsidP="006F0139">
            <w:pPr>
              <w:pStyle w:val="TableBodyText"/>
              <w:rPr>
                <w:rFonts w:cs="Arial"/>
                <w:szCs w:val="20"/>
              </w:rPr>
            </w:pPr>
            <w:r w:rsidRPr="006F0139">
              <w:rPr>
                <w:rFonts w:cs="Arial"/>
                <w:szCs w:val="20"/>
              </w:rPr>
              <w:t>0 (0.0%)</w:t>
            </w:r>
          </w:p>
        </w:tc>
        <w:tc>
          <w:tcPr>
            <w:tcW w:w="1908" w:type="dxa"/>
            <w:tcBorders>
              <w:top w:val="dotted" w:sz="4" w:space="0" w:color="000000"/>
              <w:bottom w:val="dotted" w:sz="4" w:space="0" w:color="000000"/>
            </w:tcBorders>
          </w:tcPr>
          <w:p w14:paraId="769F7934" w14:textId="77777777" w:rsidR="00D85251" w:rsidRPr="006F0139" w:rsidRDefault="00D85251" w:rsidP="006F0139">
            <w:pPr>
              <w:pStyle w:val="TableBodyText"/>
              <w:rPr>
                <w:rFonts w:cs="Arial"/>
                <w:szCs w:val="20"/>
              </w:rPr>
            </w:pPr>
            <w:r w:rsidRPr="006F0139">
              <w:rPr>
                <w:rFonts w:cs="Arial"/>
                <w:szCs w:val="20"/>
              </w:rPr>
              <w:t>0 (0.0%)</w:t>
            </w:r>
          </w:p>
        </w:tc>
      </w:tr>
      <w:tr w:rsidR="00D85251" w:rsidRPr="006F0139" w14:paraId="03F6D6D3" w14:textId="77777777" w:rsidTr="006F0139">
        <w:tc>
          <w:tcPr>
            <w:tcW w:w="3780" w:type="dxa"/>
            <w:tcBorders>
              <w:top w:val="dotted" w:sz="4" w:space="0" w:color="000000"/>
              <w:bottom w:val="dotted" w:sz="4" w:space="0" w:color="000000"/>
            </w:tcBorders>
          </w:tcPr>
          <w:p w14:paraId="2F453F4A" w14:textId="77777777" w:rsidR="00D85251" w:rsidRPr="006F0139" w:rsidRDefault="00D85251" w:rsidP="006F0139">
            <w:pPr>
              <w:pStyle w:val="TableBodyText"/>
              <w:rPr>
                <w:rFonts w:cs="Arial"/>
                <w:szCs w:val="20"/>
              </w:rPr>
            </w:pPr>
            <w:proofErr w:type="spellStart"/>
            <w:r w:rsidRPr="006F0139">
              <w:rPr>
                <w:rFonts w:cs="Arial"/>
                <w:i/>
                <w:szCs w:val="20"/>
              </w:rPr>
              <w:t>Ceriodaphnia</w:t>
            </w:r>
            <w:proofErr w:type="spellEnd"/>
            <w:r w:rsidRPr="006F0139">
              <w:rPr>
                <w:rFonts w:cs="Arial"/>
                <w:i/>
                <w:szCs w:val="20"/>
              </w:rPr>
              <w:t xml:space="preserve"> </w:t>
            </w:r>
            <w:proofErr w:type="spellStart"/>
            <w:r w:rsidRPr="006F0139">
              <w:rPr>
                <w:rFonts w:cs="Arial"/>
                <w:i/>
                <w:szCs w:val="20"/>
              </w:rPr>
              <w:t>dubia</w:t>
            </w:r>
            <w:proofErr w:type="spellEnd"/>
            <w:r w:rsidRPr="006F0139">
              <w:rPr>
                <w:rFonts w:cs="Arial"/>
                <w:szCs w:val="20"/>
              </w:rPr>
              <w:t xml:space="preserve"> (reproduction)</w:t>
            </w:r>
          </w:p>
        </w:tc>
        <w:tc>
          <w:tcPr>
            <w:tcW w:w="1710" w:type="dxa"/>
            <w:tcBorders>
              <w:top w:val="dotted" w:sz="4" w:space="0" w:color="000000"/>
              <w:bottom w:val="dotted" w:sz="4" w:space="0" w:color="000000"/>
            </w:tcBorders>
          </w:tcPr>
          <w:p w14:paraId="0E99D3F3" w14:textId="77777777" w:rsidR="00D85251" w:rsidRPr="006F0139" w:rsidRDefault="00D85251" w:rsidP="006F0139">
            <w:pPr>
              <w:pStyle w:val="TableBodyText"/>
              <w:rPr>
                <w:rFonts w:cs="Arial"/>
                <w:szCs w:val="20"/>
              </w:rPr>
            </w:pPr>
            <w:r w:rsidRPr="006F0139">
              <w:rPr>
                <w:rFonts w:cs="Arial"/>
                <w:szCs w:val="20"/>
              </w:rPr>
              <w:t>138</w:t>
            </w:r>
          </w:p>
        </w:tc>
        <w:tc>
          <w:tcPr>
            <w:tcW w:w="2160" w:type="dxa"/>
            <w:tcBorders>
              <w:top w:val="dotted" w:sz="4" w:space="0" w:color="000000"/>
              <w:bottom w:val="dotted" w:sz="4" w:space="0" w:color="000000"/>
            </w:tcBorders>
          </w:tcPr>
          <w:p w14:paraId="3E64D17E" w14:textId="77777777" w:rsidR="00D85251" w:rsidRPr="006F0139" w:rsidRDefault="00D85251" w:rsidP="006F0139">
            <w:pPr>
              <w:pStyle w:val="TableBodyText"/>
              <w:rPr>
                <w:rFonts w:cs="Arial"/>
                <w:szCs w:val="20"/>
              </w:rPr>
            </w:pPr>
            <w:r w:rsidRPr="006F0139">
              <w:rPr>
                <w:rFonts w:cs="Arial"/>
                <w:szCs w:val="20"/>
              </w:rPr>
              <w:t>17 (12.3%)</w:t>
            </w:r>
          </w:p>
        </w:tc>
        <w:tc>
          <w:tcPr>
            <w:tcW w:w="1908" w:type="dxa"/>
            <w:tcBorders>
              <w:top w:val="dotted" w:sz="4" w:space="0" w:color="000000"/>
              <w:bottom w:val="dotted" w:sz="4" w:space="0" w:color="000000"/>
            </w:tcBorders>
          </w:tcPr>
          <w:p w14:paraId="3CC59BCD" w14:textId="77777777" w:rsidR="00D85251" w:rsidRPr="006F0139" w:rsidRDefault="00D85251" w:rsidP="006F0139">
            <w:pPr>
              <w:pStyle w:val="TableBodyText"/>
              <w:rPr>
                <w:rFonts w:cs="Arial"/>
                <w:szCs w:val="20"/>
              </w:rPr>
            </w:pPr>
            <w:r w:rsidRPr="006F0139">
              <w:rPr>
                <w:rFonts w:cs="Arial"/>
                <w:szCs w:val="20"/>
              </w:rPr>
              <w:t>3 (42.9%)</w:t>
            </w:r>
          </w:p>
        </w:tc>
      </w:tr>
      <w:tr w:rsidR="00D85251" w:rsidRPr="006F0139" w14:paraId="32D4B53E" w14:textId="77777777" w:rsidTr="006F0139">
        <w:tc>
          <w:tcPr>
            <w:tcW w:w="3780" w:type="dxa"/>
            <w:tcBorders>
              <w:top w:val="dotted" w:sz="4" w:space="0" w:color="000000"/>
              <w:bottom w:val="single" w:sz="4" w:space="0" w:color="000000"/>
            </w:tcBorders>
          </w:tcPr>
          <w:p w14:paraId="2F9C1DD7" w14:textId="77777777" w:rsidR="00D85251" w:rsidRPr="006F0139" w:rsidRDefault="00D85251" w:rsidP="006F0139">
            <w:pPr>
              <w:pStyle w:val="TableBodyText"/>
              <w:rPr>
                <w:rFonts w:cs="Arial"/>
                <w:szCs w:val="20"/>
              </w:rPr>
            </w:pPr>
            <w:proofErr w:type="spellStart"/>
            <w:r w:rsidRPr="006F0139">
              <w:rPr>
                <w:rFonts w:cs="Arial"/>
                <w:i/>
                <w:szCs w:val="20"/>
              </w:rPr>
              <w:t>Selenastrum</w:t>
            </w:r>
            <w:proofErr w:type="spellEnd"/>
            <w:r w:rsidRPr="006F0139">
              <w:rPr>
                <w:rFonts w:cs="Arial"/>
                <w:i/>
                <w:szCs w:val="20"/>
              </w:rPr>
              <w:t xml:space="preserve"> </w:t>
            </w:r>
            <w:proofErr w:type="spellStart"/>
            <w:r w:rsidRPr="006F0139">
              <w:rPr>
                <w:rFonts w:cs="Arial"/>
                <w:i/>
                <w:szCs w:val="20"/>
              </w:rPr>
              <w:t>capricornutum</w:t>
            </w:r>
            <w:proofErr w:type="spellEnd"/>
            <w:r w:rsidRPr="006F0139">
              <w:rPr>
                <w:rFonts w:cs="Arial"/>
                <w:szCs w:val="20"/>
              </w:rPr>
              <w:t xml:space="preserve"> (growth)</w:t>
            </w:r>
          </w:p>
        </w:tc>
        <w:tc>
          <w:tcPr>
            <w:tcW w:w="1710" w:type="dxa"/>
            <w:tcBorders>
              <w:top w:val="dotted" w:sz="4" w:space="0" w:color="000000"/>
              <w:bottom w:val="single" w:sz="4" w:space="0" w:color="000000"/>
            </w:tcBorders>
          </w:tcPr>
          <w:p w14:paraId="13319BFF" w14:textId="77777777" w:rsidR="00D85251" w:rsidRPr="006F0139" w:rsidRDefault="00D85251" w:rsidP="006F0139">
            <w:pPr>
              <w:pStyle w:val="TableBodyText"/>
              <w:rPr>
                <w:rFonts w:cs="Arial"/>
                <w:szCs w:val="20"/>
              </w:rPr>
            </w:pPr>
            <w:r w:rsidRPr="006F0139">
              <w:rPr>
                <w:rFonts w:cs="Arial"/>
                <w:szCs w:val="20"/>
              </w:rPr>
              <w:t>152</w:t>
            </w:r>
          </w:p>
        </w:tc>
        <w:tc>
          <w:tcPr>
            <w:tcW w:w="2160" w:type="dxa"/>
            <w:tcBorders>
              <w:top w:val="dotted" w:sz="4" w:space="0" w:color="000000"/>
              <w:bottom w:val="single" w:sz="4" w:space="0" w:color="000000"/>
            </w:tcBorders>
          </w:tcPr>
          <w:p w14:paraId="713A45C6" w14:textId="77777777" w:rsidR="00D85251" w:rsidRPr="006F0139" w:rsidRDefault="00D85251" w:rsidP="006F0139">
            <w:pPr>
              <w:pStyle w:val="TableBodyText"/>
              <w:rPr>
                <w:rFonts w:cs="Arial"/>
                <w:szCs w:val="20"/>
              </w:rPr>
            </w:pPr>
            <w:r w:rsidRPr="006F0139">
              <w:rPr>
                <w:rFonts w:cs="Arial"/>
                <w:szCs w:val="20"/>
              </w:rPr>
              <w:t>2 (1.3%)</w:t>
            </w:r>
          </w:p>
        </w:tc>
        <w:tc>
          <w:tcPr>
            <w:tcW w:w="1908" w:type="dxa"/>
            <w:tcBorders>
              <w:top w:val="dotted" w:sz="4" w:space="0" w:color="000000"/>
              <w:bottom w:val="single" w:sz="4" w:space="0" w:color="000000"/>
            </w:tcBorders>
          </w:tcPr>
          <w:p w14:paraId="6393A959" w14:textId="77777777" w:rsidR="00D85251" w:rsidRPr="006F0139" w:rsidRDefault="00D85251" w:rsidP="006F0139">
            <w:pPr>
              <w:pStyle w:val="TableBodyText"/>
              <w:rPr>
                <w:rFonts w:cs="Arial"/>
                <w:szCs w:val="20"/>
              </w:rPr>
            </w:pPr>
            <w:r w:rsidRPr="006F0139">
              <w:rPr>
                <w:rFonts w:cs="Arial"/>
                <w:szCs w:val="20"/>
              </w:rPr>
              <w:t>1 (12.5%)</w:t>
            </w:r>
          </w:p>
        </w:tc>
      </w:tr>
    </w:tbl>
    <w:p w14:paraId="2539D34F" w14:textId="283645CC" w:rsidR="00D85251" w:rsidRPr="001B1399" w:rsidRDefault="006F0139" w:rsidP="00816475">
      <w:pPr>
        <w:pStyle w:val="TableFootnote"/>
        <w:ind w:left="288" w:hanging="288"/>
      </w:pPr>
      <w:r>
        <w:t xml:space="preserve">[a] </w:t>
      </w:r>
      <w:r w:rsidR="00D85251" w:rsidRPr="001B1399">
        <w:t xml:space="preserve">There are 59 Central Valley POTWs that have a chronic toxicity trigger of 1 </w:t>
      </w:r>
      <w:proofErr w:type="spellStart"/>
      <w:r w:rsidR="00D85251" w:rsidRPr="001B1399">
        <w:t>TU</w:t>
      </w:r>
      <w:r w:rsidR="00D85251" w:rsidRPr="001B1399">
        <w:rPr>
          <w:vertAlign w:val="subscript"/>
        </w:rPr>
        <w:t>c</w:t>
      </w:r>
      <w:proofErr w:type="spellEnd"/>
      <w:r w:rsidR="00D85251" w:rsidRPr="001B1399">
        <w:t xml:space="preserve"> for all test organisms. Prior to December 1, 2014, the City of Woodland had a chronic toxicity trigger of 1 </w:t>
      </w:r>
      <w:proofErr w:type="spellStart"/>
      <w:r w:rsidR="00D85251" w:rsidRPr="001B1399">
        <w:t>TU</w:t>
      </w:r>
      <w:r w:rsidR="00D85251" w:rsidRPr="001B1399">
        <w:rPr>
          <w:vertAlign w:val="subscript"/>
        </w:rPr>
        <w:t>c</w:t>
      </w:r>
      <w:proofErr w:type="spellEnd"/>
      <w:r w:rsidR="00D85251" w:rsidRPr="001B1399">
        <w:t xml:space="preserve"> for </w:t>
      </w:r>
      <w:r w:rsidR="00D85251" w:rsidRPr="001B1399">
        <w:rPr>
          <w:i/>
        </w:rPr>
        <w:t xml:space="preserve">S. </w:t>
      </w:r>
      <w:proofErr w:type="spellStart"/>
      <w:r w:rsidR="00D85251" w:rsidRPr="001B1399">
        <w:rPr>
          <w:i/>
        </w:rPr>
        <w:t>capricornutum</w:t>
      </w:r>
      <w:proofErr w:type="spellEnd"/>
      <w:r w:rsidR="00D85251" w:rsidRPr="001B1399">
        <w:t>. Chronic toxicity data collected for the City of Woodland prior to this date were included in this subset of data.</w:t>
      </w:r>
    </w:p>
    <w:p w14:paraId="366C31A0" w14:textId="775BBA6F" w:rsidR="00D85251" w:rsidRDefault="006F0139" w:rsidP="00816475">
      <w:pPr>
        <w:pStyle w:val="TableFootnote"/>
        <w:ind w:left="288" w:hanging="288"/>
      </w:pPr>
      <w:r>
        <w:t xml:space="preserve">[b] </w:t>
      </w:r>
      <w:r w:rsidR="00D85251" w:rsidRPr="001B1399">
        <w:t xml:space="preserve">There are </w:t>
      </w:r>
      <w:r w:rsidR="009915DC">
        <w:t>7 (seven)</w:t>
      </w:r>
      <w:r w:rsidR="00D85251" w:rsidRPr="001B1399">
        <w:t xml:space="preserve"> Central Valley POTWs that have a chronic toxicity trigger of greater than 1 </w:t>
      </w:r>
      <w:proofErr w:type="spellStart"/>
      <w:r w:rsidR="00D85251" w:rsidRPr="001B1399">
        <w:t>TU</w:t>
      </w:r>
      <w:r w:rsidR="00D85251" w:rsidRPr="001B1399">
        <w:rPr>
          <w:vertAlign w:val="subscript"/>
        </w:rPr>
        <w:t>c</w:t>
      </w:r>
      <w:proofErr w:type="spellEnd"/>
      <w:r w:rsidR="00D85251" w:rsidRPr="001B1399">
        <w:t xml:space="preserve"> for all test organisms. After December 1, 2014, the City of Woodland had a chronic toxicity trigger of 2 </w:t>
      </w:r>
      <w:proofErr w:type="spellStart"/>
      <w:r w:rsidR="00D85251" w:rsidRPr="001B1399">
        <w:t>TU</w:t>
      </w:r>
      <w:r w:rsidR="00D85251" w:rsidRPr="001B1399">
        <w:rPr>
          <w:vertAlign w:val="subscript"/>
        </w:rPr>
        <w:t>c</w:t>
      </w:r>
      <w:proofErr w:type="spellEnd"/>
      <w:r w:rsidR="00D85251" w:rsidRPr="001B1399">
        <w:t xml:space="preserve"> for </w:t>
      </w:r>
      <w:r w:rsidR="00D85251" w:rsidRPr="001B1399">
        <w:rPr>
          <w:i/>
        </w:rPr>
        <w:t xml:space="preserve">S. </w:t>
      </w:r>
      <w:proofErr w:type="spellStart"/>
      <w:r w:rsidR="00D85251" w:rsidRPr="001B1399">
        <w:rPr>
          <w:i/>
        </w:rPr>
        <w:t>capricornutum</w:t>
      </w:r>
      <w:proofErr w:type="spellEnd"/>
      <w:r w:rsidR="00D85251" w:rsidRPr="001B1399">
        <w:t>. Chronic toxicity data collected for the City of Woodland after this date were included in this subset of data.</w:t>
      </w:r>
    </w:p>
    <w:p w14:paraId="2AB62BA6" w14:textId="77777777" w:rsidR="0027541F" w:rsidRPr="001B1399" w:rsidRDefault="0027541F" w:rsidP="00816475">
      <w:pPr>
        <w:pStyle w:val="TableFootnote"/>
        <w:ind w:left="288" w:hanging="288"/>
      </w:pPr>
    </w:p>
    <w:p w14:paraId="6FB89C3E" w14:textId="37CF6CAE" w:rsidR="00D85251" w:rsidRPr="00510E32" w:rsidRDefault="00D85251" w:rsidP="00510E32">
      <w:pPr>
        <w:spacing w:before="120"/>
        <w:rPr>
          <w:rFonts w:cs="Times New Roman"/>
          <w:szCs w:val="24"/>
        </w:rPr>
      </w:pPr>
      <w:r w:rsidRPr="00510E32">
        <w:rPr>
          <w:rFonts w:cs="Times New Roman"/>
          <w:szCs w:val="24"/>
        </w:rPr>
        <w:t xml:space="preserve">Approximately two-thirds of the POTWs with a chronic toxicity trigger of 1 </w:t>
      </w:r>
      <w:proofErr w:type="spellStart"/>
      <w:r w:rsidRPr="00510E32">
        <w:rPr>
          <w:rFonts w:cs="Times New Roman"/>
          <w:szCs w:val="24"/>
        </w:rPr>
        <w:t>TUc</w:t>
      </w:r>
      <w:proofErr w:type="spellEnd"/>
      <w:r w:rsidRPr="00510E32">
        <w:rPr>
          <w:rFonts w:cs="Times New Roman"/>
          <w:szCs w:val="24"/>
        </w:rPr>
        <w:t xml:space="preserve"> experienced at least one chronic toxicity trigger exceedance for </w:t>
      </w:r>
      <w:proofErr w:type="spellStart"/>
      <w:r w:rsidR="008F4D09" w:rsidRPr="00510E32">
        <w:rPr>
          <w:rFonts w:cs="Times New Roman"/>
          <w:i/>
          <w:szCs w:val="24"/>
        </w:rPr>
        <w:t>Ceriodaphnia</w:t>
      </w:r>
      <w:proofErr w:type="spellEnd"/>
      <w:r w:rsidRPr="00510E32">
        <w:rPr>
          <w:rFonts w:cs="Times New Roman"/>
          <w:i/>
          <w:szCs w:val="24"/>
        </w:rPr>
        <w:t xml:space="preserve"> </w:t>
      </w:r>
      <w:proofErr w:type="spellStart"/>
      <w:r w:rsidRPr="00510E32">
        <w:rPr>
          <w:rFonts w:cs="Times New Roman"/>
          <w:i/>
          <w:szCs w:val="24"/>
        </w:rPr>
        <w:t>dubia</w:t>
      </w:r>
      <w:proofErr w:type="spellEnd"/>
      <w:r w:rsidRPr="00510E32">
        <w:rPr>
          <w:rFonts w:cs="Times New Roman"/>
          <w:i/>
          <w:szCs w:val="24"/>
        </w:rPr>
        <w:t xml:space="preserve"> </w:t>
      </w:r>
      <w:r w:rsidRPr="00510E32">
        <w:rPr>
          <w:rFonts w:cs="Times New Roman"/>
          <w:szCs w:val="24"/>
        </w:rPr>
        <w:t>reproduction</w:t>
      </w:r>
      <w:r w:rsidR="008F4D09">
        <w:rPr>
          <w:rFonts w:cs="Times New Roman"/>
          <w:szCs w:val="24"/>
        </w:rPr>
        <w:t xml:space="preserve"> between 2011 and 2017</w:t>
      </w:r>
      <w:r w:rsidRPr="00510E32">
        <w:rPr>
          <w:rFonts w:cs="Times New Roman"/>
          <w:szCs w:val="24"/>
        </w:rPr>
        <w:t xml:space="preserve">. For Central Valley POTWs that have a chronic toxicity trigger greater than 1 </w:t>
      </w:r>
      <w:proofErr w:type="spellStart"/>
      <w:r w:rsidRPr="00510E32">
        <w:rPr>
          <w:rFonts w:cs="Times New Roman"/>
          <w:szCs w:val="24"/>
        </w:rPr>
        <w:t>TU</w:t>
      </w:r>
      <w:r w:rsidRPr="008F4D09">
        <w:rPr>
          <w:rFonts w:cs="Times New Roman"/>
          <w:szCs w:val="24"/>
        </w:rPr>
        <w:t>c</w:t>
      </w:r>
      <w:proofErr w:type="spellEnd"/>
      <w:r w:rsidRPr="00510E32">
        <w:rPr>
          <w:rFonts w:cs="Times New Roman"/>
          <w:szCs w:val="24"/>
        </w:rPr>
        <w:t xml:space="preserve">, the </w:t>
      </w:r>
      <w:proofErr w:type="spellStart"/>
      <w:r w:rsidR="008F4D09" w:rsidRPr="00510E32">
        <w:rPr>
          <w:rFonts w:cs="Times New Roman"/>
          <w:i/>
          <w:szCs w:val="24"/>
        </w:rPr>
        <w:t>Ceriodaphnia</w:t>
      </w:r>
      <w:proofErr w:type="spellEnd"/>
      <w:r w:rsidRPr="00510E32">
        <w:rPr>
          <w:rFonts w:cs="Times New Roman"/>
          <w:i/>
          <w:szCs w:val="24"/>
        </w:rPr>
        <w:t xml:space="preserve"> </w:t>
      </w:r>
      <w:proofErr w:type="spellStart"/>
      <w:r w:rsidRPr="00510E32">
        <w:rPr>
          <w:rFonts w:cs="Times New Roman"/>
          <w:i/>
          <w:szCs w:val="24"/>
        </w:rPr>
        <w:t>dubia</w:t>
      </w:r>
      <w:proofErr w:type="spellEnd"/>
      <w:r w:rsidRPr="00510E32">
        <w:rPr>
          <w:rFonts w:cs="Times New Roman"/>
          <w:szCs w:val="24"/>
        </w:rPr>
        <w:t xml:space="preserve"> reproduction test endpoint was exceeded more frequently than the other chronic toxicity endpoints and affected almost half of the POTWs in this category. When chronic toxicity was indicated for </w:t>
      </w:r>
      <w:proofErr w:type="spellStart"/>
      <w:r w:rsidR="008F4D09" w:rsidRPr="00510E32">
        <w:rPr>
          <w:rFonts w:cs="Times New Roman"/>
          <w:i/>
          <w:szCs w:val="24"/>
        </w:rPr>
        <w:t>Ceriodaphnia</w:t>
      </w:r>
      <w:proofErr w:type="spellEnd"/>
      <w:r w:rsidRPr="00510E32">
        <w:rPr>
          <w:rFonts w:cs="Times New Roman"/>
          <w:i/>
          <w:szCs w:val="24"/>
        </w:rPr>
        <w:t xml:space="preserve"> </w:t>
      </w:r>
      <w:proofErr w:type="spellStart"/>
      <w:r w:rsidRPr="00510E32">
        <w:rPr>
          <w:rFonts w:cs="Times New Roman"/>
          <w:i/>
          <w:szCs w:val="24"/>
        </w:rPr>
        <w:t>dubia</w:t>
      </w:r>
      <w:proofErr w:type="spellEnd"/>
      <w:r w:rsidRPr="00510E32">
        <w:rPr>
          <w:rFonts w:cs="Times New Roman"/>
          <w:szCs w:val="24"/>
        </w:rPr>
        <w:t xml:space="preserve"> reproduction (i.e., the chronic toxicity trigger was exceeded), approximately a quarter of those tests showed effects less than 2</w:t>
      </w:r>
      <w:r w:rsidR="008F4D09">
        <w:rPr>
          <w:rFonts w:cs="Times New Roman"/>
          <w:szCs w:val="24"/>
        </w:rPr>
        <w:t>5%</w:t>
      </w:r>
      <w:r w:rsidRPr="00510E32">
        <w:rPr>
          <w:rFonts w:cs="Times New Roman"/>
          <w:szCs w:val="24"/>
        </w:rPr>
        <w:t>, and approximately three-quarters of those tests showed effects less than 50</w:t>
      </w:r>
      <w:r w:rsidR="008F4D09">
        <w:rPr>
          <w:rFonts w:cs="Times New Roman"/>
          <w:szCs w:val="24"/>
        </w:rPr>
        <w:t>%</w:t>
      </w:r>
      <w:r w:rsidRPr="00510E32">
        <w:rPr>
          <w:rFonts w:cs="Times New Roman"/>
          <w:szCs w:val="24"/>
        </w:rPr>
        <w:t>.</w:t>
      </w:r>
    </w:p>
    <w:p w14:paraId="184EDD8D" w14:textId="75D430C0" w:rsidR="00D85251" w:rsidRPr="00510E32" w:rsidRDefault="00D85251" w:rsidP="00510E32">
      <w:pPr>
        <w:spacing w:before="120"/>
        <w:rPr>
          <w:rFonts w:cs="Times New Roman"/>
          <w:szCs w:val="24"/>
        </w:rPr>
      </w:pPr>
      <w:r w:rsidRPr="00510E32">
        <w:rPr>
          <w:rFonts w:cs="Times New Roman"/>
          <w:szCs w:val="24"/>
        </w:rPr>
        <w:t>Information on 35 TREs completed in the Central Valley in the period from 2011 to 2017 was compi</w:t>
      </w:r>
      <w:r w:rsidR="008F4D09">
        <w:rPr>
          <w:rFonts w:cs="Times New Roman"/>
          <w:szCs w:val="24"/>
        </w:rPr>
        <w:t>l</w:t>
      </w:r>
      <w:r w:rsidRPr="00510E32">
        <w:rPr>
          <w:rFonts w:cs="Times New Roman"/>
          <w:szCs w:val="24"/>
        </w:rPr>
        <w:t xml:space="preserve">ed. The test organisms and endpoints which led to the performance of the 35 TREs are presented in </w:t>
      </w:r>
      <w:r w:rsidRPr="00510E32">
        <w:rPr>
          <w:rFonts w:cs="Times New Roman"/>
          <w:b/>
          <w:szCs w:val="24"/>
        </w:rPr>
        <w:fldChar w:fldCharType="begin"/>
      </w:r>
      <w:r w:rsidRPr="00510E32">
        <w:rPr>
          <w:rFonts w:cs="Times New Roman"/>
          <w:b/>
          <w:szCs w:val="24"/>
        </w:rPr>
        <w:instrText xml:space="preserve"> REF _Ref506678203 \h  \* MERGEFORMAT </w:instrText>
      </w:r>
      <w:r w:rsidRPr="00510E32">
        <w:rPr>
          <w:rFonts w:cs="Times New Roman"/>
          <w:b/>
          <w:szCs w:val="24"/>
        </w:rPr>
      </w:r>
      <w:r w:rsidRPr="00510E32">
        <w:rPr>
          <w:rFonts w:cs="Times New Roman"/>
          <w:b/>
          <w:szCs w:val="24"/>
        </w:rPr>
        <w:fldChar w:fldCharType="separate"/>
      </w:r>
      <w:r w:rsidRPr="00510E32">
        <w:rPr>
          <w:rFonts w:cs="Times New Roman"/>
          <w:b/>
          <w:szCs w:val="24"/>
        </w:rPr>
        <w:t xml:space="preserve">Figure </w:t>
      </w:r>
      <w:r w:rsidRPr="00510E32">
        <w:rPr>
          <w:rFonts w:cs="Times New Roman"/>
          <w:b/>
          <w:noProof/>
          <w:szCs w:val="24"/>
        </w:rPr>
        <w:t>1</w:t>
      </w:r>
      <w:r w:rsidRPr="00510E32">
        <w:rPr>
          <w:rFonts w:cs="Times New Roman"/>
          <w:b/>
          <w:szCs w:val="24"/>
        </w:rPr>
        <w:fldChar w:fldCharType="end"/>
      </w:r>
      <w:r w:rsidRPr="00510E32">
        <w:rPr>
          <w:rFonts w:cs="Times New Roman"/>
          <w:szCs w:val="24"/>
        </w:rPr>
        <w:t xml:space="preserve">. As shown, 28 of the 35 TREs that were examined were triggered by short-term chronic </w:t>
      </w:r>
      <w:proofErr w:type="spellStart"/>
      <w:r w:rsidRPr="00510E32">
        <w:rPr>
          <w:rFonts w:cs="Times New Roman"/>
          <w:i/>
          <w:szCs w:val="24"/>
        </w:rPr>
        <w:t>Ceriodaphnia</w:t>
      </w:r>
      <w:proofErr w:type="spellEnd"/>
      <w:r w:rsidRPr="00510E32">
        <w:rPr>
          <w:rFonts w:cs="Times New Roman"/>
          <w:i/>
          <w:szCs w:val="24"/>
        </w:rPr>
        <w:t xml:space="preserve"> </w:t>
      </w:r>
      <w:proofErr w:type="spellStart"/>
      <w:r w:rsidRPr="00510E32">
        <w:rPr>
          <w:rFonts w:cs="Times New Roman"/>
          <w:i/>
          <w:szCs w:val="24"/>
        </w:rPr>
        <w:t>dubia</w:t>
      </w:r>
      <w:proofErr w:type="spellEnd"/>
      <w:r w:rsidRPr="00510E32">
        <w:rPr>
          <w:rFonts w:cs="Times New Roman"/>
          <w:szCs w:val="24"/>
        </w:rPr>
        <w:t xml:space="preserve"> test results. Thirty-one of the 35 TREs evaluated were associated with POTWs that have a chronic toxicity trigger of 1 </w:t>
      </w:r>
      <w:proofErr w:type="spellStart"/>
      <w:r w:rsidRPr="00510E32">
        <w:rPr>
          <w:rFonts w:cs="Times New Roman"/>
          <w:szCs w:val="24"/>
        </w:rPr>
        <w:t>TU</w:t>
      </w:r>
      <w:r w:rsidRPr="008F4D09">
        <w:rPr>
          <w:rFonts w:cs="Times New Roman"/>
          <w:szCs w:val="24"/>
        </w:rPr>
        <w:t>c</w:t>
      </w:r>
      <w:proofErr w:type="spellEnd"/>
      <w:r w:rsidRPr="00510E32">
        <w:rPr>
          <w:rFonts w:cs="Times New Roman"/>
          <w:szCs w:val="24"/>
        </w:rPr>
        <w:t xml:space="preserve"> and were POTWs with either advanced secondary or tertiary level treatment.  </w:t>
      </w:r>
    </w:p>
    <w:p w14:paraId="24963AC6" w14:textId="3E9FDBAA" w:rsidR="00D85251" w:rsidRPr="001B1399" w:rsidRDefault="00D87A89" w:rsidP="00132C6B">
      <w:pPr>
        <w:jc w:val="center"/>
        <w:rPr>
          <w:rFonts w:cstheme="minorHAnsi"/>
        </w:rPr>
      </w:pPr>
      <w:r w:rsidRPr="00D87A89">
        <w:rPr>
          <w:noProof/>
        </w:rPr>
        <w:drawing>
          <wp:inline distT="0" distB="0" distL="0" distR="0" wp14:anchorId="28746672" wp14:editId="452F320C">
            <wp:extent cx="5318760" cy="2735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8760" cy="2735580"/>
                    </a:xfrm>
                    <a:prstGeom prst="rect">
                      <a:avLst/>
                    </a:prstGeom>
                    <a:noFill/>
                    <a:ln>
                      <a:noFill/>
                    </a:ln>
                  </pic:spPr>
                </pic:pic>
              </a:graphicData>
            </a:graphic>
          </wp:inline>
        </w:drawing>
      </w:r>
    </w:p>
    <w:p w14:paraId="32597B86" w14:textId="15BAD26A" w:rsidR="00D85251" w:rsidRPr="001B1399" w:rsidRDefault="00D85251" w:rsidP="00132C6B">
      <w:pPr>
        <w:pStyle w:val="FigureTitle"/>
      </w:pPr>
      <w:bookmarkStart w:id="15" w:name="_Ref506678203"/>
      <w:bookmarkStart w:id="16" w:name="_Ref506678194"/>
      <w:bookmarkStart w:id="17" w:name="_Toc516593045"/>
      <w:r w:rsidRPr="001B1399">
        <w:t xml:space="preserve">Figure </w:t>
      </w:r>
      <w:r w:rsidRPr="001B1399">
        <w:rPr>
          <w:noProof/>
        </w:rPr>
        <w:fldChar w:fldCharType="begin"/>
      </w:r>
      <w:r w:rsidRPr="001B1399">
        <w:rPr>
          <w:noProof/>
        </w:rPr>
        <w:instrText xml:space="preserve"> SEQ Figure \* ARABIC </w:instrText>
      </w:r>
      <w:r w:rsidRPr="001B1399">
        <w:rPr>
          <w:noProof/>
        </w:rPr>
        <w:fldChar w:fldCharType="separate"/>
      </w:r>
      <w:r w:rsidRPr="001B1399">
        <w:rPr>
          <w:noProof/>
        </w:rPr>
        <w:t>1</w:t>
      </w:r>
      <w:r w:rsidRPr="001B1399">
        <w:rPr>
          <w:noProof/>
        </w:rPr>
        <w:fldChar w:fldCharType="end"/>
      </w:r>
      <w:bookmarkEnd w:id="15"/>
      <w:r w:rsidRPr="001B1399">
        <w:t>. Central Valley POTW Toxicity Reduction Evaluation Test Organism and Endpoint</w:t>
      </w:r>
      <w:bookmarkEnd w:id="16"/>
      <w:bookmarkEnd w:id="17"/>
    </w:p>
    <w:p w14:paraId="487BFE01" w14:textId="3E2AD415" w:rsidR="00D85251" w:rsidRPr="00132C6B" w:rsidRDefault="00D85251" w:rsidP="00132C6B">
      <w:pPr>
        <w:spacing w:before="120"/>
        <w:rPr>
          <w:rFonts w:cs="Times New Roman"/>
          <w:szCs w:val="24"/>
        </w:rPr>
      </w:pPr>
      <w:r w:rsidRPr="00132C6B">
        <w:rPr>
          <w:rFonts w:cs="Times New Roman"/>
          <w:szCs w:val="24"/>
        </w:rPr>
        <w:t xml:space="preserve">This information indicates that the </w:t>
      </w:r>
      <w:proofErr w:type="spellStart"/>
      <w:r w:rsidRPr="00D87A89">
        <w:rPr>
          <w:rFonts w:cs="Times New Roman"/>
          <w:i/>
          <w:szCs w:val="24"/>
        </w:rPr>
        <w:t>Ceriodaphnia</w:t>
      </w:r>
      <w:proofErr w:type="spellEnd"/>
      <w:r w:rsidRPr="00D87A89">
        <w:rPr>
          <w:rFonts w:cs="Times New Roman"/>
          <w:i/>
          <w:szCs w:val="24"/>
        </w:rPr>
        <w:t xml:space="preserve"> </w:t>
      </w:r>
      <w:proofErr w:type="spellStart"/>
      <w:r w:rsidRPr="00D87A89">
        <w:rPr>
          <w:rFonts w:cs="Times New Roman"/>
          <w:i/>
          <w:szCs w:val="24"/>
        </w:rPr>
        <w:t>dubia</w:t>
      </w:r>
      <w:proofErr w:type="spellEnd"/>
      <w:r w:rsidRPr="00132C6B">
        <w:rPr>
          <w:rFonts w:cs="Times New Roman"/>
          <w:szCs w:val="24"/>
        </w:rPr>
        <w:t xml:space="preserve"> short</w:t>
      </w:r>
      <w:r w:rsidR="00634388">
        <w:rPr>
          <w:rFonts w:cs="Times New Roman"/>
          <w:szCs w:val="24"/>
        </w:rPr>
        <w:t>-</w:t>
      </w:r>
      <w:r w:rsidRPr="00132C6B">
        <w:rPr>
          <w:rFonts w:cs="Times New Roman"/>
          <w:szCs w:val="24"/>
        </w:rPr>
        <w:t xml:space="preserve">term chronic reproduction test is a significant driver of current NPDES permit compliance activity for POTWs with advanced treatment facilities in California. Given the switch to the TST statistical method, the anticipated provisions of the State Water Board’s proposed Toxicity </w:t>
      </w:r>
      <w:r w:rsidR="002B7746">
        <w:rPr>
          <w:rFonts w:cs="Times New Roman"/>
          <w:szCs w:val="24"/>
        </w:rPr>
        <w:t>Plan</w:t>
      </w:r>
      <w:r w:rsidRPr="00132C6B">
        <w:rPr>
          <w:rFonts w:cs="Times New Roman"/>
          <w:szCs w:val="24"/>
        </w:rPr>
        <w:t xml:space="preserve">, and the expected continuation of the use of the </w:t>
      </w:r>
      <w:proofErr w:type="spellStart"/>
      <w:r w:rsidRPr="00752B34">
        <w:rPr>
          <w:rFonts w:cs="Times New Roman"/>
          <w:i/>
          <w:szCs w:val="24"/>
        </w:rPr>
        <w:t>Ceriodaphnia</w:t>
      </w:r>
      <w:proofErr w:type="spellEnd"/>
      <w:r w:rsidRPr="00752B34">
        <w:rPr>
          <w:rFonts w:cs="Times New Roman"/>
          <w:i/>
          <w:szCs w:val="24"/>
        </w:rPr>
        <w:t xml:space="preserve"> </w:t>
      </w:r>
      <w:proofErr w:type="spellStart"/>
      <w:r w:rsidRPr="00752B34">
        <w:rPr>
          <w:rFonts w:cs="Times New Roman"/>
          <w:i/>
          <w:szCs w:val="24"/>
        </w:rPr>
        <w:t>dubia</w:t>
      </w:r>
      <w:proofErr w:type="spellEnd"/>
      <w:r w:rsidRPr="00132C6B">
        <w:rPr>
          <w:rFonts w:cs="Times New Roman"/>
          <w:szCs w:val="24"/>
        </w:rPr>
        <w:t xml:space="preserve"> reproduction test in NPDES permits, there is no reason to anticipate that this situation will change in the future.</w:t>
      </w:r>
    </w:p>
    <w:p w14:paraId="57CC4F6B" w14:textId="2A784829" w:rsidR="00D85251" w:rsidRPr="001B1399" w:rsidRDefault="00D85251" w:rsidP="00132C6B">
      <w:pPr>
        <w:pStyle w:val="Heading3"/>
      </w:pPr>
      <w:bookmarkStart w:id="18" w:name="_Toc527448268"/>
      <w:r w:rsidRPr="001B1399">
        <w:t xml:space="preserve">Haven’t prior studies already answered the </w:t>
      </w:r>
      <w:r w:rsidR="00EF11F0" w:rsidRPr="001B1399">
        <w:t>question</w:t>
      </w:r>
      <w:r w:rsidR="00EF11F0">
        <w:rPr>
          <w:rFonts w:cs="Times New Roman"/>
          <w:szCs w:val="24"/>
        </w:rPr>
        <w:t xml:space="preserve"> regarding incorrect determinations of toxicity</w:t>
      </w:r>
      <w:r w:rsidRPr="001B1399">
        <w:t>?</w:t>
      </w:r>
      <w:bookmarkEnd w:id="18"/>
    </w:p>
    <w:p w14:paraId="540F9AA8" w14:textId="7B86FC7C" w:rsidR="00D85251" w:rsidRPr="00132C6B" w:rsidRDefault="00D85251" w:rsidP="00112D21">
      <w:pPr>
        <w:spacing w:before="120"/>
        <w:rPr>
          <w:rFonts w:cs="Times New Roman"/>
          <w:szCs w:val="24"/>
        </w:rPr>
      </w:pPr>
      <w:r w:rsidRPr="00132C6B">
        <w:rPr>
          <w:rFonts w:cs="Times New Roman"/>
          <w:szCs w:val="24"/>
        </w:rPr>
        <w:t xml:space="preserve">To date, three studies have been performed which provide data to address the variability of blank sample WET test results. In response to the July 1998 litigation settlement agreement described above, USEPA performed an interlaboratory study that was finalized in 2001 titled </w:t>
      </w:r>
      <w:r w:rsidRPr="00132C6B">
        <w:rPr>
          <w:rFonts w:cs="Times New Roman"/>
          <w:i/>
          <w:szCs w:val="24"/>
        </w:rPr>
        <w:t>Final Report:</w:t>
      </w:r>
      <w:r w:rsidRPr="00132C6B">
        <w:rPr>
          <w:rFonts w:cs="Times New Roman"/>
          <w:szCs w:val="24"/>
        </w:rPr>
        <w:t xml:space="preserve">  </w:t>
      </w:r>
      <w:r w:rsidRPr="00132C6B">
        <w:rPr>
          <w:rFonts w:cs="Times New Roman"/>
          <w:i/>
          <w:szCs w:val="24"/>
        </w:rPr>
        <w:t>Interlaboratory variability study of EPA short-term chronic and acute whole effluent toxicity test methods</w:t>
      </w:r>
      <w:r w:rsidRPr="00132C6B">
        <w:rPr>
          <w:rFonts w:cs="Times New Roman"/>
          <w:szCs w:val="24"/>
        </w:rPr>
        <w:t xml:space="preserve">. That study found that </w:t>
      </w:r>
      <w:r w:rsidR="00EF11F0">
        <w:rPr>
          <w:rFonts w:cs="Times New Roman"/>
          <w:szCs w:val="24"/>
        </w:rPr>
        <w:t>the rates of incorrect determinations of toxicity</w:t>
      </w:r>
      <w:r w:rsidRPr="00132C6B">
        <w:rPr>
          <w:rFonts w:cs="Times New Roman"/>
          <w:szCs w:val="24"/>
        </w:rPr>
        <w:t xml:space="preserve"> were within an acceptable range for almost all test methods, including the </w:t>
      </w:r>
      <w:proofErr w:type="spellStart"/>
      <w:r w:rsidRPr="00E6684F">
        <w:rPr>
          <w:rFonts w:cs="Times New Roman"/>
          <w:i/>
          <w:szCs w:val="24"/>
        </w:rPr>
        <w:t>Ceriodaphnia</w:t>
      </w:r>
      <w:proofErr w:type="spellEnd"/>
      <w:r w:rsidRPr="00E6684F">
        <w:rPr>
          <w:rFonts w:cs="Times New Roman"/>
          <w:i/>
          <w:szCs w:val="24"/>
        </w:rPr>
        <w:t xml:space="preserve"> </w:t>
      </w:r>
      <w:proofErr w:type="spellStart"/>
      <w:r w:rsidRPr="00E6684F">
        <w:rPr>
          <w:rFonts w:cs="Times New Roman"/>
          <w:i/>
          <w:szCs w:val="24"/>
        </w:rPr>
        <w:t>dubia</w:t>
      </w:r>
      <w:proofErr w:type="spellEnd"/>
      <w:r w:rsidRPr="00132C6B">
        <w:rPr>
          <w:rFonts w:cs="Times New Roman"/>
          <w:szCs w:val="24"/>
        </w:rPr>
        <w:t xml:space="preserve"> reproduction test. The results of that study were contradicted by the results of a second interlaboratory study performed by Moore et al</w:t>
      </w:r>
      <w:r w:rsidR="00AF4797">
        <w:rPr>
          <w:rFonts w:cs="Times New Roman"/>
          <w:szCs w:val="24"/>
        </w:rPr>
        <w:t>.</w:t>
      </w:r>
      <w:r w:rsidRPr="00132C6B">
        <w:rPr>
          <w:rFonts w:cs="Times New Roman"/>
          <w:szCs w:val="24"/>
        </w:rPr>
        <w:t xml:space="preserve"> in 2000 which addressed specific questions regarding the </w:t>
      </w:r>
      <w:proofErr w:type="spellStart"/>
      <w:r w:rsidRPr="00132C6B">
        <w:rPr>
          <w:rFonts w:cs="Times New Roman"/>
          <w:i/>
          <w:szCs w:val="24"/>
        </w:rPr>
        <w:t>Ceriodaphnia</w:t>
      </w:r>
      <w:proofErr w:type="spellEnd"/>
      <w:r w:rsidRPr="00132C6B">
        <w:rPr>
          <w:rFonts w:cs="Times New Roman"/>
          <w:i/>
          <w:szCs w:val="24"/>
        </w:rPr>
        <w:t xml:space="preserve"> </w:t>
      </w:r>
      <w:proofErr w:type="spellStart"/>
      <w:r w:rsidRPr="00132C6B">
        <w:rPr>
          <w:rFonts w:cs="Times New Roman"/>
          <w:i/>
          <w:szCs w:val="24"/>
        </w:rPr>
        <w:t>dubia</w:t>
      </w:r>
      <w:proofErr w:type="spellEnd"/>
      <w:r w:rsidRPr="00132C6B">
        <w:rPr>
          <w:rFonts w:cs="Times New Roman"/>
          <w:szCs w:val="24"/>
        </w:rPr>
        <w:t xml:space="preserve"> reproduction test. The </w:t>
      </w:r>
      <w:r w:rsidR="00A94F30">
        <w:rPr>
          <w:rFonts w:cs="Times New Roman"/>
          <w:szCs w:val="24"/>
        </w:rPr>
        <w:t xml:space="preserve">Moore et al. </w:t>
      </w:r>
      <w:r w:rsidRPr="00132C6B">
        <w:rPr>
          <w:rFonts w:cs="Times New Roman"/>
          <w:szCs w:val="24"/>
        </w:rPr>
        <w:t>study addressed the issue</w:t>
      </w:r>
      <w:r w:rsidR="00EF11F0">
        <w:rPr>
          <w:rFonts w:cs="Times New Roman"/>
          <w:szCs w:val="24"/>
        </w:rPr>
        <w:t xml:space="preserve"> of</w:t>
      </w:r>
      <w:r w:rsidR="00EF11F0" w:rsidRPr="00EF11F0">
        <w:rPr>
          <w:rFonts w:cs="Times New Roman"/>
          <w:szCs w:val="24"/>
        </w:rPr>
        <w:t xml:space="preserve"> </w:t>
      </w:r>
      <w:r w:rsidR="00EF11F0">
        <w:rPr>
          <w:rFonts w:cs="Times New Roman"/>
          <w:szCs w:val="24"/>
        </w:rPr>
        <w:t>incorrect determinations of toxicity</w:t>
      </w:r>
      <w:r w:rsidRPr="00132C6B">
        <w:rPr>
          <w:rFonts w:cs="Times New Roman"/>
          <w:szCs w:val="24"/>
        </w:rPr>
        <w:t xml:space="preserve"> by sending blank samples to 16 certified laboratories. Of the 14 valid chronic tests received, toxicity was determined to exist in 6 of the blank samples. A more recent study performed by the Southern California Coastal Water Research Project for the Stormwater Coalition in Southern California in 2016 produced interlaboratory results for blank samples for a variety of short-term chronic toxicity tests, including the </w:t>
      </w:r>
      <w:proofErr w:type="spellStart"/>
      <w:r w:rsidRPr="00132C6B">
        <w:rPr>
          <w:rFonts w:cs="Times New Roman"/>
          <w:i/>
          <w:szCs w:val="24"/>
        </w:rPr>
        <w:t>Ceriodaphnia</w:t>
      </w:r>
      <w:proofErr w:type="spellEnd"/>
      <w:r w:rsidRPr="00132C6B">
        <w:rPr>
          <w:rFonts w:cs="Times New Roman"/>
          <w:i/>
          <w:szCs w:val="24"/>
        </w:rPr>
        <w:t xml:space="preserve"> </w:t>
      </w:r>
      <w:proofErr w:type="spellStart"/>
      <w:r w:rsidRPr="00132C6B">
        <w:rPr>
          <w:rFonts w:cs="Times New Roman"/>
          <w:i/>
          <w:szCs w:val="24"/>
        </w:rPr>
        <w:t>dubia</w:t>
      </w:r>
      <w:proofErr w:type="spellEnd"/>
      <w:r w:rsidRPr="00132C6B">
        <w:rPr>
          <w:rFonts w:cs="Times New Roman"/>
          <w:szCs w:val="24"/>
        </w:rPr>
        <w:t xml:space="preserve"> reproduction test. This study also found a high incidence of toxicity in blank samples in the </w:t>
      </w:r>
      <w:proofErr w:type="spellStart"/>
      <w:r w:rsidRPr="00E6684F">
        <w:rPr>
          <w:rFonts w:cs="Times New Roman"/>
          <w:i/>
          <w:szCs w:val="24"/>
        </w:rPr>
        <w:t>Ceriodaphnia</w:t>
      </w:r>
      <w:proofErr w:type="spellEnd"/>
      <w:r w:rsidRPr="00E6684F">
        <w:rPr>
          <w:rFonts w:cs="Times New Roman"/>
          <w:i/>
          <w:szCs w:val="24"/>
        </w:rPr>
        <w:t xml:space="preserve"> </w:t>
      </w:r>
      <w:proofErr w:type="spellStart"/>
      <w:r w:rsidRPr="00E6684F">
        <w:rPr>
          <w:rFonts w:cs="Times New Roman"/>
          <w:i/>
          <w:szCs w:val="24"/>
        </w:rPr>
        <w:t>dubia</w:t>
      </w:r>
      <w:proofErr w:type="spellEnd"/>
      <w:r w:rsidRPr="00132C6B">
        <w:rPr>
          <w:rFonts w:cs="Times New Roman"/>
          <w:szCs w:val="24"/>
        </w:rPr>
        <w:t xml:space="preserve"> reproduction test, over two rounds of analys</w:t>
      </w:r>
      <w:r w:rsidR="004F24E2">
        <w:rPr>
          <w:rFonts w:cs="Times New Roman"/>
          <w:szCs w:val="24"/>
        </w:rPr>
        <w:t>e</w:t>
      </w:r>
      <w:r w:rsidRPr="00132C6B">
        <w:rPr>
          <w:rFonts w:cs="Times New Roman"/>
          <w:szCs w:val="24"/>
        </w:rPr>
        <w:t>s.</w:t>
      </w:r>
    </w:p>
    <w:p w14:paraId="75ACF040" w14:textId="0D471979" w:rsidR="00D85251" w:rsidRPr="00132C6B" w:rsidRDefault="00D85251" w:rsidP="00112D21">
      <w:pPr>
        <w:spacing w:before="120"/>
        <w:rPr>
          <w:rFonts w:cs="Times New Roman"/>
          <w:szCs w:val="24"/>
        </w:rPr>
      </w:pPr>
      <w:r w:rsidRPr="00132C6B">
        <w:rPr>
          <w:rFonts w:cs="Times New Roman"/>
          <w:szCs w:val="24"/>
        </w:rPr>
        <w:t xml:space="preserve">These contradictory results have caused continued concern over this issue within the regulated community. Additionally, none of the three studies evaluated the test results using the TST approach, which is anticipated to be the approach used for </w:t>
      </w:r>
      <w:r w:rsidR="004F24E2">
        <w:rPr>
          <w:rFonts w:cs="Times New Roman"/>
          <w:szCs w:val="24"/>
        </w:rPr>
        <w:t xml:space="preserve">future </w:t>
      </w:r>
      <w:r w:rsidRPr="00132C6B">
        <w:rPr>
          <w:rFonts w:cs="Times New Roman"/>
          <w:szCs w:val="24"/>
        </w:rPr>
        <w:t xml:space="preserve">NPDES permit compliance in California. For these reasons, it is concluded that the question </w:t>
      </w:r>
      <w:r w:rsidR="00EF11F0">
        <w:rPr>
          <w:rFonts w:cs="Times New Roman"/>
          <w:szCs w:val="24"/>
        </w:rPr>
        <w:t>of incorrect determinations of toxicity</w:t>
      </w:r>
      <w:r w:rsidR="00EF11F0" w:rsidRPr="00132C6B">
        <w:rPr>
          <w:rFonts w:cs="Times New Roman"/>
          <w:szCs w:val="24"/>
        </w:rPr>
        <w:t xml:space="preserve"> </w:t>
      </w:r>
      <w:r w:rsidR="0057011F">
        <w:rPr>
          <w:rFonts w:cs="Times New Roman"/>
          <w:szCs w:val="24"/>
        </w:rPr>
        <w:t xml:space="preserve">using the </w:t>
      </w:r>
      <w:proofErr w:type="spellStart"/>
      <w:r w:rsidR="0057011F" w:rsidRPr="0057011F">
        <w:rPr>
          <w:rFonts w:cs="Times New Roman"/>
          <w:i/>
          <w:szCs w:val="24"/>
        </w:rPr>
        <w:t>Ceriodaphnia</w:t>
      </w:r>
      <w:proofErr w:type="spellEnd"/>
      <w:r w:rsidR="0057011F" w:rsidRPr="0057011F">
        <w:rPr>
          <w:rFonts w:cs="Times New Roman"/>
          <w:i/>
          <w:szCs w:val="24"/>
        </w:rPr>
        <w:t xml:space="preserve"> </w:t>
      </w:r>
      <w:proofErr w:type="spellStart"/>
      <w:r w:rsidR="0057011F" w:rsidRPr="0057011F">
        <w:rPr>
          <w:rFonts w:cs="Times New Roman"/>
          <w:i/>
          <w:szCs w:val="24"/>
        </w:rPr>
        <w:t>dubia</w:t>
      </w:r>
      <w:proofErr w:type="spellEnd"/>
      <w:r w:rsidR="0057011F">
        <w:rPr>
          <w:rFonts w:cs="Times New Roman"/>
          <w:szCs w:val="24"/>
        </w:rPr>
        <w:t xml:space="preserve"> short-term chronic test protocol </w:t>
      </w:r>
      <w:r w:rsidRPr="00132C6B">
        <w:rPr>
          <w:rFonts w:cs="Times New Roman"/>
          <w:szCs w:val="24"/>
        </w:rPr>
        <w:t>has not been resolved to date.</w:t>
      </w:r>
    </w:p>
    <w:p w14:paraId="0689C38F" w14:textId="29B550D4" w:rsidR="00D85251" w:rsidRPr="001B1399" w:rsidRDefault="00D85251" w:rsidP="00E6684F">
      <w:pPr>
        <w:pStyle w:val="Heading2"/>
      </w:pPr>
      <w:bookmarkStart w:id="19" w:name="_Toc527448269"/>
      <w:r w:rsidRPr="001B1399">
        <w:t>Methods</w:t>
      </w:r>
      <w:bookmarkEnd w:id="19"/>
    </w:p>
    <w:p w14:paraId="5D842882" w14:textId="2EAC6B74" w:rsidR="00D85251" w:rsidRPr="00E6684F" w:rsidRDefault="00D85251" w:rsidP="00E6684F">
      <w:pPr>
        <w:spacing w:before="120"/>
        <w:rPr>
          <w:rFonts w:cs="Times New Roman"/>
          <w:szCs w:val="24"/>
        </w:rPr>
      </w:pPr>
      <w:r w:rsidRPr="00E6684F">
        <w:rPr>
          <w:rFonts w:cs="Times New Roman"/>
          <w:szCs w:val="24"/>
        </w:rPr>
        <w:t xml:space="preserve">For this study, a two-step approach has been chosen.  In the first step, available raw data from the three blank studies </w:t>
      </w:r>
      <w:r w:rsidR="00AD1E21">
        <w:rPr>
          <w:rFonts w:cs="Times New Roman"/>
          <w:szCs w:val="24"/>
        </w:rPr>
        <w:t>were</w:t>
      </w:r>
      <w:r w:rsidRPr="00E6684F">
        <w:rPr>
          <w:rFonts w:cs="Times New Roman"/>
          <w:szCs w:val="24"/>
        </w:rPr>
        <w:t xml:space="preserve"> analyzed at face value, to determine whether statistically significant determinations can be made based on NOEC, IC25 and TST results. Power analys</w:t>
      </w:r>
      <w:r w:rsidR="004F24E2">
        <w:rPr>
          <w:rFonts w:cs="Times New Roman"/>
          <w:szCs w:val="24"/>
        </w:rPr>
        <w:t>e</w:t>
      </w:r>
      <w:r w:rsidRPr="00E6684F">
        <w:rPr>
          <w:rFonts w:cs="Times New Roman"/>
          <w:szCs w:val="24"/>
        </w:rPr>
        <w:t xml:space="preserve">s </w:t>
      </w:r>
      <w:r w:rsidR="00AD1E21">
        <w:rPr>
          <w:rFonts w:cs="Times New Roman"/>
          <w:szCs w:val="24"/>
        </w:rPr>
        <w:t>were</w:t>
      </w:r>
      <w:r w:rsidRPr="00E6684F">
        <w:rPr>
          <w:rFonts w:cs="Times New Roman"/>
          <w:szCs w:val="24"/>
        </w:rPr>
        <w:t xml:space="preserve"> used to determine whether adequate data exist to reach various conclusions with </w:t>
      </w:r>
      <w:proofErr w:type="gramStart"/>
      <w:r w:rsidRPr="00E6684F">
        <w:rPr>
          <w:rFonts w:cs="Times New Roman"/>
          <w:szCs w:val="24"/>
        </w:rPr>
        <w:t>sufficient</w:t>
      </w:r>
      <w:proofErr w:type="gramEnd"/>
      <w:r w:rsidRPr="00E6684F">
        <w:rPr>
          <w:rFonts w:cs="Times New Roman"/>
          <w:szCs w:val="24"/>
        </w:rPr>
        <w:t xml:space="preserve"> confidence. In the second step, a qualitative assessment </w:t>
      </w:r>
      <w:r w:rsidR="00AD1E21">
        <w:rPr>
          <w:rFonts w:cs="Times New Roman"/>
          <w:szCs w:val="24"/>
        </w:rPr>
        <w:t>was</w:t>
      </w:r>
      <w:r w:rsidRPr="00E6684F">
        <w:rPr>
          <w:rFonts w:cs="Times New Roman"/>
          <w:szCs w:val="24"/>
        </w:rPr>
        <w:t xml:space="preserve"> made regarding the validity of the raw data, taking into consideration feedback that has been received on the three studies in question. Results from these two steps </w:t>
      </w:r>
      <w:r w:rsidR="00AD1E21">
        <w:rPr>
          <w:rFonts w:cs="Times New Roman"/>
          <w:szCs w:val="24"/>
        </w:rPr>
        <w:t>were</w:t>
      </w:r>
      <w:r w:rsidRPr="00E6684F">
        <w:rPr>
          <w:rFonts w:cs="Times New Roman"/>
          <w:szCs w:val="24"/>
        </w:rPr>
        <w:t xml:space="preserve"> used in the development of findings.    </w:t>
      </w:r>
    </w:p>
    <w:p w14:paraId="3212E05D" w14:textId="7959679B" w:rsidR="00D85251" w:rsidRPr="00E6684F" w:rsidRDefault="00D85251" w:rsidP="00E6684F">
      <w:pPr>
        <w:spacing w:before="120"/>
        <w:rPr>
          <w:rFonts w:cs="Times New Roman"/>
          <w:szCs w:val="24"/>
        </w:rPr>
      </w:pPr>
      <w:r w:rsidRPr="00E6684F">
        <w:rPr>
          <w:rFonts w:cs="Times New Roman"/>
          <w:szCs w:val="24"/>
        </w:rPr>
        <w:t xml:space="preserve">As mentioned above, data </w:t>
      </w:r>
      <w:r w:rsidR="004F24E2">
        <w:rPr>
          <w:rFonts w:cs="Times New Roman"/>
          <w:szCs w:val="24"/>
        </w:rPr>
        <w:t>from</w:t>
      </w:r>
      <w:r w:rsidRPr="00E6684F">
        <w:rPr>
          <w:rFonts w:cs="Times New Roman"/>
          <w:szCs w:val="24"/>
        </w:rPr>
        <w:t xml:space="preserve"> blank sample</w:t>
      </w:r>
      <w:r w:rsidR="004F24E2">
        <w:rPr>
          <w:rFonts w:cs="Times New Roman"/>
          <w:szCs w:val="24"/>
        </w:rPr>
        <w:t xml:space="preserve"> analyses</w:t>
      </w:r>
      <w:r w:rsidRPr="00E6684F">
        <w:rPr>
          <w:rFonts w:cs="Times New Roman"/>
          <w:szCs w:val="24"/>
        </w:rPr>
        <w:t xml:space="preserve"> for use in the statistical assessment performed for this white paper </w:t>
      </w:r>
      <w:r w:rsidR="004F24E2">
        <w:rPr>
          <w:rFonts w:cs="Times New Roman"/>
          <w:szCs w:val="24"/>
        </w:rPr>
        <w:t>are</w:t>
      </w:r>
      <w:r w:rsidRPr="00E6684F">
        <w:rPr>
          <w:rFonts w:cs="Times New Roman"/>
          <w:szCs w:val="24"/>
        </w:rPr>
        <w:t xml:space="preserve"> available from the following three studies.  </w:t>
      </w:r>
    </w:p>
    <w:p w14:paraId="19362129" w14:textId="0ABD937A" w:rsidR="00D85251" w:rsidRPr="0027541F" w:rsidRDefault="00D85251" w:rsidP="00E6684F">
      <w:pPr>
        <w:pStyle w:val="ListParagraph"/>
        <w:numPr>
          <w:ilvl w:val="0"/>
          <w:numId w:val="9"/>
        </w:numPr>
        <w:spacing w:before="120"/>
        <w:rPr>
          <w:rFonts w:cs="Times New Roman"/>
          <w:b/>
          <w:szCs w:val="24"/>
        </w:rPr>
      </w:pPr>
      <w:r w:rsidRPr="0027541F">
        <w:rPr>
          <w:rFonts w:cs="Times New Roman"/>
          <w:b/>
          <w:szCs w:val="24"/>
        </w:rPr>
        <w:t xml:space="preserve">U.S. EPA, 2001. </w:t>
      </w:r>
      <w:r w:rsidRPr="00FA6CC1">
        <w:rPr>
          <w:rFonts w:cs="Times New Roman"/>
          <w:i/>
          <w:szCs w:val="24"/>
        </w:rPr>
        <w:t>Final report: Interlaboratory variability study of EPA short-term chronic and acute whole effluent toxicity test methods.</w:t>
      </w:r>
      <w:r w:rsidRPr="0027541F">
        <w:rPr>
          <w:rFonts w:cs="Times New Roman"/>
          <w:szCs w:val="24"/>
        </w:rPr>
        <w:t xml:space="preserve"> United States Environmental Protection Agency, Office of Water. Washington, DC. EPA-821-B-01-04.</w:t>
      </w:r>
      <w:r w:rsidR="00297060">
        <w:rPr>
          <w:rFonts w:cs="Times New Roman"/>
          <w:szCs w:val="24"/>
        </w:rPr>
        <w:t xml:space="preserve"> (Called the EPA study in this analysis.)</w:t>
      </w:r>
    </w:p>
    <w:p w14:paraId="4CA2DF69" w14:textId="28DF18CA" w:rsidR="00D85251" w:rsidRPr="00E6684F" w:rsidRDefault="00D85251" w:rsidP="00E6684F">
      <w:pPr>
        <w:pStyle w:val="Default"/>
        <w:spacing w:before="120" w:after="120"/>
        <w:ind w:left="360"/>
        <w:rPr>
          <w:rFonts w:ascii="Times New Roman" w:hAnsi="Times New Roman" w:cs="Times New Roman"/>
        </w:rPr>
      </w:pPr>
      <w:r w:rsidRPr="00E6684F">
        <w:rPr>
          <w:rFonts w:ascii="Times New Roman" w:hAnsi="Times New Roman" w:cs="Times New Roman"/>
        </w:rPr>
        <w:t xml:space="preserve">USEPA performed an interlaboratory study of 12 EPA short-term chronic and acute whole effluent toxicity test methods in 1999-2000. The study was performed under </w:t>
      </w:r>
      <w:r w:rsidR="008D5B2E">
        <w:rPr>
          <w:rFonts w:ascii="Times New Roman" w:hAnsi="Times New Roman" w:cs="Times New Roman"/>
        </w:rPr>
        <w:t xml:space="preserve">the </w:t>
      </w:r>
      <w:r w:rsidRPr="00E6684F">
        <w:rPr>
          <w:rFonts w:ascii="Times New Roman" w:hAnsi="Times New Roman" w:cs="Times New Roman"/>
        </w:rPr>
        <w:t>terms of a settlement agreement to resolve a judicial challenge to the EPA 1995 promulgation of 17 whole effluent toxicity test methods.</w:t>
      </w:r>
    </w:p>
    <w:p w14:paraId="7EF1A4CF" w14:textId="5324A42D" w:rsidR="00D85251" w:rsidRPr="00E6684F" w:rsidRDefault="00D85251" w:rsidP="00E6684F">
      <w:pPr>
        <w:pStyle w:val="Default"/>
        <w:spacing w:before="120" w:after="120"/>
        <w:ind w:left="360"/>
        <w:rPr>
          <w:rFonts w:ascii="Times New Roman" w:hAnsi="Times New Roman" w:cs="Times New Roman"/>
        </w:rPr>
      </w:pPr>
      <w:r w:rsidRPr="00E6684F">
        <w:rPr>
          <w:rFonts w:ascii="Times New Roman" w:hAnsi="Times New Roman" w:cs="Times New Roman"/>
        </w:rPr>
        <w:t xml:space="preserve">The purpose of the study was to characterize (1) interlaboratory variability, (2) </w:t>
      </w:r>
      <w:r w:rsidR="008D5B2E">
        <w:rPr>
          <w:rFonts w:ascii="Times New Roman" w:hAnsi="Times New Roman" w:cs="Times New Roman"/>
        </w:rPr>
        <w:t xml:space="preserve">the </w:t>
      </w:r>
      <w:r w:rsidRPr="00E6684F">
        <w:rPr>
          <w:rFonts w:ascii="Times New Roman" w:hAnsi="Times New Roman" w:cs="Times New Roman"/>
        </w:rPr>
        <w:t xml:space="preserve">rate of successful test completion and (3) </w:t>
      </w:r>
      <w:r w:rsidR="008D5B2E">
        <w:rPr>
          <w:rFonts w:ascii="Times New Roman" w:hAnsi="Times New Roman" w:cs="Times New Roman"/>
        </w:rPr>
        <w:t xml:space="preserve">the </w:t>
      </w:r>
      <w:r w:rsidRPr="00E6684F">
        <w:rPr>
          <w:rFonts w:ascii="Times New Roman" w:hAnsi="Times New Roman" w:cs="Times New Roman"/>
        </w:rPr>
        <w:t xml:space="preserve">rate of </w:t>
      </w:r>
      <w:r w:rsidR="00EF11F0" w:rsidRPr="00EF11F0">
        <w:rPr>
          <w:rFonts w:ascii="Times New Roman" w:hAnsi="Times New Roman" w:cs="Times New Roman"/>
        </w:rPr>
        <w:t>incorrect determinations of toxicity</w:t>
      </w:r>
      <w:r w:rsidRPr="00E6684F">
        <w:rPr>
          <w:rFonts w:ascii="Times New Roman" w:hAnsi="Times New Roman" w:cs="Times New Roman"/>
        </w:rPr>
        <w:t xml:space="preserve"> for 12 WET test methods, which included the </w:t>
      </w:r>
      <w:proofErr w:type="spellStart"/>
      <w:r w:rsidRPr="00E6684F">
        <w:rPr>
          <w:rFonts w:ascii="Times New Roman" w:hAnsi="Times New Roman" w:cs="Times New Roman"/>
          <w:i/>
        </w:rPr>
        <w:t>Ceriodaphnia</w:t>
      </w:r>
      <w:proofErr w:type="spellEnd"/>
      <w:r w:rsidRPr="00E6684F">
        <w:rPr>
          <w:rFonts w:ascii="Times New Roman" w:hAnsi="Times New Roman" w:cs="Times New Roman"/>
          <w:i/>
        </w:rPr>
        <w:t xml:space="preserve"> </w:t>
      </w:r>
      <w:proofErr w:type="spellStart"/>
      <w:r w:rsidRPr="00E6684F">
        <w:rPr>
          <w:rFonts w:ascii="Times New Roman" w:hAnsi="Times New Roman" w:cs="Times New Roman"/>
          <w:i/>
        </w:rPr>
        <w:t>dubia</w:t>
      </w:r>
      <w:proofErr w:type="spellEnd"/>
      <w:r w:rsidRPr="00E6684F">
        <w:rPr>
          <w:rFonts w:ascii="Times New Roman" w:hAnsi="Times New Roman" w:cs="Times New Roman"/>
        </w:rPr>
        <w:t xml:space="preserve"> chronic test of survival and reproduction.</w:t>
      </w:r>
    </w:p>
    <w:p w14:paraId="70AE75D9" w14:textId="2E5C8894" w:rsidR="00D85251" w:rsidRPr="00E6684F" w:rsidRDefault="00D85251" w:rsidP="00E6684F">
      <w:pPr>
        <w:pStyle w:val="Default"/>
        <w:spacing w:before="120" w:after="120"/>
        <w:ind w:left="360"/>
        <w:rPr>
          <w:rFonts w:ascii="Times New Roman" w:hAnsi="Times New Roman" w:cs="Times New Roman"/>
        </w:rPr>
      </w:pPr>
      <w:r w:rsidRPr="00E6684F">
        <w:rPr>
          <w:rFonts w:ascii="Times New Roman" w:hAnsi="Times New Roman" w:cs="Times New Roman"/>
        </w:rPr>
        <w:t xml:space="preserve">Successful test completion rates were higher than 90% for all tests except </w:t>
      </w:r>
      <w:proofErr w:type="spellStart"/>
      <w:r w:rsidRPr="00E6684F">
        <w:rPr>
          <w:rFonts w:ascii="Times New Roman" w:hAnsi="Times New Roman" w:cs="Times New Roman"/>
          <w:i/>
        </w:rPr>
        <w:t>Ceriodaphnia</w:t>
      </w:r>
      <w:proofErr w:type="spellEnd"/>
      <w:r w:rsidRPr="00E6684F">
        <w:rPr>
          <w:rFonts w:ascii="Times New Roman" w:hAnsi="Times New Roman" w:cs="Times New Roman"/>
        </w:rPr>
        <w:t xml:space="preserve"> </w:t>
      </w:r>
      <w:proofErr w:type="spellStart"/>
      <w:r w:rsidRPr="00E6684F">
        <w:rPr>
          <w:rFonts w:ascii="Times New Roman" w:hAnsi="Times New Roman" w:cs="Times New Roman"/>
          <w:i/>
        </w:rPr>
        <w:t>dubia</w:t>
      </w:r>
      <w:proofErr w:type="spellEnd"/>
      <w:r w:rsidRPr="00E6684F">
        <w:rPr>
          <w:rFonts w:ascii="Times New Roman" w:hAnsi="Times New Roman" w:cs="Times New Roman"/>
        </w:rPr>
        <w:t xml:space="preserve"> chronic (82%) and </w:t>
      </w:r>
      <w:proofErr w:type="spellStart"/>
      <w:r w:rsidRPr="00E6684F">
        <w:rPr>
          <w:rFonts w:ascii="Times New Roman" w:hAnsi="Times New Roman" w:cs="Times New Roman"/>
          <w:i/>
        </w:rPr>
        <w:t>Selanastrum</w:t>
      </w:r>
      <w:proofErr w:type="spellEnd"/>
      <w:r w:rsidRPr="00E6684F">
        <w:rPr>
          <w:rFonts w:ascii="Times New Roman" w:hAnsi="Times New Roman" w:cs="Times New Roman"/>
        </w:rPr>
        <w:t xml:space="preserve"> chronic (64-66%). </w:t>
      </w:r>
      <w:r w:rsidR="00EF11F0">
        <w:rPr>
          <w:rFonts w:ascii="Times New Roman" w:hAnsi="Times New Roman" w:cs="Times New Roman"/>
        </w:rPr>
        <w:t>Rates of i</w:t>
      </w:r>
      <w:r w:rsidR="00EF11F0" w:rsidRPr="00EF11F0">
        <w:rPr>
          <w:rFonts w:ascii="Times New Roman" w:hAnsi="Times New Roman" w:cs="Times New Roman"/>
        </w:rPr>
        <w:t>ncorrect determinations of toxicity</w:t>
      </w:r>
      <w:r w:rsidRPr="00E6684F">
        <w:rPr>
          <w:rFonts w:ascii="Times New Roman" w:hAnsi="Times New Roman" w:cs="Times New Roman"/>
        </w:rPr>
        <w:t xml:space="preserve"> were less than 5% for all tests except the </w:t>
      </w:r>
      <w:proofErr w:type="spellStart"/>
      <w:r w:rsidRPr="00E6684F">
        <w:rPr>
          <w:rFonts w:ascii="Times New Roman" w:hAnsi="Times New Roman" w:cs="Times New Roman"/>
          <w:i/>
        </w:rPr>
        <w:t>Selanastrum</w:t>
      </w:r>
      <w:proofErr w:type="spellEnd"/>
      <w:r w:rsidRPr="00E6684F">
        <w:rPr>
          <w:rFonts w:ascii="Times New Roman" w:hAnsi="Times New Roman" w:cs="Times New Roman"/>
        </w:rPr>
        <w:t xml:space="preserve"> chronic without EDTA</w:t>
      </w:r>
      <w:r w:rsidR="00162041">
        <w:rPr>
          <w:rStyle w:val="FootnoteReference"/>
          <w:rFonts w:ascii="Times New Roman" w:hAnsi="Times New Roman" w:cs="Times New Roman"/>
        </w:rPr>
        <w:footnoteReference w:id="2"/>
      </w:r>
      <w:r w:rsidRPr="00E6684F">
        <w:rPr>
          <w:rFonts w:ascii="Times New Roman" w:hAnsi="Times New Roman" w:cs="Times New Roman"/>
        </w:rPr>
        <w:t xml:space="preserve"> (33.3%). </w:t>
      </w:r>
      <w:r w:rsidR="00A6331B">
        <w:rPr>
          <w:rFonts w:ascii="Times New Roman" w:hAnsi="Times New Roman" w:cs="Times New Roman"/>
        </w:rPr>
        <w:t>The USEPA authors found that t</w:t>
      </w:r>
      <w:r w:rsidRPr="00E6684F">
        <w:rPr>
          <w:rFonts w:ascii="Times New Roman" w:hAnsi="Times New Roman" w:cs="Times New Roman"/>
        </w:rPr>
        <w:t xml:space="preserve">he rate </w:t>
      </w:r>
      <w:r w:rsidR="00EF11F0">
        <w:rPr>
          <w:rFonts w:ascii="Times New Roman" w:hAnsi="Times New Roman" w:cs="Times New Roman"/>
        </w:rPr>
        <w:t>of i</w:t>
      </w:r>
      <w:r w:rsidR="00EF11F0" w:rsidRPr="00EF11F0">
        <w:rPr>
          <w:rFonts w:ascii="Times New Roman" w:hAnsi="Times New Roman" w:cs="Times New Roman"/>
        </w:rPr>
        <w:t>ncorrect determinations of toxicity</w:t>
      </w:r>
      <w:r w:rsidR="00EF11F0" w:rsidRPr="00E6684F">
        <w:rPr>
          <w:rFonts w:ascii="Times New Roman" w:hAnsi="Times New Roman" w:cs="Times New Roman"/>
        </w:rPr>
        <w:t xml:space="preserve"> </w:t>
      </w:r>
      <w:r w:rsidRPr="00E6684F">
        <w:rPr>
          <w:rFonts w:ascii="Times New Roman" w:hAnsi="Times New Roman" w:cs="Times New Roman"/>
        </w:rPr>
        <w:t xml:space="preserve">for </w:t>
      </w:r>
      <w:r w:rsidR="00A6331B">
        <w:rPr>
          <w:rFonts w:ascii="Times New Roman" w:hAnsi="Times New Roman" w:cs="Times New Roman"/>
        </w:rPr>
        <w:t xml:space="preserve">the </w:t>
      </w:r>
      <w:proofErr w:type="spellStart"/>
      <w:r w:rsidRPr="00E6684F">
        <w:rPr>
          <w:rFonts w:ascii="Times New Roman" w:hAnsi="Times New Roman" w:cs="Times New Roman"/>
          <w:i/>
        </w:rPr>
        <w:t>Ceriodaphnia</w:t>
      </w:r>
      <w:proofErr w:type="spellEnd"/>
      <w:r w:rsidRPr="00E6684F">
        <w:rPr>
          <w:rFonts w:ascii="Times New Roman" w:hAnsi="Times New Roman" w:cs="Times New Roman"/>
        </w:rPr>
        <w:t xml:space="preserve"> </w:t>
      </w:r>
      <w:proofErr w:type="spellStart"/>
      <w:r w:rsidRPr="00E6684F">
        <w:rPr>
          <w:rFonts w:ascii="Times New Roman" w:hAnsi="Times New Roman" w:cs="Times New Roman"/>
          <w:i/>
        </w:rPr>
        <w:t>dubia</w:t>
      </w:r>
      <w:proofErr w:type="spellEnd"/>
      <w:r w:rsidRPr="00E6684F">
        <w:rPr>
          <w:rFonts w:ascii="Times New Roman" w:hAnsi="Times New Roman" w:cs="Times New Roman"/>
        </w:rPr>
        <w:t xml:space="preserve"> chronic </w:t>
      </w:r>
      <w:r w:rsidR="00A6331B">
        <w:rPr>
          <w:rFonts w:ascii="Times New Roman" w:hAnsi="Times New Roman" w:cs="Times New Roman"/>
        </w:rPr>
        <w:t xml:space="preserve">test </w:t>
      </w:r>
      <w:r w:rsidRPr="00E6684F">
        <w:rPr>
          <w:rFonts w:ascii="Times New Roman" w:hAnsi="Times New Roman" w:cs="Times New Roman"/>
        </w:rPr>
        <w:t xml:space="preserve">was 3.7% (one out of 27 blanks showed toxicity). Interlaboratory variability was described by the coefficient of variation (CV) calculated for point estimates. Interlaboratory CVs of IC25s ranged from 10% to 58% for chronic test methods. Interlaboratory variability (CV) for </w:t>
      </w:r>
      <w:proofErr w:type="spellStart"/>
      <w:r w:rsidRPr="00E6684F">
        <w:rPr>
          <w:rFonts w:ascii="Times New Roman" w:hAnsi="Times New Roman" w:cs="Times New Roman"/>
          <w:i/>
        </w:rPr>
        <w:t>Ceriodaphnia</w:t>
      </w:r>
      <w:proofErr w:type="spellEnd"/>
      <w:r w:rsidRPr="00E6684F">
        <w:rPr>
          <w:rFonts w:ascii="Times New Roman" w:hAnsi="Times New Roman" w:cs="Times New Roman"/>
        </w:rPr>
        <w:t xml:space="preserve"> </w:t>
      </w:r>
      <w:proofErr w:type="spellStart"/>
      <w:r w:rsidRPr="00E6684F">
        <w:rPr>
          <w:rFonts w:ascii="Times New Roman" w:hAnsi="Times New Roman" w:cs="Times New Roman"/>
          <w:i/>
        </w:rPr>
        <w:t>dubia</w:t>
      </w:r>
      <w:proofErr w:type="spellEnd"/>
      <w:r w:rsidRPr="00E6684F">
        <w:rPr>
          <w:rFonts w:ascii="Times New Roman" w:hAnsi="Times New Roman" w:cs="Times New Roman"/>
        </w:rPr>
        <w:t xml:space="preserve"> chronic reproduction endpoints (IC25) was 35%. </w:t>
      </w:r>
      <w:r w:rsidR="00FA6CC1">
        <w:rPr>
          <w:rFonts w:ascii="Times New Roman" w:hAnsi="Times New Roman" w:cs="Times New Roman"/>
        </w:rPr>
        <w:t>The w</w:t>
      </w:r>
      <w:r w:rsidRPr="00E6684F">
        <w:rPr>
          <w:rFonts w:ascii="Times New Roman" w:hAnsi="Times New Roman" w:cs="Times New Roman"/>
        </w:rPr>
        <w:t>ithin</w:t>
      </w:r>
      <w:r w:rsidR="00FA6CC1">
        <w:rPr>
          <w:rFonts w:ascii="Times New Roman" w:hAnsi="Times New Roman" w:cs="Times New Roman"/>
        </w:rPr>
        <w:t>-</w:t>
      </w:r>
      <w:r w:rsidRPr="00E6684F">
        <w:rPr>
          <w:rFonts w:ascii="Times New Roman" w:hAnsi="Times New Roman" w:cs="Times New Roman"/>
        </w:rPr>
        <w:t xml:space="preserve">laboratory CV for </w:t>
      </w:r>
      <w:proofErr w:type="spellStart"/>
      <w:r w:rsidRPr="00E6684F">
        <w:rPr>
          <w:rFonts w:ascii="Times New Roman" w:hAnsi="Times New Roman" w:cs="Times New Roman"/>
          <w:i/>
        </w:rPr>
        <w:t>Ceriodaphnia</w:t>
      </w:r>
      <w:proofErr w:type="spellEnd"/>
      <w:r w:rsidR="003F25C3">
        <w:rPr>
          <w:rFonts w:ascii="Times New Roman" w:hAnsi="Times New Roman" w:cs="Times New Roman"/>
          <w:i/>
        </w:rPr>
        <w:t xml:space="preserve"> </w:t>
      </w:r>
      <w:proofErr w:type="spellStart"/>
      <w:r w:rsidR="003F25C3">
        <w:rPr>
          <w:rFonts w:ascii="Times New Roman" w:hAnsi="Times New Roman" w:cs="Times New Roman"/>
          <w:i/>
        </w:rPr>
        <w:t>dubia</w:t>
      </w:r>
      <w:proofErr w:type="spellEnd"/>
      <w:r w:rsidRPr="00E6684F">
        <w:rPr>
          <w:rFonts w:ascii="Times New Roman" w:hAnsi="Times New Roman" w:cs="Times New Roman"/>
        </w:rPr>
        <w:t xml:space="preserve"> chronic reproduction results (IC25) was 17.4%. </w:t>
      </w:r>
    </w:p>
    <w:p w14:paraId="4CDB7727" w14:textId="7182C550" w:rsidR="00D85251" w:rsidRPr="00E6684F" w:rsidRDefault="00D85251" w:rsidP="00E6684F">
      <w:pPr>
        <w:pStyle w:val="Default"/>
        <w:spacing w:before="120" w:after="120"/>
        <w:ind w:left="360"/>
        <w:rPr>
          <w:rFonts w:ascii="Times New Roman" w:hAnsi="Times New Roman" w:cs="Times New Roman"/>
        </w:rPr>
      </w:pPr>
      <w:r w:rsidRPr="00E6684F">
        <w:rPr>
          <w:rFonts w:ascii="Times New Roman" w:hAnsi="Times New Roman" w:cs="Times New Roman"/>
        </w:rPr>
        <w:t xml:space="preserve">Results from a total of 34 participant laboratories were used in the </w:t>
      </w:r>
      <w:proofErr w:type="spellStart"/>
      <w:r w:rsidRPr="00E6684F">
        <w:rPr>
          <w:rFonts w:ascii="Times New Roman" w:hAnsi="Times New Roman" w:cs="Times New Roman"/>
          <w:i/>
        </w:rPr>
        <w:t>Ceriodaphnia</w:t>
      </w:r>
      <w:proofErr w:type="spellEnd"/>
      <w:r w:rsidRPr="00E6684F">
        <w:rPr>
          <w:rFonts w:ascii="Times New Roman" w:hAnsi="Times New Roman" w:cs="Times New Roman"/>
        </w:rPr>
        <w:t xml:space="preserve"> chronic test method for the study, completing a total of 122 chronic tests. Of these 122 tests, 22 failed to meet test acceptability criteria and were deemed invalid; 3 tests yielded inconclusive results. Of the 34 laboratories, 24 produced valid </w:t>
      </w:r>
      <w:proofErr w:type="spellStart"/>
      <w:r w:rsidRPr="00E6684F">
        <w:rPr>
          <w:rFonts w:ascii="Times New Roman" w:hAnsi="Times New Roman" w:cs="Times New Roman"/>
          <w:i/>
        </w:rPr>
        <w:t>Ceriodaphnia</w:t>
      </w:r>
      <w:proofErr w:type="spellEnd"/>
      <w:r w:rsidR="003F25C3">
        <w:rPr>
          <w:rFonts w:ascii="Times New Roman" w:hAnsi="Times New Roman" w:cs="Times New Roman"/>
          <w:i/>
        </w:rPr>
        <w:t xml:space="preserve"> </w:t>
      </w:r>
      <w:proofErr w:type="spellStart"/>
      <w:r w:rsidR="003F25C3">
        <w:rPr>
          <w:rFonts w:ascii="Times New Roman" w:hAnsi="Times New Roman" w:cs="Times New Roman"/>
          <w:i/>
        </w:rPr>
        <w:t>dubia</w:t>
      </w:r>
      <w:proofErr w:type="spellEnd"/>
      <w:r w:rsidRPr="00E6684F">
        <w:rPr>
          <w:rFonts w:ascii="Times New Roman" w:hAnsi="Times New Roman" w:cs="Times New Roman"/>
        </w:rPr>
        <w:t xml:space="preserve"> chronic results in all tests. Of the 10 laboratories that had invalid tests, two had invalid results in all samples tested and 8 performed invalid tests in more than 50% of the samples tested. The single blank sample result </w:t>
      </w:r>
      <w:r w:rsidR="00EF11F0">
        <w:rPr>
          <w:rFonts w:ascii="Times New Roman" w:hAnsi="Times New Roman" w:cs="Times New Roman"/>
        </w:rPr>
        <w:t>with an i</w:t>
      </w:r>
      <w:r w:rsidR="00EF11F0" w:rsidRPr="00EF11F0">
        <w:rPr>
          <w:rFonts w:ascii="Times New Roman" w:hAnsi="Times New Roman" w:cs="Times New Roman"/>
        </w:rPr>
        <w:t>ncorrect determination of toxicity</w:t>
      </w:r>
      <w:r w:rsidR="00EF11F0">
        <w:rPr>
          <w:rFonts w:ascii="Times New Roman" w:hAnsi="Times New Roman" w:cs="Times New Roman"/>
        </w:rPr>
        <w:t xml:space="preserve"> </w:t>
      </w:r>
      <w:r w:rsidRPr="00E6684F">
        <w:rPr>
          <w:rFonts w:ascii="Times New Roman" w:hAnsi="Times New Roman" w:cs="Times New Roman"/>
        </w:rPr>
        <w:t xml:space="preserve">was produced by one of the labs that failed to perform valid </w:t>
      </w:r>
      <w:proofErr w:type="spellStart"/>
      <w:r w:rsidR="002424A1" w:rsidRPr="00E6684F">
        <w:rPr>
          <w:rFonts w:ascii="Times New Roman" w:hAnsi="Times New Roman" w:cs="Times New Roman"/>
          <w:i/>
        </w:rPr>
        <w:t>Ceriodaphnia</w:t>
      </w:r>
      <w:proofErr w:type="spellEnd"/>
      <w:r w:rsidR="002424A1" w:rsidRPr="00E6684F">
        <w:rPr>
          <w:rFonts w:ascii="Times New Roman" w:hAnsi="Times New Roman" w:cs="Times New Roman"/>
          <w:i/>
        </w:rPr>
        <w:t xml:space="preserve"> </w:t>
      </w:r>
      <w:proofErr w:type="spellStart"/>
      <w:r w:rsidR="002424A1" w:rsidRPr="00E6684F">
        <w:rPr>
          <w:rFonts w:ascii="Times New Roman" w:hAnsi="Times New Roman" w:cs="Times New Roman"/>
          <w:i/>
        </w:rPr>
        <w:t>dubia</w:t>
      </w:r>
      <w:proofErr w:type="spellEnd"/>
      <w:r w:rsidR="002424A1" w:rsidRPr="00E6684F">
        <w:rPr>
          <w:rFonts w:ascii="Times New Roman" w:hAnsi="Times New Roman" w:cs="Times New Roman"/>
        </w:rPr>
        <w:t xml:space="preserve"> </w:t>
      </w:r>
      <w:r w:rsidRPr="00E6684F">
        <w:rPr>
          <w:rFonts w:ascii="Times New Roman" w:hAnsi="Times New Roman" w:cs="Times New Roman"/>
        </w:rPr>
        <w:t>chronic tests on any of the samples it tested.</w:t>
      </w:r>
    </w:p>
    <w:p w14:paraId="5DF3C878" w14:textId="031FBB32" w:rsidR="00D85251" w:rsidRPr="0027541F" w:rsidRDefault="00D85251" w:rsidP="00297060">
      <w:pPr>
        <w:pStyle w:val="ListParagraph"/>
        <w:keepLines/>
        <w:numPr>
          <w:ilvl w:val="0"/>
          <w:numId w:val="9"/>
        </w:numPr>
        <w:spacing w:before="120"/>
        <w:rPr>
          <w:rFonts w:eastAsia="Times New Roman" w:cs="Times New Roman"/>
          <w:b/>
          <w:color w:val="222222"/>
          <w:szCs w:val="24"/>
        </w:rPr>
      </w:pPr>
      <w:r w:rsidRPr="0027541F">
        <w:rPr>
          <w:rFonts w:eastAsia="Times New Roman" w:cs="Times New Roman"/>
          <w:b/>
          <w:color w:val="222222"/>
          <w:szCs w:val="24"/>
        </w:rPr>
        <w:t xml:space="preserve">Moore, </w:t>
      </w:r>
      <w:r w:rsidR="0027541F">
        <w:rPr>
          <w:rFonts w:eastAsia="Times New Roman" w:cs="Times New Roman"/>
          <w:b/>
          <w:color w:val="222222"/>
          <w:szCs w:val="24"/>
        </w:rPr>
        <w:t>T.</w:t>
      </w:r>
      <w:r w:rsidRPr="0027541F">
        <w:rPr>
          <w:rFonts w:eastAsia="Times New Roman" w:cs="Times New Roman"/>
          <w:b/>
          <w:color w:val="222222"/>
          <w:szCs w:val="24"/>
        </w:rPr>
        <w:t xml:space="preserve">F., </w:t>
      </w:r>
      <w:r w:rsidR="0027541F">
        <w:rPr>
          <w:rFonts w:eastAsia="Times New Roman" w:cs="Times New Roman"/>
          <w:b/>
          <w:color w:val="222222"/>
          <w:szCs w:val="24"/>
        </w:rPr>
        <w:t>Canton, S.</w:t>
      </w:r>
      <w:r w:rsidRPr="0027541F">
        <w:rPr>
          <w:rFonts w:eastAsia="Times New Roman" w:cs="Times New Roman"/>
          <w:b/>
          <w:color w:val="222222"/>
          <w:szCs w:val="24"/>
        </w:rPr>
        <w:t xml:space="preserve">P., </w:t>
      </w:r>
      <w:r w:rsidR="0027541F">
        <w:rPr>
          <w:rFonts w:eastAsia="Times New Roman" w:cs="Times New Roman"/>
          <w:b/>
          <w:color w:val="222222"/>
          <w:szCs w:val="24"/>
        </w:rPr>
        <w:t xml:space="preserve">Grimes, </w:t>
      </w:r>
      <w:r w:rsidRPr="0027541F">
        <w:rPr>
          <w:rFonts w:eastAsia="Times New Roman" w:cs="Times New Roman"/>
          <w:b/>
          <w:color w:val="222222"/>
          <w:szCs w:val="24"/>
        </w:rPr>
        <w:t>M</w:t>
      </w:r>
      <w:r w:rsidR="0027541F">
        <w:rPr>
          <w:rFonts w:eastAsia="Times New Roman" w:cs="Times New Roman"/>
          <w:b/>
          <w:color w:val="222222"/>
          <w:szCs w:val="24"/>
        </w:rPr>
        <w:t>., 2000</w:t>
      </w:r>
      <w:r w:rsidRPr="0027541F">
        <w:rPr>
          <w:rFonts w:eastAsia="Times New Roman" w:cs="Times New Roman"/>
          <w:b/>
          <w:color w:val="222222"/>
          <w:szCs w:val="24"/>
        </w:rPr>
        <w:t xml:space="preserve">. </w:t>
      </w:r>
      <w:r w:rsidRPr="00FA6CC1">
        <w:rPr>
          <w:rFonts w:eastAsia="Times New Roman" w:cs="Times New Roman"/>
          <w:i/>
          <w:color w:val="222222"/>
          <w:szCs w:val="24"/>
        </w:rPr>
        <w:t xml:space="preserve">Investigating the incidence of type I errors for chronic whole effluent toxicity testing using </w:t>
      </w:r>
      <w:proofErr w:type="spellStart"/>
      <w:r w:rsidRPr="00FA6CC1">
        <w:rPr>
          <w:rFonts w:eastAsia="Times New Roman" w:cs="Times New Roman"/>
          <w:i/>
          <w:color w:val="222222"/>
          <w:szCs w:val="24"/>
        </w:rPr>
        <w:t>Ceriodaphnia</w:t>
      </w:r>
      <w:proofErr w:type="spellEnd"/>
      <w:r w:rsidRPr="00FA6CC1">
        <w:rPr>
          <w:rFonts w:eastAsia="Times New Roman" w:cs="Times New Roman"/>
          <w:i/>
          <w:color w:val="222222"/>
          <w:szCs w:val="24"/>
        </w:rPr>
        <w:t xml:space="preserve"> </w:t>
      </w:r>
      <w:proofErr w:type="spellStart"/>
      <w:r w:rsidRPr="00FA6CC1">
        <w:rPr>
          <w:rFonts w:eastAsia="Times New Roman" w:cs="Times New Roman"/>
          <w:i/>
          <w:color w:val="222222"/>
          <w:szCs w:val="24"/>
        </w:rPr>
        <w:t>dubia</w:t>
      </w:r>
      <w:proofErr w:type="spellEnd"/>
      <w:r w:rsidR="00FA6CC1">
        <w:rPr>
          <w:rFonts w:eastAsia="Times New Roman" w:cs="Times New Roman"/>
          <w:i/>
          <w:color w:val="222222"/>
          <w:szCs w:val="24"/>
        </w:rPr>
        <w:t>.</w:t>
      </w:r>
      <w:r w:rsidRPr="0027541F">
        <w:rPr>
          <w:rFonts w:eastAsia="Times New Roman" w:cs="Times New Roman"/>
          <w:color w:val="222222"/>
          <w:szCs w:val="24"/>
        </w:rPr>
        <w:t xml:space="preserve"> </w:t>
      </w:r>
      <w:r w:rsidRPr="00FA6CC1">
        <w:rPr>
          <w:rFonts w:eastAsia="Times New Roman" w:cs="Times New Roman"/>
          <w:iCs/>
          <w:color w:val="222222"/>
          <w:szCs w:val="24"/>
        </w:rPr>
        <w:t>Environmental toxicology and chemistry</w:t>
      </w:r>
      <w:r w:rsidRPr="00FA6CC1">
        <w:rPr>
          <w:rFonts w:eastAsia="Times New Roman" w:cs="Times New Roman"/>
          <w:color w:val="222222"/>
          <w:szCs w:val="24"/>
        </w:rPr>
        <w:t xml:space="preserve"> </w:t>
      </w:r>
      <w:r w:rsidRPr="0027541F">
        <w:rPr>
          <w:rFonts w:eastAsia="Times New Roman" w:cs="Times New Roman"/>
          <w:color w:val="222222"/>
          <w:szCs w:val="24"/>
        </w:rPr>
        <w:t>19.1 (2000): 118-122.</w:t>
      </w:r>
      <w:r w:rsidR="00297060">
        <w:rPr>
          <w:rFonts w:eastAsia="Times New Roman" w:cs="Times New Roman"/>
          <w:color w:val="222222"/>
          <w:szCs w:val="24"/>
        </w:rPr>
        <w:t xml:space="preserve"> (Called the WC </w:t>
      </w:r>
      <w:r w:rsidR="00541C93">
        <w:rPr>
          <w:rFonts w:eastAsia="Times New Roman" w:cs="Times New Roman"/>
          <w:color w:val="222222"/>
          <w:szCs w:val="24"/>
        </w:rPr>
        <w:t xml:space="preserve">(Western Coalition of Arid States) </w:t>
      </w:r>
      <w:r w:rsidR="00297060">
        <w:rPr>
          <w:rFonts w:eastAsia="Times New Roman" w:cs="Times New Roman"/>
          <w:color w:val="222222"/>
          <w:szCs w:val="24"/>
        </w:rPr>
        <w:t>study in this analysis.)</w:t>
      </w:r>
    </w:p>
    <w:p w14:paraId="7B188E9F" w14:textId="7E5ABE8D" w:rsidR="00D85251" w:rsidRPr="00E6684F" w:rsidRDefault="00D85251" w:rsidP="00E6684F">
      <w:pPr>
        <w:spacing w:before="120"/>
        <w:ind w:left="360"/>
        <w:rPr>
          <w:rFonts w:eastAsia="Times New Roman" w:cs="Times New Roman"/>
          <w:color w:val="222222"/>
          <w:szCs w:val="24"/>
        </w:rPr>
      </w:pPr>
      <w:r w:rsidRPr="00E6684F">
        <w:rPr>
          <w:rFonts w:eastAsia="Times New Roman" w:cs="Times New Roman"/>
          <w:color w:val="222222"/>
          <w:szCs w:val="24"/>
        </w:rPr>
        <w:t xml:space="preserve">A method blank-type study was performed in 1997 using the standard </w:t>
      </w:r>
      <w:proofErr w:type="spellStart"/>
      <w:r w:rsidRPr="00E6684F">
        <w:rPr>
          <w:rFonts w:eastAsia="Times New Roman" w:cs="Times New Roman"/>
          <w:i/>
          <w:color w:val="222222"/>
          <w:szCs w:val="24"/>
        </w:rPr>
        <w:t>Ceriodaphnia</w:t>
      </w:r>
      <w:proofErr w:type="spellEnd"/>
      <w:r w:rsidRPr="00E6684F">
        <w:rPr>
          <w:rFonts w:eastAsia="Times New Roman" w:cs="Times New Roman"/>
          <w:i/>
          <w:color w:val="222222"/>
          <w:szCs w:val="24"/>
        </w:rPr>
        <w:t xml:space="preserve"> </w:t>
      </w:r>
      <w:proofErr w:type="spellStart"/>
      <w:r w:rsidRPr="00E6684F">
        <w:rPr>
          <w:rFonts w:eastAsia="Times New Roman" w:cs="Times New Roman"/>
          <w:i/>
          <w:color w:val="222222"/>
          <w:szCs w:val="24"/>
        </w:rPr>
        <w:t>dubia</w:t>
      </w:r>
      <w:proofErr w:type="spellEnd"/>
      <w:r w:rsidRPr="00E6684F">
        <w:rPr>
          <w:rFonts w:eastAsia="Times New Roman" w:cs="Times New Roman"/>
          <w:color w:val="222222"/>
          <w:szCs w:val="24"/>
        </w:rPr>
        <w:t xml:space="preserve"> chronic WET test procedure [40 CFR 136 Method 1002.0] to investigate Type I errors (i.e.</w:t>
      </w:r>
      <w:r w:rsidR="00FA6CC1">
        <w:rPr>
          <w:rFonts w:eastAsia="Times New Roman" w:cs="Times New Roman"/>
          <w:color w:val="222222"/>
          <w:szCs w:val="24"/>
        </w:rPr>
        <w:t>,</w:t>
      </w:r>
      <w:r w:rsidRPr="00E6684F">
        <w:rPr>
          <w:rFonts w:eastAsia="Times New Roman" w:cs="Times New Roman"/>
          <w:color w:val="222222"/>
          <w:szCs w:val="24"/>
        </w:rPr>
        <w:t xml:space="preserve"> determinations of toxicity in non-toxic samples). Municipal wastewater entities contracted with 17 laboratories to perform tests on blank samples which were prepared using the standard dilution water formula for moderately hard water. Laboratories were not aware that the samples were blanks. Valid chronic test results were received for 16 of 17 samples based on control survival acceptance criteria and 14 of 17 samples were valid based on achievement of minimum reproduction acceptance criteria. Of those valid tests, no </w:t>
      </w:r>
      <w:r w:rsidR="00EF11F0">
        <w:rPr>
          <w:rFonts w:cs="Times New Roman"/>
        </w:rPr>
        <w:t>i</w:t>
      </w:r>
      <w:r w:rsidR="00EF11F0" w:rsidRPr="00EF11F0">
        <w:rPr>
          <w:rFonts w:cs="Times New Roman"/>
          <w:szCs w:val="24"/>
        </w:rPr>
        <w:t>ncorrect determinations of toxicity</w:t>
      </w:r>
      <w:r w:rsidRPr="00E6684F">
        <w:rPr>
          <w:rFonts w:eastAsia="Times New Roman" w:cs="Times New Roman"/>
          <w:color w:val="222222"/>
          <w:szCs w:val="24"/>
        </w:rPr>
        <w:t xml:space="preserve"> were found for the survival endpoint </w:t>
      </w:r>
      <w:r w:rsidRPr="00004795">
        <w:rPr>
          <w:rFonts w:eastAsia="Times New Roman" w:cs="Times New Roman"/>
          <w:color w:val="222222"/>
          <w:szCs w:val="24"/>
        </w:rPr>
        <w:t>and 6</w:t>
      </w:r>
      <w:r w:rsidRPr="00E6684F">
        <w:rPr>
          <w:rFonts w:eastAsia="Times New Roman" w:cs="Times New Roman"/>
          <w:color w:val="222222"/>
          <w:szCs w:val="24"/>
        </w:rPr>
        <w:t xml:space="preserve"> </w:t>
      </w:r>
      <w:r w:rsidR="00EF11F0">
        <w:rPr>
          <w:rFonts w:cs="Times New Roman"/>
        </w:rPr>
        <w:t>i</w:t>
      </w:r>
      <w:r w:rsidR="00EF11F0" w:rsidRPr="00EF11F0">
        <w:rPr>
          <w:rFonts w:cs="Times New Roman"/>
          <w:szCs w:val="24"/>
        </w:rPr>
        <w:t>ncorrect determinations of toxicity</w:t>
      </w:r>
      <w:r w:rsidRPr="00E6684F">
        <w:rPr>
          <w:rFonts w:eastAsia="Times New Roman" w:cs="Times New Roman"/>
          <w:color w:val="222222"/>
          <w:szCs w:val="24"/>
        </w:rPr>
        <w:t xml:space="preserve"> results were obtained for the reproductive endpoint. No plausible causes for the high incidence of </w:t>
      </w:r>
      <w:r w:rsidR="00EF11F0">
        <w:rPr>
          <w:rFonts w:cs="Times New Roman"/>
        </w:rPr>
        <w:t>i</w:t>
      </w:r>
      <w:r w:rsidR="00EF11F0" w:rsidRPr="00EF11F0">
        <w:rPr>
          <w:rFonts w:cs="Times New Roman"/>
          <w:szCs w:val="24"/>
        </w:rPr>
        <w:t>ncorrect determinations of toxicity</w:t>
      </w:r>
      <w:r w:rsidRPr="00E6684F">
        <w:rPr>
          <w:rFonts w:eastAsia="Times New Roman" w:cs="Times New Roman"/>
          <w:color w:val="222222"/>
          <w:szCs w:val="24"/>
        </w:rPr>
        <w:t xml:space="preserve"> were identified. It was concluded by the authors that contamination of the blank samples did not occur. It was also concluded by the authors that laboratory quality and/or poor laboratory performance did not cause the observed results. Changes in test acceptance criteria, combined use of NOEC and IC25 estimates to establish toxicity, use of monthly method blank tests and addition to reference toxicant tests to chart and assess laboratory performance, and reliance on mortality rather than sublethal endpoints were offered as recommendations to reduce Type I errors in the </w:t>
      </w:r>
      <w:proofErr w:type="spellStart"/>
      <w:r w:rsidRPr="00E6684F">
        <w:rPr>
          <w:rFonts w:eastAsia="Times New Roman" w:cs="Times New Roman"/>
          <w:i/>
          <w:color w:val="222222"/>
          <w:szCs w:val="24"/>
        </w:rPr>
        <w:t>Ceriodaphnia</w:t>
      </w:r>
      <w:proofErr w:type="spellEnd"/>
      <w:r w:rsidRPr="00E6684F">
        <w:rPr>
          <w:rFonts w:eastAsia="Times New Roman" w:cs="Times New Roman"/>
          <w:i/>
          <w:color w:val="222222"/>
          <w:szCs w:val="24"/>
        </w:rPr>
        <w:t xml:space="preserve"> </w:t>
      </w:r>
      <w:proofErr w:type="spellStart"/>
      <w:r w:rsidRPr="00E6684F">
        <w:rPr>
          <w:rFonts w:eastAsia="Times New Roman" w:cs="Times New Roman"/>
          <w:i/>
          <w:color w:val="222222"/>
          <w:szCs w:val="24"/>
        </w:rPr>
        <w:t>dubia</w:t>
      </w:r>
      <w:proofErr w:type="spellEnd"/>
      <w:r w:rsidRPr="00E6684F">
        <w:rPr>
          <w:rFonts w:eastAsia="Times New Roman" w:cs="Times New Roman"/>
          <w:color w:val="222222"/>
          <w:szCs w:val="24"/>
        </w:rPr>
        <w:t xml:space="preserve"> reproduction test. </w:t>
      </w:r>
    </w:p>
    <w:p w14:paraId="78245834" w14:textId="33C5BAA8" w:rsidR="00D85251" w:rsidRPr="0027541F" w:rsidRDefault="0027541F" w:rsidP="00E6684F">
      <w:pPr>
        <w:pStyle w:val="ListParagraph"/>
        <w:numPr>
          <w:ilvl w:val="0"/>
          <w:numId w:val="9"/>
        </w:numPr>
        <w:spacing w:before="120"/>
        <w:rPr>
          <w:rFonts w:cs="Times New Roman"/>
          <w:b/>
          <w:szCs w:val="24"/>
        </w:rPr>
      </w:pPr>
      <w:r w:rsidRPr="0027541F">
        <w:rPr>
          <w:rFonts w:cs="Times New Roman"/>
          <w:b/>
          <w:szCs w:val="24"/>
        </w:rPr>
        <w:t xml:space="preserve">Schiff, K.C. </w:t>
      </w:r>
      <w:r w:rsidR="00AD1E21">
        <w:rPr>
          <w:rFonts w:cs="Times New Roman"/>
          <w:b/>
          <w:szCs w:val="24"/>
        </w:rPr>
        <w:t xml:space="preserve">and </w:t>
      </w:r>
      <w:r w:rsidRPr="0027541F">
        <w:rPr>
          <w:rFonts w:cs="Times New Roman"/>
          <w:b/>
          <w:szCs w:val="24"/>
        </w:rPr>
        <w:t xml:space="preserve">Greenstein, D., 2016. </w:t>
      </w:r>
      <w:r w:rsidR="00D85251" w:rsidRPr="00FA6CC1">
        <w:rPr>
          <w:rFonts w:cs="Times New Roman"/>
          <w:i/>
          <w:szCs w:val="24"/>
        </w:rPr>
        <w:t xml:space="preserve">Stormwater Monitoring Coalition Toxicity Testing Laboratory Guidance Document. </w:t>
      </w:r>
      <w:r w:rsidR="00D85251" w:rsidRPr="0027541F">
        <w:rPr>
          <w:rFonts w:cs="Times New Roman"/>
          <w:szCs w:val="24"/>
        </w:rPr>
        <w:t>Southern California Coastal Water Research Project, Technical Report 0956.</w:t>
      </w:r>
      <w:r w:rsidR="00297060">
        <w:rPr>
          <w:rFonts w:cs="Times New Roman"/>
          <w:szCs w:val="24"/>
        </w:rPr>
        <w:t xml:space="preserve"> (Called the SMC study in this analysis.)</w:t>
      </w:r>
    </w:p>
    <w:p w14:paraId="597ABEE1" w14:textId="257E9B6F" w:rsidR="00D85251" w:rsidRPr="00E6684F" w:rsidRDefault="00D85251" w:rsidP="00E6684F">
      <w:pPr>
        <w:spacing w:before="120"/>
        <w:ind w:left="360"/>
        <w:rPr>
          <w:rFonts w:cs="Times New Roman"/>
          <w:szCs w:val="24"/>
        </w:rPr>
      </w:pPr>
      <w:r w:rsidRPr="00E6684F">
        <w:rPr>
          <w:rFonts w:cs="Times New Roman"/>
          <w:szCs w:val="24"/>
        </w:rPr>
        <w:t xml:space="preserve">The Southern California Stormwater Monitoring Coalition (SMC) includes fifteen (15) regulated and regulatory agencies ranging from Ventura in the north to San Diego in the south. The SMC conducted a laboratory intercalibration study to assess the comparability of toxicity test results for four test species, one of which was the </w:t>
      </w:r>
      <w:proofErr w:type="spellStart"/>
      <w:r w:rsidRPr="00E6684F">
        <w:rPr>
          <w:rFonts w:cs="Times New Roman"/>
          <w:i/>
          <w:szCs w:val="24"/>
        </w:rPr>
        <w:t>Ceriodaphnia</w:t>
      </w:r>
      <w:proofErr w:type="spellEnd"/>
      <w:r w:rsidRPr="00E6684F">
        <w:rPr>
          <w:rFonts w:cs="Times New Roman"/>
          <w:i/>
          <w:szCs w:val="24"/>
        </w:rPr>
        <w:t xml:space="preserve"> </w:t>
      </w:r>
      <w:proofErr w:type="spellStart"/>
      <w:r w:rsidRPr="00E6684F">
        <w:rPr>
          <w:rFonts w:cs="Times New Roman"/>
          <w:i/>
          <w:szCs w:val="24"/>
        </w:rPr>
        <w:t>dubia</w:t>
      </w:r>
      <w:proofErr w:type="spellEnd"/>
      <w:r w:rsidRPr="00E6684F">
        <w:rPr>
          <w:rFonts w:cs="Times New Roman"/>
          <w:szCs w:val="24"/>
        </w:rPr>
        <w:t xml:space="preserve"> chronic survival and reproduction test. The goal was to quantify intra- and interlaboratory variability for each test, and to make recommendations regarding steps to minimize that variability, where applicable.</w:t>
      </w:r>
    </w:p>
    <w:p w14:paraId="54F99867" w14:textId="1DCBBEEE" w:rsidR="00D85251" w:rsidRPr="00E6684F" w:rsidRDefault="00D85251" w:rsidP="00E6684F">
      <w:pPr>
        <w:spacing w:before="120"/>
        <w:ind w:left="360"/>
        <w:rPr>
          <w:rFonts w:cs="Times New Roman"/>
          <w:szCs w:val="24"/>
        </w:rPr>
      </w:pPr>
      <w:r w:rsidRPr="00E6684F">
        <w:rPr>
          <w:rFonts w:cs="Times New Roman"/>
          <w:szCs w:val="24"/>
        </w:rPr>
        <w:t xml:space="preserve">Nine laboratories reported results for </w:t>
      </w:r>
      <w:proofErr w:type="spellStart"/>
      <w:r w:rsidRPr="00E6684F">
        <w:rPr>
          <w:rFonts w:cs="Times New Roman"/>
          <w:i/>
          <w:szCs w:val="24"/>
        </w:rPr>
        <w:t>Ceriodaphnia</w:t>
      </w:r>
      <w:proofErr w:type="spellEnd"/>
      <w:r w:rsidRPr="00E6684F">
        <w:rPr>
          <w:rFonts w:cs="Times New Roman"/>
          <w:i/>
          <w:szCs w:val="24"/>
        </w:rPr>
        <w:t xml:space="preserve"> </w:t>
      </w:r>
      <w:proofErr w:type="spellStart"/>
      <w:r w:rsidRPr="00E6684F">
        <w:rPr>
          <w:rFonts w:cs="Times New Roman"/>
          <w:i/>
          <w:szCs w:val="24"/>
        </w:rPr>
        <w:t>dubia</w:t>
      </w:r>
      <w:proofErr w:type="spellEnd"/>
      <w:r w:rsidRPr="00E6684F">
        <w:rPr>
          <w:rFonts w:cs="Times New Roman"/>
          <w:szCs w:val="24"/>
        </w:rPr>
        <w:t xml:space="preserve"> reproduction in an initial round of blind testing. Six laboratories provided results in a second round of </w:t>
      </w:r>
      <w:proofErr w:type="spellStart"/>
      <w:r w:rsidR="002424A1" w:rsidRPr="00E6684F">
        <w:rPr>
          <w:rFonts w:cs="Times New Roman"/>
          <w:i/>
          <w:szCs w:val="24"/>
        </w:rPr>
        <w:t>Ceriodaphnia</w:t>
      </w:r>
      <w:proofErr w:type="spellEnd"/>
      <w:r w:rsidR="002424A1" w:rsidRPr="00E6684F">
        <w:rPr>
          <w:rFonts w:cs="Times New Roman"/>
          <w:i/>
          <w:szCs w:val="24"/>
        </w:rPr>
        <w:t xml:space="preserve"> </w:t>
      </w:r>
      <w:proofErr w:type="spellStart"/>
      <w:r w:rsidR="002424A1" w:rsidRPr="00E6684F">
        <w:rPr>
          <w:rFonts w:cs="Times New Roman"/>
          <w:i/>
          <w:szCs w:val="24"/>
        </w:rPr>
        <w:t>dubia</w:t>
      </w:r>
      <w:proofErr w:type="spellEnd"/>
      <w:r w:rsidR="002424A1" w:rsidRPr="00E6684F">
        <w:rPr>
          <w:rFonts w:cs="Times New Roman"/>
          <w:szCs w:val="24"/>
        </w:rPr>
        <w:t xml:space="preserve"> </w:t>
      </w:r>
      <w:r w:rsidRPr="00E6684F">
        <w:rPr>
          <w:rFonts w:cs="Times New Roman"/>
          <w:szCs w:val="24"/>
        </w:rPr>
        <w:t xml:space="preserve">reproduction testing. Each round of testing included four samples: </w:t>
      </w:r>
      <w:r w:rsidR="00FA6CC1">
        <w:rPr>
          <w:rFonts w:cs="Times New Roman"/>
          <w:szCs w:val="24"/>
        </w:rPr>
        <w:t>l</w:t>
      </w:r>
      <w:r w:rsidRPr="00E6684F">
        <w:rPr>
          <w:rFonts w:cs="Times New Roman"/>
          <w:szCs w:val="24"/>
        </w:rPr>
        <w:t>ab</w:t>
      </w:r>
      <w:r w:rsidR="00FA6CC1">
        <w:rPr>
          <w:rFonts w:cs="Times New Roman"/>
          <w:szCs w:val="24"/>
        </w:rPr>
        <w:t>oratory</w:t>
      </w:r>
      <w:r w:rsidRPr="00E6684F">
        <w:rPr>
          <w:rFonts w:cs="Times New Roman"/>
          <w:szCs w:val="24"/>
        </w:rPr>
        <w:t xml:space="preserve"> dilution water, laboratory dilution water spiked with copper, runoff sample created with artificial rainfall, and a duplicate.</w:t>
      </w:r>
    </w:p>
    <w:p w14:paraId="06587905" w14:textId="5B78E14A" w:rsidR="00D85251" w:rsidRPr="00E6684F" w:rsidRDefault="00D85251" w:rsidP="00E6684F">
      <w:pPr>
        <w:spacing w:before="120"/>
        <w:ind w:left="360"/>
        <w:rPr>
          <w:rFonts w:cs="Times New Roman"/>
          <w:szCs w:val="24"/>
        </w:rPr>
      </w:pPr>
      <w:r w:rsidRPr="00E6684F">
        <w:rPr>
          <w:rFonts w:cs="Times New Roman"/>
          <w:szCs w:val="24"/>
        </w:rPr>
        <w:t xml:space="preserve">For most of the tests, laboratories produced data consistent with non-toxic samples when exposed to laboratory dilution water. </w:t>
      </w:r>
      <w:r w:rsidR="00FA6CC1">
        <w:rPr>
          <w:rFonts w:cs="Times New Roman"/>
          <w:szCs w:val="24"/>
        </w:rPr>
        <w:t>The</w:t>
      </w:r>
      <w:r w:rsidRPr="00E6684F">
        <w:rPr>
          <w:rFonts w:cs="Times New Roman"/>
          <w:szCs w:val="24"/>
        </w:rPr>
        <w:t xml:space="preserve"> results from the </w:t>
      </w:r>
      <w:proofErr w:type="spellStart"/>
      <w:r w:rsidRPr="00E6684F">
        <w:rPr>
          <w:rFonts w:cs="Times New Roman"/>
          <w:i/>
          <w:szCs w:val="24"/>
        </w:rPr>
        <w:t>Ceriodaphnia</w:t>
      </w:r>
      <w:proofErr w:type="spellEnd"/>
      <w:r w:rsidRPr="00E6684F">
        <w:rPr>
          <w:rFonts w:cs="Times New Roman"/>
          <w:i/>
          <w:szCs w:val="24"/>
        </w:rPr>
        <w:t xml:space="preserve"> </w:t>
      </w:r>
      <w:proofErr w:type="spellStart"/>
      <w:r w:rsidRPr="00E6684F">
        <w:rPr>
          <w:rFonts w:cs="Times New Roman"/>
          <w:i/>
          <w:szCs w:val="24"/>
        </w:rPr>
        <w:t>dubia</w:t>
      </w:r>
      <w:proofErr w:type="spellEnd"/>
      <w:r w:rsidRPr="00E6684F">
        <w:rPr>
          <w:rFonts w:cs="Times New Roman"/>
          <w:szCs w:val="24"/>
        </w:rPr>
        <w:t xml:space="preserve"> reproduction tests</w:t>
      </w:r>
      <w:r w:rsidR="00FA6CC1">
        <w:rPr>
          <w:rFonts w:cs="Times New Roman"/>
          <w:szCs w:val="24"/>
        </w:rPr>
        <w:t xml:space="preserve"> were an exception</w:t>
      </w:r>
      <w:r w:rsidRPr="00E6684F">
        <w:rPr>
          <w:rFonts w:cs="Times New Roman"/>
          <w:szCs w:val="24"/>
        </w:rPr>
        <w:t xml:space="preserve">. Laboratories exhibited a wide range of </w:t>
      </w:r>
      <w:proofErr w:type="spellStart"/>
      <w:r w:rsidRPr="00E6684F">
        <w:rPr>
          <w:rFonts w:cs="Times New Roman"/>
          <w:i/>
          <w:szCs w:val="24"/>
        </w:rPr>
        <w:t>Ceriodaphnia</w:t>
      </w:r>
      <w:proofErr w:type="spellEnd"/>
      <w:r w:rsidRPr="00E6684F">
        <w:rPr>
          <w:rFonts w:cs="Times New Roman"/>
          <w:i/>
          <w:szCs w:val="24"/>
        </w:rPr>
        <w:t xml:space="preserve"> </w:t>
      </w:r>
      <w:proofErr w:type="spellStart"/>
      <w:r w:rsidRPr="00E6684F">
        <w:rPr>
          <w:rFonts w:cs="Times New Roman"/>
          <w:i/>
          <w:szCs w:val="24"/>
        </w:rPr>
        <w:t>dubia</w:t>
      </w:r>
      <w:proofErr w:type="spellEnd"/>
      <w:r w:rsidRPr="00E6684F">
        <w:rPr>
          <w:rFonts w:cs="Times New Roman"/>
          <w:szCs w:val="24"/>
        </w:rPr>
        <w:t xml:space="preserve"> reproduction test results for both “blank” samples and copper spiked samples. The authors of this report attributed this to variability in the test method</w:t>
      </w:r>
      <w:r w:rsidR="00FA6CC1">
        <w:rPr>
          <w:rFonts w:cs="Times New Roman"/>
          <w:szCs w:val="24"/>
        </w:rPr>
        <w:t xml:space="preserve"> and</w:t>
      </w:r>
      <w:r w:rsidRPr="00E6684F">
        <w:rPr>
          <w:rFonts w:cs="Times New Roman"/>
          <w:szCs w:val="24"/>
        </w:rPr>
        <w:t xml:space="preserve"> the need for </w:t>
      </w:r>
      <w:r w:rsidR="003F25C3">
        <w:rPr>
          <w:rFonts w:cs="Times New Roman"/>
          <w:szCs w:val="24"/>
        </w:rPr>
        <w:t xml:space="preserve">a </w:t>
      </w:r>
      <w:r w:rsidRPr="00E6684F">
        <w:rPr>
          <w:rFonts w:cs="Times New Roman"/>
          <w:szCs w:val="24"/>
        </w:rPr>
        <w:t xml:space="preserve">revised study design, or both. The authors also noted that the amount of </w:t>
      </w:r>
      <w:proofErr w:type="spellStart"/>
      <w:r w:rsidRPr="00E6684F">
        <w:rPr>
          <w:rFonts w:cs="Times New Roman"/>
          <w:i/>
          <w:szCs w:val="24"/>
        </w:rPr>
        <w:t>Ceriodaphnia</w:t>
      </w:r>
      <w:proofErr w:type="spellEnd"/>
      <w:r w:rsidRPr="00E6684F">
        <w:rPr>
          <w:rFonts w:cs="Times New Roman"/>
          <w:i/>
          <w:szCs w:val="24"/>
        </w:rPr>
        <w:t xml:space="preserve"> </w:t>
      </w:r>
      <w:proofErr w:type="spellStart"/>
      <w:r w:rsidRPr="00E6684F">
        <w:rPr>
          <w:rFonts w:cs="Times New Roman"/>
          <w:i/>
          <w:szCs w:val="24"/>
        </w:rPr>
        <w:t>dubia</w:t>
      </w:r>
      <w:proofErr w:type="spellEnd"/>
      <w:r w:rsidRPr="00E6684F">
        <w:rPr>
          <w:rFonts w:cs="Times New Roman"/>
          <w:szCs w:val="24"/>
        </w:rPr>
        <w:t xml:space="preserve"> chronic testing variability observed in their study was not uncharacteristic of the variability observed by others examining wastewater effluents, reference toxicants</w:t>
      </w:r>
      <w:r w:rsidR="00FA6CC1">
        <w:rPr>
          <w:rFonts w:cs="Times New Roman"/>
          <w:szCs w:val="24"/>
        </w:rPr>
        <w:t>,</w:t>
      </w:r>
      <w:r w:rsidRPr="00E6684F">
        <w:rPr>
          <w:rFonts w:cs="Times New Roman"/>
          <w:szCs w:val="24"/>
        </w:rPr>
        <w:t xml:space="preserve"> or ambient media, citing results from the above described 2001 study by Moore et al</w:t>
      </w:r>
      <w:r w:rsidR="00FA6CC1">
        <w:rPr>
          <w:rFonts w:cs="Times New Roman"/>
          <w:szCs w:val="24"/>
        </w:rPr>
        <w:t>.</w:t>
      </w:r>
      <w:r w:rsidRPr="00E6684F">
        <w:rPr>
          <w:rFonts w:cs="Times New Roman"/>
          <w:szCs w:val="24"/>
        </w:rPr>
        <w:t xml:space="preserve"> and a 2008 study by Diamond et al.</w:t>
      </w:r>
    </w:p>
    <w:p w14:paraId="00BC43BA" w14:textId="77C66A9C" w:rsidR="00D85251" w:rsidRPr="00E6684F" w:rsidRDefault="00D85251" w:rsidP="00F22715">
      <w:pPr>
        <w:keepLines/>
        <w:spacing w:before="120"/>
        <w:rPr>
          <w:rFonts w:cs="Times New Roman"/>
          <w:szCs w:val="24"/>
        </w:rPr>
      </w:pPr>
      <w:r w:rsidRPr="00E6684F">
        <w:rPr>
          <w:rFonts w:cs="Times New Roman"/>
          <w:szCs w:val="24"/>
        </w:rPr>
        <w:t xml:space="preserve">It should be noted that the findings of toxicity in blank samples from each of the three studies have been questioned for a variety of reasons. The primary criticism is that the percent effect observed for some of the blank samples is not believable, and that “something must have gone wrong” in the performance of the studies. The possible causes </w:t>
      </w:r>
      <w:r w:rsidR="0011069A">
        <w:rPr>
          <w:rFonts w:cs="Times New Roman"/>
          <w:szCs w:val="24"/>
        </w:rPr>
        <w:t>were</w:t>
      </w:r>
      <w:r w:rsidRPr="00E6684F">
        <w:rPr>
          <w:rFonts w:cs="Times New Roman"/>
          <w:szCs w:val="24"/>
        </w:rPr>
        <w:t xml:space="preserve"> </w:t>
      </w:r>
      <w:r w:rsidR="0011069A">
        <w:rPr>
          <w:rFonts w:cs="Times New Roman"/>
          <w:szCs w:val="24"/>
        </w:rPr>
        <w:t>suspected to be</w:t>
      </w:r>
      <w:r w:rsidRPr="00E6684F">
        <w:rPr>
          <w:rFonts w:cs="Times New Roman"/>
          <w:szCs w:val="24"/>
        </w:rPr>
        <w:t xml:space="preserve"> poor laboratory performance, contamination of the blank samples, or other unknown causes. The Moore et al</w:t>
      </w:r>
      <w:r w:rsidR="0011069A">
        <w:rPr>
          <w:rFonts w:cs="Times New Roman"/>
          <w:szCs w:val="24"/>
        </w:rPr>
        <w:t>.</w:t>
      </w:r>
      <w:r w:rsidRPr="00E6684F">
        <w:rPr>
          <w:rFonts w:cs="Times New Roman"/>
          <w:szCs w:val="24"/>
        </w:rPr>
        <w:t xml:space="preserve"> study (also known as the WC study) was criticized because its results were quite different from the results obtained in the 2001 USEPA study. For instance, the blank water used in the Moore et al</w:t>
      </w:r>
      <w:r w:rsidR="0011069A">
        <w:rPr>
          <w:rFonts w:cs="Times New Roman"/>
          <w:szCs w:val="24"/>
        </w:rPr>
        <w:t>.</w:t>
      </w:r>
      <w:r w:rsidRPr="00E6684F">
        <w:rPr>
          <w:rFonts w:cs="Times New Roman"/>
          <w:szCs w:val="24"/>
        </w:rPr>
        <w:t xml:space="preserve"> study was believed to be “slightly toxic,” as its make-up deviated slightly from the protocol. This criticism was made </w:t>
      </w:r>
      <w:proofErr w:type="gramStart"/>
      <w:r w:rsidRPr="00E6684F">
        <w:rPr>
          <w:rFonts w:cs="Times New Roman"/>
          <w:szCs w:val="24"/>
        </w:rPr>
        <w:t>despite the fact that</w:t>
      </w:r>
      <w:proofErr w:type="gramEnd"/>
      <w:r w:rsidRPr="00E6684F">
        <w:rPr>
          <w:rFonts w:cs="Times New Roman"/>
          <w:szCs w:val="24"/>
        </w:rPr>
        <w:t xml:space="preserve"> special steps were taken in that study in the preparation and analysis of the blank samples that were distributed for testing by multiple laboratories. The results from the SMC study have been questioned because the study was not specifically designed to address the issue of </w:t>
      </w:r>
      <w:r w:rsidR="00EF11F0">
        <w:rPr>
          <w:rFonts w:cs="Times New Roman"/>
        </w:rPr>
        <w:t>i</w:t>
      </w:r>
      <w:r w:rsidR="00EF11F0" w:rsidRPr="00EF11F0">
        <w:rPr>
          <w:rFonts w:cs="Times New Roman"/>
          <w:szCs w:val="24"/>
        </w:rPr>
        <w:t>ncorrect determinations of toxicity</w:t>
      </w:r>
      <w:r w:rsidRPr="00E6684F">
        <w:rPr>
          <w:rFonts w:cs="Times New Roman"/>
          <w:szCs w:val="24"/>
        </w:rPr>
        <w:t>.</w:t>
      </w:r>
    </w:p>
    <w:p w14:paraId="0ABAD8FF" w14:textId="1254A1C4" w:rsidR="00D85251" w:rsidRPr="001B1399" w:rsidRDefault="00D85251" w:rsidP="00E6684F">
      <w:pPr>
        <w:pStyle w:val="Heading3"/>
      </w:pPr>
      <w:bookmarkStart w:id="20" w:name="_Toc527448270"/>
      <w:r w:rsidRPr="001B1399">
        <w:t xml:space="preserve">Will the change to a Test of Significant Toxicity (TST) </w:t>
      </w:r>
      <w:r w:rsidR="00102FAD">
        <w:t>s</w:t>
      </w:r>
      <w:r w:rsidRPr="001B1399">
        <w:t>tatistical approach resolve the potential need for a blank study?</w:t>
      </w:r>
      <w:bookmarkEnd w:id="20"/>
      <w:r w:rsidRPr="001B1399">
        <w:t xml:space="preserve">  </w:t>
      </w:r>
    </w:p>
    <w:p w14:paraId="119482EB" w14:textId="208B54B7" w:rsidR="00D85251" w:rsidRPr="00E6684F" w:rsidRDefault="00D85251" w:rsidP="00E6684F">
      <w:pPr>
        <w:spacing w:before="120"/>
        <w:rPr>
          <w:rFonts w:cs="Times New Roman"/>
          <w:szCs w:val="24"/>
        </w:rPr>
      </w:pPr>
      <w:r w:rsidRPr="00E6684F">
        <w:rPr>
          <w:rFonts w:cs="Times New Roman"/>
          <w:szCs w:val="24"/>
        </w:rPr>
        <w:t xml:space="preserve">None of the three studies described above relied upon the TST approach in the evaluation of blank samples. Therefore, the effect of changing to the TST approach on the evaluation of blank sample results is unknown. </w:t>
      </w:r>
    </w:p>
    <w:p w14:paraId="096F218E" w14:textId="6BBAEC25" w:rsidR="00D85251" w:rsidRPr="00E6684F" w:rsidRDefault="00D85251" w:rsidP="00E6684F">
      <w:pPr>
        <w:spacing w:before="120"/>
        <w:rPr>
          <w:rFonts w:cs="Times New Roman"/>
          <w:szCs w:val="24"/>
        </w:rPr>
      </w:pPr>
      <w:r w:rsidRPr="00E6684F">
        <w:rPr>
          <w:rFonts w:cs="Times New Roman"/>
          <w:szCs w:val="24"/>
        </w:rPr>
        <w:t xml:space="preserve">A study was performed </w:t>
      </w:r>
      <w:r w:rsidR="00AF4797" w:rsidRPr="00E6684F">
        <w:rPr>
          <w:rFonts w:cs="Times New Roman"/>
          <w:szCs w:val="24"/>
        </w:rPr>
        <w:t xml:space="preserve">for the </w:t>
      </w:r>
      <w:r w:rsidR="00AF4797">
        <w:rPr>
          <w:rFonts w:cs="Times New Roman"/>
          <w:szCs w:val="24"/>
        </w:rPr>
        <w:t>State Water Board</w:t>
      </w:r>
      <w:r w:rsidR="00AF4797" w:rsidRPr="00E6684F">
        <w:rPr>
          <w:rFonts w:cs="Times New Roman"/>
          <w:szCs w:val="24"/>
        </w:rPr>
        <w:t xml:space="preserve"> by USEPA, Region 9</w:t>
      </w:r>
      <w:r w:rsidR="00AF4797">
        <w:rPr>
          <w:rFonts w:cs="Times New Roman"/>
          <w:szCs w:val="24"/>
        </w:rPr>
        <w:t xml:space="preserve"> </w:t>
      </w:r>
      <w:r w:rsidRPr="00E6684F">
        <w:rPr>
          <w:rFonts w:cs="Times New Roman"/>
          <w:szCs w:val="24"/>
        </w:rPr>
        <w:t>in 2011</w:t>
      </w:r>
      <w:r w:rsidR="00102FAD">
        <w:rPr>
          <w:rStyle w:val="FootnoteReference"/>
          <w:rFonts w:cs="Times New Roman"/>
          <w:szCs w:val="24"/>
        </w:rPr>
        <w:footnoteReference w:id="3"/>
      </w:r>
      <w:r w:rsidRPr="00E6684F">
        <w:rPr>
          <w:rFonts w:cs="Times New Roman"/>
          <w:szCs w:val="24"/>
        </w:rPr>
        <w:t xml:space="preserve"> to assess the differences </w:t>
      </w:r>
      <w:r w:rsidR="00102FAD" w:rsidRPr="00E6684F">
        <w:rPr>
          <w:rFonts w:cs="Times New Roman"/>
          <w:szCs w:val="24"/>
        </w:rPr>
        <w:t xml:space="preserve">between </w:t>
      </w:r>
      <w:r w:rsidRPr="00E6684F">
        <w:rPr>
          <w:rFonts w:cs="Times New Roman"/>
          <w:szCs w:val="24"/>
        </w:rPr>
        <w:t xml:space="preserve">results obtained </w:t>
      </w:r>
      <w:r w:rsidR="00102FAD">
        <w:rPr>
          <w:rFonts w:cs="Times New Roman"/>
          <w:szCs w:val="24"/>
        </w:rPr>
        <w:t xml:space="preserve">by </w:t>
      </w:r>
      <w:r w:rsidRPr="00E6684F">
        <w:rPr>
          <w:rFonts w:cs="Times New Roman"/>
          <w:szCs w:val="24"/>
        </w:rPr>
        <w:t xml:space="preserve">the NOEC and TST approaches to data interpretation. The State Water Board requested USEPA, Region 9 to perform this “test drive” </w:t>
      </w:r>
      <w:r w:rsidR="00AF4797">
        <w:rPr>
          <w:rFonts w:cs="Times New Roman"/>
          <w:szCs w:val="24"/>
        </w:rPr>
        <w:t>which compared</w:t>
      </w:r>
      <w:r w:rsidRPr="00E6684F">
        <w:rPr>
          <w:rFonts w:cs="Times New Roman"/>
          <w:szCs w:val="24"/>
        </w:rPr>
        <w:t xml:space="preserve"> </w:t>
      </w:r>
      <w:r w:rsidR="00AF4797">
        <w:rPr>
          <w:rFonts w:cs="Times New Roman"/>
          <w:szCs w:val="24"/>
        </w:rPr>
        <w:t>WET</w:t>
      </w:r>
      <w:r w:rsidRPr="00E6684F">
        <w:rPr>
          <w:rFonts w:cs="Times New Roman"/>
          <w:szCs w:val="24"/>
        </w:rPr>
        <w:t xml:space="preserve"> data results using the TST and the NOEC statistical approaches </w:t>
      </w:r>
      <w:proofErr w:type="gramStart"/>
      <w:r w:rsidRPr="00E6684F">
        <w:rPr>
          <w:rFonts w:cs="Times New Roman"/>
          <w:szCs w:val="24"/>
        </w:rPr>
        <w:t>as a means to</w:t>
      </w:r>
      <w:proofErr w:type="gramEnd"/>
      <w:r w:rsidRPr="00E6684F">
        <w:rPr>
          <w:rFonts w:cs="Times New Roman"/>
          <w:szCs w:val="24"/>
        </w:rPr>
        <w:t xml:space="preserve"> address stakeholder comments received at a November 2010 workshop. The primary objective of the analysis was to assess whether the two statistical approaches yielded similar or different determinations regarding the toxicity of whole effluent samples. The study did not assess the toxicity of “blank” samples. </w:t>
      </w:r>
    </w:p>
    <w:p w14:paraId="0766F033" w14:textId="2B1E878E" w:rsidR="00D85251" w:rsidRPr="00E6684F" w:rsidRDefault="00D85251" w:rsidP="00E6684F">
      <w:pPr>
        <w:spacing w:before="120"/>
        <w:rPr>
          <w:rFonts w:cs="Times New Roman"/>
          <w:szCs w:val="24"/>
        </w:rPr>
      </w:pPr>
      <w:r w:rsidRPr="00E6684F">
        <w:rPr>
          <w:rFonts w:cs="Times New Roman"/>
          <w:szCs w:val="24"/>
        </w:rPr>
        <w:t>The approach included effluent data gather</w:t>
      </w:r>
      <w:r w:rsidR="00AF4797">
        <w:rPr>
          <w:rFonts w:cs="Times New Roman"/>
          <w:szCs w:val="24"/>
        </w:rPr>
        <w:t>ed</w:t>
      </w:r>
      <w:r w:rsidRPr="00E6684F">
        <w:rPr>
          <w:rFonts w:cs="Times New Roman"/>
          <w:szCs w:val="24"/>
        </w:rPr>
        <w:t xml:space="preserve"> from over 25 stormwater and wastewater dischargers. The data </w:t>
      </w:r>
      <w:r w:rsidR="00AF4797">
        <w:rPr>
          <w:rFonts w:cs="Times New Roman"/>
          <w:szCs w:val="24"/>
        </w:rPr>
        <w:t>were</w:t>
      </w:r>
      <w:r w:rsidRPr="00E6684F">
        <w:rPr>
          <w:rFonts w:cs="Times New Roman"/>
          <w:szCs w:val="24"/>
        </w:rPr>
        <w:t xml:space="preserve"> screened to ensure that test method acceptability criteria were met. A total of 837 test results were obtained and 775 results were deemed to be valid and usable </w:t>
      </w:r>
      <w:r w:rsidR="002424A1">
        <w:rPr>
          <w:rFonts w:cs="Times New Roman"/>
          <w:szCs w:val="24"/>
        </w:rPr>
        <w:t>by</w:t>
      </w:r>
      <w:r w:rsidRPr="00E6684F">
        <w:rPr>
          <w:rFonts w:cs="Times New Roman"/>
          <w:szCs w:val="24"/>
        </w:rPr>
        <w:t xml:space="preserve"> the study. As part of this study, a total of 84 chronic </w:t>
      </w:r>
      <w:proofErr w:type="spellStart"/>
      <w:r w:rsidRPr="00E6684F">
        <w:rPr>
          <w:rFonts w:cs="Times New Roman"/>
          <w:i/>
          <w:szCs w:val="24"/>
        </w:rPr>
        <w:t>Ceriodaphnia</w:t>
      </w:r>
      <w:proofErr w:type="spellEnd"/>
      <w:r w:rsidRPr="00E6684F">
        <w:rPr>
          <w:rFonts w:cs="Times New Roman"/>
          <w:i/>
          <w:szCs w:val="24"/>
        </w:rPr>
        <w:t xml:space="preserve"> </w:t>
      </w:r>
      <w:proofErr w:type="spellStart"/>
      <w:r w:rsidRPr="00E6684F">
        <w:rPr>
          <w:rFonts w:cs="Times New Roman"/>
          <w:i/>
          <w:szCs w:val="24"/>
        </w:rPr>
        <w:t>dubia</w:t>
      </w:r>
      <w:proofErr w:type="spellEnd"/>
      <w:r w:rsidRPr="00E6684F">
        <w:rPr>
          <w:rFonts w:cs="Times New Roman"/>
          <w:szCs w:val="24"/>
        </w:rPr>
        <w:t xml:space="preserve"> reproduction tests were evaluated. The study found that the frequency of</w:t>
      </w:r>
      <w:r w:rsidR="002424A1">
        <w:rPr>
          <w:rFonts w:cs="Times New Roman"/>
          <w:szCs w:val="24"/>
        </w:rPr>
        <w:t xml:space="preserve"> toxicity</w:t>
      </w:r>
      <w:r w:rsidRPr="00E6684F">
        <w:rPr>
          <w:rFonts w:cs="Times New Roman"/>
          <w:szCs w:val="24"/>
        </w:rPr>
        <w:t xml:space="preserve"> detection based on the 84 </w:t>
      </w:r>
      <w:proofErr w:type="spellStart"/>
      <w:r w:rsidRPr="00E6684F">
        <w:rPr>
          <w:rFonts w:cs="Times New Roman"/>
          <w:i/>
          <w:szCs w:val="24"/>
        </w:rPr>
        <w:t>Ceriodaphnia</w:t>
      </w:r>
      <w:proofErr w:type="spellEnd"/>
      <w:r w:rsidRPr="00E6684F">
        <w:rPr>
          <w:rFonts w:cs="Times New Roman"/>
          <w:i/>
          <w:szCs w:val="24"/>
        </w:rPr>
        <w:t xml:space="preserve"> </w:t>
      </w:r>
      <w:proofErr w:type="spellStart"/>
      <w:r w:rsidRPr="00E6684F">
        <w:rPr>
          <w:rFonts w:cs="Times New Roman"/>
          <w:i/>
          <w:szCs w:val="24"/>
        </w:rPr>
        <w:t>dubia</w:t>
      </w:r>
      <w:proofErr w:type="spellEnd"/>
      <w:r w:rsidRPr="00E6684F">
        <w:rPr>
          <w:rFonts w:cs="Times New Roman"/>
          <w:szCs w:val="24"/>
        </w:rPr>
        <w:t xml:space="preserve"> short-term chronic reproduction test results was similar whether using either the NOEC or the TST statistical approach. </w:t>
      </w:r>
    </w:p>
    <w:p w14:paraId="67CE5195" w14:textId="789135A3" w:rsidR="0027541F" w:rsidRPr="00E6684F" w:rsidRDefault="00D85251" w:rsidP="00E6684F">
      <w:pPr>
        <w:spacing w:before="120"/>
        <w:rPr>
          <w:rFonts w:cs="Times New Roman"/>
          <w:szCs w:val="24"/>
        </w:rPr>
      </w:pPr>
      <w:r w:rsidRPr="00E6684F">
        <w:rPr>
          <w:rFonts w:cs="Times New Roman"/>
          <w:szCs w:val="24"/>
        </w:rPr>
        <w:t xml:space="preserve">Because the 2011 “test drive” did not yield blank sample data and did not evaluate the toxicity of blank samples, it did not provide definitive information regarding </w:t>
      </w:r>
      <w:r w:rsidR="00EF11F0">
        <w:rPr>
          <w:rFonts w:cs="Times New Roman"/>
        </w:rPr>
        <w:t>i</w:t>
      </w:r>
      <w:r w:rsidR="00EF11F0" w:rsidRPr="00EF11F0">
        <w:rPr>
          <w:rFonts w:cs="Times New Roman"/>
          <w:szCs w:val="24"/>
        </w:rPr>
        <w:t>ncorrect determinations of toxicity</w:t>
      </w:r>
      <w:r w:rsidRPr="00E6684F">
        <w:rPr>
          <w:rFonts w:cs="Times New Roman"/>
          <w:szCs w:val="24"/>
        </w:rPr>
        <w:t xml:space="preserve"> and did not resolve the potential need for a blank study.</w:t>
      </w:r>
    </w:p>
    <w:p w14:paraId="7E743D50" w14:textId="77777777" w:rsidR="002424A1" w:rsidRDefault="002424A1">
      <w:pPr>
        <w:spacing w:after="0"/>
        <w:rPr>
          <w:rFonts w:ascii="Arial" w:hAnsi="Arial"/>
          <w:b/>
          <w:caps/>
        </w:rPr>
      </w:pPr>
      <w:bookmarkStart w:id="21" w:name="_Toc527448271"/>
      <w:r>
        <w:br w:type="page"/>
      </w:r>
    </w:p>
    <w:p w14:paraId="53DFB2EA" w14:textId="5C27D070" w:rsidR="00D85251" w:rsidRPr="001B1399" w:rsidRDefault="00D85251" w:rsidP="00E6684F">
      <w:pPr>
        <w:pStyle w:val="Heading2"/>
      </w:pPr>
      <w:r w:rsidRPr="001B1399">
        <w:t>Statistical Analysis of Available “Blank” Data</w:t>
      </w:r>
      <w:bookmarkEnd w:id="21"/>
    </w:p>
    <w:p w14:paraId="6B3AEE03" w14:textId="0CF2C2AE" w:rsidR="00D85251" w:rsidRPr="00E6684F" w:rsidRDefault="002424A1" w:rsidP="00E6684F">
      <w:pPr>
        <w:spacing w:before="120"/>
        <w:rPr>
          <w:rFonts w:cs="Times New Roman"/>
          <w:szCs w:val="24"/>
        </w:rPr>
      </w:pPr>
      <w:r w:rsidRPr="00E6684F">
        <w:rPr>
          <w:rFonts w:cs="Times New Roman"/>
          <w:szCs w:val="24"/>
        </w:rPr>
        <w:t xml:space="preserve">The error rate for a test method can be determined empirically by performing a </w:t>
      </w:r>
      <w:r>
        <w:rPr>
          <w:rFonts w:cs="Times New Roman"/>
          <w:szCs w:val="24"/>
        </w:rPr>
        <w:t xml:space="preserve">statistically </w:t>
      </w:r>
      <w:proofErr w:type="gramStart"/>
      <w:r w:rsidRPr="00E6684F">
        <w:rPr>
          <w:rFonts w:cs="Times New Roman"/>
          <w:szCs w:val="24"/>
        </w:rPr>
        <w:t>sufficient number of</w:t>
      </w:r>
      <w:proofErr w:type="gramEnd"/>
      <w:r w:rsidRPr="00E6684F">
        <w:rPr>
          <w:rFonts w:cs="Times New Roman"/>
          <w:szCs w:val="24"/>
        </w:rPr>
        <w:t xml:space="preserve"> blind</w:t>
      </w:r>
      <w:r w:rsidRPr="00E6684F">
        <w:rPr>
          <w:rStyle w:val="FootnoteReference"/>
          <w:rFonts w:cs="Times New Roman"/>
          <w:szCs w:val="24"/>
        </w:rPr>
        <w:footnoteReference w:id="4"/>
      </w:r>
      <w:r w:rsidRPr="00E6684F">
        <w:rPr>
          <w:rFonts w:cs="Times New Roman"/>
          <w:szCs w:val="24"/>
        </w:rPr>
        <w:t xml:space="preserve"> analyses on blank</w:t>
      </w:r>
      <w:r w:rsidRPr="00E6684F">
        <w:rPr>
          <w:rStyle w:val="FootnoteReference"/>
          <w:rFonts w:cs="Times New Roman"/>
          <w:szCs w:val="24"/>
        </w:rPr>
        <w:footnoteReference w:id="5"/>
      </w:r>
      <w:r w:rsidRPr="00E6684F">
        <w:rPr>
          <w:rFonts w:cs="Times New Roman"/>
          <w:szCs w:val="24"/>
        </w:rPr>
        <w:t xml:space="preserve"> samples. </w:t>
      </w:r>
      <w:r>
        <w:rPr>
          <w:rFonts w:cs="Times New Roman"/>
          <w:szCs w:val="24"/>
        </w:rPr>
        <w:t>T</w:t>
      </w:r>
      <w:r w:rsidR="00D85251" w:rsidRPr="00E6684F">
        <w:rPr>
          <w:rFonts w:cs="Times New Roman"/>
          <w:szCs w:val="24"/>
        </w:rPr>
        <w:t xml:space="preserve">he three studies described above provided the </w:t>
      </w:r>
      <w:proofErr w:type="spellStart"/>
      <w:r w:rsidR="00D85251" w:rsidRPr="00E6684F">
        <w:rPr>
          <w:rFonts w:cs="Times New Roman"/>
          <w:i/>
          <w:szCs w:val="24"/>
        </w:rPr>
        <w:t>Ceriodaphnia</w:t>
      </w:r>
      <w:proofErr w:type="spellEnd"/>
      <w:r w:rsidR="00D85251" w:rsidRPr="00E6684F">
        <w:rPr>
          <w:rFonts w:cs="Times New Roman"/>
          <w:i/>
          <w:szCs w:val="24"/>
        </w:rPr>
        <w:t xml:space="preserve"> </w:t>
      </w:r>
      <w:proofErr w:type="spellStart"/>
      <w:r w:rsidR="00D85251" w:rsidRPr="00E6684F">
        <w:rPr>
          <w:rFonts w:cs="Times New Roman"/>
          <w:i/>
          <w:szCs w:val="24"/>
        </w:rPr>
        <w:t>dubia</w:t>
      </w:r>
      <w:proofErr w:type="spellEnd"/>
      <w:r w:rsidR="00D85251" w:rsidRPr="00E6684F">
        <w:rPr>
          <w:rFonts w:cs="Times New Roman"/>
          <w:szCs w:val="24"/>
        </w:rPr>
        <w:t xml:space="preserve"> reproduction toxicity raw data that </w:t>
      </w:r>
      <w:r>
        <w:rPr>
          <w:rFonts w:cs="Times New Roman"/>
          <w:szCs w:val="24"/>
        </w:rPr>
        <w:t>were</w:t>
      </w:r>
      <w:r w:rsidR="00D85251" w:rsidRPr="00E6684F">
        <w:rPr>
          <w:rFonts w:cs="Times New Roman"/>
          <w:szCs w:val="24"/>
        </w:rPr>
        <w:t xml:space="preserve"> analyzed in this white paper (EPA</w:t>
      </w:r>
      <w:r w:rsidR="00D85251" w:rsidRPr="00E6684F">
        <w:rPr>
          <w:rStyle w:val="FootnoteReference"/>
          <w:rFonts w:cs="Times New Roman"/>
          <w:szCs w:val="24"/>
        </w:rPr>
        <w:footnoteReference w:id="6"/>
      </w:r>
      <w:r w:rsidR="00D85251" w:rsidRPr="00E6684F">
        <w:rPr>
          <w:rFonts w:cs="Times New Roman"/>
          <w:szCs w:val="24"/>
        </w:rPr>
        <w:t>, SMC</w:t>
      </w:r>
      <w:r w:rsidR="00D85251" w:rsidRPr="00E6684F">
        <w:rPr>
          <w:rStyle w:val="FootnoteReference"/>
          <w:rFonts w:cs="Times New Roman"/>
          <w:szCs w:val="24"/>
        </w:rPr>
        <w:footnoteReference w:id="7"/>
      </w:r>
      <w:r w:rsidR="00D85251" w:rsidRPr="00E6684F">
        <w:rPr>
          <w:rFonts w:cs="Times New Roman"/>
          <w:szCs w:val="24"/>
        </w:rPr>
        <w:t>, WC</w:t>
      </w:r>
      <w:r w:rsidR="00D85251" w:rsidRPr="00E6684F">
        <w:rPr>
          <w:rStyle w:val="FootnoteReference"/>
          <w:rFonts w:cs="Times New Roman"/>
          <w:szCs w:val="24"/>
        </w:rPr>
        <w:footnoteReference w:id="8"/>
      </w:r>
      <w:r w:rsidR="00D85251" w:rsidRPr="00E6684F">
        <w:rPr>
          <w:rFonts w:cs="Times New Roman"/>
          <w:szCs w:val="24"/>
        </w:rPr>
        <w:t xml:space="preserve">). The </w:t>
      </w:r>
      <w:proofErr w:type="spellStart"/>
      <w:r w:rsidR="00D85251" w:rsidRPr="00E6684F">
        <w:rPr>
          <w:rFonts w:cs="Times New Roman"/>
          <w:i/>
          <w:szCs w:val="24"/>
        </w:rPr>
        <w:t>Ceriodaphnia</w:t>
      </w:r>
      <w:proofErr w:type="spellEnd"/>
      <w:r w:rsidR="00D85251" w:rsidRPr="00E6684F">
        <w:rPr>
          <w:rFonts w:cs="Times New Roman"/>
          <w:i/>
          <w:szCs w:val="24"/>
        </w:rPr>
        <w:t xml:space="preserve"> </w:t>
      </w:r>
      <w:proofErr w:type="spellStart"/>
      <w:r w:rsidR="00D85251" w:rsidRPr="00E6684F">
        <w:rPr>
          <w:rFonts w:cs="Times New Roman"/>
          <w:i/>
          <w:szCs w:val="24"/>
        </w:rPr>
        <w:t>dubia</w:t>
      </w:r>
      <w:proofErr w:type="spellEnd"/>
      <w:r w:rsidR="00D85251" w:rsidRPr="00E6684F">
        <w:rPr>
          <w:rFonts w:cs="Times New Roman"/>
          <w:szCs w:val="24"/>
        </w:rPr>
        <w:t xml:space="preserve"> reproduction tests in these studies were all performed blind on blank water samples, which were prepared by different </w:t>
      </w:r>
      <w:r w:rsidR="00AD1E21">
        <w:rPr>
          <w:rFonts w:cs="Times New Roman"/>
          <w:szCs w:val="24"/>
        </w:rPr>
        <w:t>accredited</w:t>
      </w:r>
      <w:r w:rsidR="00D85251" w:rsidRPr="00E6684F">
        <w:rPr>
          <w:rFonts w:cs="Times New Roman"/>
          <w:szCs w:val="24"/>
        </w:rPr>
        <w:t xml:space="preserve"> test laboratories. A blank sample is expected to show no toxicity. The </w:t>
      </w:r>
      <w:r>
        <w:rPr>
          <w:rFonts w:cs="Times New Roman"/>
          <w:szCs w:val="24"/>
        </w:rPr>
        <w:t xml:space="preserve">toxicity data </w:t>
      </w:r>
      <w:r w:rsidR="00D85251" w:rsidRPr="00E6684F">
        <w:rPr>
          <w:rFonts w:cs="Times New Roman"/>
          <w:szCs w:val="24"/>
        </w:rPr>
        <w:t xml:space="preserve">results from the three studies were analyzed using three statistical methods: NOEC, IC25 and TST. The results of the three studies were compiled and reviewed for significance using paired T-tests. A power analysis was used to determine whether a </w:t>
      </w:r>
      <w:r>
        <w:rPr>
          <w:rFonts w:cs="Times New Roman"/>
          <w:szCs w:val="24"/>
        </w:rPr>
        <w:t xml:space="preserve">statistically </w:t>
      </w:r>
      <w:proofErr w:type="gramStart"/>
      <w:r w:rsidR="00D85251" w:rsidRPr="00E6684F">
        <w:rPr>
          <w:rFonts w:cs="Times New Roman"/>
          <w:szCs w:val="24"/>
        </w:rPr>
        <w:t>sufficient number of</w:t>
      </w:r>
      <w:proofErr w:type="gramEnd"/>
      <w:r w:rsidR="00D85251" w:rsidRPr="00E6684F">
        <w:rPr>
          <w:rFonts w:cs="Times New Roman"/>
          <w:szCs w:val="24"/>
        </w:rPr>
        <w:t xml:space="preserve"> samples had been analyzed to determine an error rate for the </w:t>
      </w:r>
      <w:proofErr w:type="spellStart"/>
      <w:r w:rsidR="00D85251" w:rsidRPr="00E6684F">
        <w:rPr>
          <w:rFonts w:cs="Times New Roman"/>
          <w:i/>
          <w:szCs w:val="24"/>
        </w:rPr>
        <w:t>Ceriodaphnia</w:t>
      </w:r>
      <w:proofErr w:type="spellEnd"/>
      <w:r w:rsidR="00D85251" w:rsidRPr="00E6684F">
        <w:rPr>
          <w:rFonts w:cs="Times New Roman"/>
          <w:i/>
          <w:szCs w:val="24"/>
        </w:rPr>
        <w:t xml:space="preserve"> </w:t>
      </w:r>
      <w:proofErr w:type="spellStart"/>
      <w:r w:rsidR="00D85251" w:rsidRPr="00E6684F">
        <w:rPr>
          <w:rFonts w:cs="Times New Roman"/>
          <w:i/>
          <w:szCs w:val="24"/>
        </w:rPr>
        <w:t>dubia</w:t>
      </w:r>
      <w:proofErr w:type="spellEnd"/>
      <w:r w:rsidR="00D85251" w:rsidRPr="00E6684F">
        <w:rPr>
          <w:rFonts w:cs="Times New Roman"/>
          <w:szCs w:val="24"/>
        </w:rPr>
        <w:t xml:space="preserve"> reproduction test with appropriate statistical confidence (a confidence level of 80% is deemed necessary).</w:t>
      </w:r>
    </w:p>
    <w:p w14:paraId="4EC9EAA4" w14:textId="3A29C33A" w:rsidR="00D85251" w:rsidRPr="001B1399" w:rsidRDefault="002424A1" w:rsidP="00E6684F">
      <w:pPr>
        <w:pStyle w:val="Heading3"/>
      </w:pPr>
      <w:bookmarkStart w:id="22" w:name="_Toc527448272"/>
      <w:r>
        <w:t xml:space="preserve">Description of </w:t>
      </w:r>
      <w:r w:rsidR="00D85251" w:rsidRPr="001B1399">
        <w:t>Analysis</w:t>
      </w:r>
      <w:bookmarkEnd w:id="22"/>
    </w:p>
    <w:p w14:paraId="333B71AB" w14:textId="77777777" w:rsidR="00D85251" w:rsidRPr="001B1399" w:rsidRDefault="00D85251" w:rsidP="00E6684F">
      <w:pPr>
        <w:pStyle w:val="Heading4"/>
      </w:pPr>
      <w:r w:rsidRPr="001B1399">
        <w:t>Toxicity Studies</w:t>
      </w:r>
    </w:p>
    <w:p w14:paraId="0A8469AB" w14:textId="61A58849" w:rsidR="00D85251" w:rsidRPr="00E6684F" w:rsidRDefault="00D85251" w:rsidP="00E6684F">
      <w:pPr>
        <w:spacing w:before="120"/>
        <w:rPr>
          <w:rFonts w:cs="Times New Roman"/>
          <w:szCs w:val="24"/>
        </w:rPr>
      </w:pPr>
      <w:r w:rsidRPr="00E6684F">
        <w:rPr>
          <w:rFonts w:cs="Times New Roman"/>
          <w:szCs w:val="24"/>
        </w:rPr>
        <w:t xml:space="preserve">During each of the three toxicity studies, ten replicates were analyzed by each laboratory at five concentrations (blank water was provided to each laboratory in place of analysis water for creating these concentrations) and a control. There were two exceptions during the EPA study, when only eight replicates were analyzed, and during the SMC study, when two labs failed to analyze all replicates for the 12.5% concentration. These exceptions </w:t>
      </w:r>
      <w:r w:rsidR="002424A1">
        <w:rPr>
          <w:rFonts w:cs="Times New Roman"/>
          <w:szCs w:val="24"/>
        </w:rPr>
        <w:t>a</w:t>
      </w:r>
      <w:r w:rsidRPr="00E6684F">
        <w:rPr>
          <w:rFonts w:cs="Times New Roman"/>
          <w:szCs w:val="24"/>
        </w:rPr>
        <w:t xml:space="preserve">re not expected to affect the results. </w:t>
      </w:r>
    </w:p>
    <w:p w14:paraId="14D66F9C" w14:textId="6F41E972" w:rsidR="00D85251" w:rsidRPr="00E6684F" w:rsidRDefault="00D85251" w:rsidP="00E6684F">
      <w:pPr>
        <w:spacing w:before="120"/>
        <w:rPr>
          <w:rFonts w:cs="Times New Roman"/>
          <w:szCs w:val="24"/>
        </w:rPr>
      </w:pPr>
      <w:r w:rsidRPr="00E6684F">
        <w:rPr>
          <w:rFonts w:cs="Times New Roman"/>
          <w:szCs w:val="24"/>
        </w:rPr>
        <w:t>During the WC study, some samples were labeled “Reference toxicant,” some “Effluent,” and some “Process control sample,” although all samples were blank. During the SMC and EPA studies, the samples were not labeled in any distinguishing way. Unlike the other studies, the SMC study was not specifically designed to determine the</w:t>
      </w:r>
      <w:r w:rsidR="00EF11F0">
        <w:rPr>
          <w:rFonts w:cs="Times New Roman"/>
          <w:szCs w:val="24"/>
        </w:rPr>
        <w:t xml:space="preserve"> rate of</w:t>
      </w:r>
      <w:r w:rsidRPr="00E6684F">
        <w:rPr>
          <w:rFonts w:cs="Times New Roman"/>
          <w:szCs w:val="24"/>
        </w:rPr>
        <w:t xml:space="preserve"> </w:t>
      </w:r>
      <w:r w:rsidR="00EF11F0">
        <w:rPr>
          <w:rFonts w:cs="Times New Roman"/>
        </w:rPr>
        <w:t>i</w:t>
      </w:r>
      <w:r w:rsidR="00EF11F0" w:rsidRPr="00EF11F0">
        <w:rPr>
          <w:rFonts w:cs="Times New Roman"/>
          <w:szCs w:val="24"/>
        </w:rPr>
        <w:t>ncorrect determinations of toxicity</w:t>
      </w:r>
      <w:r w:rsidRPr="00E6684F">
        <w:rPr>
          <w:rFonts w:cs="Times New Roman"/>
          <w:szCs w:val="24"/>
        </w:rPr>
        <w:t xml:space="preserve"> </w:t>
      </w:r>
      <w:r w:rsidR="00EF11F0">
        <w:rPr>
          <w:rFonts w:cs="Times New Roman"/>
          <w:szCs w:val="24"/>
        </w:rPr>
        <w:t>during</w:t>
      </w:r>
      <w:r w:rsidRPr="00E6684F">
        <w:rPr>
          <w:rFonts w:cs="Times New Roman"/>
          <w:szCs w:val="24"/>
        </w:rPr>
        <w:t xml:space="preserve"> toxicity testing. </w:t>
      </w:r>
    </w:p>
    <w:p w14:paraId="018466C7" w14:textId="64B9B7FD" w:rsidR="00D85251" w:rsidRPr="00E6684F" w:rsidRDefault="00D85251" w:rsidP="00E6684F">
      <w:pPr>
        <w:spacing w:before="120"/>
        <w:rPr>
          <w:rFonts w:cs="Times New Roman"/>
          <w:szCs w:val="24"/>
        </w:rPr>
      </w:pPr>
      <w:r w:rsidRPr="00E6684F">
        <w:rPr>
          <w:rFonts w:cs="Times New Roman"/>
          <w:szCs w:val="24"/>
        </w:rPr>
        <w:t xml:space="preserve">The five sample treatment concentrations were 6.25, 12.5, 25, 50, and 100%, and each was compared with a control of laboratory water. As the provided water was blank, all concentrations were theoretically identical to each other and for each lab. Questions have been raised in the review of these studies as to the validity of this </w:t>
      </w:r>
      <w:r w:rsidR="002424A1">
        <w:rPr>
          <w:rFonts w:cs="Times New Roman"/>
          <w:szCs w:val="24"/>
        </w:rPr>
        <w:t>assumption</w:t>
      </w:r>
      <w:r w:rsidRPr="00E6684F">
        <w:rPr>
          <w:rFonts w:cs="Times New Roman"/>
          <w:szCs w:val="24"/>
        </w:rPr>
        <w:t xml:space="preserve">. Differences could have been caused by different types of dilution water used by each lab and other unique methods employed within the parameters of the USEPA standard method for performance of </w:t>
      </w:r>
      <w:proofErr w:type="spellStart"/>
      <w:r w:rsidRPr="00E6684F">
        <w:rPr>
          <w:rFonts w:cs="Times New Roman"/>
          <w:i/>
          <w:szCs w:val="24"/>
        </w:rPr>
        <w:t>Ceriodaphnia</w:t>
      </w:r>
      <w:proofErr w:type="spellEnd"/>
      <w:r w:rsidR="002424A1">
        <w:rPr>
          <w:rFonts w:cs="Times New Roman"/>
          <w:i/>
          <w:szCs w:val="24"/>
        </w:rPr>
        <w:t xml:space="preserve"> </w:t>
      </w:r>
      <w:proofErr w:type="spellStart"/>
      <w:r w:rsidR="002424A1">
        <w:rPr>
          <w:rFonts w:cs="Times New Roman"/>
          <w:i/>
          <w:szCs w:val="24"/>
        </w:rPr>
        <w:t>dubia</w:t>
      </w:r>
      <w:proofErr w:type="spellEnd"/>
      <w:r w:rsidRPr="00E6684F">
        <w:rPr>
          <w:rFonts w:cs="Times New Roman"/>
          <w:szCs w:val="24"/>
        </w:rPr>
        <w:t xml:space="preserve"> reproduction testing. </w:t>
      </w:r>
    </w:p>
    <w:p w14:paraId="4F678F1F" w14:textId="680028AA" w:rsidR="00D85251" w:rsidRPr="00E6684F" w:rsidRDefault="00D85251" w:rsidP="00E6684F">
      <w:pPr>
        <w:spacing w:before="120"/>
        <w:rPr>
          <w:rFonts w:cs="Times New Roman"/>
          <w:szCs w:val="24"/>
        </w:rPr>
      </w:pPr>
      <w:r w:rsidRPr="00E6684F">
        <w:rPr>
          <w:rFonts w:cs="Times New Roman"/>
          <w:szCs w:val="24"/>
        </w:rPr>
        <w:t xml:space="preserve">Each laboratory in the three studies was represented by an identification number for anonymity. Thirty-four laboratories provided </w:t>
      </w:r>
      <w:proofErr w:type="spellStart"/>
      <w:r w:rsidRPr="00E6684F">
        <w:rPr>
          <w:rFonts w:cs="Times New Roman"/>
          <w:i/>
          <w:szCs w:val="24"/>
        </w:rPr>
        <w:t>Ceriodaphnia</w:t>
      </w:r>
      <w:proofErr w:type="spellEnd"/>
      <w:r w:rsidRPr="00E6684F">
        <w:rPr>
          <w:rFonts w:cs="Times New Roman"/>
          <w:i/>
          <w:szCs w:val="24"/>
        </w:rPr>
        <w:t xml:space="preserve"> </w:t>
      </w:r>
      <w:proofErr w:type="spellStart"/>
      <w:r w:rsidRPr="00E6684F">
        <w:rPr>
          <w:rFonts w:cs="Times New Roman"/>
          <w:i/>
          <w:szCs w:val="24"/>
        </w:rPr>
        <w:t>dubia</w:t>
      </w:r>
      <w:proofErr w:type="spellEnd"/>
      <w:r w:rsidRPr="00E6684F">
        <w:rPr>
          <w:rFonts w:cs="Times New Roman"/>
          <w:szCs w:val="24"/>
        </w:rPr>
        <w:t xml:space="preserve"> reproduction data in the EPA study, nine in the SMC study (which included two separate analyses, duplicates, and a reference lab, for a total of 22 discrete results) and results from 17 laboratories were obtained in the WC study</w:t>
      </w:r>
      <w:r w:rsidR="00982C01">
        <w:rPr>
          <w:rFonts w:cs="Times New Roman"/>
          <w:szCs w:val="24"/>
        </w:rPr>
        <w:t xml:space="preserve"> (some laboratories were issued multiple identification numbers)</w:t>
      </w:r>
      <w:r w:rsidRPr="00E6684F">
        <w:rPr>
          <w:rFonts w:cs="Times New Roman"/>
          <w:szCs w:val="24"/>
        </w:rPr>
        <w:t>.</w:t>
      </w:r>
      <w:r w:rsidR="00E6684F">
        <w:rPr>
          <w:rFonts w:cs="Times New Roman"/>
          <w:szCs w:val="24"/>
        </w:rPr>
        <w:t xml:space="preserve"> The laboratory identification numbers for each study are shown in </w:t>
      </w:r>
      <w:r w:rsidR="00E6684F" w:rsidRPr="00E6684F">
        <w:rPr>
          <w:rFonts w:cs="Times New Roman"/>
          <w:b/>
          <w:szCs w:val="24"/>
        </w:rPr>
        <w:fldChar w:fldCharType="begin"/>
      </w:r>
      <w:r w:rsidR="00E6684F" w:rsidRPr="00E6684F">
        <w:rPr>
          <w:rFonts w:cs="Times New Roman"/>
          <w:b/>
          <w:szCs w:val="24"/>
        </w:rPr>
        <w:instrText xml:space="preserve"> REF _Ref527446613 \h </w:instrText>
      </w:r>
      <w:r w:rsidR="00E6684F">
        <w:rPr>
          <w:rFonts w:cs="Times New Roman"/>
          <w:b/>
          <w:szCs w:val="24"/>
        </w:rPr>
        <w:instrText xml:space="preserve"> \* MERGEFORMAT </w:instrText>
      </w:r>
      <w:r w:rsidR="00E6684F" w:rsidRPr="00E6684F">
        <w:rPr>
          <w:rFonts w:cs="Times New Roman"/>
          <w:b/>
          <w:szCs w:val="24"/>
        </w:rPr>
      </w:r>
      <w:r w:rsidR="00E6684F" w:rsidRPr="00E6684F">
        <w:rPr>
          <w:rFonts w:cs="Times New Roman"/>
          <w:b/>
          <w:szCs w:val="24"/>
        </w:rPr>
        <w:fldChar w:fldCharType="separate"/>
      </w:r>
      <w:r w:rsidR="00E6684F" w:rsidRPr="00E6684F">
        <w:rPr>
          <w:rFonts w:cstheme="minorHAnsi"/>
          <w:b/>
        </w:rPr>
        <w:t xml:space="preserve">Table </w:t>
      </w:r>
      <w:r w:rsidR="00E6684F" w:rsidRPr="00E6684F">
        <w:rPr>
          <w:rFonts w:cstheme="minorHAnsi"/>
          <w:b/>
          <w:noProof/>
        </w:rPr>
        <w:t>3</w:t>
      </w:r>
      <w:r w:rsidR="00E6684F" w:rsidRPr="00E6684F">
        <w:rPr>
          <w:rFonts w:cs="Times New Roman"/>
          <w:b/>
          <w:szCs w:val="24"/>
        </w:rPr>
        <w:fldChar w:fldCharType="end"/>
      </w:r>
      <w:r w:rsidR="00E6684F">
        <w:rPr>
          <w:rFonts w:cs="Times New Roman"/>
          <w:szCs w:val="24"/>
        </w:rPr>
        <w:t>.</w:t>
      </w:r>
    </w:p>
    <w:p w14:paraId="52EA8642" w14:textId="7D17FC15" w:rsidR="00D85251" w:rsidRPr="001B1399" w:rsidRDefault="00D85251" w:rsidP="0027541F">
      <w:pPr>
        <w:pStyle w:val="TableTitle"/>
      </w:pPr>
      <w:bookmarkStart w:id="23" w:name="_Ref527446613"/>
      <w:r w:rsidRPr="001B1399">
        <w:t xml:space="preserve">Table </w:t>
      </w:r>
      <w:r w:rsidRPr="001B1399">
        <w:rPr>
          <w:noProof/>
        </w:rPr>
        <w:fldChar w:fldCharType="begin"/>
      </w:r>
      <w:r w:rsidRPr="001B1399">
        <w:rPr>
          <w:noProof/>
        </w:rPr>
        <w:instrText xml:space="preserve"> SEQ Table \* ARABIC </w:instrText>
      </w:r>
      <w:r w:rsidRPr="001B1399">
        <w:rPr>
          <w:noProof/>
        </w:rPr>
        <w:fldChar w:fldCharType="separate"/>
      </w:r>
      <w:r w:rsidR="00E6684F">
        <w:rPr>
          <w:noProof/>
        </w:rPr>
        <w:t>3</w:t>
      </w:r>
      <w:r w:rsidRPr="001B1399">
        <w:rPr>
          <w:noProof/>
        </w:rPr>
        <w:fldChar w:fldCharType="end"/>
      </w:r>
      <w:bookmarkEnd w:id="23"/>
      <w:r w:rsidRPr="001B1399">
        <w:t>. Laboratory Identification Numbers for Each Study</w:t>
      </w:r>
    </w:p>
    <w:tbl>
      <w:tblPr>
        <w:tblW w:w="7060" w:type="dxa"/>
        <w:tblBorders>
          <w:top w:val="single" w:sz="2" w:space="0" w:color="auto"/>
          <w:bottom w:val="single" w:sz="2" w:space="0" w:color="auto"/>
          <w:insideH w:val="dotted" w:sz="4" w:space="0" w:color="auto"/>
        </w:tblBorders>
        <w:tblLook w:val="04A0" w:firstRow="1" w:lastRow="0" w:firstColumn="1" w:lastColumn="0" w:noHBand="0" w:noVBand="1"/>
      </w:tblPr>
      <w:tblGrid>
        <w:gridCol w:w="1530"/>
        <w:gridCol w:w="439"/>
        <w:gridCol w:w="1873"/>
        <w:gridCol w:w="1350"/>
        <w:gridCol w:w="428"/>
        <w:gridCol w:w="1440"/>
      </w:tblGrid>
      <w:tr w:rsidR="00AD1E21" w:rsidRPr="001B1399" w14:paraId="55822935" w14:textId="77777777" w:rsidTr="00AD1E21">
        <w:trPr>
          <w:trHeight w:val="264"/>
          <w:tblHeader/>
        </w:trPr>
        <w:tc>
          <w:tcPr>
            <w:tcW w:w="1530" w:type="dxa"/>
            <w:vMerge w:val="restart"/>
            <w:tcBorders>
              <w:top w:val="single" w:sz="2" w:space="0" w:color="auto"/>
              <w:left w:val="dotted" w:sz="4" w:space="0" w:color="auto"/>
              <w:right w:val="dotted" w:sz="4" w:space="0" w:color="auto"/>
            </w:tcBorders>
            <w:shd w:val="clear" w:color="auto" w:fill="DAEEF3" w:themeFill="accent5" w:themeFillTint="33"/>
            <w:noWrap/>
            <w:vAlign w:val="center"/>
            <w:hideMark/>
          </w:tcPr>
          <w:p w14:paraId="0A2D69CC" w14:textId="77777777" w:rsidR="00AD1E21" w:rsidRPr="001B1399" w:rsidRDefault="00AD1E21" w:rsidP="00982C01">
            <w:pPr>
              <w:pStyle w:val="TableBodyText"/>
            </w:pPr>
            <w:r w:rsidRPr="001B1399">
              <w:t>EPA</w:t>
            </w:r>
            <w:r w:rsidRPr="001B1399">
              <w:rPr>
                <w:vertAlign w:val="superscript"/>
              </w:rPr>
              <w:t>[a]</w:t>
            </w:r>
          </w:p>
        </w:tc>
        <w:tc>
          <w:tcPr>
            <w:tcW w:w="439" w:type="dxa"/>
            <w:tcBorders>
              <w:top w:val="single" w:sz="2" w:space="0" w:color="auto"/>
              <w:left w:val="dotted" w:sz="4" w:space="0" w:color="auto"/>
              <w:bottom w:val="nil"/>
              <w:right w:val="dotted" w:sz="4" w:space="0" w:color="auto"/>
            </w:tcBorders>
            <w:shd w:val="clear" w:color="auto" w:fill="auto"/>
          </w:tcPr>
          <w:p w14:paraId="2B093782" w14:textId="452864C7" w:rsidR="00AD1E21" w:rsidRPr="001B1399" w:rsidRDefault="00AD1E21" w:rsidP="00982C01">
            <w:pPr>
              <w:pStyle w:val="TableBodyText"/>
            </w:pPr>
          </w:p>
        </w:tc>
        <w:tc>
          <w:tcPr>
            <w:tcW w:w="3223" w:type="dxa"/>
            <w:gridSpan w:val="2"/>
            <w:tcBorders>
              <w:top w:val="single" w:sz="2" w:space="0" w:color="auto"/>
              <w:left w:val="dotted" w:sz="4" w:space="0" w:color="auto"/>
              <w:bottom w:val="single" w:sz="2" w:space="0" w:color="auto"/>
              <w:right w:val="dotted" w:sz="4" w:space="0" w:color="auto"/>
            </w:tcBorders>
            <w:shd w:val="clear" w:color="auto" w:fill="DAEEF3" w:themeFill="accent5" w:themeFillTint="33"/>
            <w:noWrap/>
            <w:vAlign w:val="center"/>
            <w:hideMark/>
          </w:tcPr>
          <w:p w14:paraId="0B406618" w14:textId="77CDBE44" w:rsidR="00AD1E21" w:rsidRPr="001B1399" w:rsidRDefault="00AD1E21" w:rsidP="00982C01">
            <w:pPr>
              <w:pStyle w:val="TableBodyText"/>
            </w:pPr>
            <w:r w:rsidRPr="001B1399">
              <w:t>SMC</w:t>
            </w:r>
            <w:r w:rsidRPr="001B1399">
              <w:rPr>
                <w:vertAlign w:val="superscript"/>
              </w:rPr>
              <w:t>[b]</w:t>
            </w:r>
          </w:p>
        </w:tc>
        <w:tc>
          <w:tcPr>
            <w:tcW w:w="428" w:type="dxa"/>
            <w:tcBorders>
              <w:top w:val="single" w:sz="2" w:space="0" w:color="auto"/>
              <w:left w:val="dotted" w:sz="4" w:space="0" w:color="auto"/>
              <w:bottom w:val="nil"/>
              <w:right w:val="dotted" w:sz="4" w:space="0" w:color="auto"/>
            </w:tcBorders>
          </w:tcPr>
          <w:p w14:paraId="0BEE7E7B" w14:textId="413147EE" w:rsidR="00AD1E21" w:rsidRPr="001B1399" w:rsidRDefault="00AD1E21" w:rsidP="00982C01">
            <w:pPr>
              <w:pStyle w:val="TableBodyText"/>
            </w:pPr>
          </w:p>
        </w:tc>
        <w:tc>
          <w:tcPr>
            <w:tcW w:w="1440" w:type="dxa"/>
            <w:vMerge w:val="restart"/>
            <w:tcBorders>
              <w:top w:val="single" w:sz="2" w:space="0" w:color="auto"/>
              <w:left w:val="dotted" w:sz="4" w:space="0" w:color="auto"/>
              <w:right w:val="dotted" w:sz="4" w:space="0" w:color="auto"/>
            </w:tcBorders>
            <w:shd w:val="clear" w:color="auto" w:fill="DAEEF3" w:themeFill="accent5" w:themeFillTint="33"/>
            <w:noWrap/>
            <w:vAlign w:val="center"/>
            <w:hideMark/>
          </w:tcPr>
          <w:p w14:paraId="409955ED" w14:textId="67D5B0DA" w:rsidR="00AD1E21" w:rsidRPr="001B1399" w:rsidRDefault="00AD1E21" w:rsidP="00982C01">
            <w:pPr>
              <w:pStyle w:val="TableBodyText"/>
            </w:pPr>
            <w:r w:rsidRPr="001B1399">
              <w:t>WC</w:t>
            </w:r>
            <w:r w:rsidRPr="001B1399">
              <w:rPr>
                <w:vertAlign w:val="superscript"/>
              </w:rPr>
              <w:t>[c]</w:t>
            </w:r>
          </w:p>
        </w:tc>
      </w:tr>
      <w:tr w:rsidR="00AD1E21" w:rsidRPr="001B1399" w14:paraId="4EB71837" w14:textId="77777777" w:rsidTr="00AD1E21">
        <w:trPr>
          <w:trHeight w:val="264"/>
          <w:tblHeader/>
        </w:trPr>
        <w:tc>
          <w:tcPr>
            <w:tcW w:w="1530" w:type="dxa"/>
            <w:vMerge/>
            <w:tcBorders>
              <w:left w:val="dotted" w:sz="4" w:space="0" w:color="auto"/>
              <w:bottom w:val="single" w:sz="2" w:space="0" w:color="auto"/>
              <w:right w:val="dotted" w:sz="4" w:space="0" w:color="auto"/>
            </w:tcBorders>
            <w:shd w:val="clear" w:color="auto" w:fill="DAEEF3" w:themeFill="accent5" w:themeFillTint="33"/>
            <w:noWrap/>
            <w:vAlign w:val="bottom"/>
          </w:tcPr>
          <w:p w14:paraId="7D73B45C" w14:textId="77777777" w:rsidR="00AD1E21" w:rsidRPr="001B1399" w:rsidRDefault="00AD1E21" w:rsidP="00E6684F">
            <w:pPr>
              <w:pStyle w:val="TableBodyText"/>
            </w:pPr>
          </w:p>
        </w:tc>
        <w:tc>
          <w:tcPr>
            <w:tcW w:w="439" w:type="dxa"/>
            <w:tcBorders>
              <w:top w:val="nil"/>
              <w:left w:val="dotted" w:sz="4" w:space="0" w:color="auto"/>
              <w:bottom w:val="nil"/>
              <w:right w:val="dotted" w:sz="4" w:space="0" w:color="auto"/>
            </w:tcBorders>
            <w:shd w:val="clear" w:color="auto" w:fill="auto"/>
          </w:tcPr>
          <w:p w14:paraId="5EE82006" w14:textId="77777777" w:rsidR="00AD1E21" w:rsidRPr="001B1399" w:rsidRDefault="00AD1E21" w:rsidP="00E6684F">
            <w:pPr>
              <w:pStyle w:val="TableBodyText"/>
            </w:pPr>
          </w:p>
        </w:tc>
        <w:tc>
          <w:tcPr>
            <w:tcW w:w="1873" w:type="dxa"/>
            <w:tcBorders>
              <w:top w:val="single" w:sz="2" w:space="0" w:color="auto"/>
              <w:left w:val="dotted" w:sz="4" w:space="0" w:color="auto"/>
              <w:bottom w:val="single" w:sz="2" w:space="0" w:color="auto"/>
            </w:tcBorders>
            <w:shd w:val="clear" w:color="auto" w:fill="E5F4F7"/>
            <w:noWrap/>
            <w:vAlign w:val="bottom"/>
          </w:tcPr>
          <w:p w14:paraId="5ADB3305" w14:textId="1BA332FF" w:rsidR="00AD1E21" w:rsidRPr="001B1399" w:rsidRDefault="00AD1E21" w:rsidP="00E6684F">
            <w:pPr>
              <w:pStyle w:val="TableBodyText"/>
            </w:pPr>
            <w:r w:rsidRPr="001B1399">
              <w:t>Round 1</w:t>
            </w:r>
          </w:p>
        </w:tc>
        <w:tc>
          <w:tcPr>
            <w:tcW w:w="1350" w:type="dxa"/>
            <w:tcBorders>
              <w:top w:val="single" w:sz="2" w:space="0" w:color="auto"/>
              <w:bottom w:val="single" w:sz="2" w:space="0" w:color="auto"/>
              <w:right w:val="dotted" w:sz="4" w:space="0" w:color="auto"/>
            </w:tcBorders>
            <w:shd w:val="clear" w:color="auto" w:fill="E5F4F7"/>
            <w:noWrap/>
            <w:vAlign w:val="bottom"/>
          </w:tcPr>
          <w:p w14:paraId="26411B90" w14:textId="77777777" w:rsidR="00AD1E21" w:rsidRPr="001B1399" w:rsidRDefault="00AD1E21" w:rsidP="00E6684F">
            <w:pPr>
              <w:pStyle w:val="TableBodyText"/>
            </w:pPr>
            <w:r w:rsidRPr="001B1399">
              <w:t>Round 2</w:t>
            </w:r>
            <w:r w:rsidRPr="001B1399">
              <w:rPr>
                <w:vertAlign w:val="superscript"/>
              </w:rPr>
              <w:t>[d]</w:t>
            </w:r>
          </w:p>
        </w:tc>
        <w:tc>
          <w:tcPr>
            <w:tcW w:w="428" w:type="dxa"/>
            <w:tcBorders>
              <w:top w:val="nil"/>
              <w:left w:val="dotted" w:sz="4" w:space="0" w:color="auto"/>
              <w:bottom w:val="nil"/>
              <w:right w:val="dotted" w:sz="4" w:space="0" w:color="auto"/>
            </w:tcBorders>
          </w:tcPr>
          <w:p w14:paraId="05D5342B" w14:textId="77777777" w:rsidR="00AD1E21" w:rsidRPr="001B1399" w:rsidRDefault="00AD1E21" w:rsidP="00E6684F">
            <w:pPr>
              <w:pStyle w:val="TableBodyText"/>
            </w:pPr>
          </w:p>
        </w:tc>
        <w:tc>
          <w:tcPr>
            <w:tcW w:w="1440" w:type="dxa"/>
            <w:vMerge/>
            <w:tcBorders>
              <w:left w:val="dotted" w:sz="4" w:space="0" w:color="auto"/>
              <w:bottom w:val="single" w:sz="2" w:space="0" w:color="auto"/>
              <w:right w:val="dotted" w:sz="4" w:space="0" w:color="auto"/>
            </w:tcBorders>
            <w:shd w:val="clear" w:color="auto" w:fill="DAEEF3" w:themeFill="accent5" w:themeFillTint="33"/>
            <w:noWrap/>
            <w:vAlign w:val="bottom"/>
          </w:tcPr>
          <w:p w14:paraId="2ACB2780" w14:textId="5776DBA5" w:rsidR="00AD1E21" w:rsidRPr="001B1399" w:rsidRDefault="00AD1E21" w:rsidP="00E6684F">
            <w:pPr>
              <w:pStyle w:val="TableBodyText"/>
            </w:pPr>
          </w:p>
        </w:tc>
      </w:tr>
      <w:tr w:rsidR="00AD1E21" w:rsidRPr="001B1399" w14:paraId="62378428" w14:textId="77777777" w:rsidTr="00AD1E21">
        <w:trPr>
          <w:trHeight w:val="264"/>
        </w:trPr>
        <w:tc>
          <w:tcPr>
            <w:tcW w:w="1530" w:type="dxa"/>
            <w:tcBorders>
              <w:top w:val="single" w:sz="2" w:space="0" w:color="auto"/>
              <w:left w:val="dotted" w:sz="4" w:space="0" w:color="auto"/>
              <w:right w:val="dotted" w:sz="4" w:space="0" w:color="auto"/>
            </w:tcBorders>
            <w:shd w:val="clear" w:color="auto" w:fill="auto"/>
            <w:noWrap/>
            <w:vAlign w:val="bottom"/>
            <w:hideMark/>
          </w:tcPr>
          <w:p w14:paraId="6128D117" w14:textId="77777777" w:rsidR="00AD1E21" w:rsidRPr="001B1399" w:rsidRDefault="00AD1E21" w:rsidP="00E6684F">
            <w:pPr>
              <w:pStyle w:val="TableBodyText"/>
            </w:pPr>
            <w:r w:rsidRPr="001B1399">
              <w:t>EPA-9332</w:t>
            </w:r>
          </w:p>
        </w:tc>
        <w:tc>
          <w:tcPr>
            <w:tcW w:w="439" w:type="dxa"/>
            <w:tcBorders>
              <w:top w:val="nil"/>
              <w:left w:val="dotted" w:sz="4" w:space="0" w:color="auto"/>
              <w:bottom w:val="nil"/>
              <w:right w:val="dotted" w:sz="4" w:space="0" w:color="auto"/>
            </w:tcBorders>
            <w:shd w:val="clear" w:color="auto" w:fill="auto"/>
          </w:tcPr>
          <w:p w14:paraId="41448542" w14:textId="77777777" w:rsidR="00AD1E21" w:rsidRPr="001B1399" w:rsidRDefault="00AD1E21" w:rsidP="00E6684F">
            <w:pPr>
              <w:pStyle w:val="TableBodyText"/>
            </w:pPr>
          </w:p>
        </w:tc>
        <w:tc>
          <w:tcPr>
            <w:tcW w:w="1873" w:type="dxa"/>
            <w:tcBorders>
              <w:top w:val="single" w:sz="2" w:space="0" w:color="auto"/>
              <w:left w:val="dotted" w:sz="4" w:space="0" w:color="auto"/>
            </w:tcBorders>
            <w:shd w:val="clear" w:color="auto" w:fill="auto"/>
            <w:noWrap/>
            <w:vAlign w:val="bottom"/>
            <w:hideMark/>
          </w:tcPr>
          <w:p w14:paraId="75EA5AC2" w14:textId="0A2179A6" w:rsidR="00AD1E21" w:rsidRPr="001B1399" w:rsidRDefault="00AD1E21" w:rsidP="00E6684F">
            <w:pPr>
              <w:pStyle w:val="TableBodyText"/>
            </w:pPr>
            <w:r w:rsidRPr="001B1399">
              <w:t>SMC1-A</w:t>
            </w:r>
          </w:p>
        </w:tc>
        <w:tc>
          <w:tcPr>
            <w:tcW w:w="1350" w:type="dxa"/>
            <w:tcBorders>
              <w:top w:val="single" w:sz="2" w:space="0" w:color="auto"/>
              <w:right w:val="dotted" w:sz="4" w:space="0" w:color="auto"/>
            </w:tcBorders>
            <w:shd w:val="clear" w:color="auto" w:fill="auto"/>
            <w:noWrap/>
            <w:vAlign w:val="bottom"/>
            <w:hideMark/>
          </w:tcPr>
          <w:p w14:paraId="3AA8CAE6" w14:textId="77777777" w:rsidR="00AD1E21" w:rsidRPr="001B1399" w:rsidRDefault="00AD1E21" w:rsidP="00E6684F">
            <w:pPr>
              <w:pStyle w:val="TableBodyText"/>
            </w:pPr>
            <w:r w:rsidRPr="001B1399">
              <w:t>SMC2-A</w:t>
            </w:r>
          </w:p>
        </w:tc>
        <w:tc>
          <w:tcPr>
            <w:tcW w:w="428" w:type="dxa"/>
            <w:tcBorders>
              <w:top w:val="nil"/>
              <w:left w:val="dotted" w:sz="4" w:space="0" w:color="auto"/>
              <w:bottom w:val="nil"/>
              <w:right w:val="dotted" w:sz="4" w:space="0" w:color="auto"/>
            </w:tcBorders>
          </w:tcPr>
          <w:p w14:paraId="0FE27A8B" w14:textId="77777777" w:rsidR="00AD1E21" w:rsidRPr="001B1399" w:rsidRDefault="00AD1E21" w:rsidP="00E6684F">
            <w:pPr>
              <w:pStyle w:val="TableBodyText"/>
            </w:pPr>
          </w:p>
        </w:tc>
        <w:tc>
          <w:tcPr>
            <w:tcW w:w="1440" w:type="dxa"/>
            <w:tcBorders>
              <w:top w:val="single" w:sz="2" w:space="0" w:color="auto"/>
              <w:left w:val="dotted" w:sz="4" w:space="0" w:color="auto"/>
              <w:right w:val="dotted" w:sz="4" w:space="0" w:color="auto"/>
            </w:tcBorders>
            <w:shd w:val="clear" w:color="auto" w:fill="auto"/>
            <w:noWrap/>
            <w:vAlign w:val="bottom"/>
            <w:hideMark/>
          </w:tcPr>
          <w:p w14:paraId="787CAE4C" w14:textId="5F3F0653" w:rsidR="00AD1E21" w:rsidRPr="001B1399" w:rsidRDefault="00AD1E21" w:rsidP="00E6684F">
            <w:pPr>
              <w:pStyle w:val="TableBodyText"/>
            </w:pPr>
            <w:r w:rsidRPr="001B1399">
              <w:t>WC1</w:t>
            </w:r>
          </w:p>
        </w:tc>
      </w:tr>
      <w:tr w:rsidR="00AD1E21" w:rsidRPr="001B1399" w14:paraId="4CFA4158"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06D5D7C3" w14:textId="77777777" w:rsidR="00AD1E21" w:rsidRPr="001B1399" w:rsidRDefault="00AD1E21" w:rsidP="00E6684F">
            <w:pPr>
              <w:pStyle w:val="TableBodyText"/>
            </w:pPr>
            <w:r w:rsidRPr="001B1399">
              <w:t>EPA-9338</w:t>
            </w:r>
          </w:p>
        </w:tc>
        <w:tc>
          <w:tcPr>
            <w:tcW w:w="439" w:type="dxa"/>
            <w:tcBorders>
              <w:top w:val="nil"/>
              <w:left w:val="dotted" w:sz="4" w:space="0" w:color="auto"/>
              <w:bottom w:val="nil"/>
              <w:right w:val="dotted" w:sz="4" w:space="0" w:color="auto"/>
            </w:tcBorders>
            <w:shd w:val="clear" w:color="auto" w:fill="auto"/>
          </w:tcPr>
          <w:p w14:paraId="63EA290B"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54C31686" w14:textId="7CB91867"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5B4405D8" w14:textId="77777777" w:rsidR="00AD1E21" w:rsidRPr="001B1399" w:rsidRDefault="00AD1E21" w:rsidP="00E6684F">
            <w:pPr>
              <w:pStyle w:val="TableBodyText"/>
            </w:pPr>
            <w:r w:rsidRPr="001B1399">
              <w:t>SMC2-Ad</w:t>
            </w:r>
          </w:p>
        </w:tc>
        <w:tc>
          <w:tcPr>
            <w:tcW w:w="428" w:type="dxa"/>
            <w:tcBorders>
              <w:top w:val="nil"/>
              <w:left w:val="dotted" w:sz="4" w:space="0" w:color="auto"/>
              <w:bottom w:val="nil"/>
              <w:right w:val="dotted" w:sz="4" w:space="0" w:color="auto"/>
            </w:tcBorders>
          </w:tcPr>
          <w:p w14:paraId="23175997"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5BA11046" w14:textId="7E83D88B" w:rsidR="00AD1E21" w:rsidRPr="001B1399" w:rsidRDefault="00AD1E21" w:rsidP="00E6684F">
            <w:pPr>
              <w:pStyle w:val="TableBodyText"/>
            </w:pPr>
            <w:r w:rsidRPr="001B1399">
              <w:t>WC2</w:t>
            </w:r>
          </w:p>
        </w:tc>
      </w:tr>
      <w:tr w:rsidR="00AD1E21" w:rsidRPr="001B1399" w14:paraId="76B20653"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37A9A6BC" w14:textId="77777777" w:rsidR="00AD1E21" w:rsidRPr="001B1399" w:rsidRDefault="00AD1E21" w:rsidP="00E6684F">
            <w:pPr>
              <w:pStyle w:val="TableBodyText"/>
            </w:pPr>
            <w:r w:rsidRPr="001B1399">
              <w:t>EPA-9340</w:t>
            </w:r>
          </w:p>
        </w:tc>
        <w:tc>
          <w:tcPr>
            <w:tcW w:w="439" w:type="dxa"/>
            <w:tcBorders>
              <w:top w:val="nil"/>
              <w:left w:val="dotted" w:sz="4" w:space="0" w:color="auto"/>
              <w:bottom w:val="nil"/>
              <w:right w:val="dotted" w:sz="4" w:space="0" w:color="auto"/>
            </w:tcBorders>
            <w:shd w:val="clear" w:color="auto" w:fill="auto"/>
          </w:tcPr>
          <w:p w14:paraId="01CEA762"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026E4501" w14:textId="29356E21" w:rsidR="00AD1E21" w:rsidRPr="001B1399" w:rsidRDefault="00AD1E21" w:rsidP="00E6684F">
            <w:pPr>
              <w:pStyle w:val="TableBodyText"/>
            </w:pPr>
            <w:r w:rsidRPr="001B1399">
              <w:t>SMC1-B</w:t>
            </w:r>
          </w:p>
        </w:tc>
        <w:tc>
          <w:tcPr>
            <w:tcW w:w="1350" w:type="dxa"/>
            <w:tcBorders>
              <w:right w:val="dotted" w:sz="4" w:space="0" w:color="auto"/>
            </w:tcBorders>
            <w:shd w:val="clear" w:color="auto" w:fill="auto"/>
            <w:noWrap/>
            <w:vAlign w:val="bottom"/>
            <w:hideMark/>
          </w:tcPr>
          <w:p w14:paraId="5B59EE82" w14:textId="77777777" w:rsidR="00AD1E21" w:rsidRPr="001B1399" w:rsidRDefault="00AD1E21" w:rsidP="00E6684F">
            <w:pPr>
              <w:pStyle w:val="TableBodyText"/>
            </w:pPr>
            <w:r w:rsidRPr="001B1399">
              <w:t>SMC2-B</w:t>
            </w:r>
          </w:p>
        </w:tc>
        <w:tc>
          <w:tcPr>
            <w:tcW w:w="428" w:type="dxa"/>
            <w:tcBorders>
              <w:top w:val="nil"/>
              <w:left w:val="dotted" w:sz="4" w:space="0" w:color="auto"/>
              <w:bottom w:val="nil"/>
              <w:right w:val="dotted" w:sz="4" w:space="0" w:color="auto"/>
            </w:tcBorders>
          </w:tcPr>
          <w:p w14:paraId="669EF17B"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241FE572" w14:textId="51D4AA88" w:rsidR="00AD1E21" w:rsidRPr="001B1399" w:rsidRDefault="00AD1E21" w:rsidP="00E6684F">
            <w:pPr>
              <w:pStyle w:val="TableBodyText"/>
            </w:pPr>
            <w:r w:rsidRPr="001B1399">
              <w:t>WC3</w:t>
            </w:r>
          </w:p>
        </w:tc>
      </w:tr>
      <w:tr w:rsidR="00AD1E21" w:rsidRPr="001B1399" w14:paraId="22EB1FA1"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26A99C09" w14:textId="77777777" w:rsidR="00AD1E21" w:rsidRPr="001B1399" w:rsidRDefault="00AD1E21" w:rsidP="00E6684F">
            <w:pPr>
              <w:pStyle w:val="TableBodyText"/>
            </w:pPr>
            <w:r w:rsidRPr="001B1399">
              <w:t>EPA-9349</w:t>
            </w:r>
          </w:p>
        </w:tc>
        <w:tc>
          <w:tcPr>
            <w:tcW w:w="439" w:type="dxa"/>
            <w:tcBorders>
              <w:top w:val="nil"/>
              <w:left w:val="dotted" w:sz="4" w:space="0" w:color="auto"/>
              <w:bottom w:val="nil"/>
              <w:right w:val="dotted" w:sz="4" w:space="0" w:color="auto"/>
            </w:tcBorders>
            <w:shd w:val="clear" w:color="auto" w:fill="auto"/>
          </w:tcPr>
          <w:p w14:paraId="18583CEE"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53D3BEBD" w14:textId="6FF80156"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7D493EB6" w14:textId="77777777" w:rsidR="00AD1E21" w:rsidRPr="001B1399" w:rsidRDefault="00AD1E21" w:rsidP="00E6684F">
            <w:pPr>
              <w:pStyle w:val="TableBodyText"/>
            </w:pPr>
            <w:r w:rsidRPr="001B1399">
              <w:t>SMC2-Bd</w:t>
            </w:r>
          </w:p>
        </w:tc>
        <w:tc>
          <w:tcPr>
            <w:tcW w:w="428" w:type="dxa"/>
            <w:tcBorders>
              <w:top w:val="nil"/>
              <w:left w:val="dotted" w:sz="4" w:space="0" w:color="auto"/>
              <w:bottom w:val="nil"/>
              <w:right w:val="dotted" w:sz="4" w:space="0" w:color="auto"/>
            </w:tcBorders>
          </w:tcPr>
          <w:p w14:paraId="5572F581"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7DF7B517" w14:textId="7AA2DFDC" w:rsidR="00AD1E21" w:rsidRPr="001B1399" w:rsidRDefault="00AD1E21" w:rsidP="00E6684F">
            <w:pPr>
              <w:pStyle w:val="TableBodyText"/>
            </w:pPr>
            <w:r w:rsidRPr="001B1399">
              <w:t>WC4</w:t>
            </w:r>
          </w:p>
        </w:tc>
      </w:tr>
      <w:tr w:rsidR="00AD1E21" w:rsidRPr="001B1399" w14:paraId="118906CD"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31292919" w14:textId="77777777" w:rsidR="00AD1E21" w:rsidRPr="001B1399" w:rsidRDefault="00AD1E21" w:rsidP="00E6684F">
            <w:pPr>
              <w:pStyle w:val="TableBodyText"/>
            </w:pPr>
            <w:r w:rsidRPr="001B1399">
              <w:t>EPA-9350</w:t>
            </w:r>
          </w:p>
        </w:tc>
        <w:tc>
          <w:tcPr>
            <w:tcW w:w="439" w:type="dxa"/>
            <w:tcBorders>
              <w:top w:val="nil"/>
              <w:left w:val="dotted" w:sz="4" w:space="0" w:color="auto"/>
              <w:bottom w:val="nil"/>
              <w:right w:val="dotted" w:sz="4" w:space="0" w:color="auto"/>
            </w:tcBorders>
            <w:shd w:val="clear" w:color="auto" w:fill="auto"/>
          </w:tcPr>
          <w:p w14:paraId="2E4937B1"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131A741C" w14:textId="0C26243F" w:rsidR="00AD1E21" w:rsidRPr="001B1399" w:rsidRDefault="00AD1E21" w:rsidP="00E6684F">
            <w:pPr>
              <w:pStyle w:val="TableBodyText"/>
            </w:pPr>
            <w:r w:rsidRPr="001B1399">
              <w:t>SMC1-C</w:t>
            </w:r>
          </w:p>
        </w:tc>
        <w:tc>
          <w:tcPr>
            <w:tcW w:w="1350" w:type="dxa"/>
            <w:tcBorders>
              <w:right w:val="dotted" w:sz="4" w:space="0" w:color="auto"/>
            </w:tcBorders>
            <w:shd w:val="clear" w:color="auto" w:fill="auto"/>
            <w:noWrap/>
            <w:vAlign w:val="bottom"/>
            <w:hideMark/>
          </w:tcPr>
          <w:p w14:paraId="78E50958" w14:textId="77777777" w:rsidR="00AD1E21" w:rsidRPr="001B1399" w:rsidRDefault="00AD1E21" w:rsidP="00E6684F">
            <w:pPr>
              <w:pStyle w:val="TableBodyText"/>
            </w:pPr>
            <w:r w:rsidRPr="001B1399">
              <w:t>SMC2-C</w:t>
            </w:r>
          </w:p>
        </w:tc>
        <w:tc>
          <w:tcPr>
            <w:tcW w:w="428" w:type="dxa"/>
            <w:tcBorders>
              <w:top w:val="nil"/>
              <w:left w:val="dotted" w:sz="4" w:space="0" w:color="auto"/>
              <w:bottom w:val="nil"/>
              <w:right w:val="dotted" w:sz="4" w:space="0" w:color="auto"/>
            </w:tcBorders>
          </w:tcPr>
          <w:p w14:paraId="7EC15332"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05A4777F" w14:textId="364135FF" w:rsidR="00AD1E21" w:rsidRPr="001B1399" w:rsidRDefault="00AD1E21" w:rsidP="00E6684F">
            <w:pPr>
              <w:pStyle w:val="TableBodyText"/>
            </w:pPr>
            <w:r w:rsidRPr="001B1399">
              <w:t>WC5</w:t>
            </w:r>
          </w:p>
        </w:tc>
      </w:tr>
      <w:tr w:rsidR="00AD1E21" w:rsidRPr="001B1399" w14:paraId="40420425"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50D69AC6" w14:textId="77777777" w:rsidR="00AD1E21" w:rsidRPr="001B1399" w:rsidRDefault="00AD1E21" w:rsidP="00E6684F">
            <w:pPr>
              <w:pStyle w:val="TableBodyText"/>
            </w:pPr>
            <w:r w:rsidRPr="001B1399">
              <w:t>EPA-9367</w:t>
            </w:r>
          </w:p>
        </w:tc>
        <w:tc>
          <w:tcPr>
            <w:tcW w:w="439" w:type="dxa"/>
            <w:tcBorders>
              <w:top w:val="nil"/>
              <w:left w:val="dotted" w:sz="4" w:space="0" w:color="auto"/>
              <w:bottom w:val="nil"/>
              <w:right w:val="dotted" w:sz="4" w:space="0" w:color="auto"/>
            </w:tcBorders>
            <w:shd w:val="clear" w:color="auto" w:fill="auto"/>
          </w:tcPr>
          <w:p w14:paraId="39D7BDE1"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53FC6F87" w14:textId="49EA3A9F"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164F6078" w14:textId="77777777" w:rsidR="00AD1E21" w:rsidRPr="001B1399" w:rsidRDefault="00AD1E21" w:rsidP="00E6684F">
            <w:pPr>
              <w:pStyle w:val="TableBodyText"/>
            </w:pPr>
            <w:r w:rsidRPr="001B1399">
              <w:t>SMC2-Cd</w:t>
            </w:r>
          </w:p>
        </w:tc>
        <w:tc>
          <w:tcPr>
            <w:tcW w:w="428" w:type="dxa"/>
            <w:tcBorders>
              <w:top w:val="nil"/>
              <w:left w:val="dotted" w:sz="4" w:space="0" w:color="auto"/>
              <w:bottom w:val="nil"/>
              <w:right w:val="dotted" w:sz="4" w:space="0" w:color="auto"/>
            </w:tcBorders>
          </w:tcPr>
          <w:p w14:paraId="291E1B3A"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7E348793" w14:textId="59A1A404" w:rsidR="00AD1E21" w:rsidRPr="001B1399" w:rsidRDefault="00AD1E21" w:rsidP="00E6684F">
            <w:pPr>
              <w:pStyle w:val="TableBodyText"/>
            </w:pPr>
            <w:r w:rsidRPr="001B1399">
              <w:t>WC6</w:t>
            </w:r>
          </w:p>
        </w:tc>
      </w:tr>
      <w:tr w:rsidR="00AD1E21" w:rsidRPr="001B1399" w14:paraId="58B4404B"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3FA5CF17" w14:textId="77777777" w:rsidR="00AD1E21" w:rsidRPr="001B1399" w:rsidRDefault="00AD1E21" w:rsidP="00E6684F">
            <w:pPr>
              <w:pStyle w:val="TableBodyText"/>
            </w:pPr>
            <w:r w:rsidRPr="001B1399">
              <w:t>EPA-9376</w:t>
            </w:r>
          </w:p>
        </w:tc>
        <w:tc>
          <w:tcPr>
            <w:tcW w:w="439" w:type="dxa"/>
            <w:tcBorders>
              <w:top w:val="nil"/>
              <w:left w:val="dotted" w:sz="4" w:space="0" w:color="auto"/>
              <w:bottom w:val="nil"/>
              <w:right w:val="dotted" w:sz="4" w:space="0" w:color="auto"/>
            </w:tcBorders>
            <w:shd w:val="clear" w:color="auto" w:fill="auto"/>
          </w:tcPr>
          <w:p w14:paraId="16412B4E"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5706826A" w14:textId="249C2B98" w:rsidR="00AD1E21" w:rsidRPr="001B1399" w:rsidRDefault="00AD1E21" w:rsidP="00E6684F">
            <w:pPr>
              <w:pStyle w:val="TableBodyText"/>
            </w:pPr>
            <w:r w:rsidRPr="001B1399">
              <w:t>SMC1-E</w:t>
            </w:r>
          </w:p>
        </w:tc>
        <w:tc>
          <w:tcPr>
            <w:tcW w:w="1350" w:type="dxa"/>
            <w:tcBorders>
              <w:right w:val="dotted" w:sz="4" w:space="0" w:color="auto"/>
            </w:tcBorders>
            <w:shd w:val="clear" w:color="auto" w:fill="auto"/>
            <w:noWrap/>
            <w:vAlign w:val="bottom"/>
            <w:hideMark/>
          </w:tcPr>
          <w:p w14:paraId="2FC60D47"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46E9ACAD"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5BF81E6E" w14:textId="03073785" w:rsidR="00AD1E21" w:rsidRPr="001B1399" w:rsidRDefault="00AD1E21" w:rsidP="00E6684F">
            <w:pPr>
              <w:pStyle w:val="TableBodyText"/>
            </w:pPr>
            <w:r w:rsidRPr="001B1399">
              <w:t>WC7</w:t>
            </w:r>
          </w:p>
        </w:tc>
      </w:tr>
      <w:tr w:rsidR="00AD1E21" w:rsidRPr="001B1399" w14:paraId="026FA32D"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16137163" w14:textId="77777777" w:rsidR="00AD1E21" w:rsidRPr="001B1399" w:rsidRDefault="00AD1E21" w:rsidP="00E6684F">
            <w:pPr>
              <w:pStyle w:val="TableBodyText"/>
            </w:pPr>
            <w:r w:rsidRPr="001B1399">
              <w:t>EPA-9381</w:t>
            </w:r>
          </w:p>
        </w:tc>
        <w:tc>
          <w:tcPr>
            <w:tcW w:w="439" w:type="dxa"/>
            <w:tcBorders>
              <w:top w:val="nil"/>
              <w:left w:val="dotted" w:sz="4" w:space="0" w:color="auto"/>
              <w:bottom w:val="nil"/>
              <w:right w:val="dotted" w:sz="4" w:space="0" w:color="auto"/>
            </w:tcBorders>
            <w:shd w:val="clear" w:color="auto" w:fill="auto"/>
          </w:tcPr>
          <w:p w14:paraId="3F5B57F0"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02F1AB46" w14:textId="5D2714F1" w:rsidR="00AD1E21" w:rsidRPr="001B1399" w:rsidRDefault="00AD1E21" w:rsidP="00E6684F">
            <w:pPr>
              <w:pStyle w:val="TableBodyText"/>
            </w:pPr>
            <w:r w:rsidRPr="001B1399">
              <w:t>SMC1-F</w:t>
            </w:r>
          </w:p>
        </w:tc>
        <w:tc>
          <w:tcPr>
            <w:tcW w:w="1350" w:type="dxa"/>
            <w:tcBorders>
              <w:right w:val="dotted" w:sz="4" w:space="0" w:color="auto"/>
            </w:tcBorders>
            <w:shd w:val="clear" w:color="auto" w:fill="auto"/>
            <w:noWrap/>
            <w:vAlign w:val="bottom"/>
            <w:hideMark/>
          </w:tcPr>
          <w:p w14:paraId="0C445AC6"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40C74F16"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355B1634" w14:textId="0D924E02" w:rsidR="00AD1E21" w:rsidRPr="001B1399" w:rsidRDefault="00AD1E21" w:rsidP="00E6684F">
            <w:pPr>
              <w:pStyle w:val="TableBodyText"/>
            </w:pPr>
            <w:r w:rsidRPr="001B1399">
              <w:t>WC8</w:t>
            </w:r>
          </w:p>
        </w:tc>
      </w:tr>
      <w:tr w:rsidR="00AD1E21" w:rsidRPr="001B1399" w14:paraId="58ED609F"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0FD394DC" w14:textId="77777777" w:rsidR="00AD1E21" w:rsidRPr="001B1399" w:rsidRDefault="00AD1E21" w:rsidP="00E6684F">
            <w:pPr>
              <w:pStyle w:val="TableBodyText"/>
            </w:pPr>
            <w:r w:rsidRPr="001B1399">
              <w:t>EPA-9382</w:t>
            </w:r>
          </w:p>
        </w:tc>
        <w:tc>
          <w:tcPr>
            <w:tcW w:w="439" w:type="dxa"/>
            <w:tcBorders>
              <w:top w:val="nil"/>
              <w:left w:val="dotted" w:sz="4" w:space="0" w:color="auto"/>
              <w:bottom w:val="nil"/>
              <w:right w:val="dotted" w:sz="4" w:space="0" w:color="auto"/>
            </w:tcBorders>
            <w:shd w:val="clear" w:color="auto" w:fill="auto"/>
          </w:tcPr>
          <w:p w14:paraId="51B69ABB"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43026ACB" w14:textId="2E496BBA" w:rsidR="00AD1E21" w:rsidRPr="001B1399" w:rsidRDefault="00AD1E21" w:rsidP="00E6684F">
            <w:pPr>
              <w:pStyle w:val="TableBodyText"/>
            </w:pPr>
            <w:r w:rsidRPr="001B1399">
              <w:t>SMC1-G</w:t>
            </w:r>
          </w:p>
        </w:tc>
        <w:tc>
          <w:tcPr>
            <w:tcW w:w="1350" w:type="dxa"/>
            <w:tcBorders>
              <w:right w:val="dotted" w:sz="4" w:space="0" w:color="auto"/>
            </w:tcBorders>
            <w:shd w:val="clear" w:color="auto" w:fill="auto"/>
            <w:noWrap/>
            <w:vAlign w:val="bottom"/>
            <w:hideMark/>
          </w:tcPr>
          <w:p w14:paraId="4EC7BCAF" w14:textId="77777777" w:rsidR="00AD1E21" w:rsidRPr="001B1399" w:rsidRDefault="00AD1E21" w:rsidP="00E6684F">
            <w:pPr>
              <w:pStyle w:val="TableBodyText"/>
            </w:pPr>
            <w:r w:rsidRPr="001B1399">
              <w:t>SMC2-G</w:t>
            </w:r>
          </w:p>
        </w:tc>
        <w:tc>
          <w:tcPr>
            <w:tcW w:w="428" w:type="dxa"/>
            <w:tcBorders>
              <w:top w:val="nil"/>
              <w:left w:val="dotted" w:sz="4" w:space="0" w:color="auto"/>
              <w:bottom w:val="nil"/>
              <w:right w:val="dotted" w:sz="4" w:space="0" w:color="auto"/>
            </w:tcBorders>
          </w:tcPr>
          <w:p w14:paraId="45A65417"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5F9E59F1" w14:textId="3931C6D9" w:rsidR="00AD1E21" w:rsidRPr="001B1399" w:rsidRDefault="00AD1E21" w:rsidP="00E6684F">
            <w:pPr>
              <w:pStyle w:val="TableBodyText"/>
            </w:pPr>
            <w:r w:rsidRPr="001B1399">
              <w:t>WC9</w:t>
            </w:r>
          </w:p>
        </w:tc>
      </w:tr>
      <w:tr w:rsidR="00AD1E21" w:rsidRPr="001B1399" w14:paraId="20F7AE53"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25A08715" w14:textId="77777777" w:rsidR="00AD1E21" w:rsidRPr="001B1399" w:rsidRDefault="00AD1E21" w:rsidP="00E6684F">
            <w:pPr>
              <w:pStyle w:val="TableBodyText"/>
            </w:pPr>
            <w:r w:rsidRPr="001B1399">
              <w:t>EPA-9384</w:t>
            </w:r>
          </w:p>
        </w:tc>
        <w:tc>
          <w:tcPr>
            <w:tcW w:w="439" w:type="dxa"/>
            <w:tcBorders>
              <w:top w:val="nil"/>
              <w:left w:val="dotted" w:sz="4" w:space="0" w:color="auto"/>
              <w:bottom w:val="nil"/>
              <w:right w:val="dotted" w:sz="4" w:space="0" w:color="auto"/>
            </w:tcBorders>
            <w:shd w:val="clear" w:color="auto" w:fill="auto"/>
          </w:tcPr>
          <w:p w14:paraId="6A958EEC"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1A6B09DF" w14:textId="655AE1CE"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1766704E" w14:textId="77777777" w:rsidR="00AD1E21" w:rsidRPr="001B1399" w:rsidRDefault="00AD1E21" w:rsidP="00E6684F">
            <w:pPr>
              <w:pStyle w:val="TableBodyText"/>
            </w:pPr>
            <w:r w:rsidRPr="001B1399">
              <w:t>SMC2-Gd</w:t>
            </w:r>
          </w:p>
        </w:tc>
        <w:tc>
          <w:tcPr>
            <w:tcW w:w="428" w:type="dxa"/>
            <w:tcBorders>
              <w:top w:val="nil"/>
              <w:left w:val="dotted" w:sz="4" w:space="0" w:color="auto"/>
              <w:bottom w:val="nil"/>
              <w:right w:val="dotted" w:sz="4" w:space="0" w:color="auto"/>
            </w:tcBorders>
          </w:tcPr>
          <w:p w14:paraId="0190AF1A"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4FEF0DF7" w14:textId="18F4C75B" w:rsidR="00AD1E21" w:rsidRPr="001B1399" w:rsidRDefault="00AD1E21" w:rsidP="00E6684F">
            <w:pPr>
              <w:pStyle w:val="TableBodyText"/>
            </w:pPr>
            <w:r w:rsidRPr="001B1399">
              <w:t>WC10</w:t>
            </w:r>
          </w:p>
        </w:tc>
      </w:tr>
      <w:tr w:rsidR="00AD1E21" w:rsidRPr="001B1399" w14:paraId="45026B83"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58E767B7" w14:textId="77777777" w:rsidR="00AD1E21" w:rsidRPr="001B1399" w:rsidRDefault="00AD1E21" w:rsidP="00E6684F">
            <w:pPr>
              <w:pStyle w:val="TableBodyText"/>
            </w:pPr>
            <w:r w:rsidRPr="001B1399">
              <w:t>EPA-9425</w:t>
            </w:r>
          </w:p>
        </w:tc>
        <w:tc>
          <w:tcPr>
            <w:tcW w:w="439" w:type="dxa"/>
            <w:tcBorders>
              <w:top w:val="nil"/>
              <w:left w:val="dotted" w:sz="4" w:space="0" w:color="auto"/>
              <w:bottom w:val="nil"/>
              <w:right w:val="dotted" w:sz="4" w:space="0" w:color="auto"/>
            </w:tcBorders>
            <w:shd w:val="clear" w:color="auto" w:fill="auto"/>
          </w:tcPr>
          <w:p w14:paraId="34D30FDC"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4082AED9" w14:textId="0698F3F1" w:rsidR="00AD1E21" w:rsidRPr="001B1399" w:rsidRDefault="00AD1E21" w:rsidP="00E6684F">
            <w:pPr>
              <w:pStyle w:val="TableBodyText"/>
            </w:pPr>
            <w:r w:rsidRPr="001B1399">
              <w:t>SMC1-H</w:t>
            </w:r>
          </w:p>
        </w:tc>
        <w:tc>
          <w:tcPr>
            <w:tcW w:w="1350" w:type="dxa"/>
            <w:tcBorders>
              <w:right w:val="dotted" w:sz="4" w:space="0" w:color="auto"/>
            </w:tcBorders>
            <w:shd w:val="clear" w:color="auto" w:fill="auto"/>
            <w:noWrap/>
            <w:vAlign w:val="bottom"/>
            <w:hideMark/>
          </w:tcPr>
          <w:p w14:paraId="707A8CBA"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01A564A8"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2875A9DE" w14:textId="269A1F09" w:rsidR="00AD1E21" w:rsidRPr="001B1399" w:rsidRDefault="00AD1E21" w:rsidP="00E6684F">
            <w:pPr>
              <w:pStyle w:val="TableBodyText"/>
            </w:pPr>
            <w:r w:rsidRPr="001B1399">
              <w:t>WC11</w:t>
            </w:r>
          </w:p>
        </w:tc>
      </w:tr>
      <w:tr w:rsidR="00AD1E21" w:rsidRPr="001B1399" w14:paraId="3561D9AB"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08E34D78" w14:textId="77777777" w:rsidR="00AD1E21" w:rsidRPr="001B1399" w:rsidRDefault="00AD1E21" w:rsidP="00E6684F">
            <w:pPr>
              <w:pStyle w:val="TableBodyText"/>
            </w:pPr>
            <w:r w:rsidRPr="001B1399">
              <w:t>EPA-9429</w:t>
            </w:r>
          </w:p>
        </w:tc>
        <w:tc>
          <w:tcPr>
            <w:tcW w:w="439" w:type="dxa"/>
            <w:tcBorders>
              <w:top w:val="nil"/>
              <w:left w:val="dotted" w:sz="4" w:space="0" w:color="auto"/>
              <w:bottom w:val="nil"/>
              <w:right w:val="dotted" w:sz="4" w:space="0" w:color="auto"/>
            </w:tcBorders>
            <w:shd w:val="clear" w:color="auto" w:fill="auto"/>
          </w:tcPr>
          <w:p w14:paraId="448D7F4A"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131FB602" w14:textId="20144450" w:rsidR="00AD1E21" w:rsidRPr="001B1399" w:rsidRDefault="00AD1E21" w:rsidP="00E6684F">
            <w:pPr>
              <w:pStyle w:val="TableBodyText"/>
            </w:pPr>
            <w:r w:rsidRPr="001B1399">
              <w:t>SMC1-I</w:t>
            </w:r>
          </w:p>
        </w:tc>
        <w:tc>
          <w:tcPr>
            <w:tcW w:w="1350" w:type="dxa"/>
            <w:tcBorders>
              <w:right w:val="dotted" w:sz="4" w:space="0" w:color="auto"/>
            </w:tcBorders>
            <w:shd w:val="clear" w:color="auto" w:fill="auto"/>
            <w:noWrap/>
            <w:vAlign w:val="bottom"/>
            <w:hideMark/>
          </w:tcPr>
          <w:p w14:paraId="42963428" w14:textId="77777777" w:rsidR="00AD1E21" w:rsidRPr="001B1399" w:rsidRDefault="00AD1E21" w:rsidP="00E6684F">
            <w:pPr>
              <w:pStyle w:val="TableBodyText"/>
            </w:pPr>
            <w:r w:rsidRPr="001B1399">
              <w:t>SMC2-I</w:t>
            </w:r>
          </w:p>
        </w:tc>
        <w:tc>
          <w:tcPr>
            <w:tcW w:w="428" w:type="dxa"/>
            <w:tcBorders>
              <w:top w:val="nil"/>
              <w:left w:val="dotted" w:sz="4" w:space="0" w:color="auto"/>
              <w:bottom w:val="nil"/>
              <w:right w:val="dotted" w:sz="4" w:space="0" w:color="auto"/>
            </w:tcBorders>
          </w:tcPr>
          <w:p w14:paraId="1777D07C"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175BBCAC" w14:textId="41132B7A" w:rsidR="00AD1E21" w:rsidRPr="001B1399" w:rsidRDefault="00AD1E21" w:rsidP="00E6684F">
            <w:pPr>
              <w:pStyle w:val="TableBodyText"/>
            </w:pPr>
            <w:r w:rsidRPr="001B1399">
              <w:t>WC12</w:t>
            </w:r>
          </w:p>
        </w:tc>
      </w:tr>
      <w:tr w:rsidR="00AD1E21" w:rsidRPr="001B1399" w14:paraId="7A839E23"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05E83E08" w14:textId="77777777" w:rsidR="00AD1E21" w:rsidRPr="001B1399" w:rsidRDefault="00AD1E21" w:rsidP="00E6684F">
            <w:pPr>
              <w:pStyle w:val="TableBodyText"/>
            </w:pPr>
            <w:r w:rsidRPr="001B1399">
              <w:t>EPA-9436</w:t>
            </w:r>
          </w:p>
        </w:tc>
        <w:tc>
          <w:tcPr>
            <w:tcW w:w="439" w:type="dxa"/>
            <w:tcBorders>
              <w:top w:val="nil"/>
              <w:left w:val="dotted" w:sz="4" w:space="0" w:color="auto"/>
              <w:bottom w:val="nil"/>
              <w:right w:val="dotted" w:sz="4" w:space="0" w:color="auto"/>
            </w:tcBorders>
            <w:shd w:val="clear" w:color="auto" w:fill="auto"/>
          </w:tcPr>
          <w:p w14:paraId="093A0A32"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39A06244" w14:textId="035905A4"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58E6AEBB" w14:textId="77777777" w:rsidR="00AD1E21" w:rsidRPr="001B1399" w:rsidRDefault="00AD1E21" w:rsidP="00E6684F">
            <w:pPr>
              <w:pStyle w:val="TableBodyText"/>
            </w:pPr>
            <w:r w:rsidRPr="001B1399">
              <w:t>SMC2-Id</w:t>
            </w:r>
          </w:p>
        </w:tc>
        <w:tc>
          <w:tcPr>
            <w:tcW w:w="428" w:type="dxa"/>
            <w:tcBorders>
              <w:top w:val="nil"/>
              <w:left w:val="dotted" w:sz="4" w:space="0" w:color="auto"/>
              <w:bottom w:val="nil"/>
              <w:right w:val="dotted" w:sz="4" w:space="0" w:color="auto"/>
            </w:tcBorders>
          </w:tcPr>
          <w:p w14:paraId="30064DDB"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24CA2895" w14:textId="6A85F49E" w:rsidR="00AD1E21" w:rsidRPr="001B1399" w:rsidRDefault="00AD1E21" w:rsidP="00E6684F">
            <w:pPr>
              <w:pStyle w:val="TableBodyText"/>
            </w:pPr>
            <w:r w:rsidRPr="001B1399">
              <w:t>WC13</w:t>
            </w:r>
          </w:p>
        </w:tc>
      </w:tr>
      <w:tr w:rsidR="00AD1E21" w:rsidRPr="001B1399" w14:paraId="3A766F5A"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2656A5E5" w14:textId="77777777" w:rsidR="00AD1E21" w:rsidRPr="001B1399" w:rsidRDefault="00AD1E21" w:rsidP="00E6684F">
            <w:pPr>
              <w:pStyle w:val="TableBodyText"/>
            </w:pPr>
            <w:r w:rsidRPr="001B1399">
              <w:t>EPA-9450</w:t>
            </w:r>
          </w:p>
        </w:tc>
        <w:tc>
          <w:tcPr>
            <w:tcW w:w="439" w:type="dxa"/>
            <w:tcBorders>
              <w:top w:val="nil"/>
              <w:left w:val="dotted" w:sz="4" w:space="0" w:color="auto"/>
              <w:bottom w:val="nil"/>
              <w:right w:val="dotted" w:sz="4" w:space="0" w:color="auto"/>
            </w:tcBorders>
            <w:shd w:val="clear" w:color="auto" w:fill="auto"/>
          </w:tcPr>
          <w:p w14:paraId="7FC34017"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6526FB5C" w14:textId="12A5DAB0" w:rsidR="00AD1E21" w:rsidRPr="001B1399" w:rsidRDefault="00AD1E21" w:rsidP="00E6684F">
            <w:pPr>
              <w:pStyle w:val="TableBodyText"/>
            </w:pPr>
            <w:r w:rsidRPr="001B1399">
              <w:t>SMC1-J</w:t>
            </w:r>
          </w:p>
        </w:tc>
        <w:tc>
          <w:tcPr>
            <w:tcW w:w="1350" w:type="dxa"/>
            <w:tcBorders>
              <w:right w:val="dotted" w:sz="4" w:space="0" w:color="auto"/>
            </w:tcBorders>
            <w:shd w:val="clear" w:color="auto" w:fill="auto"/>
            <w:noWrap/>
            <w:vAlign w:val="bottom"/>
            <w:hideMark/>
          </w:tcPr>
          <w:p w14:paraId="2385E8F7" w14:textId="77777777" w:rsidR="00AD1E21" w:rsidRPr="001B1399" w:rsidRDefault="00AD1E21" w:rsidP="00E6684F">
            <w:pPr>
              <w:pStyle w:val="TableBodyText"/>
            </w:pPr>
            <w:r w:rsidRPr="001B1399">
              <w:t>SMC2-J</w:t>
            </w:r>
          </w:p>
        </w:tc>
        <w:tc>
          <w:tcPr>
            <w:tcW w:w="428" w:type="dxa"/>
            <w:tcBorders>
              <w:top w:val="nil"/>
              <w:left w:val="dotted" w:sz="4" w:space="0" w:color="auto"/>
              <w:bottom w:val="nil"/>
              <w:right w:val="dotted" w:sz="4" w:space="0" w:color="auto"/>
            </w:tcBorders>
          </w:tcPr>
          <w:p w14:paraId="0F2EA242"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63471ED3" w14:textId="7CE59914" w:rsidR="00AD1E21" w:rsidRPr="001B1399" w:rsidRDefault="00AD1E21" w:rsidP="00E6684F">
            <w:pPr>
              <w:pStyle w:val="TableBodyText"/>
            </w:pPr>
            <w:r w:rsidRPr="001B1399">
              <w:t>WC14</w:t>
            </w:r>
          </w:p>
        </w:tc>
      </w:tr>
      <w:tr w:rsidR="00AD1E21" w:rsidRPr="001B1399" w14:paraId="2067B064"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6C9A9C58" w14:textId="77777777" w:rsidR="00AD1E21" w:rsidRPr="001B1399" w:rsidRDefault="00AD1E21" w:rsidP="00E6684F">
            <w:pPr>
              <w:pStyle w:val="TableBodyText"/>
            </w:pPr>
            <w:r w:rsidRPr="001B1399">
              <w:t>EPA-9330</w:t>
            </w:r>
          </w:p>
        </w:tc>
        <w:tc>
          <w:tcPr>
            <w:tcW w:w="439" w:type="dxa"/>
            <w:tcBorders>
              <w:top w:val="nil"/>
              <w:left w:val="dotted" w:sz="4" w:space="0" w:color="auto"/>
              <w:bottom w:val="nil"/>
              <w:right w:val="dotted" w:sz="4" w:space="0" w:color="auto"/>
            </w:tcBorders>
            <w:shd w:val="clear" w:color="auto" w:fill="auto"/>
          </w:tcPr>
          <w:p w14:paraId="16F3F0F1"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026CD535" w14:textId="007EAE5E"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243C01D6" w14:textId="77777777" w:rsidR="00AD1E21" w:rsidRPr="001B1399" w:rsidRDefault="00AD1E21" w:rsidP="00E6684F">
            <w:pPr>
              <w:pStyle w:val="TableBodyText"/>
            </w:pPr>
            <w:r w:rsidRPr="001B1399">
              <w:t>SMC2-Jd</w:t>
            </w:r>
          </w:p>
        </w:tc>
        <w:tc>
          <w:tcPr>
            <w:tcW w:w="428" w:type="dxa"/>
            <w:tcBorders>
              <w:top w:val="nil"/>
              <w:left w:val="dotted" w:sz="4" w:space="0" w:color="auto"/>
              <w:bottom w:val="nil"/>
              <w:right w:val="dotted" w:sz="4" w:space="0" w:color="auto"/>
            </w:tcBorders>
          </w:tcPr>
          <w:p w14:paraId="052AB2D9"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2D1F2F56" w14:textId="0B13798C" w:rsidR="00AD1E21" w:rsidRPr="001B1399" w:rsidRDefault="00AD1E21" w:rsidP="00E6684F">
            <w:pPr>
              <w:pStyle w:val="TableBodyText"/>
            </w:pPr>
            <w:r w:rsidRPr="001B1399">
              <w:t>WC15</w:t>
            </w:r>
          </w:p>
        </w:tc>
      </w:tr>
      <w:tr w:rsidR="00AD1E21" w:rsidRPr="001B1399" w14:paraId="3C947706"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44E69E01" w14:textId="77777777" w:rsidR="00AD1E21" w:rsidRPr="001B1399" w:rsidRDefault="00AD1E21" w:rsidP="00E6684F">
            <w:pPr>
              <w:pStyle w:val="TableBodyText"/>
            </w:pPr>
            <w:r w:rsidRPr="001B1399">
              <w:t>EPA-9337</w:t>
            </w:r>
          </w:p>
        </w:tc>
        <w:tc>
          <w:tcPr>
            <w:tcW w:w="439" w:type="dxa"/>
            <w:tcBorders>
              <w:top w:val="nil"/>
              <w:left w:val="dotted" w:sz="4" w:space="0" w:color="auto"/>
              <w:bottom w:val="nil"/>
              <w:right w:val="dotted" w:sz="4" w:space="0" w:color="auto"/>
            </w:tcBorders>
            <w:shd w:val="clear" w:color="auto" w:fill="auto"/>
          </w:tcPr>
          <w:p w14:paraId="69985A6E"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5E48769C" w14:textId="276F0826" w:rsidR="00AD1E21" w:rsidRPr="001B1399" w:rsidRDefault="00AD1E21" w:rsidP="00E6684F">
            <w:pPr>
              <w:pStyle w:val="TableBodyText"/>
            </w:pPr>
            <w:r w:rsidRPr="001B1399">
              <w:t>SMC1-Reference</w:t>
            </w:r>
          </w:p>
        </w:tc>
        <w:tc>
          <w:tcPr>
            <w:tcW w:w="1350" w:type="dxa"/>
            <w:tcBorders>
              <w:right w:val="dotted" w:sz="4" w:space="0" w:color="auto"/>
            </w:tcBorders>
            <w:shd w:val="clear" w:color="auto" w:fill="auto"/>
            <w:noWrap/>
            <w:vAlign w:val="bottom"/>
            <w:hideMark/>
          </w:tcPr>
          <w:p w14:paraId="1CFB2E3E"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14FEE8C4"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6B29C5C1" w14:textId="521BF125" w:rsidR="00AD1E21" w:rsidRPr="001B1399" w:rsidRDefault="00AD1E21" w:rsidP="00E6684F">
            <w:pPr>
              <w:pStyle w:val="TableBodyText"/>
            </w:pPr>
            <w:r w:rsidRPr="001B1399">
              <w:t>WC16</w:t>
            </w:r>
          </w:p>
        </w:tc>
      </w:tr>
      <w:tr w:rsidR="00AD1E21" w:rsidRPr="001B1399" w14:paraId="01FF382C"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26A6E90A" w14:textId="77777777" w:rsidR="00AD1E21" w:rsidRPr="001B1399" w:rsidRDefault="00AD1E21" w:rsidP="00E6684F">
            <w:pPr>
              <w:pStyle w:val="TableBodyText"/>
            </w:pPr>
            <w:r w:rsidRPr="001B1399">
              <w:t>EPA-9341</w:t>
            </w:r>
          </w:p>
        </w:tc>
        <w:tc>
          <w:tcPr>
            <w:tcW w:w="439" w:type="dxa"/>
            <w:tcBorders>
              <w:top w:val="nil"/>
              <w:left w:val="dotted" w:sz="4" w:space="0" w:color="auto"/>
              <w:bottom w:val="nil"/>
              <w:right w:val="dotted" w:sz="4" w:space="0" w:color="auto"/>
            </w:tcBorders>
            <w:shd w:val="clear" w:color="auto" w:fill="auto"/>
          </w:tcPr>
          <w:p w14:paraId="5974FA2E"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6C46DF86" w14:textId="14D20E22"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75FA0F0A"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01A9674C"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151FDA1D" w14:textId="12347641" w:rsidR="00AD1E21" w:rsidRPr="001B1399" w:rsidRDefault="00AD1E21" w:rsidP="00E6684F">
            <w:pPr>
              <w:pStyle w:val="TableBodyText"/>
            </w:pPr>
            <w:r w:rsidRPr="001B1399">
              <w:t>WC17</w:t>
            </w:r>
          </w:p>
        </w:tc>
      </w:tr>
      <w:tr w:rsidR="00AD1E21" w:rsidRPr="001B1399" w14:paraId="40852B83"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371A94DA" w14:textId="77777777" w:rsidR="00AD1E21" w:rsidRPr="001B1399" w:rsidRDefault="00AD1E21" w:rsidP="00E6684F">
            <w:pPr>
              <w:pStyle w:val="TableBodyText"/>
            </w:pPr>
            <w:r w:rsidRPr="001B1399">
              <w:t>EPA-9344</w:t>
            </w:r>
          </w:p>
        </w:tc>
        <w:tc>
          <w:tcPr>
            <w:tcW w:w="439" w:type="dxa"/>
            <w:tcBorders>
              <w:top w:val="nil"/>
              <w:left w:val="dotted" w:sz="4" w:space="0" w:color="auto"/>
              <w:bottom w:val="nil"/>
              <w:right w:val="dotted" w:sz="4" w:space="0" w:color="auto"/>
            </w:tcBorders>
            <w:shd w:val="clear" w:color="auto" w:fill="auto"/>
          </w:tcPr>
          <w:p w14:paraId="7DE3CECA"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11CD30C3" w14:textId="77AE89A7"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07D470DA"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3B283B9E"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7BF9FDA9" w14:textId="5AEC6D41" w:rsidR="00AD1E21" w:rsidRPr="001B1399" w:rsidRDefault="00AD1E21" w:rsidP="00E6684F">
            <w:pPr>
              <w:pStyle w:val="TableBodyText"/>
            </w:pPr>
            <w:r w:rsidRPr="001B1399">
              <w:t>WC18</w:t>
            </w:r>
          </w:p>
        </w:tc>
      </w:tr>
      <w:tr w:rsidR="00AD1E21" w:rsidRPr="001B1399" w14:paraId="05C0AB5B"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4FE328D0" w14:textId="77777777" w:rsidR="00AD1E21" w:rsidRPr="001B1399" w:rsidRDefault="00AD1E21" w:rsidP="00E6684F">
            <w:pPr>
              <w:pStyle w:val="TableBodyText"/>
            </w:pPr>
            <w:r w:rsidRPr="001B1399">
              <w:t>EPA-9356</w:t>
            </w:r>
          </w:p>
        </w:tc>
        <w:tc>
          <w:tcPr>
            <w:tcW w:w="439" w:type="dxa"/>
            <w:tcBorders>
              <w:top w:val="nil"/>
              <w:left w:val="dotted" w:sz="4" w:space="0" w:color="auto"/>
              <w:bottom w:val="nil"/>
              <w:right w:val="dotted" w:sz="4" w:space="0" w:color="auto"/>
            </w:tcBorders>
            <w:shd w:val="clear" w:color="auto" w:fill="auto"/>
          </w:tcPr>
          <w:p w14:paraId="1E542385"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58A1A6CD" w14:textId="278116CB"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4C88EE3F"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0F67A9E1"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3C28D6AE" w14:textId="1183FC03" w:rsidR="00AD1E21" w:rsidRPr="001B1399" w:rsidRDefault="00AD1E21" w:rsidP="00E6684F">
            <w:pPr>
              <w:pStyle w:val="TableBodyText"/>
            </w:pPr>
            <w:r w:rsidRPr="001B1399">
              <w:t>WC19</w:t>
            </w:r>
          </w:p>
        </w:tc>
      </w:tr>
      <w:tr w:rsidR="00AD1E21" w:rsidRPr="001B1399" w14:paraId="5FC6E7AA"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4B7A62E0" w14:textId="77777777" w:rsidR="00AD1E21" w:rsidRPr="001B1399" w:rsidRDefault="00AD1E21" w:rsidP="00E6684F">
            <w:pPr>
              <w:pStyle w:val="TableBodyText"/>
            </w:pPr>
            <w:r w:rsidRPr="001B1399">
              <w:t>EPA-9371</w:t>
            </w:r>
          </w:p>
        </w:tc>
        <w:tc>
          <w:tcPr>
            <w:tcW w:w="439" w:type="dxa"/>
            <w:tcBorders>
              <w:top w:val="nil"/>
              <w:left w:val="dotted" w:sz="4" w:space="0" w:color="auto"/>
              <w:bottom w:val="nil"/>
              <w:right w:val="dotted" w:sz="4" w:space="0" w:color="auto"/>
            </w:tcBorders>
            <w:shd w:val="clear" w:color="auto" w:fill="auto"/>
          </w:tcPr>
          <w:p w14:paraId="59145271"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31301AA5" w14:textId="1CE35A85"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1D7AFBAB"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145BD268"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12158CCA" w14:textId="16ECC55A" w:rsidR="00AD1E21" w:rsidRPr="001B1399" w:rsidRDefault="00AD1E21" w:rsidP="00E6684F">
            <w:pPr>
              <w:pStyle w:val="TableBodyText"/>
            </w:pPr>
            <w:r w:rsidRPr="001B1399">
              <w:t>WC20</w:t>
            </w:r>
          </w:p>
        </w:tc>
      </w:tr>
      <w:tr w:rsidR="00AD1E21" w:rsidRPr="001B1399" w14:paraId="128C2E32"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6CB24D21" w14:textId="77777777" w:rsidR="00AD1E21" w:rsidRPr="001B1399" w:rsidRDefault="00AD1E21" w:rsidP="00E6684F">
            <w:pPr>
              <w:pStyle w:val="TableBodyText"/>
            </w:pPr>
            <w:r w:rsidRPr="001B1399">
              <w:t>EPA-9379</w:t>
            </w:r>
          </w:p>
        </w:tc>
        <w:tc>
          <w:tcPr>
            <w:tcW w:w="439" w:type="dxa"/>
            <w:tcBorders>
              <w:top w:val="nil"/>
              <w:left w:val="dotted" w:sz="4" w:space="0" w:color="auto"/>
              <w:bottom w:val="nil"/>
              <w:right w:val="dotted" w:sz="4" w:space="0" w:color="auto"/>
            </w:tcBorders>
            <w:shd w:val="clear" w:color="auto" w:fill="auto"/>
          </w:tcPr>
          <w:p w14:paraId="0328C43C"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0F45EC2B" w14:textId="7BABA6BE"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0881E6CC"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1E93D747"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7A7FC3EC" w14:textId="21A3A8EA" w:rsidR="00AD1E21" w:rsidRPr="001B1399" w:rsidRDefault="00AD1E21" w:rsidP="00E6684F">
            <w:pPr>
              <w:pStyle w:val="TableBodyText"/>
            </w:pPr>
            <w:r w:rsidRPr="001B1399">
              <w:t>WC21</w:t>
            </w:r>
          </w:p>
        </w:tc>
      </w:tr>
      <w:tr w:rsidR="00AD1E21" w:rsidRPr="001B1399" w14:paraId="7DD688FA"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26D4F893" w14:textId="77777777" w:rsidR="00AD1E21" w:rsidRPr="001B1399" w:rsidRDefault="00AD1E21" w:rsidP="00E6684F">
            <w:pPr>
              <w:pStyle w:val="TableBodyText"/>
            </w:pPr>
            <w:r w:rsidRPr="001B1399">
              <w:t>EPA-9402</w:t>
            </w:r>
          </w:p>
        </w:tc>
        <w:tc>
          <w:tcPr>
            <w:tcW w:w="439" w:type="dxa"/>
            <w:tcBorders>
              <w:top w:val="nil"/>
              <w:left w:val="dotted" w:sz="4" w:space="0" w:color="auto"/>
              <w:bottom w:val="nil"/>
              <w:right w:val="dotted" w:sz="4" w:space="0" w:color="auto"/>
            </w:tcBorders>
            <w:shd w:val="clear" w:color="auto" w:fill="auto"/>
          </w:tcPr>
          <w:p w14:paraId="77371FA8"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5350F305" w14:textId="4DFCD2FD"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6387FBED"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79F7367C"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72D8AFA0" w14:textId="28B67019" w:rsidR="00AD1E21" w:rsidRPr="001B1399" w:rsidRDefault="00AD1E21" w:rsidP="00E6684F">
            <w:pPr>
              <w:pStyle w:val="TableBodyText"/>
            </w:pPr>
            <w:r w:rsidRPr="001B1399">
              <w:t>WC22</w:t>
            </w:r>
          </w:p>
        </w:tc>
      </w:tr>
      <w:tr w:rsidR="00AD1E21" w:rsidRPr="001B1399" w14:paraId="72A07AC4"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2A51E8C4" w14:textId="77777777" w:rsidR="00AD1E21" w:rsidRPr="001B1399" w:rsidRDefault="00AD1E21" w:rsidP="00E6684F">
            <w:pPr>
              <w:pStyle w:val="TableBodyText"/>
            </w:pPr>
            <w:r w:rsidRPr="001B1399">
              <w:t>EPA-9409</w:t>
            </w:r>
          </w:p>
        </w:tc>
        <w:tc>
          <w:tcPr>
            <w:tcW w:w="439" w:type="dxa"/>
            <w:tcBorders>
              <w:top w:val="nil"/>
              <w:left w:val="dotted" w:sz="4" w:space="0" w:color="auto"/>
              <w:bottom w:val="nil"/>
              <w:right w:val="dotted" w:sz="4" w:space="0" w:color="auto"/>
            </w:tcBorders>
            <w:shd w:val="clear" w:color="auto" w:fill="auto"/>
          </w:tcPr>
          <w:p w14:paraId="0EA46CCB"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235B6A1E" w14:textId="18C66885"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0502BC3F"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363D4912"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54FC6AF7" w14:textId="1BF23739" w:rsidR="00AD1E21" w:rsidRPr="001B1399" w:rsidRDefault="00AD1E21" w:rsidP="00E6684F">
            <w:pPr>
              <w:pStyle w:val="TableBodyText"/>
            </w:pPr>
            <w:r w:rsidRPr="001B1399">
              <w:t>WC23</w:t>
            </w:r>
          </w:p>
        </w:tc>
      </w:tr>
      <w:tr w:rsidR="00AD1E21" w:rsidRPr="001B1399" w14:paraId="758CD668"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1192A6C5" w14:textId="77777777" w:rsidR="00AD1E21" w:rsidRPr="001B1399" w:rsidRDefault="00AD1E21" w:rsidP="00E6684F">
            <w:pPr>
              <w:pStyle w:val="TableBodyText"/>
            </w:pPr>
            <w:r w:rsidRPr="001B1399">
              <w:t>EPA-9410</w:t>
            </w:r>
          </w:p>
        </w:tc>
        <w:tc>
          <w:tcPr>
            <w:tcW w:w="439" w:type="dxa"/>
            <w:tcBorders>
              <w:top w:val="nil"/>
              <w:left w:val="dotted" w:sz="4" w:space="0" w:color="auto"/>
              <w:bottom w:val="nil"/>
              <w:right w:val="dotted" w:sz="4" w:space="0" w:color="auto"/>
            </w:tcBorders>
            <w:shd w:val="clear" w:color="auto" w:fill="auto"/>
          </w:tcPr>
          <w:p w14:paraId="577C07E3"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421486E4" w14:textId="54EE5D3E"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2887C2EE"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067ED69A"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7B4DDFBA" w14:textId="6828F654" w:rsidR="00AD1E21" w:rsidRPr="001B1399" w:rsidRDefault="00AD1E21" w:rsidP="00E6684F">
            <w:pPr>
              <w:pStyle w:val="TableBodyText"/>
            </w:pPr>
            <w:r w:rsidRPr="001B1399">
              <w:t>WC24</w:t>
            </w:r>
          </w:p>
        </w:tc>
      </w:tr>
      <w:tr w:rsidR="00AD1E21" w:rsidRPr="001B1399" w14:paraId="768C2DAF"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370A4D17" w14:textId="77777777" w:rsidR="00AD1E21" w:rsidRPr="001B1399" w:rsidRDefault="00AD1E21" w:rsidP="00E6684F">
            <w:pPr>
              <w:pStyle w:val="TableBodyText"/>
            </w:pPr>
            <w:r w:rsidRPr="001B1399">
              <w:t>EPA-9432</w:t>
            </w:r>
          </w:p>
        </w:tc>
        <w:tc>
          <w:tcPr>
            <w:tcW w:w="439" w:type="dxa"/>
            <w:tcBorders>
              <w:top w:val="nil"/>
              <w:left w:val="dotted" w:sz="4" w:space="0" w:color="auto"/>
              <w:bottom w:val="nil"/>
              <w:right w:val="dotted" w:sz="4" w:space="0" w:color="auto"/>
            </w:tcBorders>
            <w:shd w:val="clear" w:color="auto" w:fill="auto"/>
          </w:tcPr>
          <w:p w14:paraId="6B210130"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213C4832" w14:textId="4C476CAD"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20AA5BAA"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2CE4414C"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428B56C2" w14:textId="4AFB7C81" w:rsidR="00AD1E21" w:rsidRPr="001B1399" w:rsidRDefault="00AD1E21" w:rsidP="00E6684F">
            <w:pPr>
              <w:pStyle w:val="TableBodyText"/>
            </w:pPr>
            <w:r w:rsidRPr="001B1399">
              <w:t>WC25</w:t>
            </w:r>
          </w:p>
        </w:tc>
      </w:tr>
      <w:tr w:rsidR="00AD1E21" w:rsidRPr="001B1399" w14:paraId="0BCFFAC0"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7AC19146" w14:textId="77777777" w:rsidR="00AD1E21" w:rsidRPr="001B1399" w:rsidRDefault="00AD1E21" w:rsidP="00E6684F">
            <w:pPr>
              <w:pStyle w:val="TableBodyText"/>
            </w:pPr>
            <w:r w:rsidRPr="001B1399">
              <w:t>EPA-9439</w:t>
            </w:r>
          </w:p>
        </w:tc>
        <w:tc>
          <w:tcPr>
            <w:tcW w:w="439" w:type="dxa"/>
            <w:tcBorders>
              <w:top w:val="nil"/>
              <w:left w:val="dotted" w:sz="4" w:space="0" w:color="auto"/>
              <w:bottom w:val="nil"/>
              <w:right w:val="dotted" w:sz="4" w:space="0" w:color="auto"/>
            </w:tcBorders>
            <w:shd w:val="clear" w:color="auto" w:fill="auto"/>
          </w:tcPr>
          <w:p w14:paraId="258B5366"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6EEF30A0" w14:textId="6C376E32"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69295040"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4CDDEE94"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70F89744" w14:textId="4BA9D1AE" w:rsidR="00AD1E21" w:rsidRPr="001B1399" w:rsidRDefault="00AD1E21" w:rsidP="00E6684F">
            <w:pPr>
              <w:pStyle w:val="TableBodyText"/>
            </w:pPr>
            <w:r w:rsidRPr="001B1399">
              <w:t>WC26</w:t>
            </w:r>
          </w:p>
        </w:tc>
      </w:tr>
      <w:tr w:rsidR="00AD1E21" w:rsidRPr="001B1399" w14:paraId="5F300FD1" w14:textId="77777777" w:rsidTr="00AD1E21">
        <w:trPr>
          <w:trHeight w:val="264"/>
        </w:trPr>
        <w:tc>
          <w:tcPr>
            <w:tcW w:w="1530" w:type="dxa"/>
            <w:tcBorders>
              <w:left w:val="dotted" w:sz="4" w:space="0" w:color="auto"/>
              <w:right w:val="dotted" w:sz="4" w:space="0" w:color="auto"/>
            </w:tcBorders>
            <w:shd w:val="clear" w:color="auto" w:fill="auto"/>
            <w:noWrap/>
            <w:vAlign w:val="bottom"/>
            <w:hideMark/>
          </w:tcPr>
          <w:p w14:paraId="44D352B8" w14:textId="77777777" w:rsidR="00AD1E21" w:rsidRPr="001B1399" w:rsidRDefault="00AD1E21" w:rsidP="00E6684F">
            <w:pPr>
              <w:pStyle w:val="TableBodyText"/>
            </w:pPr>
            <w:r w:rsidRPr="001B1399">
              <w:t>EPA-9445</w:t>
            </w:r>
          </w:p>
        </w:tc>
        <w:tc>
          <w:tcPr>
            <w:tcW w:w="439" w:type="dxa"/>
            <w:tcBorders>
              <w:top w:val="nil"/>
              <w:left w:val="dotted" w:sz="4" w:space="0" w:color="auto"/>
              <w:bottom w:val="nil"/>
              <w:right w:val="dotted" w:sz="4" w:space="0" w:color="auto"/>
            </w:tcBorders>
            <w:shd w:val="clear" w:color="auto" w:fill="auto"/>
          </w:tcPr>
          <w:p w14:paraId="645B30A8"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7A1934CE" w14:textId="6D0B44CC"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340BCC7B" w14:textId="77777777" w:rsidR="00AD1E21" w:rsidRPr="001B1399" w:rsidRDefault="00AD1E21" w:rsidP="00E6684F">
            <w:pPr>
              <w:pStyle w:val="TableBodyText"/>
            </w:pPr>
          </w:p>
        </w:tc>
        <w:tc>
          <w:tcPr>
            <w:tcW w:w="428" w:type="dxa"/>
            <w:tcBorders>
              <w:top w:val="nil"/>
              <w:left w:val="dotted" w:sz="4" w:space="0" w:color="auto"/>
              <w:bottom w:val="nil"/>
              <w:right w:val="dotted" w:sz="4" w:space="0" w:color="auto"/>
            </w:tcBorders>
          </w:tcPr>
          <w:p w14:paraId="7210B01F" w14:textId="77777777" w:rsidR="00AD1E21" w:rsidRPr="001B1399" w:rsidRDefault="00AD1E21" w:rsidP="00E6684F">
            <w:pPr>
              <w:pStyle w:val="TableBodyText"/>
            </w:pPr>
          </w:p>
        </w:tc>
        <w:tc>
          <w:tcPr>
            <w:tcW w:w="1440" w:type="dxa"/>
            <w:tcBorders>
              <w:left w:val="dotted" w:sz="4" w:space="0" w:color="auto"/>
              <w:right w:val="dotted" w:sz="4" w:space="0" w:color="auto"/>
            </w:tcBorders>
            <w:shd w:val="clear" w:color="auto" w:fill="auto"/>
            <w:noWrap/>
            <w:vAlign w:val="bottom"/>
            <w:hideMark/>
          </w:tcPr>
          <w:p w14:paraId="43B05816" w14:textId="791692F5" w:rsidR="00AD1E21" w:rsidRPr="001B1399" w:rsidRDefault="00AD1E21" w:rsidP="00E6684F">
            <w:pPr>
              <w:pStyle w:val="TableBodyText"/>
            </w:pPr>
          </w:p>
        </w:tc>
      </w:tr>
      <w:tr w:rsidR="00AD1E21" w:rsidRPr="001B1399" w14:paraId="4BE5FFA3" w14:textId="77777777" w:rsidTr="00AD1E21">
        <w:trPr>
          <w:trHeight w:val="264"/>
        </w:trPr>
        <w:tc>
          <w:tcPr>
            <w:tcW w:w="1530" w:type="dxa"/>
            <w:tcBorders>
              <w:left w:val="dotted" w:sz="4" w:space="0" w:color="auto"/>
              <w:bottom w:val="single" w:sz="2" w:space="0" w:color="auto"/>
              <w:right w:val="dotted" w:sz="4" w:space="0" w:color="auto"/>
            </w:tcBorders>
            <w:shd w:val="clear" w:color="auto" w:fill="auto"/>
            <w:noWrap/>
            <w:vAlign w:val="bottom"/>
            <w:hideMark/>
          </w:tcPr>
          <w:p w14:paraId="51DBBE3C" w14:textId="77777777" w:rsidR="00AD1E21" w:rsidRPr="001B1399" w:rsidRDefault="00AD1E21" w:rsidP="00E6684F">
            <w:pPr>
              <w:pStyle w:val="TableBodyText"/>
            </w:pPr>
            <w:r w:rsidRPr="001B1399">
              <w:t>EPA-9446</w:t>
            </w:r>
          </w:p>
        </w:tc>
        <w:tc>
          <w:tcPr>
            <w:tcW w:w="439" w:type="dxa"/>
            <w:tcBorders>
              <w:top w:val="nil"/>
              <w:left w:val="dotted" w:sz="4" w:space="0" w:color="auto"/>
              <w:bottom w:val="single" w:sz="2" w:space="0" w:color="auto"/>
              <w:right w:val="dotted" w:sz="4" w:space="0" w:color="auto"/>
            </w:tcBorders>
            <w:shd w:val="clear" w:color="auto" w:fill="auto"/>
          </w:tcPr>
          <w:p w14:paraId="0CA00708" w14:textId="77777777" w:rsidR="00AD1E21" w:rsidRPr="001B1399" w:rsidRDefault="00AD1E21" w:rsidP="00E6684F">
            <w:pPr>
              <w:pStyle w:val="TableBodyText"/>
            </w:pPr>
          </w:p>
        </w:tc>
        <w:tc>
          <w:tcPr>
            <w:tcW w:w="1873" w:type="dxa"/>
            <w:tcBorders>
              <w:left w:val="dotted" w:sz="4" w:space="0" w:color="auto"/>
            </w:tcBorders>
            <w:shd w:val="clear" w:color="auto" w:fill="auto"/>
            <w:noWrap/>
            <w:vAlign w:val="bottom"/>
            <w:hideMark/>
          </w:tcPr>
          <w:p w14:paraId="761DE08E" w14:textId="19668243" w:rsidR="00AD1E21" w:rsidRPr="001B1399" w:rsidRDefault="00AD1E21" w:rsidP="00E6684F">
            <w:pPr>
              <w:pStyle w:val="TableBodyText"/>
            </w:pPr>
          </w:p>
        </w:tc>
        <w:tc>
          <w:tcPr>
            <w:tcW w:w="1350" w:type="dxa"/>
            <w:tcBorders>
              <w:right w:val="dotted" w:sz="4" w:space="0" w:color="auto"/>
            </w:tcBorders>
            <w:shd w:val="clear" w:color="auto" w:fill="auto"/>
            <w:noWrap/>
            <w:vAlign w:val="bottom"/>
            <w:hideMark/>
          </w:tcPr>
          <w:p w14:paraId="733CA2D7" w14:textId="77777777" w:rsidR="00AD1E21" w:rsidRPr="001B1399" w:rsidRDefault="00AD1E21" w:rsidP="00E6684F">
            <w:pPr>
              <w:pStyle w:val="TableBodyText"/>
            </w:pPr>
          </w:p>
        </w:tc>
        <w:tc>
          <w:tcPr>
            <w:tcW w:w="428" w:type="dxa"/>
            <w:tcBorders>
              <w:top w:val="nil"/>
              <w:left w:val="dotted" w:sz="4" w:space="0" w:color="auto"/>
              <w:bottom w:val="single" w:sz="2" w:space="0" w:color="auto"/>
              <w:right w:val="dotted" w:sz="4" w:space="0" w:color="auto"/>
            </w:tcBorders>
          </w:tcPr>
          <w:p w14:paraId="3C77F15D" w14:textId="77777777" w:rsidR="00AD1E21" w:rsidRPr="001B1399" w:rsidRDefault="00AD1E21" w:rsidP="00E6684F">
            <w:pPr>
              <w:pStyle w:val="TableBodyText"/>
            </w:pPr>
          </w:p>
        </w:tc>
        <w:tc>
          <w:tcPr>
            <w:tcW w:w="1440" w:type="dxa"/>
            <w:tcBorders>
              <w:left w:val="dotted" w:sz="4" w:space="0" w:color="auto"/>
              <w:bottom w:val="single" w:sz="2" w:space="0" w:color="auto"/>
              <w:right w:val="dotted" w:sz="4" w:space="0" w:color="auto"/>
            </w:tcBorders>
            <w:shd w:val="clear" w:color="auto" w:fill="auto"/>
            <w:noWrap/>
            <w:vAlign w:val="bottom"/>
            <w:hideMark/>
          </w:tcPr>
          <w:p w14:paraId="78400AA9" w14:textId="05417D7E" w:rsidR="00AD1E21" w:rsidRPr="001B1399" w:rsidRDefault="00AD1E21" w:rsidP="00E6684F">
            <w:pPr>
              <w:pStyle w:val="TableBodyText"/>
            </w:pPr>
          </w:p>
        </w:tc>
      </w:tr>
    </w:tbl>
    <w:p w14:paraId="518CEF00" w14:textId="77777777" w:rsidR="00D85251" w:rsidRPr="00E6684F" w:rsidRDefault="00D85251" w:rsidP="00816475">
      <w:pPr>
        <w:pStyle w:val="TableFootnote"/>
        <w:ind w:left="288" w:hanging="288"/>
      </w:pPr>
      <w:r w:rsidRPr="00E6684F">
        <w:t xml:space="preserve">[a] U.S. EPA, 2001. </w:t>
      </w:r>
    </w:p>
    <w:p w14:paraId="26B9A439" w14:textId="37FE0A6B" w:rsidR="00D85251" w:rsidRPr="00982C01" w:rsidRDefault="00D85251" w:rsidP="00816475">
      <w:pPr>
        <w:pStyle w:val="TableFootnote"/>
        <w:ind w:left="288" w:hanging="288"/>
      </w:pPr>
      <w:r w:rsidRPr="00E6684F">
        <w:t xml:space="preserve">[b] </w:t>
      </w:r>
      <w:r w:rsidR="00982C01" w:rsidRPr="00982C01">
        <w:t>Schiff, K.C., Greenstein, D., 2016</w:t>
      </w:r>
      <w:r w:rsidRPr="00982C01">
        <w:t xml:space="preserve">. </w:t>
      </w:r>
    </w:p>
    <w:p w14:paraId="3ADDF4A7" w14:textId="615D9480" w:rsidR="00D85251" w:rsidRPr="00982C01" w:rsidRDefault="00D85251" w:rsidP="00816475">
      <w:pPr>
        <w:pStyle w:val="TableFootnote"/>
        <w:ind w:left="288" w:hanging="288"/>
      </w:pPr>
      <w:r w:rsidRPr="00982C01">
        <w:t xml:space="preserve">[c] </w:t>
      </w:r>
      <w:r w:rsidR="00982C01" w:rsidRPr="00982C01">
        <w:t xml:space="preserve">Moore, T.F., </w:t>
      </w:r>
      <w:r w:rsidR="008579F6">
        <w:t xml:space="preserve">Canton, </w:t>
      </w:r>
      <w:r w:rsidR="00982C01" w:rsidRPr="00982C01">
        <w:t>S.P, and Grimes, M., 2000</w:t>
      </w:r>
      <w:r w:rsidRPr="00982C01">
        <w:t xml:space="preserve">. </w:t>
      </w:r>
    </w:p>
    <w:p w14:paraId="6FFF6B41" w14:textId="28888254" w:rsidR="00D85251" w:rsidRPr="00E6684F" w:rsidRDefault="00D85251" w:rsidP="00816475">
      <w:pPr>
        <w:pStyle w:val="TableFootnote"/>
        <w:ind w:left="288" w:hanging="288"/>
      </w:pPr>
      <w:r w:rsidRPr="00E6684F">
        <w:t xml:space="preserve">[d] A “d” following the Lab ID indicates a duplicate analysis. These were used in the study as equivalent samples, as all </w:t>
      </w:r>
      <w:r w:rsidR="00EA087D">
        <w:t>sample</w:t>
      </w:r>
      <w:r w:rsidRPr="00E6684F">
        <w:t xml:space="preserve"> water was blank. </w:t>
      </w:r>
    </w:p>
    <w:p w14:paraId="34C28C7B" w14:textId="77777777" w:rsidR="00D85251" w:rsidRPr="001B1399" w:rsidRDefault="00D85251" w:rsidP="00E6684F">
      <w:pPr>
        <w:pStyle w:val="Heading4"/>
      </w:pPr>
      <w:r w:rsidRPr="001B1399">
        <w:t>Toxicity Data Analyses</w:t>
      </w:r>
    </w:p>
    <w:p w14:paraId="26942BDE" w14:textId="74C9F92A" w:rsidR="00D85251" w:rsidRPr="00E6684F" w:rsidRDefault="00D85251" w:rsidP="00E6684F">
      <w:pPr>
        <w:spacing w:before="120"/>
        <w:rPr>
          <w:rFonts w:cs="Times New Roman"/>
          <w:szCs w:val="24"/>
        </w:rPr>
      </w:pPr>
      <w:r w:rsidRPr="00E6684F">
        <w:rPr>
          <w:rFonts w:cs="Times New Roman"/>
          <w:szCs w:val="24"/>
        </w:rPr>
        <w:t>The data provided by the labs for each of the three studies was analyzed with CETIS software using three types of toxicity analys</w:t>
      </w:r>
      <w:r w:rsidR="00EA087D">
        <w:rPr>
          <w:rFonts w:cs="Times New Roman"/>
          <w:szCs w:val="24"/>
        </w:rPr>
        <w:t>i</w:t>
      </w:r>
      <w:r w:rsidRPr="00E6684F">
        <w:rPr>
          <w:rFonts w:cs="Times New Roman"/>
          <w:szCs w:val="24"/>
        </w:rPr>
        <w:t xml:space="preserve">s: </w:t>
      </w:r>
    </w:p>
    <w:p w14:paraId="1D63ADAE" w14:textId="77777777" w:rsidR="00D85251" w:rsidRPr="00E6684F" w:rsidRDefault="00D85251" w:rsidP="00370039">
      <w:pPr>
        <w:pStyle w:val="ListParagraph"/>
        <w:numPr>
          <w:ilvl w:val="0"/>
          <w:numId w:val="37"/>
        </w:numPr>
        <w:spacing w:before="120"/>
        <w:rPr>
          <w:rFonts w:cs="Times New Roman"/>
          <w:szCs w:val="24"/>
        </w:rPr>
      </w:pPr>
      <w:r w:rsidRPr="00E6684F">
        <w:rPr>
          <w:rFonts w:cs="Times New Roman"/>
          <w:szCs w:val="24"/>
        </w:rPr>
        <w:t>No Observable Effect Concentration (NOEC) hypothesis test,</w:t>
      </w:r>
    </w:p>
    <w:p w14:paraId="140AB15F" w14:textId="77777777" w:rsidR="00D85251" w:rsidRPr="00E6684F" w:rsidRDefault="00D85251" w:rsidP="00370039">
      <w:pPr>
        <w:pStyle w:val="ListParagraph"/>
        <w:numPr>
          <w:ilvl w:val="0"/>
          <w:numId w:val="37"/>
        </w:numPr>
        <w:spacing w:before="120"/>
        <w:rPr>
          <w:rFonts w:cs="Times New Roman"/>
          <w:szCs w:val="24"/>
        </w:rPr>
      </w:pPr>
      <w:r w:rsidRPr="00E6684F">
        <w:rPr>
          <w:rFonts w:cs="Times New Roman"/>
          <w:szCs w:val="24"/>
        </w:rPr>
        <w:t xml:space="preserve">Inhibition Concentration 25 (IC25) point estimate test, and </w:t>
      </w:r>
    </w:p>
    <w:p w14:paraId="79435616" w14:textId="77777777" w:rsidR="00D85251" w:rsidRPr="00E6684F" w:rsidRDefault="00D85251" w:rsidP="00370039">
      <w:pPr>
        <w:pStyle w:val="ListParagraph"/>
        <w:numPr>
          <w:ilvl w:val="0"/>
          <w:numId w:val="37"/>
        </w:numPr>
        <w:spacing w:before="120"/>
        <w:rPr>
          <w:rFonts w:cs="Times New Roman"/>
          <w:szCs w:val="24"/>
        </w:rPr>
      </w:pPr>
      <w:r w:rsidRPr="00E6684F">
        <w:rPr>
          <w:rFonts w:cs="Times New Roman"/>
          <w:szCs w:val="24"/>
        </w:rPr>
        <w:t xml:space="preserve">Test of Significant Toxicity (TST) hypothesis test. </w:t>
      </w:r>
    </w:p>
    <w:p w14:paraId="274A7C42" w14:textId="77777777" w:rsidR="00D85251" w:rsidRPr="00E6684F" w:rsidRDefault="00D85251" w:rsidP="00370039">
      <w:pPr>
        <w:pStyle w:val="Heading5"/>
        <w:numPr>
          <w:ilvl w:val="4"/>
          <w:numId w:val="34"/>
        </w:numPr>
      </w:pPr>
      <w:r w:rsidRPr="00E6684F">
        <w:t>NOEC Analysis</w:t>
      </w:r>
    </w:p>
    <w:p w14:paraId="6F8DC9F6" w14:textId="77777777" w:rsidR="00D85251" w:rsidRPr="00816475" w:rsidRDefault="00D85251" w:rsidP="00370039">
      <w:pPr>
        <w:spacing w:before="120"/>
        <w:ind w:left="720"/>
        <w:rPr>
          <w:rFonts w:cs="Times New Roman"/>
          <w:szCs w:val="24"/>
        </w:rPr>
      </w:pPr>
      <w:r w:rsidRPr="00816475">
        <w:rPr>
          <w:rFonts w:cs="Times New Roman"/>
          <w:szCs w:val="24"/>
        </w:rPr>
        <w:t>The NOEC hypothesis tests included the following, selected as appropriate for the dataset (normal or non-normal distributions, equal or unequal variances):</w:t>
      </w:r>
    </w:p>
    <w:p w14:paraId="2D89E857" w14:textId="77777777" w:rsidR="00D85251" w:rsidRPr="00816475" w:rsidRDefault="00D85251" w:rsidP="00370039">
      <w:pPr>
        <w:pStyle w:val="ListParagraph"/>
        <w:numPr>
          <w:ilvl w:val="0"/>
          <w:numId w:val="24"/>
        </w:numPr>
        <w:spacing w:before="120"/>
        <w:ind w:left="1440"/>
        <w:rPr>
          <w:rFonts w:cs="Times New Roman"/>
          <w:szCs w:val="24"/>
        </w:rPr>
      </w:pPr>
      <w:r w:rsidRPr="00816475">
        <w:rPr>
          <w:rFonts w:cs="Times New Roman"/>
          <w:szCs w:val="24"/>
        </w:rPr>
        <w:t>Bonferroni Adjusted T-Test</w:t>
      </w:r>
    </w:p>
    <w:p w14:paraId="1EA322C1" w14:textId="77777777" w:rsidR="00D85251" w:rsidRPr="00816475" w:rsidRDefault="00D85251" w:rsidP="00370039">
      <w:pPr>
        <w:pStyle w:val="ListParagraph"/>
        <w:numPr>
          <w:ilvl w:val="0"/>
          <w:numId w:val="24"/>
        </w:numPr>
        <w:spacing w:before="120"/>
        <w:ind w:left="1440"/>
        <w:rPr>
          <w:rFonts w:cs="Times New Roman"/>
          <w:szCs w:val="24"/>
        </w:rPr>
      </w:pPr>
      <w:r w:rsidRPr="00816475">
        <w:rPr>
          <w:rFonts w:cs="Times New Roman"/>
          <w:szCs w:val="24"/>
        </w:rPr>
        <w:t>Dunnett Multiple Comparison Test</w:t>
      </w:r>
    </w:p>
    <w:p w14:paraId="73791516" w14:textId="77777777" w:rsidR="00D85251" w:rsidRPr="00816475" w:rsidRDefault="00D85251" w:rsidP="00370039">
      <w:pPr>
        <w:pStyle w:val="ListParagraph"/>
        <w:numPr>
          <w:ilvl w:val="0"/>
          <w:numId w:val="24"/>
        </w:numPr>
        <w:spacing w:before="120"/>
        <w:ind w:left="1440"/>
        <w:rPr>
          <w:rFonts w:cs="Times New Roman"/>
          <w:szCs w:val="24"/>
        </w:rPr>
      </w:pPr>
      <w:r w:rsidRPr="00816475">
        <w:rPr>
          <w:rFonts w:cs="Times New Roman"/>
          <w:szCs w:val="24"/>
        </w:rPr>
        <w:t>Steel Many-One Rank Sum Test</w:t>
      </w:r>
    </w:p>
    <w:p w14:paraId="072AD812" w14:textId="77777777" w:rsidR="00D85251" w:rsidRPr="00816475" w:rsidRDefault="00D85251" w:rsidP="00370039">
      <w:pPr>
        <w:pStyle w:val="ListParagraph"/>
        <w:numPr>
          <w:ilvl w:val="0"/>
          <w:numId w:val="24"/>
        </w:numPr>
        <w:spacing w:before="120"/>
        <w:ind w:left="1440"/>
        <w:rPr>
          <w:rFonts w:cs="Times New Roman"/>
          <w:szCs w:val="24"/>
        </w:rPr>
      </w:pPr>
      <w:r w:rsidRPr="00816475">
        <w:rPr>
          <w:rFonts w:cs="Times New Roman"/>
          <w:szCs w:val="24"/>
        </w:rPr>
        <w:t>Wilcoxon/Bonferroni Adjusted Test</w:t>
      </w:r>
    </w:p>
    <w:p w14:paraId="11AFCD62" w14:textId="77777777" w:rsidR="00D85251" w:rsidRPr="00816475" w:rsidRDefault="00D85251" w:rsidP="00370039">
      <w:pPr>
        <w:spacing w:before="120"/>
        <w:ind w:left="720"/>
        <w:rPr>
          <w:rFonts w:cs="Times New Roman"/>
          <w:szCs w:val="24"/>
        </w:rPr>
      </w:pPr>
      <w:r w:rsidRPr="00816475">
        <w:rPr>
          <w:rFonts w:cs="Times New Roman"/>
          <w:szCs w:val="24"/>
        </w:rPr>
        <w:t xml:space="preserve">In hypothesis testing, an alpha value is selected which defines the false negative rate. The NOEC test used an alpha value of 5%. </w:t>
      </w:r>
    </w:p>
    <w:p w14:paraId="2066EDD6" w14:textId="77777777" w:rsidR="00D85251" w:rsidRPr="001B1399" w:rsidRDefault="00D85251" w:rsidP="00370039">
      <w:pPr>
        <w:pStyle w:val="Heading5"/>
        <w:numPr>
          <w:ilvl w:val="4"/>
          <w:numId w:val="34"/>
        </w:numPr>
      </w:pPr>
      <w:r w:rsidRPr="001B1399">
        <w:t>TST Analysis</w:t>
      </w:r>
    </w:p>
    <w:p w14:paraId="27BEFE4A" w14:textId="77777777" w:rsidR="00D85251" w:rsidRPr="00816475" w:rsidRDefault="00D85251" w:rsidP="00370039">
      <w:pPr>
        <w:spacing w:before="120"/>
        <w:ind w:left="720"/>
        <w:rPr>
          <w:rFonts w:cs="Times New Roman"/>
          <w:szCs w:val="24"/>
        </w:rPr>
      </w:pPr>
      <w:r w:rsidRPr="00816475">
        <w:rPr>
          <w:rFonts w:cs="Times New Roman"/>
          <w:szCs w:val="24"/>
        </w:rPr>
        <w:t>The TST is a statistical approach which does not require normality testing, and which uses bioequivalence hypothesis testing which examines whether there is a non-toxic effect at a single concentration of concern compared with a control.</w:t>
      </w:r>
      <w:r w:rsidRPr="00816475">
        <w:rPr>
          <w:rStyle w:val="FootnoteReference"/>
          <w:rFonts w:cs="Times New Roman"/>
          <w:szCs w:val="24"/>
        </w:rPr>
        <w:footnoteReference w:id="9"/>
      </w:r>
      <w:r w:rsidRPr="00816475">
        <w:rPr>
          <w:rFonts w:cs="Times New Roman"/>
          <w:szCs w:val="24"/>
        </w:rPr>
        <w:t xml:space="preserve"> The TST Welch’s t-Test was used and the alpha value was set to 20%.  </w:t>
      </w:r>
    </w:p>
    <w:p w14:paraId="652E24AA" w14:textId="77777777" w:rsidR="00D85251" w:rsidRPr="001B1399" w:rsidRDefault="00D85251" w:rsidP="00370039">
      <w:pPr>
        <w:pStyle w:val="Heading5"/>
        <w:numPr>
          <w:ilvl w:val="4"/>
          <w:numId w:val="34"/>
        </w:numPr>
      </w:pPr>
      <w:r w:rsidRPr="001B1399">
        <w:t>IC25 Analysis</w:t>
      </w:r>
    </w:p>
    <w:p w14:paraId="3641680C" w14:textId="77777777" w:rsidR="00D85251" w:rsidRPr="00E6684F" w:rsidRDefault="00D85251" w:rsidP="00370039">
      <w:pPr>
        <w:spacing w:before="120"/>
        <w:ind w:left="720"/>
        <w:rPr>
          <w:rFonts w:cs="Times New Roman"/>
          <w:szCs w:val="24"/>
        </w:rPr>
      </w:pPr>
      <w:r w:rsidRPr="00E6684F">
        <w:rPr>
          <w:rFonts w:cs="Times New Roman"/>
          <w:szCs w:val="24"/>
        </w:rPr>
        <w:t xml:space="preserve">The IC25 point estimate test used was Linear Interpolation. The Linear Interpolation method is a procedure to calculate a point estimate of the test concentration that causes a given percent reduction in the reproduction of the organism. It assumes that the responses for each concentration proceed linearly (that each one is lower than the next). </w:t>
      </w:r>
    </w:p>
    <w:p w14:paraId="16785459" w14:textId="77777777" w:rsidR="00D85251" w:rsidRPr="00E6684F" w:rsidRDefault="00D85251" w:rsidP="00E6684F">
      <w:pPr>
        <w:spacing w:before="120"/>
        <w:rPr>
          <w:rFonts w:cs="Times New Roman"/>
          <w:szCs w:val="24"/>
        </w:rPr>
      </w:pPr>
      <w:r w:rsidRPr="00E6684F">
        <w:rPr>
          <w:rFonts w:cs="Times New Roman"/>
          <w:szCs w:val="24"/>
        </w:rPr>
        <w:t>The three analyses were performed on the laboratory results for all five dilutions and the control. The significant effect dilution (if any) and corresponding percent effect was determined for each result, as was the NOEC or IC25, TU and Percent Minimum Significant Difference (</w:t>
      </w:r>
      <w:proofErr w:type="spellStart"/>
      <w:r w:rsidRPr="00E6684F">
        <w:rPr>
          <w:rFonts w:cs="Times New Roman"/>
          <w:szCs w:val="24"/>
        </w:rPr>
        <w:t>pMSD</w:t>
      </w:r>
      <w:proofErr w:type="spellEnd"/>
      <w:r w:rsidRPr="00E6684F">
        <w:rPr>
          <w:rFonts w:cs="Times New Roman"/>
          <w:szCs w:val="24"/>
        </w:rPr>
        <w:t xml:space="preserve">) (for hypothesis tests only). </w:t>
      </w:r>
    </w:p>
    <w:p w14:paraId="2148AACF" w14:textId="7714FFF3" w:rsidR="00D85251" w:rsidRPr="00E6684F" w:rsidRDefault="00D85251" w:rsidP="00E6684F">
      <w:pPr>
        <w:spacing w:before="120"/>
        <w:rPr>
          <w:rFonts w:cs="Times New Roman"/>
          <w:szCs w:val="24"/>
        </w:rPr>
      </w:pPr>
      <w:r w:rsidRPr="00E6684F">
        <w:rPr>
          <w:rFonts w:cs="Times New Roman"/>
          <w:szCs w:val="24"/>
        </w:rPr>
        <w:t xml:space="preserve">In three cases of the NOEC test, the </w:t>
      </w:r>
      <w:proofErr w:type="spellStart"/>
      <w:r w:rsidRPr="00E6684F">
        <w:rPr>
          <w:rFonts w:cs="Times New Roman"/>
          <w:szCs w:val="24"/>
        </w:rPr>
        <w:t>pMSD</w:t>
      </w:r>
      <w:proofErr w:type="spellEnd"/>
      <w:r w:rsidRPr="00E6684F">
        <w:rPr>
          <w:rFonts w:cs="Times New Roman"/>
          <w:szCs w:val="24"/>
        </w:rPr>
        <w:t xml:space="preserve"> and percent effect were both below the lower </w:t>
      </w:r>
      <w:proofErr w:type="spellStart"/>
      <w:r w:rsidRPr="00E6684F">
        <w:rPr>
          <w:rFonts w:cs="Times New Roman"/>
          <w:szCs w:val="24"/>
        </w:rPr>
        <w:t>pMSD</w:t>
      </w:r>
      <w:proofErr w:type="spellEnd"/>
      <w:r w:rsidRPr="00E6684F">
        <w:rPr>
          <w:rFonts w:cs="Times New Roman"/>
          <w:szCs w:val="24"/>
        </w:rPr>
        <w:t xml:space="preserve"> bound when a significant effect had been identified. In these cases, the sample was deemed non-toxic if an individual analysis run on the next-highest dilution confirmed the result. In all three cases, the individual analysis confirmed no toxicity at the </w:t>
      </w:r>
      <w:r w:rsidR="008579F6" w:rsidRPr="00E6684F">
        <w:rPr>
          <w:rFonts w:cs="Times New Roman"/>
          <w:szCs w:val="24"/>
        </w:rPr>
        <w:t>next-highest dilution</w:t>
      </w:r>
      <w:r w:rsidRPr="00E6684F">
        <w:rPr>
          <w:rFonts w:cs="Times New Roman"/>
          <w:szCs w:val="24"/>
        </w:rPr>
        <w:t xml:space="preserve">, and the NOEC results were adjusted accordingly. </w:t>
      </w:r>
    </w:p>
    <w:p w14:paraId="7BCD7DD2" w14:textId="7E642A00" w:rsidR="00D85251" w:rsidRPr="00E6684F" w:rsidRDefault="00D85251" w:rsidP="00E6684F">
      <w:pPr>
        <w:spacing w:before="120"/>
        <w:rPr>
          <w:rFonts w:cs="Times New Roman"/>
          <w:szCs w:val="24"/>
        </w:rPr>
      </w:pPr>
      <w:r w:rsidRPr="00E6684F">
        <w:rPr>
          <w:rFonts w:cs="Times New Roman"/>
          <w:szCs w:val="24"/>
        </w:rPr>
        <w:t xml:space="preserve">The control acceptability criteria were not met for five labs during the WC study (WC03, WC10, WC13, WC23, and WC25). All but one of these labs in this study produced results which showed toxicity using the IC25 test and failed the TST test, although only one lab produced results that showed toxicity using the NOEC test. </w:t>
      </w:r>
      <w:r w:rsidR="00BF5B57">
        <w:rPr>
          <w:rFonts w:cs="Times New Roman"/>
          <w:szCs w:val="24"/>
        </w:rPr>
        <w:t>All results failing the control acceptability criteria were removed from th</w:t>
      </w:r>
      <w:r w:rsidR="00004795">
        <w:rPr>
          <w:rFonts w:cs="Times New Roman"/>
          <w:szCs w:val="24"/>
        </w:rPr>
        <w:t>is</w:t>
      </w:r>
      <w:r w:rsidR="00BF5B57">
        <w:rPr>
          <w:rFonts w:cs="Times New Roman"/>
          <w:szCs w:val="24"/>
        </w:rPr>
        <w:t xml:space="preserve"> analysis. </w:t>
      </w:r>
    </w:p>
    <w:p w14:paraId="1560CB17" w14:textId="510E1F48" w:rsidR="00D85251" w:rsidRPr="00E6684F" w:rsidRDefault="00D85251" w:rsidP="00E6684F">
      <w:pPr>
        <w:spacing w:before="120"/>
        <w:rPr>
          <w:rFonts w:cs="Times New Roman"/>
          <w:szCs w:val="24"/>
        </w:rPr>
      </w:pPr>
      <w:r w:rsidRPr="00E6684F">
        <w:rPr>
          <w:rFonts w:cs="Times New Roman"/>
          <w:szCs w:val="24"/>
        </w:rPr>
        <w:t xml:space="preserve">A summary of the toxicity test analyses is shown </w:t>
      </w:r>
      <w:r w:rsidR="00816475">
        <w:rPr>
          <w:rFonts w:cs="Times New Roman"/>
          <w:szCs w:val="24"/>
        </w:rPr>
        <w:t xml:space="preserve">in </w:t>
      </w:r>
      <w:r w:rsidR="00816475" w:rsidRPr="00816475">
        <w:rPr>
          <w:rFonts w:cs="Times New Roman"/>
          <w:b/>
          <w:szCs w:val="24"/>
        </w:rPr>
        <w:fldChar w:fldCharType="begin"/>
      </w:r>
      <w:r w:rsidR="00816475" w:rsidRPr="00816475">
        <w:rPr>
          <w:rFonts w:cs="Times New Roman"/>
          <w:b/>
          <w:szCs w:val="24"/>
        </w:rPr>
        <w:instrText xml:space="preserve"> REF _Ref527446917 \h </w:instrText>
      </w:r>
      <w:r w:rsidR="00816475">
        <w:rPr>
          <w:rFonts w:cs="Times New Roman"/>
          <w:b/>
          <w:szCs w:val="24"/>
        </w:rPr>
        <w:instrText xml:space="preserve"> \* MERGEFORMAT </w:instrText>
      </w:r>
      <w:r w:rsidR="00816475" w:rsidRPr="00816475">
        <w:rPr>
          <w:rFonts w:cs="Times New Roman"/>
          <w:b/>
          <w:szCs w:val="24"/>
        </w:rPr>
      </w:r>
      <w:r w:rsidR="00816475" w:rsidRPr="00816475">
        <w:rPr>
          <w:rFonts w:cs="Times New Roman"/>
          <w:b/>
          <w:szCs w:val="24"/>
        </w:rPr>
        <w:fldChar w:fldCharType="separate"/>
      </w:r>
      <w:r w:rsidR="00816475" w:rsidRPr="00816475">
        <w:rPr>
          <w:rFonts w:cstheme="minorHAnsi"/>
          <w:b/>
        </w:rPr>
        <w:t xml:space="preserve">Table </w:t>
      </w:r>
      <w:r w:rsidR="00816475" w:rsidRPr="00816475">
        <w:rPr>
          <w:rFonts w:cstheme="minorHAnsi"/>
          <w:b/>
          <w:noProof/>
        </w:rPr>
        <w:t>4</w:t>
      </w:r>
      <w:r w:rsidR="00816475" w:rsidRPr="00816475">
        <w:rPr>
          <w:rFonts w:cs="Times New Roman"/>
          <w:b/>
          <w:szCs w:val="24"/>
        </w:rPr>
        <w:fldChar w:fldCharType="end"/>
      </w:r>
      <w:r w:rsidRPr="00E6684F">
        <w:rPr>
          <w:rFonts w:cs="Times New Roman"/>
          <w:szCs w:val="24"/>
        </w:rPr>
        <w:t xml:space="preserve">. </w:t>
      </w:r>
      <w:r w:rsidR="00442230">
        <w:rPr>
          <w:rFonts w:cs="Times New Roman"/>
          <w:szCs w:val="24"/>
        </w:rPr>
        <w:t xml:space="preserve">Gray shading indicates the test results which did not meet the control acceptability criteria. These results were not included in the analysis. </w:t>
      </w:r>
      <w:r w:rsidRPr="00E6684F">
        <w:rPr>
          <w:rFonts w:cs="Times New Roman"/>
          <w:szCs w:val="24"/>
        </w:rPr>
        <w:t xml:space="preserve">The raw toxicity test analysis results are shown in Appendix A. </w:t>
      </w:r>
    </w:p>
    <w:p w14:paraId="3D5BF71D" w14:textId="38F7876E" w:rsidR="00D85251" w:rsidRPr="001B1399" w:rsidRDefault="00D85251" w:rsidP="00816475">
      <w:pPr>
        <w:pStyle w:val="TableTitle"/>
      </w:pPr>
      <w:bookmarkStart w:id="24" w:name="_Ref527446917"/>
      <w:r w:rsidRPr="001B1399">
        <w:t xml:space="preserve">Table </w:t>
      </w:r>
      <w:r w:rsidRPr="001B1399">
        <w:rPr>
          <w:noProof/>
        </w:rPr>
        <w:fldChar w:fldCharType="begin"/>
      </w:r>
      <w:r w:rsidRPr="001B1399">
        <w:rPr>
          <w:noProof/>
        </w:rPr>
        <w:instrText xml:space="preserve"> SEQ Table \* ARABIC </w:instrText>
      </w:r>
      <w:r w:rsidRPr="001B1399">
        <w:rPr>
          <w:noProof/>
        </w:rPr>
        <w:fldChar w:fldCharType="separate"/>
      </w:r>
      <w:r w:rsidR="006F0139">
        <w:rPr>
          <w:noProof/>
        </w:rPr>
        <w:t>4</w:t>
      </w:r>
      <w:r w:rsidRPr="001B1399">
        <w:rPr>
          <w:noProof/>
        </w:rPr>
        <w:fldChar w:fldCharType="end"/>
      </w:r>
      <w:bookmarkEnd w:id="24"/>
      <w:r w:rsidRPr="001B1399">
        <w:t>. Summary of Toxicity Test Analyses</w:t>
      </w:r>
    </w:p>
    <w:tbl>
      <w:tblPr>
        <w:tblW w:w="9576" w:type="dxa"/>
        <w:tblLayout w:type="fixed"/>
        <w:tblLook w:val="04A0" w:firstRow="1" w:lastRow="0" w:firstColumn="1" w:lastColumn="0" w:noHBand="0" w:noVBand="1"/>
      </w:tblPr>
      <w:tblGrid>
        <w:gridCol w:w="1662"/>
        <w:gridCol w:w="818"/>
        <w:gridCol w:w="1317"/>
        <w:gridCol w:w="717"/>
        <w:gridCol w:w="1172"/>
        <w:gridCol w:w="723"/>
        <w:gridCol w:w="1172"/>
        <w:gridCol w:w="1995"/>
      </w:tblGrid>
      <w:tr w:rsidR="00D85251" w:rsidRPr="001B1399" w14:paraId="7FD919A0" w14:textId="77777777" w:rsidTr="00816475">
        <w:trPr>
          <w:trHeight w:val="264"/>
          <w:tblHeader/>
        </w:trPr>
        <w:tc>
          <w:tcPr>
            <w:tcW w:w="16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23F180" w14:textId="2AF6FCD7" w:rsidR="00D85251" w:rsidRPr="001B1399" w:rsidRDefault="00816475" w:rsidP="00816475">
            <w:pPr>
              <w:pStyle w:val="TableBodyText"/>
            </w:pPr>
            <w:r>
              <w:t xml:space="preserve">Laboratory </w:t>
            </w:r>
            <w:r w:rsidR="00D85251" w:rsidRPr="001B1399">
              <w:t>ID</w:t>
            </w:r>
          </w:p>
        </w:tc>
        <w:tc>
          <w:tcPr>
            <w:tcW w:w="5919" w:type="dxa"/>
            <w:gridSpan w:val="6"/>
            <w:tcBorders>
              <w:top w:val="single" w:sz="4" w:space="0" w:color="auto"/>
              <w:left w:val="nil"/>
              <w:bottom w:val="single" w:sz="4" w:space="0" w:color="auto"/>
              <w:right w:val="single" w:sz="4" w:space="0" w:color="auto"/>
            </w:tcBorders>
            <w:vAlign w:val="center"/>
          </w:tcPr>
          <w:p w14:paraId="59F4666F" w14:textId="77777777" w:rsidR="00D85251" w:rsidRPr="001B1399" w:rsidRDefault="00D85251" w:rsidP="00816475">
            <w:pPr>
              <w:pStyle w:val="TableBodyText"/>
            </w:pPr>
            <w:r w:rsidRPr="001B1399">
              <w:t>Result (percent)</w:t>
            </w:r>
          </w:p>
        </w:tc>
        <w:tc>
          <w:tcPr>
            <w:tcW w:w="1995" w:type="dxa"/>
            <w:vMerge w:val="restart"/>
            <w:tcBorders>
              <w:top w:val="single" w:sz="4" w:space="0" w:color="auto"/>
              <w:left w:val="single" w:sz="4" w:space="0" w:color="auto"/>
              <w:right w:val="nil"/>
            </w:tcBorders>
            <w:shd w:val="clear" w:color="auto" w:fill="auto"/>
            <w:vAlign w:val="center"/>
            <w:hideMark/>
          </w:tcPr>
          <w:p w14:paraId="100A8D3D" w14:textId="77777777" w:rsidR="00D85251" w:rsidRPr="001B1399" w:rsidRDefault="00D85251" w:rsidP="00816475">
            <w:pPr>
              <w:pStyle w:val="TableBodyText"/>
            </w:pPr>
            <w:r w:rsidRPr="001B1399">
              <w:t>Applicable %Effect</w:t>
            </w:r>
          </w:p>
        </w:tc>
      </w:tr>
      <w:tr w:rsidR="00D85251" w:rsidRPr="001B1399" w14:paraId="4D34D970" w14:textId="77777777" w:rsidTr="00D85251">
        <w:trPr>
          <w:trHeight w:val="161"/>
          <w:tblHeader/>
        </w:trPr>
        <w:tc>
          <w:tcPr>
            <w:tcW w:w="1662" w:type="dxa"/>
            <w:vMerge/>
            <w:tcBorders>
              <w:top w:val="single" w:sz="4" w:space="0" w:color="auto"/>
              <w:left w:val="single" w:sz="4" w:space="0" w:color="auto"/>
              <w:bottom w:val="single" w:sz="4" w:space="0" w:color="auto"/>
              <w:right w:val="single" w:sz="4" w:space="0" w:color="auto"/>
            </w:tcBorders>
            <w:vAlign w:val="center"/>
            <w:hideMark/>
          </w:tcPr>
          <w:p w14:paraId="46B8FF5E" w14:textId="77777777" w:rsidR="00D85251" w:rsidRPr="001B1399" w:rsidRDefault="00D85251" w:rsidP="00816475">
            <w:pPr>
              <w:pStyle w:val="TableBodyText"/>
            </w:pPr>
          </w:p>
        </w:tc>
        <w:tc>
          <w:tcPr>
            <w:tcW w:w="2135" w:type="dxa"/>
            <w:gridSpan w:val="2"/>
            <w:tcBorders>
              <w:top w:val="nil"/>
              <w:left w:val="nil"/>
              <w:bottom w:val="single" w:sz="4" w:space="0" w:color="auto"/>
              <w:right w:val="nil"/>
            </w:tcBorders>
            <w:shd w:val="clear" w:color="auto" w:fill="auto"/>
            <w:vAlign w:val="bottom"/>
            <w:hideMark/>
          </w:tcPr>
          <w:p w14:paraId="422996E2" w14:textId="77777777" w:rsidR="00D85251" w:rsidRPr="001B1399" w:rsidRDefault="00D85251" w:rsidP="00816475">
            <w:pPr>
              <w:pStyle w:val="TableBodyText"/>
            </w:pPr>
            <w:r w:rsidRPr="001B1399">
              <w:t>NOEC</w:t>
            </w:r>
          </w:p>
        </w:tc>
        <w:tc>
          <w:tcPr>
            <w:tcW w:w="1889" w:type="dxa"/>
            <w:gridSpan w:val="2"/>
            <w:tcBorders>
              <w:top w:val="nil"/>
              <w:left w:val="nil"/>
              <w:bottom w:val="single" w:sz="4" w:space="0" w:color="auto"/>
              <w:right w:val="nil"/>
            </w:tcBorders>
            <w:shd w:val="clear" w:color="auto" w:fill="auto"/>
            <w:vAlign w:val="bottom"/>
            <w:hideMark/>
          </w:tcPr>
          <w:p w14:paraId="508E3EDB" w14:textId="77777777" w:rsidR="00D85251" w:rsidRPr="001B1399" w:rsidRDefault="00D85251" w:rsidP="00816475">
            <w:pPr>
              <w:pStyle w:val="TableBodyText"/>
            </w:pPr>
            <w:r w:rsidRPr="001B1399">
              <w:t>IC25</w:t>
            </w:r>
          </w:p>
        </w:tc>
        <w:tc>
          <w:tcPr>
            <w:tcW w:w="1895" w:type="dxa"/>
            <w:gridSpan w:val="2"/>
            <w:tcBorders>
              <w:top w:val="nil"/>
              <w:left w:val="nil"/>
              <w:bottom w:val="single" w:sz="4" w:space="0" w:color="auto"/>
              <w:right w:val="single" w:sz="4" w:space="0" w:color="auto"/>
            </w:tcBorders>
            <w:shd w:val="clear" w:color="auto" w:fill="auto"/>
            <w:vAlign w:val="bottom"/>
            <w:hideMark/>
          </w:tcPr>
          <w:p w14:paraId="7C0E40D4" w14:textId="77777777" w:rsidR="00D85251" w:rsidRPr="001B1399" w:rsidRDefault="00D85251" w:rsidP="00816475">
            <w:pPr>
              <w:pStyle w:val="TableBodyText"/>
            </w:pPr>
            <w:r w:rsidRPr="001B1399">
              <w:t>TST</w:t>
            </w:r>
          </w:p>
        </w:tc>
        <w:tc>
          <w:tcPr>
            <w:tcW w:w="1995" w:type="dxa"/>
            <w:vMerge/>
            <w:tcBorders>
              <w:left w:val="single" w:sz="4" w:space="0" w:color="auto"/>
              <w:bottom w:val="single" w:sz="4" w:space="0" w:color="auto"/>
              <w:right w:val="nil"/>
            </w:tcBorders>
            <w:vAlign w:val="center"/>
            <w:hideMark/>
          </w:tcPr>
          <w:p w14:paraId="49DA0D16" w14:textId="77777777" w:rsidR="00D85251" w:rsidRPr="001B1399" w:rsidRDefault="00D85251" w:rsidP="00816475">
            <w:pPr>
              <w:pStyle w:val="TableBodyText"/>
            </w:pPr>
          </w:p>
        </w:tc>
      </w:tr>
      <w:tr w:rsidR="00D85251" w:rsidRPr="001B1399" w14:paraId="4A67D89B" w14:textId="77777777" w:rsidTr="00816475">
        <w:trPr>
          <w:trHeight w:val="264"/>
        </w:trPr>
        <w:tc>
          <w:tcPr>
            <w:tcW w:w="1662" w:type="dxa"/>
            <w:tcBorders>
              <w:top w:val="single" w:sz="4" w:space="0" w:color="auto"/>
              <w:left w:val="nil"/>
              <w:bottom w:val="dotted" w:sz="4" w:space="0" w:color="auto"/>
              <w:right w:val="nil"/>
            </w:tcBorders>
            <w:shd w:val="clear" w:color="auto" w:fill="auto"/>
            <w:noWrap/>
            <w:vAlign w:val="center"/>
            <w:hideMark/>
          </w:tcPr>
          <w:p w14:paraId="7F866C5C" w14:textId="77777777" w:rsidR="00D85251" w:rsidRPr="001B1399" w:rsidRDefault="00D85251" w:rsidP="00816475">
            <w:pPr>
              <w:pStyle w:val="TableBodyText"/>
            </w:pPr>
            <w:r w:rsidRPr="001B1399">
              <w:t>EPA-9330</w:t>
            </w:r>
          </w:p>
        </w:tc>
        <w:tc>
          <w:tcPr>
            <w:tcW w:w="818" w:type="dxa"/>
            <w:tcBorders>
              <w:top w:val="single" w:sz="4" w:space="0" w:color="auto"/>
              <w:left w:val="nil"/>
              <w:bottom w:val="dotted" w:sz="4" w:space="0" w:color="auto"/>
              <w:right w:val="nil"/>
            </w:tcBorders>
            <w:shd w:val="clear" w:color="auto" w:fill="auto"/>
            <w:vAlign w:val="center"/>
            <w:hideMark/>
          </w:tcPr>
          <w:p w14:paraId="62F7FAFC" w14:textId="77777777" w:rsidR="00D85251" w:rsidRPr="001B1399" w:rsidRDefault="00D85251" w:rsidP="00816475">
            <w:pPr>
              <w:pStyle w:val="TableBodyText"/>
            </w:pPr>
            <w:r w:rsidRPr="001B1399">
              <w:t>100</w:t>
            </w:r>
          </w:p>
        </w:tc>
        <w:tc>
          <w:tcPr>
            <w:tcW w:w="1317" w:type="dxa"/>
            <w:tcBorders>
              <w:top w:val="single" w:sz="4" w:space="0" w:color="auto"/>
              <w:left w:val="nil"/>
              <w:bottom w:val="dotted" w:sz="4" w:space="0" w:color="auto"/>
              <w:right w:val="nil"/>
            </w:tcBorders>
            <w:vAlign w:val="center"/>
          </w:tcPr>
          <w:p w14:paraId="5E646F3C" w14:textId="77777777" w:rsidR="00D85251" w:rsidRPr="001B1399" w:rsidRDefault="00D85251" w:rsidP="00816475">
            <w:pPr>
              <w:pStyle w:val="TableBodyText"/>
            </w:pPr>
            <w:r w:rsidRPr="001B1399">
              <w:t>Non-toxic</w:t>
            </w:r>
          </w:p>
        </w:tc>
        <w:tc>
          <w:tcPr>
            <w:tcW w:w="717" w:type="dxa"/>
            <w:tcBorders>
              <w:top w:val="single" w:sz="4" w:space="0" w:color="auto"/>
              <w:left w:val="nil"/>
              <w:bottom w:val="dotted" w:sz="4" w:space="0" w:color="auto"/>
              <w:right w:val="nil"/>
            </w:tcBorders>
            <w:shd w:val="clear" w:color="auto" w:fill="auto"/>
            <w:vAlign w:val="center"/>
            <w:hideMark/>
          </w:tcPr>
          <w:p w14:paraId="4E0C3AE5" w14:textId="77777777" w:rsidR="00D85251" w:rsidRPr="001B1399" w:rsidRDefault="00D85251" w:rsidP="00816475">
            <w:pPr>
              <w:pStyle w:val="TableBodyText"/>
            </w:pPr>
            <w:r w:rsidRPr="001B1399">
              <w:t>&gt;100</w:t>
            </w:r>
          </w:p>
        </w:tc>
        <w:tc>
          <w:tcPr>
            <w:tcW w:w="1172" w:type="dxa"/>
            <w:tcBorders>
              <w:top w:val="single" w:sz="4" w:space="0" w:color="auto"/>
              <w:left w:val="nil"/>
              <w:bottom w:val="dotted" w:sz="4" w:space="0" w:color="auto"/>
              <w:right w:val="nil"/>
            </w:tcBorders>
            <w:vAlign w:val="center"/>
          </w:tcPr>
          <w:p w14:paraId="463C44D3" w14:textId="77777777" w:rsidR="00D85251" w:rsidRPr="001B1399" w:rsidRDefault="00D85251" w:rsidP="00816475">
            <w:pPr>
              <w:pStyle w:val="TableBodyText"/>
            </w:pPr>
            <w:r w:rsidRPr="001B1399">
              <w:t>Non-toxic</w:t>
            </w:r>
          </w:p>
        </w:tc>
        <w:tc>
          <w:tcPr>
            <w:tcW w:w="723" w:type="dxa"/>
            <w:tcBorders>
              <w:top w:val="single" w:sz="4" w:space="0" w:color="auto"/>
              <w:left w:val="nil"/>
              <w:bottom w:val="dotted" w:sz="4" w:space="0" w:color="auto"/>
              <w:right w:val="nil"/>
            </w:tcBorders>
            <w:shd w:val="clear" w:color="auto" w:fill="auto"/>
            <w:vAlign w:val="center"/>
            <w:hideMark/>
          </w:tcPr>
          <w:p w14:paraId="11292022" w14:textId="77777777" w:rsidR="00D85251" w:rsidRPr="001B1399" w:rsidRDefault="00D85251" w:rsidP="00816475">
            <w:pPr>
              <w:pStyle w:val="TableBodyText"/>
            </w:pPr>
            <w:r w:rsidRPr="001B1399">
              <w:t>100</w:t>
            </w:r>
          </w:p>
        </w:tc>
        <w:tc>
          <w:tcPr>
            <w:tcW w:w="1172" w:type="dxa"/>
            <w:tcBorders>
              <w:top w:val="single" w:sz="4" w:space="0" w:color="auto"/>
              <w:left w:val="nil"/>
              <w:bottom w:val="dotted" w:sz="4" w:space="0" w:color="auto"/>
              <w:right w:val="nil"/>
            </w:tcBorders>
            <w:vAlign w:val="center"/>
          </w:tcPr>
          <w:p w14:paraId="71C264C8" w14:textId="77777777" w:rsidR="00D85251" w:rsidRPr="001B1399" w:rsidRDefault="00D85251" w:rsidP="00816475">
            <w:pPr>
              <w:pStyle w:val="TableBodyText"/>
            </w:pPr>
            <w:r w:rsidRPr="001B1399">
              <w:t>Non-toxic</w:t>
            </w:r>
          </w:p>
        </w:tc>
        <w:tc>
          <w:tcPr>
            <w:tcW w:w="1995" w:type="dxa"/>
            <w:tcBorders>
              <w:top w:val="single" w:sz="4" w:space="0" w:color="auto"/>
              <w:left w:val="nil"/>
              <w:bottom w:val="dotted" w:sz="4" w:space="0" w:color="auto"/>
              <w:right w:val="nil"/>
            </w:tcBorders>
            <w:shd w:val="clear" w:color="auto" w:fill="auto"/>
            <w:noWrap/>
            <w:vAlign w:val="center"/>
            <w:hideMark/>
          </w:tcPr>
          <w:p w14:paraId="49A141D8" w14:textId="77777777" w:rsidR="00D85251" w:rsidRPr="001B1399" w:rsidRDefault="00D85251" w:rsidP="00816475">
            <w:pPr>
              <w:pStyle w:val="TableBodyText"/>
            </w:pPr>
            <w:r w:rsidRPr="001B1399">
              <w:t>10.34</w:t>
            </w:r>
          </w:p>
        </w:tc>
      </w:tr>
      <w:tr w:rsidR="00D85251" w:rsidRPr="001B1399" w14:paraId="433CC6DD"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0CED83AF" w14:textId="77777777" w:rsidR="00D85251" w:rsidRPr="001B1399" w:rsidRDefault="00D85251" w:rsidP="00816475">
            <w:pPr>
              <w:pStyle w:val="TableBodyText"/>
            </w:pPr>
            <w:r w:rsidRPr="001B1399">
              <w:t>EPA-9332</w:t>
            </w:r>
          </w:p>
        </w:tc>
        <w:tc>
          <w:tcPr>
            <w:tcW w:w="818" w:type="dxa"/>
            <w:tcBorders>
              <w:top w:val="dotted" w:sz="4" w:space="0" w:color="auto"/>
              <w:left w:val="nil"/>
              <w:bottom w:val="dotted" w:sz="4" w:space="0" w:color="auto"/>
              <w:right w:val="nil"/>
            </w:tcBorders>
            <w:shd w:val="clear" w:color="auto" w:fill="auto"/>
            <w:vAlign w:val="center"/>
            <w:hideMark/>
          </w:tcPr>
          <w:p w14:paraId="0EE18E18"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7E14E710"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02F1416F" w14:textId="77777777" w:rsidR="00D85251" w:rsidRPr="001B1399" w:rsidRDefault="00D85251" w:rsidP="00816475">
            <w:pPr>
              <w:pStyle w:val="TableBodyText"/>
            </w:pPr>
            <w:r w:rsidRPr="001B1399">
              <w:t>92.98</w:t>
            </w:r>
          </w:p>
        </w:tc>
        <w:tc>
          <w:tcPr>
            <w:tcW w:w="1172" w:type="dxa"/>
            <w:tcBorders>
              <w:top w:val="dotted" w:sz="4" w:space="0" w:color="auto"/>
              <w:left w:val="nil"/>
              <w:bottom w:val="dotted" w:sz="4" w:space="0" w:color="auto"/>
              <w:right w:val="nil"/>
            </w:tcBorders>
            <w:vAlign w:val="center"/>
          </w:tcPr>
          <w:p w14:paraId="7C67F319"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3AE5F3A1"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22C04779"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4582BA95" w14:textId="77777777" w:rsidR="00D85251" w:rsidRPr="001B1399" w:rsidRDefault="00D85251" w:rsidP="00816475">
            <w:pPr>
              <w:pStyle w:val="TableBodyText"/>
            </w:pPr>
            <w:r w:rsidRPr="001B1399">
              <w:t>13.3</w:t>
            </w:r>
          </w:p>
        </w:tc>
      </w:tr>
      <w:tr w:rsidR="00D85251" w:rsidRPr="001B1399" w14:paraId="6968CC81"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0DA5D2DF" w14:textId="77777777" w:rsidR="00D85251" w:rsidRPr="001B1399" w:rsidRDefault="00D85251" w:rsidP="00816475">
            <w:pPr>
              <w:pStyle w:val="TableBodyText"/>
            </w:pPr>
            <w:r w:rsidRPr="001B1399">
              <w:t>EPA-9337</w:t>
            </w:r>
          </w:p>
        </w:tc>
        <w:tc>
          <w:tcPr>
            <w:tcW w:w="818" w:type="dxa"/>
            <w:tcBorders>
              <w:top w:val="dotted" w:sz="4" w:space="0" w:color="auto"/>
              <w:left w:val="nil"/>
              <w:bottom w:val="dotted" w:sz="4" w:space="0" w:color="auto"/>
              <w:right w:val="nil"/>
            </w:tcBorders>
            <w:shd w:val="clear" w:color="auto" w:fill="auto"/>
            <w:vAlign w:val="center"/>
            <w:hideMark/>
          </w:tcPr>
          <w:p w14:paraId="2D976C89"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252B8E1A"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12F7361E"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30E3D8FE"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300855AD"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4ACB99AD"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FD354CA" w14:textId="77777777" w:rsidR="00D85251" w:rsidRPr="001B1399" w:rsidRDefault="00D85251" w:rsidP="00816475">
            <w:pPr>
              <w:pStyle w:val="TableBodyText"/>
            </w:pPr>
            <w:r w:rsidRPr="001B1399">
              <w:t>9.95</w:t>
            </w:r>
          </w:p>
        </w:tc>
      </w:tr>
      <w:tr w:rsidR="00D85251" w:rsidRPr="001B1399" w14:paraId="2CDDFF75"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47A6C44" w14:textId="77777777" w:rsidR="00D85251" w:rsidRPr="001B1399" w:rsidRDefault="00D85251" w:rsidP="00816475">
            <w:pPr>
              <w:pStyle w:val="TableBodyText"/>
            </w:pPr>
            <w:r w:rsidRPr="001B1399">
              <w:t>EPA-9338</w:t>
            </w:r>
          </w:p>
        </w:tc>
        <w:tc>
          <w:tcPr>
            <w:tcW w:w="818" w:type="dxa"/>
            <w:tcBorders>
              <w:top w:val="dotted" w:sz="4" w:space="0" w:color="auto"/>
              <w:left w:val="nil"/>
              <w:bottom w:val="dotted" w:sz="4" w:space="0" w:color="auto"/>
              <w:right w:val="nil"/>
            </w:tcBorders>
            <w:shd w:val="clear" w:color="auto" w:fill="auto"/>
            <w:vAlign w:val="center"/>
            <w:hideMark/>
          </w:tcPr>
          <w:p w14:paraId="17987321"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4E85675E"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6EDB6BB2"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2BF70BD"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35550436"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198F67B5"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2D8A474C" w14:textId="77777777" w:rsidR="00D85251" w:rsidRPr="001B1399" w:rsidRDefault="00D85251" w:rsidP="00816475">
            <w:pPr>
              <w:pStyle w:val="TableBodyText"/>
            </w:pPr>
            <w:r w:rsidRPr="001B1399">
              <w:t>11.98</w:t>
            </w:r>
          </w:p>
        </w:tc>
      </w:tr>
      <w:tr w:rsidR="00D85251" w:rsidRPr="001B1399" w14:paraId="4DE38F14"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B9E04F8" w14:textId="77777777" w:rsidR="00D85251" w:rsidRPr="001B1399" w:rsidRDefault="00D85251" w:rsidP="00816475">
            <w:pPr>
              <w:pStyle w:val="TableBodyText"/>
            </w:pPr>
            <w:r w:rsidRPr="001B1399">
              <w:t>EPA-9340</w:t>
            </w:r>
          </w:p>
        </w:tc>
        <w:tc>
          <w:tcPr>
            <w:tcW w:w="818" w:type="dxa"/>
            <w:tcBorders>
              <w:top w:val="dotted" w:sz="4" w:space="0" w:color="auto"/>
              <w:left w:val="nil"/>
              <w:bottom w:val="dotted" w:sz="4" w:space="0" w:color="auto"/>
              <w:right w:val="nil"/>
            </w:tcBorders>
            <w:shd w:val="clear" w:color="auto" w:fill="auto"/>
            <w:vAlign w:val="center"/>
            <w:hideMark/>
          </w:tcPr>
          <w:p w14:paraId="58317349"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7C20A583"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0B7A854F"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658DEC5"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4A6718D0"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702FB71B"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19074F3" w14:textId="77777777" w:rsidR="00D85251" w:rsidRPr="001B1399" w:rsidRDefault="00D85251" w:rsidP="00816475">
            <w:pPr>
              <w:pStyle w:val="TableBodyText"/>
            </w:pPr>
            <w:r w:rsidRPr="001B1399">
              <w:t>0</w:t>
            </w:r>
          </w:p>
        </w:tc>
      </w:tr>
      <w:tr w:rsidR="00D85251" w:rsidRPr="001B1399" w14:paraId="45250C1E"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DF4D566" w14:textId="77777777" w:rsidR="00D85251" w:rsidRPr="001B1399" w:rsidRDefault="00D85251" w:rsidP="00816475">
            <w:pPr>
              <w:pStyle w:val="TableBodyText"/>
            </w:pPr>
            <w:r w:rsidRPr="001B1399">
              <w:t>EPA-9341</w:t>
            </w:r>
          </w:p>
        </w:tc>
        <w:tc>
          <w:tcPr>
            <w:tcW w:w="818" w:type="dxa"/>
            <w:tcBorders>
              <w:top w:val="dotted" w:sz="4" w:space="0" w:color="auto"/>
              <w:left w:val="nil"/>
              <w:bottom w:val="dotted" w:sz="4" w:space="0" w:color="auto"/>
              <w:right w:val="nil"/>
            </w:tcBorders>
            <w:shd w:val="clear" w:color="auto" w:fill="auto"/>
            <w:vAlign w:val="center"/>
            <w:hideMark/>
          </w:tcPr>
          <w:p w14:paraId="24AB6972"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5EF90784"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12A22946"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2161F7E"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55C32666"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3AA4FA2F"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661EC2D3" w14:textId="77777777" w:rsidR="00D85251" w:rsidRPr="001B1399" w:rsidRDefault="00D85251" w:rsidP="00816475">
            <w:pPr>
              <w:pStyle w:val="TableBodyText"/>
            </w:pPr>
            <w:r w:rsidRPr="001B1399">
              <w:t>28.51, 16.60, 30.21, 27.23</w:t>
            </w:r>
          </w:p>
        </w:tc>
      </w:tr>
      <w:tr w:rsidR="00D85251" w:rsidRPr="001B1399" w14:paraId="20B0B6CB"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94EB137" w14:textId="77777777" w:rsidR="00D85251" w:rsidRPr="001B1399" w:rsidRDefault="00D85251" w:rsidP="00816475">
            <w:pPr>
              <w:pStyle w:val="TableBodyText"/>
            </w:pPr>
            <w:r w:rsidRPr="001B1399">
              <w:t>EPA-9344</w:t>
            </w:r>
          </w:p>
        </w:tc>
        <w:tc>
          <w:tcPr>
            <w:tcW w:w="818" w:type="dxa"/>
            <w:tcBorders>
              <w:top w:val="dotted" w:sz="4" w:space="0" w:color="auto"/>
              <w:left w:val="nil"/>
              <w:bottom w:val="dotted" w:sz="4" w:space="0" w:color="auto"/>
              <w:right w:val="nil"/>
            </w:tcBorders>
            <w:shd w:val="clear" w:color="auto" w:fill="auto"/>
            <w:vAlign w:val="center"/>
            <w:hideMark/>
          </w:tcPr>
          <w:p w14:paraId="1AF16E6A"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3B258D68"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2AAEB1C3"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0AE65DA9"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42A3CB60"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20BDF772"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32CA9486" w14:textId="77777777" w:rsidR="00D85251" w:rsidRPr="001B1399" w:rsidRDefault="00D85251" w:rsidP="00816475">
            <w:pPr>
              <w:pStyle w:val="TableBodyText"/>
            </w:pPr>
            <w:r w:rsidRPr="001B1399">
              <w:t>0</w:t>
            </w:r>
          </w:p>
        </w:tc>
      </w:tr>
      <w:tr w:rsidR="00D85251" w:rsidRPr="001B1399" w14:paraId="3A184EEB"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661429E" w14:textId="77777777" w:rsidR="00D85251" w:rsidRPr="001B1399" w:rsidRDefault="00D85251" w:rsidP="00816475">
            <w:pPr>
              <w:pStyle w:val="TableBodyText"/>
            </w:pPr>
            <w:r w:rsidRPr="001B1399">
              <w:t>EPA-9349</w:t>
            </w:r>
          </w:p>
        </w:tc>
        <w:tc>
          <w:tcPr>
            <w:tcW w:w="818" w:type="dxa"/>
            <w:tcBorders>
              <w:top w:val="dotted" w:sz="4" w:space="0" w:color="auto"/>
              <w:left w:val="nil"/>
              <w:bottom w:val="dotted" w:sz="4" w:space="0" w:color="auto"/>
              <w:right w:val="nil"/>
            </w:tcBorders>
            <w:shd w:val="clear" w:color="auto" w:fill="auto"/>
            <w:vAlign w:val="center"/>
            <w:hideMark/>
          </w:tcPr>
          <w:p w14:paraId="4C457C11"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20B57BC2"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6D59844F"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1E35CBCE"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10D8501E"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55863DCD"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19FDD670" w14:textId="77777777" w:rsidR="00D85251" w:rsidRPr="001B1399" w:rsidRDefault="00D85251" w:rsidP="00816475">
            <w:pPr>
              <w:pStyle w:val="TableBodyText"/>
            </w:pPr>
            <w:r w:rsidRPr="001B1399">
              <w:t>5.52</w:t>
            </w:r>
          </w:p>
        </w:tc>
      </w:tr>
      <w:tr w:rsidR="00D85251" w:rsidRPr="001B1399" w14:paraId="112ABEA8"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1986B1B" w14:textId="77777777" w:rsidR="00D85251" w:rsidRPr="001B1399" w:rsidRDefault="00D85251" w:rsidP="00816475">
            <w:pPr>
              <w:pStyle w:val="TableBodyText"/>
            </w:pPr>
            <w:r w:rsidRPr="001B1399">
              <w:t>EPA-9350</w:t>
            </w:r>
          </w:p>
        </w:tc>
        <w:tc>
          <w:tcPr>
            <w:tcW w:w="818" w:type="dxa"/>
            <w:tcBorders>
              <w:top w:val="dotted" w:sz="4" w:space="0" w:color="auto"/>
              <w:left w:val="nil"/>
              <w:bottom w:val="dotted" w:sz="4" w:space="0" w:color="auto"/>
              <w:right w:val="nil"/>
            </w:tcBorders>
            <w:shd w:val="clear" w:color="auto" w:fill="auto"/>
            <w:vAlign w:val="center"/>
            <w:hideMark/>
          </w:tcPr>
          <w:p w14:paraId="5F51CD90"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6047F696"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43CBBA33"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9B30AF8"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64B8C121"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1ED604B4"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137F2E95" w14:textId="77777777" w:rsidR="00D85251" w:rsidRPr="001B1399" w:rsidRDefault="00D85251" w:rsidP="00816475">
            <w:pPr>
              <w:pStyle w:val="TableBodyText"/>
            </w:pPr>
            <w:r w:rsidRPr="001B1399">
              <w:t>22.03</w:t>
            </w:r>
          </w:p>
        </w:tc>
      </w:tr>
      <w:tr w:rsidR="00D85251" w:rsidRPr="001B1399" w14:paraId="437F2004"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FE0F32C" w14:textId="77777777" w:rsidR="00D85251" w:rsidRPr="001B1399" w:rsidRDefault="00D85251" w:rsidP="00816475">
            <w:pPr>
              <w:pStyle w:val="TableBodyText"/>
            </w:pPr>
            <w:r w:rsidRPr="001B1399">
              <w:t>EPA-9356</w:t>
            </w:r>
          </w:p>
        </w:tc>
        <w:tc>
          <w:tcPr>
            <w:tcW w:w="818" w:type="dxa"/>
            <w:tcBorders>
              <w:top w:val="dotted" w:sz="4" w:space="0" w:color="auto"/>
              <w:left w:val="nil"/>
              <w:bottom w:val="dotted" w:sz="4" w:space="0" w:color="auto"/>
              <w:right w:val="nil"/>
            </w:tcBorders>
            <w:shd w:val="clear" w:color="auto" w:fill="auto"/>
            <w:vAlign w:val="center"/>
            <w:hideMark/>
          </w:tcPr>
          <w:p w14:paraId="63DDA50A"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49116A77"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3C2E3E68"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551CFA31"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53B6FE8B"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2E50050C"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4EDE5C13" w14:textId="77777777" w:rsidR="00D85251" w:rsidRPr="001B1399" w:rsidRDefault="00D85251" w:rsidP="00816475">
            <w:pPr>
              <w:pStyle w:val="TableBodyText"/>
            </w:pPr>
            <w:r w:rsidRPr="001B1399">
              <w:t>7.47</w:t>
            </w:r>
          </w:p>
        </w:tc>
      </w:tr>
      <w:tr w:rsidR="00D85251" w:rsidRPr="001B1399" w14:paraId="349162E0"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EFC0E7E" w14:textId="77777777" w:rsidR="00D85251" w:rsidRPr="001B1399" w:rsidRDefault="00D85251" w:rsidP="00816475">
            <w:pPr>
              <w:pStyle w:val="TableBodyText"/>
            </w:pPr>
            <w:r w:rsidRPr="001B1399">
              <w:t>EPA-9367</w:t>
            </w:r>
          </w:p>
        </w:tc>
        <w:tc>
          <w:tcPr>
            <w:tcW w:w="818" w:type="dxa"/>
            <w:tcBorders>
              <w:top w:val="dotted" w:sz="4" w:space="0" w:color="auto"/>
              <w:left w:val="nil"/>
              <w:bottom w:val="dotted" w:sz="4" w:space="0" w:color="auto"/>
              <w:right w:val="nil"/>
            </w:tcBorders>
            <w:shd w:val="clear" w:color="auto" w:fill="auto"/>
            <w:vAlign w:val="center"/>
            <w:hideMark/>
          </w:tcPr>
          <w:p w14:paraId="26C4FE32"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6E5898E8"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57EEE6D4"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031A383F"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1FEC8B93"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50B35335"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0A8BE9B4" w14:textId="77777777" w:rsidR="00D85251" w:rsidRPr="001B1399" w:rsidRDefault="00D85251" w:rsidP="00816475">
            <w:pPr>
              <w:pStyle w:val="TableBodyText"/>
            </w:pPr>
            <w:r w:rsidRPr="001B1399">
              <w:t>16.02</w:t>
            </w:r>
          </w:p>
        </w:tc>
      </w:tr>
      <w:tr w:rsidR="00D85251" w:rsidRPr="001B1399" w14:paraId="46A24DDD"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488B05F7" w14:textId="77777777" w:rsidR="00D85251" w:rsidRPr="001B1399" w:rsidRDefault="00D85251" w:rsidP="00816475">
            <w:pPr>
              <w:pStyle w:val="TableBodyText"/>
            </w:pPr>
            <w:r w:rsidRPr="001B1399">
              <w:t>EPA-9371</w:t>
            </w:r>
          </w:p>
        </w:tc>
        <w:tc>
          <w:tcPr>
            <w:tcW w:w="818" w:type="dxa"/>
            <w:tcBorders>
              <w:top w:val="dotted" w:sz="4" w:space="0" w:color="auto"/>
              <w:left w:val="nil"/>
              <w:bottom w:val="dotted" w:sz="4" w:space="0" w:color="auto"/>
              <w:right w:val="nil"/>
            </w:tcBorders>
            <w:shd w:val="clear" w:color="auto" w:fill="auto"/>
            <w:vAlign w:val="center"/>
            <w:hideMark/>
          </w:tcPr>
          <w:p w14:paraId="18709F5D"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339E62F7"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5E476FB3"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5951B4A"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7444C9FC"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0E05BC2A"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0D10553A" w14:textId="77777777" w:rsidR="00D85251" w:rsidRPr="001B1399" w:rsidRDefault="00D85251" w:rsidP="00816475">
            <w:pPr>
              <w:pStyle w:val="TableBodyText"/>
            </w:pPr>
            <w:r w:rsidRPr="001B1399">
              <w:t>1.4</w:t>
            </w:r>
          </w:p>
        </w:tc>
      </w:tr>
      <w:tr w:rsidR="00D85251" w:rsidRPr="001B1399" w14:paraId="62F9F2C0"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B91EF2D" w14:textId="77777777" w:rsidR="00D85251" w:rsidRPr="001B1399" w:rsidRDefault="00D85251" w:rsidP="00816475">
            <w:pPr>
              <w:pStyle w:val="TableBodyText"/>
            </w:pPr>
            <w:r w:rsidRPr="001B1399">
              <w:t>EPA-9376</w:t>
            </w:r>
          </w:p>
        </w:tc>
        <w:tc>
          <w:tcPr>
            <w:tcW w:w="818" w:type="dxa"/>
            <w:tcBorders>
              <w:top w:val="dotted" w:sz="4" w:space="0" w:color="auto"/>
              <w:left w:val="nil"/>
              <w:bottom w:val="dotted" w:sz="4" w:space="0" w:color="auto"/>
              <w:right w:val="nil"/>
            </w:tcBorders>
            <w:shd w:val="clear" w:color="auto" w:fill="auto"/>
            <w:vAlign w:val="center"/>
            <w:hideMark/>
          </w:tcPr>
          <w:p w14:paraId="08916DAA"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4E28BDD7"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0C07CBF5"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22282A3B"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79E8E40F"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7682105A"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6BA451A" w14:textId="77777777" w:rsidR="00D85251" w:rsidRPr="001B1399" w:rsidRDefault="00D85251" w:rsidP="00816475">
            <w:pPr>
              <w:pStyle w:val="TableBodyText"/>
            </w:pPr>
            <w:r w:rsidRPr="001B1399">
              <w:t>12.75</w:t>
            </w:r>
          </w:p>
        </w:tc>
      </w:tr>
      <w:tr w:rsidR="00D85251" w:rsidRPr="001B1399" w14:paraId="105DF3B7"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9E296C7" w14:textId="77777777" w:rsidR="00D85251" w:rsidRPr="001B1399" w:rsidRDefault="00D85251" w:rsidP="00816475">
            <w:pPr>
              <w:pStyle w:val="TableBodyText"/>
            </w:pPr>
            <w:r w:rsidRPr="001B1399">
              <w:t>EPA-9379</w:t>
            </w:r>
          </w:p>
        </w:tc>
        <w:tc>
          <w:tcPr>
            <w:tcW w:w="818" w:type="dxa"/>
            <w:tcBorders>
              <w:top w:val="dotted" w:sz="4" w:space="0" w:color="auto"/>
              <w:left w:val="nil"/>
              <w:bottom w:val="dotted" w:sz="4" w:space="0" w:color="auto"/>
              <w:right w:val="nil"/>
            </w:tcBorders>
            <w:shd w:val="clear" w:color="auto" w:fill="auto"/>
            <w:vAlign w:val="center"/>
            <w:hideMark/>
          </w:tcPr>
          <w:p w14:paraId="74BF20C3"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6358DC30"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6304074F"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2C9954CA"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1156A33A"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43C09361"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4DE2C9A1" w14:textId="77777777" w:rsidR="00D85251" w:rsidRPr="001B1399" w:rsidRDefault="00D85251" w:rsidP="00816475">
            <w:pPr>
              <w:pStyle w:val="TableBodyText"/>
            </w:pPr>
            <w:r w:rsidRPr="001B1399">
              <w:t>11.24</w:t>
            </w:r>
          </w:p>
        </w:tc>
      </w:tr>
      <w:tr w:rsidR="00D85251" w:rsidRPr="001B1399" w14:paraId="12E2815F"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F5B7F3B" w14:textId="77777777" w:rsidR="00D85251" w:rsidRPr="001B1399" w:rsidRDefault="00D85251" w:rsidP="00816475">
            <w:pPr>
              <w:pStyle w:val="TableBodyText"/>
            </w:pPr>
            <w:r w:rsidRPr="001B1399">
              <w:t>EPA-9381</w:t>
            </w:r>
          </w:p>
        </w:tc>
        <w:tc>
          <w:tcPr>
            <w:tcW w:w="818" w:type="dxa"/>
            <w:tcBorders>
              <w:top w:val="dotted" w:sz="4" w:space="0" w:color="auto"/>
              <w:left w:val="nil"/>
              <w:bottom w:val="dotted" w:sz="4" w:space="0" w:color="auto"/>
              <w:right w:val="nil"/>
            </w:tcBorders>
            <w:shd w:val="clear" w:color="auto" w:fill="auto"/>
            <w:vAlign w:val="center"/>
            <w:hideMark/>
          </w:tcPr>
          <w:p w14:paraId="742CECC5"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7A8448F5"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3FEFE7E6"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1A036FF"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2A6AC9AD"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5DC7C132"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534B82B7" w14:textId="77777777" w:rsidR="00D85251" w:rsidRPr="001B1399" w:rsidRDefault="00D85251" w:rsidP="00816475">
            <w:pPr>
              <w:pStyle w:val="TableBodyText"/>
            </w:pPr>
            <w:r w:rsidRPr="001B1399">
              <w:t>4.53</w:t>
            </w:r>
          </w:p>
        </w:tc>
      </w:tr>
      <w:tr w:rsidR="00D85251" w:rsidRPr="001B1399" w14:paraId="65E002F1"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1689D9A7" w14:textId="77777777" w:rsidR="00D85251" w:rsidRPr="001B1399" w:rsidRDefault="00D85251" w:rsidP="00816475">
            <w:pPr>
              <w:pStyle w:val="TableBodyText"/>
            </w:pPr>
            <w:r w:rsidRPr="001B1399">
              <w:t>EPA-9382</w:t>
            </w:r>
          </w:p>
        </w:tc>
        <w:tc>
          <w:tcPr>
            <w:tcW w:w="818" w:type="dxa"/>
            <w:tcBorders>
              <w:top w:val="dotted" w:sz="4" w:space="0" w:color="auto"/>
              <w:left w:val="nil"/>
              <w:bottom w:val="dotted" w:sz="4" w:space="0" w:color="auto"/>
              <w:right w:val="nil"/>
            </w:tcBorders>
            <w:shd w:val="clear" w:color="auto" w:fill="auto"/>
            <w:vAlign w:val="center"/>
            <w:hideMark/>
          </w:tcPr>
          <w:p w14:paraId="416FA1BA"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729C300A"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6CEBD6CF"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2E9CA1AF"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49F3925C"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2042C0D2"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3BEBF342" w14:textId="77777777" w:rsidR="00D85251" w:rsidRPr="001B1399" w:rsidRDefault="00D85251" w:rsidP="00816475">
            <w:pPr>
              <w:pStyle w:val="TableBodyText"/>
            </w:pPr>
            <w:r w:rsidRPr="001B1399">
              <w:t>6.55</w:t>
            </w:r>
          </w:p>
        </w:tc>
      </w:tr>
      <w:tr w:rsidR="00D85251" w:rsidRPr="001B1399" w14:paraId="49A0CED7"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DDDBAD4" w14:textId="77777777" w:rsidR="00D85251" w:rsidRPr="001B1399" w:rsidRDefault="00D85251" w:rsidP="00816475">
            <w:pPr>
              <w:pStyle w:val="TableBodyText"/>
            </w:pPr>
            <w:r w:rsidRPr="001B1399">
              <w:t>EPA-9384</w:t>
            </w:r>
          </w:p>
        </w:tc>
        <w:tc>
          <w:tcPr>
            <w:tcW w:w="818" w:type="dxa"/>
            <w:tcBorders>
              <w:top w:val="dotted" w:sz="4" w:space="0" w:color="auto"/>
              <w:left w:val="nil"/>
              <w:bottom w:val="dotted" w:sz="4" w:space="0" w:color="auto"/>
              <w:right w:val="nil"/>
            </w:tcBorders>
            <w:shd w:val="clear" w:color="auto" w:fill="auto"/>
            <w:vAlign w:val="center"/>
            <w:hideMark/>
          </w:tcPr>
          <w:p w14:paraId="1E554AB5"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491FC69D"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63134C1A"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65B5DD4"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2A2B8CCC"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63C52E79"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1E94B2EC" w14:textId="77777777" w:rsidR="00D85251" w:rsidRPr="001B1399" w:rsidRDefault="00D85251" w:rsidP="00816475">
            <w:pPr>
              <w:pStyle w:val="TableBodyText"/>
            </w:pPr>
            <w:r w:rsidRPr="001B1399">
              <w:t>24.86, 39.88, 25.43</w:t>
            </w:r>
          </w:p>
        </w:tc>
      </w:tr>
      <w:tr w:rsidR="00D85251" w:rsidRPr="001B1399" w14:paraId="3D87129A"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92BF668" w14:textId="77777777" w:rsidR="00D85251" w:rsidRPr="001B1399" w:rsidRDefault="00D85251" w:rsidP="00816475">
            <w:pPr>
              <w:pStyle w:val="TableBodyText"/>
            </w:pPr>
            <w:r w:rsidRPr="001B1399">
              <w:t>EPA-9402</w:t>
            </w:r>
          </w:p>
        </w:tc>
        <w:tc>
          <w:tcPr>
            <w:tcW w:w="818" w:type="dxa"/>
            <w:tcBorders>
              <w:top w:val="dotted" w:sz="4" w:space="0" w:color="auto"/>
              <w:left w:val="nil"/>
              <w:bottom w:val="dotted" w:sz="4" w:space="0" w:color="auto"/>
              <w:right w:val="nil"/>
            </w:tcBorders>
            <w:shd w:val="clear" w:color="auto" w:fill="auto"/>
            <w:vAlign w:val="center"/>
            <w:hideMark/>
          </w:tcPr>
          <w:p w14:paraId="6698C7A0"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0E2F28C8"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423C4A76"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1E01677D"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36EBD8FD"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10F02CB1"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68EF406A" w14:textId="77777777" w:rsidR="00D85251" w:rsidRPr="001B1399" w:rsidRDefault="00D85251" w:rsidP="00816475">
            <w:pPr>
              <w:pStyle w:val="TableBodyText"/>
            </w:pPr>
            <w:r w:rsidRPr="001B1399">
              <w:t>5.73</w:t>
            </w:r>
          </w:p>
        </w:tc>
      </w:tr>
      <w:tr w:rsidR="00D85251" w:rsidRPr="001B1399" w14:paraId="4104C0FF"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01E16D99" w14:textId="77777777" w:rsidR="00D85251" w:rsidRPr="001B1399" w:rsidRDefault="00D85251" w:rsidP="00816475">
            <w:pPr>
              <w:pStyle w:val="TableBodyText"/>
            </w:pPr>
            <w:r w:rsidRPr="001B1399">
              <w:t>EPA-9409</w:t>
            </w:r>
          </w:p>
        </w:tc>
        <w:tc>
          <w:tcPr>
            <w:tcW w:w="818" w:type="dxa"/>
            <w:tcBorders>
              <w:top w:val="dotted" w:sz="4" w:space="0" w:color="auto"/>
              <w:left w:val="nil"/>
              <w:bottom w:val="dotted" w:sz="4" w:space="0" w:color="auto"/>
              <w:right w:val="nil"/>
            </w:tcBorders>
            <w:shd w:val="clear" w:color="auto" w:fill="auto"/>
            <w:vAlign w:val="center"/>
            <w:hideMark/>
          </w:tcPr>
          <w:p w14:paraId="40363D48"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7BD9BD8F"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6B4A15F3"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143906FD"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6ACDC730"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735F6DE0"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2F072AE1" w14:textId="77777777" w:rsidR="00D85251" w:rsidRPr="001B1399" w:rsidRDefault="00D85251" w:rsidP="00816475">
            <w:pPr>
              <w:pStyle w:val="TableBodyText"/>
            </w:pPr>
            <w:r w:rsidRPr="001B1399">
              <w:t>0</w:t>
            </w:r>
          </w:p>
        </w:tc>
      </w:tr>
      <w:tr w:rsidR="00D85251" w:rsidRPr="001B1399" w14:paraId="3C381D4B"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6E6CC682" w14:textId="77777777" w:rsidR="00D85251" w:rsidRPr="001B1399" w:rsidRDefault="00D85251" w:rsidP="00816475">
            <w:pPr>
              <w:pStyle w:val="TableBodyText"/>
            </w:pPr>
            <w:r w:rsidRPr="001B1399">
              <w:t>EPA-9410</w:t>
            </w:r>
          </w:p>
        </w:tc>
        <w:tc>
          <w:tcPr>
            <w:tcW w:w="818" w:type="dxa"/>
            <w:tcBorders>
              <w:top w:val="dotted" w:sz="4" w:space="0" w:color="auto"/>
              <w:left w:val="nil"/>
              <w:bottom w:val="dotted" w:sz="4" w:space="0" w:color="auto"/>
              <w:right w:val="nil"/>
            </w:tcBorders>
            <w:shd w:val="clear" w:color="auto" w:fill="auto"/>
            <w:vAlign w:val="center"/>
            <w:hideMark/>
          </w:tcPr>
          <w:p w14:paraId="5E085B31"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019F4B49"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5717D2E2"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48021E1D"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144A2710"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7BC95332"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589A2D1" w14:textId="77777777" w:rsidR="00D85251" w:rsidRPr="001B1399" w:rsidRDefault="00D85251" w:rsidP="00816475">
            <w:pPr>
              <w:pStyle w:val="TableBodyText"/>
            </w:pPr>
            <w:r w:rsidRPr="001B1399">
              <w:t>2.82</w:t>
            </w:r>
          </w:p>
        </w:tc>
      </w:tr>
      <w:tr w:rsidR="00D85251" w:rsidRPr="001B1399" w14:paraId="26939420"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4FC89957" w14:textId="77777777" w:rsidR="00D85251" w:rsidRPr="001B1399" w:rsidRDefault="00D85251" w:rsidP="00816475">
            <w:pPr>
              <w:pStyle w:val="TableBodyText"/>
            </w:pPr>
            <w:r w:rsidRPr="001B1399">
              <w:t>EPA-9425</w:t>
            </w:r>
          </w:p>
        </w:tc>
        <w:tc>
          <w:tcPr>
            <w:tcW w:w="818" w:type="dxa"/>
            <w:tcBorders>
              <w:top w:val="dotted" w:sz="4" w:space="0" w:color="auto"/>
              <w:left w:val="nil"/>
              <w:bottom w:val="dotted" w:sz="4" w:space="0" w:color="auto"/>
              <w:right w:val="nil"/>
            </w:tcBorders>
            <w:shd w:val="clear" w:color="auto" w:fill="auto"/>
            <w:vAlign w:val="center"/>
            <w:hideMark/>
          </w:tcPr>
          <w:p w14:paraId="5DAF894D"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323341FD"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737759C7"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44BC2373"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00A8CBDF"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66A1DC5D"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6A8FB805" w14:textId="77777777" w:rsidR="00D85251" w:rsidRPr="001B1399" w:rsidRDefault="00D85251" w:rsidP="00816475">
            <w:pPr>
              <w:pStyle w:val="TableBodyText"/>
            </w:pPr>
            <w:r w:rsidRPr="001B1399">
              <w:t>19.71, 20.00</w:t>
            </w:r>
          </w:p>
        </w:tc>
      </w:tr>
      <w:tr w:rsidR="00D85251" w:rsidRPr="001B1399" w14:paraId="06C3FE66"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06A65038" w14:textId="77777777" w:rsidR="00D85251" w:rsidRPr="001B1399" w:rsidRDefault="00D85251" w:rsidP="00816475">
            <w:pPr>
              <w:pStyle w:val="TableBodyText"/>
            </w:pPr>
            <w:r w:rsidRPr="001B1399">
              <w:t>EPA-9429</w:t>
            </w:r>
          </w:p>
        </w:tc>
        <w:tc>
          <w:tcPr>
            <w:tcW w:w="818" w:type="dxa"/>
            <w:tcBorders>
              <w:top w:val="dotted" w:sz="4" w:space="0" w:color="auto"/>
              <w:left w:val="nil"/>
              <w:bottom w:val="dotted" w:sz="4" w:space="0" w:color="auto"/>
              <w:right w:val="nil"/>
            </w:tcBorders>
            <w:shd w:val="clear" w:color="auto" w:fill="auto"/>
            <w:vAlign w:val="center"/>
            <w:hideMark/>
          </w:tcPr>
          <w:p w14:paraId="3560177C"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4271D127"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2371AE98"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5B43C67F"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5222E8B4"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204610D1"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3AFFEA15" w14:textId="77777777" w:rsidR="00D85251" w:rsidRPr="001B1399" w:rsidRDefault="00D85251" w:rsidP="00816475">
            <w:pPr>
              <w:pStyle w:val="TableBodyText"/>
            </w:pPr>
            <w:r w:rsidRPr="001B1399">
              <w:t>6.96</w:t>
            </w:r>
          </w:p>
        </w:tc>
      </w:tr>
      <w:tr w:rsidR="00D85251" w:rsidRPr="001B1399" w14:paraId="00A68CC8"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8034F92" w14:textId="77777777" w:rsidR="00D85251" w:rsidRPr="001B1399" w:rsidRDefault="00D85251" w:rsidP="00816475">
            <w:pPr>
              <w:pStyle w:val="TableBodyText"/>
            </w:pPr>
            <w:r w:rsidRPr="001B1399">
              <w:t>EPA-9432</w:t>
            </w:r>
          </w:p>
        </w:tc>
        <w:tc>
          <w:tcPr>
            <w:tcW w:w="818" w:type="dxa"/>
            <w:tcBorders>
              <w:top w:val="dotted" w:sz="4" w:space="0" w:color="auto"/>
              <w:left w:val="nil"/>
              <w:bottom w:val="dotted" w:sz="4" w:space="0" w:color="auto"/>
              <w:right w:val="nil"/>
            </w:tcBorders>
            <w:shd w:val="clear" w:color="auto" w:fill="auto"/>
            <w:vAlign w:val="center"/>
            <w:hideMark/>
          </w:tcPr>
          <w:p w14:paraId="22105694"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67D62AA1"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1E2E4B8A"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114B9EF"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432DE6A2"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52F5A267"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3464232F" w14:textId="77777777" w:rsidR="00D85251" w:rsidRPr="001B1399" w:rsidRDefault="00D85251" w:rsidP="00816475">
            <w:pPr>
              <w:pStyle w:val="TableBodyText"/>
            </w:pPr>
            <w:r w:rsidRPr="001B1399">
              <w:t>9.04</w:t>
            </w:r>
          </w:p>
        </w:tc>
      </w:tr>
      <w:tr w:rsidR="00D85251" w:rsidRPr="001B1399" w14:paraId="05EB0408"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10738BCF" w14:textId="77777777" w:rsidR="00D85251" w:rsidRPr="001B1399" w:rsidRDefault="00D85251" w:rsidP="00816475">
            <w:pPr>
              <w:pStyle w:val="TableBodyText"/>
            </w:pPr>
            <w:r w:rsidRPr="001B1399">
              <w:t>EPA-9436</w:t>
            </w:r>
          </w:p>
        </w:tc>
        <w:tc>
          <w:tcPr>
            <w:tcW w:w="818" w:type="dxa"/>
            <w:tcBorders>
              <w:top w:val="dotted" w:sz="4" w:space="0" w:color="auto"/>
              <w:left w:val="nil"/>
              <w:bottom w:val="dotted" w:sz="4" w:space="0" w:color="auto"/>
              <w:right w:val="nil"/>
            </w:tcBorders>
            <w:shd w:val="clear" w:color="auto" w:fill="auto"/>
            <w:vAlign w:val="center"/>
            <w:hideMark/>
          </w:tcPr>
          <w:p w14:paraId="3BC72BB0"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62E3D9B6"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5A240A4F"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33AC67D2"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7817A513"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3E24B62D"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216DA1F5" w14:textId="77777777" w:rsidR="00D85251" w:rsidRPr="001B1399" w:rsidRDefault="00D85251" w:rsidP="00816475">
            <w:pPr>
              <w:pStyle w:val="TableBodyText"/>
            </w:pPr>
            <w:r w:rsidRPr="001B1399">
              <w:t>21.33</w:t>
            </w:r>
          </w:p>
        </w:tc>
      </w:tr>
      <w:tr w:rsidR="00D85251" w:rsidRPr="001B1399" w14:paraId="5AEAB4DD"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4065A16" w14:textId="77777777" w:rsidR="00D85251" w:rsidRPr="001B1399" w:rsidRDefault="00D85251" w:rsidP="00816475">
            <w:pPr>
              <w:pStyle w:val="TableBodyText"/>
            </w:pPr>
            <w:r w:rsidRPr="001B1399">
              <w:t>EPA-9439</w:t>
            </w:r>
          </w:p>
        </w:tc>
        <w:tc>
          <w:tcPr>
            <w:tcW w:w="818" w:type="dxa"/>
            <w:tcBorders>
              <w:top w:val="dotted" w:sz="4" w:space="0" w:color="auto"/>
              <w:left w:val="nil"/>
              <w:bottom w:val="dotted" w:sz="4" w:space="0" w:color="auto"/>
              <w:right w:val="nil"/>
            </w:tcBorders>
            <w:shd w:val="clear" w:color="auto" w:fill="auto"/>
            <w:vAlign w:val="center"/>
            <w:hideMark/>
          </w:tcPr>
          <w:p w14:paraId="22BAB3CB"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6F903641"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0A7E4EB5"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2A9E293B"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10A08E1C"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7A787B32"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B1B21C0" w14:textId="77777777" w:rsidR="00D85251" w:rsidRPr="001B1399" w:rsidRDefault="00D85251" w:rsidP="00816475">
            <w:pPr>
              <w:pStyle w:val="TableBodyText"/>
            </w:pPr>
            <w:r w:rsidRPr="001B1399">
              <w:t>14.81</w:t>
            </w:r>
          </w:p>
        </w:tc>
      </w:tr>
      <w:tr w:rsidR="00D85251" w:rsidRPr="001B1399" w14:paraId="1B1B826B"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92974B3" w14:textId="77777777" w:rsidR="00D85251" w:rsidRPr="001B1399" w:rsidRDefault="00D85251" w:rsidP="00816475">
            <w:pPr>
              <w:pStyle w:val="TableBodyText"/>
            </w:pPr>
            <w:r w:rsidRPr="001B1399">
              <w:t>EPA-9445</w:t>
            </w:r>
          </w:p>
        </w:tc>
        <w:tc>
          <w:tcPr>
            <w:tcW w:w="818" w:type="dxa"/>
            <w:tcBorders>
              <w:top w:val="dotted" w:sz="4" w:space="0" w:color="auto"/>
              <w:left w:val="nil"/>
              <w:bottom w:val="dotted" w:sz="4" w:space="0" w:color="auto"/>
              <w:right w:val="nil"/>
            </w:tcBorders>
            <w:shd w:val="clear" w:color="auto" w:fill="auto"/>
            <w:vAlign w:val="center"/>
            <w:hideMark/>
          </w:tcPr>
          <w:p w14:paraId="466EDEE1"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26692E4A" w14:textId="77777777" w:rsidR="00D85251" w:rsidRPr="001B1399" w:rsidRDefault="00D85251" w:rsidP="00816475">
            <w:pPr>
              <w:pStyle w:val="TableBodyText"/>
            </w:pPr>
            <w:r w:rsidRPr="001B1399">
              <w:t>Non-toxic</w:t>
            </w:r>
            <w:r w:rsidRPr="001B1399">
              <w:rPr>
                <w:vertAlign w:val="superscript"/>
              </w:rPr>
              <w:t>[a]</w:t>
            </w:r>
          </w:p>
        </w:tc>
        <w:tc>
          <w:tcPr>
            <w:tcW w:w="717" w:type="dxa"/>
            <w:tcBorders>
              <w:top w:val="dotted" w:sz="4" w:space="0" w:color="auto"/>
              <w:left w:val="nil"/>
              <w:bottom w:val="dotted" w:sz="4" w:space="0" w:color="auto"/>
              <w:right w:val="nil"/>
            </w:tcBorders>
            <w:shd w:val="clear" w:color="auto" w:fill="auto"/>
            <w:vAlign w:val="center"/>
            <w:hideMark/>
          </w:tcPr>
          <w:p w14:paraId="2C218A7A"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1DCA29A3"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6FAC1858"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382EE8C5"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AA4B0B1" w14:textId="77777777" w:rsidR="00D85251" w:rsidRPr="001B1399" w:rsidRDefault="00D85251" w:rsidP="00816475">
            <w:pPr>
              <w:pStyle w:val="TableBodyText"/>
            </w:pPr>
            <w:r w:rsidRPr="001B1399">
              <w:t>5.08</w:t>
            </w:r>
          </w:p>
        </w:tc>
      </w:tr>
      <w:tr w:rsidR="00D85251" w:rsidRPr="001B1399" w14:paraId="3CF97422"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09671020" w14:textId="77777777" w:rsidR="00D85251" w:rsidRPr="001B1399" w:rsidRDefault="00D85251" w:rsidP="00816475">
            <w:pPr>
              <w:pStyle w:val="TableBodyText"/>
            </w:pPr>
            <w:r w:rsidRPr="001B1399">
              <w:t>EPA-9446</w:t>
            </w:r>
          </w:p>
        </w:tc>
        <w:tc>
          <w:tcPr>
            <w:tcW w:w="818" w:type="dxa"/>
            <w:tcBorders>
              <w:top w:val="dotted" w:sz="4" w:space="0" w:color="auto"/>
              <w:left w:val="nil"/>
              <w:bottom w:val="dotted" w:sz="4" w:space="0" w:color="auto"/>
              <w:right w:val="nil"/>
            </w:tcBorders>
            <w:shd w:val="clear" w:color="auto" w:fill="auto"/>
            <w:vAlign w:val="center"/>
            <w:hideMark/>
          </w:tcPr>
          <w:p w14:paraId="51E25984"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7390F823"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1B8C5918"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242A34A"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017F4938"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0B289C39"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2FFDF6FF" w14:textId="77777777" w:rsidR="00D85251" w:rsidRPr="001B1399" w:rsidRDefault="00D85251" w:rsidP="00816475">
            <w:pPr>
              <w:pStyle w:val="TableBodyText"/>
            </w:pPr>
            <w:r w:rsidRPr="001B1399">
              <w:t>19.37, 10.81</w:t>
            </w:r>
          </w:p>
        </w:tc>
      </w:tr>
      <w:tr w:rsidR="00D85251" w:rsidRPr="001B1399" w14:paraId="4356FDE2"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48E9163A" w14:textId="77777777" w:rsidR="00D85251" w:rsidRPr="001B1399" w:rsidRDefault="00D85251" w:rsidP="00816475">
            <w:pPr>
              <w:pStyle w:val="TableBodyText"/>
            </w:pPr>
            <w:r w:rsidRPr="001B1399">
              <w:t>EPA-9450</w:t>
            </w:r>
          </w:p>
        </w:tc>
        <w:tc>
          <w:tcPr>
            <w:tcW w:w="818" w:type="dxa"/>
            <w:tcBorders>
              <w:top w:val="dotted" w:sz="4" w:space="0" w:color="auto"/>
              <w:left w:val="nil"/>
              <w:bottom w:val="dotted" w:sz="4" w:space="0" w:color="auto"/>
              <w:right w:val="nil"/>
            </w:tcBorders>
            <w:shd w:val="clear" w:color="auto" w:fill="auto"/>
            <w:vAlign w:val="center"/>
            <w:hideMark/>
          </w:tcPr>
          <w:p w14:paraId="3106975F" w14:textId="77777777" w:rsidR="00D85251" w:rsidRPr="001B1399" w:rsidRDefault="00D85251" w:rsidP="00816475">
            <w:pPr>
              <w:pStyle w:val="TableBodyText"/>
            </w:pPr>
            <w:r w:rsidRPr="001B1399">
              <w:t>25</w:t>
            </w:r>
          </w:p>
        </w:tc>
        <w:tc>
          <w:tcPr>
            <w:tcW w:w="1317" w:type="dxa"/>
            <w:tcBorders>
              <w:top w:val="dotted" w:sz="4" w:space="0" w:color="auto"/>
              <w:left w:val="nil"/>
              <w:bottom w:val="dotted" w:sz="4" w:space="0" w:color="auto"/>
              <w:right w:val="nil"/>
            </w:tcBorders>
            <w:vAlign w:val="center"/>
          </w:tcPr>
          <w:p w14:paraId="64E9EB5B"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vAlign w:val="center"/>
            <w:hideMark/>
          </w:tcPr>
          <w:p w14:paraId="7CF6E5B6" w14:textId="77777777" w:rsidR="00D85251" w:rsidRPr="001B1399" w:rsidRDefault="00D85251" w:rsidP="00816475">
            <w:pPr>
              <w:pStyle w:val="TableBodyText"/>
            </w:pPr>
            <w:r w:rsidRPr="001B1399">
              <w:t>15.88</w:t>
            </w:r>
          </w:p>
        </w:tc>
        <w:tc>
          <w:tcPr>
            <w:tcW w:w="1172" w:type="dxa"/>
            <w:tcBorders>
              <w:top w:val="dotted" w:sz="4" w:space="0" w:color="auto"/>
              <w:left w:val="nil"/>
              <w:bottom w:val="dotted" w:sz="4" w:space="0" w:color="auto"/>
              <w:right w:val="nil"/>
            </w:tcBorders>
            <w:vAlign w:val="center"/>
          </w:tcPr>
          <w:p w14:paraId="26D76749"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30A23236" w14:textId="77777777" w:rsidR="00D85251" w:rsidRPr="001B1399" w:rsidRDefault="00D85251" w:rsidP="00816475">
            <w:pPr>
              <w:pStyle w:val="TableBodyText"/>
            </w:pPr>
            <w:r w:rsidRPr="001B1399">
              <w:t>0</w:t>
            </w:r>
          </w:p>
        </w:tc>
        <w:tc>
          <w:tcPr>
            <w:tcW w:w="1172" w:type="dxa"/>
            <w:tcBorders>
              <w:top w:val="dotted" w:sz="4" w:space="0" w:color="auto"/>
              <w:left w:val="nil"/>
              <w:bottom w:val="dotted" w:sz="4" w:space="0" w:color="auto"/>
              <w:right w:val="nil"/>
            </w:tcBorders>
            <w:vAlign w:val="center"/>
          </w:tcPr>
          <w:p w14:paraId="596D2186"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4AABFEB3" w14:textId="77777777" w:rsidR="00D85251" w:rsidRPr="001B1399" w:rsidRDefault="00D85251" w:rsidP="00816475">
            <w:pPr>
              <w:pStyle w:val="TableBodyText"/>
            </w:pPr>
            <w:r w:rsidRPr="001B1399">
              <w:t>13.92, 5.67, 65.98, 86.60, 78.87</w:t>
            </w:r>
          </w:p>
        </w:tc>
      </w:tr>
      <w:tr w:rsidR="00D85251" w:rsidRPr="001B1399" w14:paraId="4E537529"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B568D4E" w14:textId="77777777" w:rsidR="00D85251" w:rsidRPr="001B1399" w:rsidRDefault="00D85251" w:rsidP="00816475">
            <w:pPr>
              <w:pStyle w:val="TableBodyText"/>
            </w:pPr>
            <w:r w:rsidRPr="001B1399">
              <w:t>SMC1-A</w:t>
            </w:r>
          </w:p>
        </w:tc>
        <w:tc>
          <w:tcPr>
            <w:tcW w:w="818" w:type="dxa"/>
            <w:tcBorders>
              <w:top w:val="dotted" w:sz="4" w:space="0" w:color="auto"/>
              <w:left w:val="nil"/>
              <w:bottom w:val="dotted" w:sz="4" w:space="0" w:color="auto"/>
              <w:right w:val="nil"/>
            </w:tcBorders>
            <w:shd w:val="clear" w:color="auto" w:fill="auto"/>
            <w:noWrap/>
            <w:vAlign w:val="center"/>
            <w:hideMark/>
          </w:tcPr>
          <w:p w14:paraId="4277F11B"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0E6977BF"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7F23932E"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12D23FC7"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26E576B5"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4C07C72F"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61713036" w14:textId="77777777" w:rsidR="00D85251" w:rsidRPr="001B1399" w:rsidRDefault="00D85251" w:rsidP="00816475">
            <w:pPr>
              <w:pStyle w:val="TableBodyText"/>
            </w:pPr>
            <w:r w:rsidRPr="001B1399">
              <w:t>23.32</w:t>
            </w:r>
          </w:p>
        </w:tc>
      </w:tr>
      <w:tr w:rsidR="00D85251" w:rsidRPr="001B1399" w14:paraId="1A4873D7"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2C29529" w14:textId="77777777" w:rsidR="00D85251" w:rsidRPr="001B1399" w:rsidRDefault="00D85251" w:rsidP="00816475">
            <w:pPr>
              <w:pStyle w:val="TableBodyText"/>
            </w:pPr>
            <w:r w:rsidRPr="001B1399">
              <w:t>SMC1-B</w:t>
            </w:r>
          </w:p>
        </w:tc>
        <w:tc>
          <w:tcPr>
            <w:tcW w:w="818" w:type="dxa"/>
            <w:tcBorders>
              <w:top w:val="dotted" w:sz="4" w:space="0" w:color="auto"/>
              <w:left w:val="nil"/>
              <w:bottom w:val="dotted" w:sz="4" w:space="0" w:color="auto"/>
              <w:right w:val="nil"/>
            </w:tcBorders>
            <w:shd w:val="clear" w:color="auto" w:fill="auto"/>
            <w:vAlign w:val="center"/>
            <w:hideMark/>
          </w:tcPr>
          <w:p w14:paraId="2DE13BFC"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34C6F037"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4EFA3443"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6FB3D6B6"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6141054B"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1674EDC8"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1ED2DBD6" w14:textId="77777777" w:rsidR="00D85251" w:rsidRPr="001B1399" w:rsidRDefault="00D85251" w:rsidP="00816475">
            <w:pPr>
              <w:pStyle w:val="TableBodyText"/>
            </w:pPr>
            <w:r w:rsidRPr="001B1399">
              <w:t>13.46</w:t>
            </w:r>
          </w:p>
        </w:tc>
      </w:tr>
      <w:tr w:rsidR="00D85251" w:rsidRPr="001B1399" w14:paraId="522BC4A4"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6890C370" w14:textId="77777777" w:rsidR="00D85251" w:rsidRPr="001B1399" w:rsidRDefault="00D85251" w:rsidP="00816475">
            <w:pPr>
              <w:pStyle w:val="TableBodyText"/>
            </w:pPr>
            <w:r w:rsidRPr="001B1399">
              <w:t>SMC1-C</w:t>
            </w:r>
          </w:p>
        </w:tc>
        <w:tc>
          <w:tcPr>
            <w:tcW w:w="818" w:type="dxa"/>
            <w:tcBorders>
              <w:top w:val="dotted" w:sz="4" w:space="0" w:color="auto"/>
              <w:left w:val="nil"/>
              <w:bottom w:val="dotted" w:sz="4" w:space="0" w:color="auto"/>
              <w:right w:val="nil"/>
            </w:tcBorders>
            <w:shd w:val="clear" w:color="auto" w:fill="auto"/>
            <w:vAlign w:val="center"/>
            <w:hideMark/>
          </w:tcPr>
          <w:p w14:paraId="14A692B5"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5556D643"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7F669E21" w14:textId="77777777" w:rsidR="00D85251" w:rsidRPr="001B1399" w:rsidRDefault="00D85251" w:rsidP="00816475">
            <w:pPr>
              <w:pStyle w:val="TableBodyText"/>
            </w:pPr>
            <w:r w:rsidRPr="001B1399">
              <w:t>44.44</w:t>
            </w:r>
          </w:p>
        </w:tc>
        <w:tc>
          <w:tcPr>
            <w:tcW w:w="1172" w:type="dxa"/>
            <w:tcBorders>
              <w:top w:val="dotted" w:sz="4" w:space="0" w:color="auto"/>
              <w:left w:val="nil"/>
              <w:bottom w:val="dotted" w:sz="4" w:space="0" w:color="auto"/>
              <w:right w:val="nil"/>
            </w:tcBorders>
            <w:vAlign w:val="center"/>
          </w:tcPr>
          <w:p w14:paraId="1ECD575E"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469D82E5" w14:textId="77777777" w:rsidR="00D85251" w:rsidRPr="001B1399" w:rsidRDefault="00D85251" w:rsidP="00816475">
            <w:pPr>
              <w:pStyle w:val="TableBodyText"/>
            </w:pPr>
            <w:r w:rsidRPr="001B1399">
              <w:t>25</w:t>
            </w:r>
          </w:p>
        </w:tc>
        <w:tc>
          <w:tcPr>
            <w:tcW w:w="1172" w:type="dxa"/>
            <w:tcBorders>
              <w:top w:val="dotted" w:sz="4" w:space="0" w:color="auto"/>
              <w:left w:val="nil"/>
              <w:bottom w:val="dotted" w:sz="4" w:space="0" w:color="auto"/>
              <w:right w:val="nil"/>
            </w:tcBorders>
            <w:vAlign w:val="center"/>
          </w:tcPr>
          <w:p w14:paraId="23B36B8D"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3531CA54" w14:textId="77777777" w:rsidR="00D85251" w:rsidRPr="001B1399" w:rsidRDefault="00D85251" w:rsidP="00816475">
            <w:pPr>
              <w:pStyle w:val="TableBodyText"/>
            </w:pPr>
            <w:r w:rsidRPr="001B1399">
              <w:t>24.40, 29.17, 35.12</w:t>
            </w:r>
          </w:p>
        </w:tc>
      </w:tr>
      <w:tr w:rsidR="00D85251" w:rsidRPr="001B1399" w14:paraId="44DF1728"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423B665" w14:textId="77777777" w:rsidR="00D85251" w:rsidRPr="001B1399" w:rsidRDefault="00D85251" w:rsidP="00816475">
            <w:pPr>
              <w:pStyle w:val="TableBodyText"/>
            </w:pPr>
            <w:r w:rsidRPr="001B1399">
              <w:t>SMC1-E</w:t>
            </w:r>
          </w:p>
        </w:tc>
        <w:tc>
          <w:tcPr>
            <w:tcW w:w="818" w:type="dxa"/>
            <w:tcBorders>
              <w:top w:val="dotted" w:sz="4" w:space="0" w:color="auto"/>
              <w:left w:val="nil"/>
              <w:bottom w:val="dotted" w:sz="4" w:space="0" w:color="auto"/>
              <w:right w:val="nil"/>
            </w:tcBorders>
            <w:shd w:val="clear" w:color="auto" w:fill="auto"/>
            <w:vAlign w:val="center"/>
            <w:hideMark/>
          </w:tcPr>
          <w:p w14:paraId="19193356" w14:textId="77777777" w:rsidR="00D85251" w:rsidRPr="001B1399" w:rsidRDefault="00D85251" w:rsidP="00816475">
            <w:pPr>
              <w:pStyle w:val="TableBodyText"/>
            </w:pPr>
            <w:r w:rsidRPr="001B1399">
              <w:t>25</w:t>
            </w:r>
          </w:p>
        </w:tc>
        <w:tc>
          <w:tcPr>
            <w:tcW w:w="1317" w:type="dxa"/>
            <w:tcBorders>
              <w:top w:val="dotted" w:sz="4" w:space="0" w:color="auto"/>
              <w:left w:val="nil"/>
              <w:bottom w:val="dotted" w:sz="4" w:space="0" w:color="auto"/>
              <w:right w:val="nil"/>
            </w:tcBorders>
            <w:vAlign w:val="center"/>
          </w:tcPr>
          <w:p w14:paraId="76D31A6B" w14:textId="77777777" w:rsidR="00D85251" w:rsidRPr="001B1399" w:rsidRDefault="00D85251" w:rsidP="00816475">
            <w:pPr>
              <w:pStyle w:val="TableBodyText"/>
            </w:pPr>
            <w:r w:rsidRPr="001B1399">
              <w:t>Toxic</w:t>
            </w:r>
            <w:r w:rsidRPr="001B1399">
              <w:rPr>
                <w:vertAlign w:val="superscript"/>
              </w:rPr>
              <w:t>[b]</w:t>
            </w:r>
          </w:p>
        </w:tc>
        <w:tc>
          <w:tcPr>
            <w:tcW w:w="717" w:type="dxa"/>
            <w:tcBorders>
              <w:top w:val="dotted" w:sz="4" w:space="0" w:color="auto"/>
              <w:left w:val="nil"/>
              <w:bottom w:val="dotted" w:sz="4" w:space="0" w:color="auto"/>
              <w:right w:val="nil"/>
            </w:tcBorders>
            <w:shd w:val="clear" w:color="auto" w:fill="auto"/>
            <w:vAlign w:val="center"/>
            <w:hideMark/>
          </w:tcPr>
          <w:p w14:paraId="1BA97335"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4EB5874D"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25148704"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1F8C6977"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68B6B8DE" w14:textId="77777777" w:rsidR="00D85251" w:rsidRPr="001B1399" w:rsidRDefault="00D85251" w:rsidP="00816475">
            <w:pPr>
              <w:pStyle w:val="TableBodyText"/>
            </w:pPr>
            <w:r w:rsidRPr="001B1399">
              <w:t>7.97, 13.67, 13.44</w:t>
            </w:r>
          </w:p>
        </w:tc>
      </w:tr>
      <w:tr w:rsidR="00D85251" w:rsidRPr="001B1399" w14:paraId="02525565"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D8832B2" w14:textId="77777777" w:rsidR="00D85251" w:rsidRPr="001B1399" w:rsidRDefault="00D85251" w:rsidP="00816475">
            <w:pPr>
              <w:pStyle w:val="TableBodyText"/>
            </w:pPr>
            <w:r w:rsidRPr="001B1399">
              <w:t>SMC1-F</w:t>
            </w:r>
          </w:p>
        </w:tc>
        <w:tc>
          <w:tcPr>
            <w:tcW w:w="818" w:type="dxa"/>
            <w:tcBorders>
              <w:top w:val="dotted" w:sz="4" w:space="0" w:color="auto"/>
              <w:left w:val="nil"/>
              <w:bottom w:val="dotted" w:sz="4" w:space="0" w:color="auto"/>
              <w:right w:val="nil"/>
            </w:tcBorders>
            <w:shd w:val="clear" w:color="auto" w:fill="auto"/>
            <w:vAlign w:val="center"/>
            <w:hideMark/>
          </w:tcPr>
          <w:p w14:paraId="2D0DB659"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02194C74"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1F96A2A2"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0E9E5EF"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582704CC"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6BEFF36D"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6F5A9D52" w14:textId="77777777" w:rsidR="00D85251" w:rsidRPr="001B1399" w:rsidRDefault="00D85251" w:rsidP="00816475">
            <w:pPr>
              <w:pStyle w:val="TableBodyText"/>
            </w:pPr>
            <w:r w:rsidRPr="001B1399">
              <w:t>0</w:t>
            </w:r>
          </w:p>
        </w:tc>
      </w:tr>
      <w:tr w:rsidR="00D85251" w:rsidRPr="001B1399" w14:paraId="3CBA8F34"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BA2A7E2" w14:textId="77777777" w:rsidR="00D85251" w:rsidRPr="001B1399" w:rsidRDefault="00D85251" w:rsidP="00816475">
            <w:pPr>
              <w:pStyle w:val="TableBodyText"/>
            </w:pPr>
            <w:r w:rsidRPr="001B1399">
              <w:t>SMC1-G</w:t>
            </w:r>
          </w:p>
        </w:tc>
        <w:tc>
          <w:tcPr>
            <w:tcW w:w="818" w:type="dxa"/>
            <w:tcBorders>
              <w:top w:val="dotted" w:sz="4" w:space="0" w:color="auto"/>
              <w:left w:val="nil"/>
              <w:bottom w:val="dotted" w:sz="4" w:space="0" w:color="auto"/>
              <w:right w:val="nil"/>
            </w:tcBorders>
            <w:shd w:val="clear" w:color="auto" w:fill="auto"/>
            <w:vAlign w:val="center"/>
            <w:hideMark/>
          </w:tcPr>
          <w:p w14:paraId="1A0F58AE"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59C9D1F1"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2E87F660"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310382F7"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6EC3F925"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6F3A0237"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1F73E8E6" w14:textId="77777777" w:rsidR="00D85251" w:rsidRPr="001B1399" w:rsidRDefault="00D85251" w:rsidP="00816475">
            <w:pPr>
              <w:pStyle w:val="TableBodyText"/>
            </w:pPr>
            <w:r w:rsidRPr="001B1399">
              <w:t>0</w:t>
            </w:r>
          </w:p>
        </w:tc>
      </w:tr>
      <w:tr w:rsidR="00D85251" w:rsidRPr="001B1399" w14:paraId="33A19DCD"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C149AF3" w14:textId="77777777" w:rsidR="00D85251" w:rsidRPr="001B1399" w:rsidRDefault="00D85251" w:rsidP="00816475">
            <w:pPr>
              <w:pStyle w:val="TableBodyText"/>
            </w:pPr>
            <w:r w:rsidRPr="001B1399">
              <w:t>SMC1-H</w:t>
            </w:r>
          </w:p>
        </w:tc>
        <w:tc>
          <w:tcPr>
            <w:tcW w:w="818" w:type="dxa"/>
            <w:tcBorders>
              <w:top w:val="dotted" w:sz="4" w:space="0" w:color="auto"/>
              <w:left w:val="nil"/>
              <w:bottom w:val="dotted" w:sz="4" w:space="0" w:color="auto"/>
              <w:right w:val="nil"/>
            </w:tcBorders>
            <w:shd w:val="clear" w:color="auto" w:fill="auto"/>
            <w:vAlign w:val="center"/>
            <w:hideMark/>
          </w:tcPr>
          <w:p w14:paraId="1D894D0C"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375D86FF"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1A10C2F9"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1014983C"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0120FE1B"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69C11026"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2E956071" w14:textId="77777777" w:rsidR="00D85251" w:rsidRPr="001B1399" w:rsidRDefault="00D85251" w:rsidP="00816475">
            <w:pPr>
              <w:pStyle w:val="TableBodyText"/>
            </w:pPr>
            <w:r w:rsidRPr="001B1399">
              <w:t>9.33</w:t>
            </w:r>
          </w:p>
        </w:tc>
      </w:tr>
      <w:tr w:rsidR="00D85251" w:rsidRPr="001B1399" w14:paraId="5CA7960C"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A2F97A4" w14:textId="77777777" w:rsidR="00D85251" w:rsidRPr="001B1399" w:rsidRDefault="00D85251" w:rsidP="00816475">
            <w:pPr>
              <w:pStyle w:val="TableBodyText"/>
            </w:pPr>
            <w:r w:rsidRPr="001B1399">
              <w:t>SMC1-I</w:t>
            </w:r>
          </w:p>
        </w:tc>
        <w:tc>
          <w:tcPr>
            <w:tcW w:w="818" w:type="dxa"/>
            <w:tcBorders>
              <w:top w:val="dotted" w:sz="4" w:space="0" w:color="auto"/>
              <w:left w:val="nil"/>
              <w:bottom w:val="dotted" w:sz="4" w:space="0" w:color="auto"/>
              <w:right w:val="nil"/>
            </w:tcBorders>
            <w:shd w:val="clear" w:color="auto" w:fill="auto"/>
            <w:vAlign w:val="center"/>
            <w:hideMark/>
          </w:tcPr>
          <w:p w14:paraId="6ED94412" w14:textId="77777777" w:rsidR="00D85251" w:rsidRPr="001B1399" w:rsidRDefault="00D85251" w:rsidP="00816475">
            <w:pPr>
              <w:pStyle w:val="TableBodyText"/>
            </w:pPr>
            <w:r w:rsidRPr="001B1399">
              <w:t>50</w:t>
            </w:r>
          </w:p>
        </w:tc>
        <w:tc>
          <w:tcPr>
            <w:tcW w:w="1317" w:type="dxa"/>
            <w:tcBorders>
              <w:top w:val="dotted" w:sz="4" w:space="0" w:color="auto"/>
              <w:left w:val="nil"/>
              <w:bottom w:val="dotted" w:sz="4" w:space="0" w:color="auto"/>
              <w:right w:val="nil"/>
            </w:tcBorders>
            <w:vAlign w:val="center"/>
          </w:tcPr>
          <w:p w14:paraId="20154A0C"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vAlign w:val="center"/>
            <w:hideMark/>
          </w:tcPr>
          <w:p w14:paraId="6BC66A3A" w14:textId="77777777" w:rsidR="00D85251" w:rsidRPr="001B1399" w:rsidRDefault="00D85251" w:rsidP="00816475">
            <w:pPr>
              <w:pStyle w:val="TableBodyText"/>
            </w:pPr>
            <w:r w:rsidRPr="001B1399">
              <w:t>45.89</w:t>
            </w:r>
          </w:p>
        </w:tc>
        <w:tc>
          <w:tcPr>
            <w:tcW w:w="1172" w:type="dxa"/>
            <w:tcBorders>
              <w:top w:val="dotted" w:sz="4" w:space="0" w:color="auto"/>
              <w:left w:val="nil"/>
              <w:bottom w:val="dotted" w:sz="4" w:space="0" w:color="auto"/>
              <w:right w:val="nil"/>
            </w:tcBorders>
            <w:vAlign w:val="center"/>
          </w:tcPr>
          <w:p w14:paraId="35E611EE"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564AAFCD" w14:textId="77777777" w:rsidR="00D85251" w:rsidRPr="001B1399" w:rsidRDefault="00D85251" w:rsidP="00816475">
            <w:pPr>
              <w:pStyle w:val="TableBodyText"/>
            </w:pPr>
            <w:r w:rsidRPr="001B1399">
              <w:t>25</w:t>
            </w:r>
          </w:p>
        </w:tc>
        <w:tc>
          <w:tcPr>
            <w:tcW w:w="1172" w:type="dxa"/>
            <w:tcBorders>
              <w:top w:val="dotted" w:sz="4" w:space="0" w:color="auto"/>
              <w:left w:val="nil"/>
              <w:bottom w:val="dotted" w:sz="4" w:space="0" w:color="auto"/>
              <w:right w:val="nil"/>
            </w:tcBorders>
            <w:vAlign w:val="center"/>
          </w:tcPr>
          <w:p w14:paraId="0A472B3C"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67525584" w14:textId="77777777" w:rsidR="00D85251" w:rsidRPr="001B1399" w:rsidRDefault="00D85251" w:rsidP="00816475">
            <w:pPr>
              <w:pStyle w:val="TableBodyText"/>
            </w:pPr>
            <w:r w:rsidRPr="001B1399">
              <w:t>28.57, 59.52</w:t>
            </w:r>
          </w:p>
        </w:tc>
      </w:tr>
      <w:tr w:rsidR="00D85251" w:rsidRPr="001B1399" w14:paraId="3E154642"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434362F" w14:textId="77777777" w:rsidR="00D85251" w:rsidRPr="001B1399" w:rsidRDefault="00D85251" w:rsidP="00816475">
            <w:pPr>
              <w:pStyle w:val="TableBodyText"/>
            </w:pPr>
            <w:r w:rsidRPr="001B1399">
              <w:t>SMC1-J</w:t>
            </w:r>
          </w:p>
        </w:tc>
        <w:tc>
          <w:tcPr>
            <w:tcW w:w="818" w:type="dxa"/>
            <w:tcBorders>
              <w:top w:val="dotted" w:sz="4" w:space="0" w:color="auto"/>
              <w:left w:val="nil"/>
              <w:bottom w:val="dotted" w:sz="4" w:space="0" w:color="auto"/>
              <w:right w:val="nil"/>
            </w:tcBorders>
            <w:shd w:val="clear" w:color="auto" w:fill="auto"/>
            <w:vAlign w:val="center"/>
            <w:hideMark/>
          </w:tcPr>
          <w:p w14:paraId="020F6B2A" w14:textId="77777777" w:rsidR="00D85251" w:rsidRPr="001B1399" w:rsidRDefault="00D85251" w:rsidP="00816475">
            <w:pPr>
              <w:pStyle w:val="TableBodyText"/>
            </w:pPr>
            <w:r w:rsidRPr="001B1399">
              <w:t>50</w:t>
            </w:r>
          </w:p>
        </w:tc>
        <w:tc>
          <w:tcPr>
            <w:tcW w:w="1317" w:type="dxa"/>
            <w:tcBorders>
              <w:top w:val="dotted" w:sz="4" w:space="0" w:color="auto"/>
              <w:left w:val="nil"/>
              <w:bottom w:val="dotted" w:sz="4" w:space="0" w:color="auto"/>
              <w:right w:val="nil"/>
            </w:tcBorders>
            <w:vAlign w:val="center"/>
          </w:tcPr>
          <w:p w14:paraId="248EE5AE"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vAlign w:val="center"/>
            <w:hideMark/>
          </w:tcPr>
          <w:p w14:paraId="190DF944" w14:textId="77777777" w:rsidR="00D85251" w:rsidRPr="001B1399" w:rsidRDefault="00D85251" w:rsidP="00816475">
            <w:pPr>
              <w:pStyle w:val="TableBodyText"/>
            </w:pPr>
            <w:r w:rsidRPr="001B1399">
              <w:t>72.08</w:t>
            </w:r>
          </w:p>
        </w:tc>
        <w:tc>
          <w:tcPr>
            <w:tcW w:w="1172" w:type="dxa"/>
            <w:tcBorders>
              <w:top w:val="dotted" w:sz="4" w:space="0" w:color="auto"/>
              <w:left w:val="nil"/>
              <w:bottom w:val="dotted" w:sz="4" w:space="0" w:color="auto"/>
              <w:right w:val="nil"/>
            </w:tcBorders>
            <w:vAlign w:val="center"/>
          </w:tcPr>
          <w:p w14:paraId="482060E5"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1D321E11"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26B822BB"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01192E63" w14:textId="77777777" w:rsidR="00D85251" w:rsidRPr="001B1399" w:rsidRDefault="00D85251" w:rsidP="00816475">
            <w:pPr>
              <w:pStyle w:val="TableBodyText"/>
            </w:pPr>
            <w:r w:rsidRPr="001B1399">
              <w:t>39.62</w:t>
            </w:r>
          </w:p>
        </w:tc>
      </w:tr>
      <w:tr w:rsidR="00D85251" w:rsidRPr="001B1399" w14:paraId="2226B5A2"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13537F4" w14:textId="77777777" w:rsidR="00D85251" w:rsidRPr="001B1399" w:rsidRDefault="00D85251" w:rsidP="00816475">
            <w:pPr>
              <w:pStyle w:val="TableBodyText"/>
            </w:pPr>
            <w:r w:rsidRPr="001B1399">
              <w:t>SMC1-Referee</w:t>
            </w:r>
          </w:p>
        </w:tc>
        <w:tc>
          <w:tcPr>
            <w:tcW w:w="818" w:type="dxa"/>
            <w:tcBorders>
              <w:top w:val="dotted" w:sz="4" w:space="0" w:color="auto"/>
              <w:left w:val="nil"/>
              <w:bottom w:val="dotted" w:sz="4" w:space="0" w:color="auto"/>
              <w:right w:val="nil"/>
            </w:tcBorders>
            <w:shd w:val="clear" w:color="auto" w:fill="auto"/>
            <w:vAlign w:val="center"/>
            <w:hideMark/>
          </w:tcPr>
          <w:p w14:paraId="01B0791D" w14:textId="77777777" w:rsidR="00D85251" w:rsidRPr="001B1399" w:rsidRDefault="00D85251" w:rsidP="00816475">
            <w:pPr>
              <w:pStyle w:val="TableBodyText"/>
            </w:pPr>
            <w:r w:rsidRPr="001B1399">
              <w:t>25</w:t>
            </w:r>
          </w:p>
        </w:tc>
        <w:tc>
          <w:tcPr>
            <w:tcW w:w="1317" w:type="dxa"/>
            <w:tcBorders>
              <w:top w:val="dotted" w:sz="4" w:space="0" w:color="auto"/>
              <w:left w:val="nil"/>
              <w:bottom w:val="dotted" w:sz="4" w:space="0" w:color="auto"/>
              <w:right w:val="nil"/>
            </w:tcBorders>
            <w:vAlign w:val="center"/>
          </w:tcPr>
          <w:p w14:paraId="6A230F78"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vAlign w:val="center"/>
            <w:hideMark/>
          </w:tcPr>
          <w:p w14:paraId="5E1568CD" w14:textId="77777777" w:rsidR="00D85251" w:rsidRPr="001B1399" w:rsidRDefault="00D85251" w:rsidP="00816475">
            <w:pPr>
              <w:pStyle w:val="TableBodyText"/>
            </w:pPr>
            <w:r w:rsidRPr="001B1399">
              <w:t>41.67</w:t>
            </w:r>
          </w:p>
        </w:tc>
        <w:tc>
          <w:tcPr>
            <w:tcW w:w="1172" w:type="dxa"/>
            <w:tcBorders>
              <w:top w:val="dotted" w:sz="4" w:space="0" w:color="auto"/>
              <w:left w:val="nil"/>
              <w:bottom w:val="dotted" w:sz="4" w:space="0" w:color="auto"/>
              <w:right w:val="nil"/>
            </w:tcBorders>
            <w:vAlign w:val="center"/>
          </w:tcPr>
          <w:p w14:paraId="76627B21"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3B1A8817" w14:textId="77777777" w:rsidR="00D85251" w:rsidRPr="001B1399" w:rsidRDefault="00D85251" w:rsidP="00816475">
            <w:pPr>
              <w:pStyle w:val="TableBodyText"/>
            </w:pPr>
            <w:r w:rsidRPr="001B1399">
              <w:t>25</w:t>
            </w:r>
          </w:p>
        </w:tc>
        <w:tc>
          <w:tcPr>
            <w:tcW w:w="1172" w:type="dxa"/>
            <w:tcBorders>
              <w:top w:val="dotted" w:sz="4" w:space="0" w:color="auto"/>
              <w:left w:val="nil"/>
              <w:bottom w:val="dotted" w:sz="4" w:space="0" w:color="auto"/>
              <w:right w:val="nil"/>
            </w:tcBorders>
            <w:vAlign w:val="center"/>
          </w:tcPr>
          <w:p w14:paraId="03E3B1CD"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5128B7F9" w14:textId="77777777" w:rsidR="00D85251" w:rsidRPr="001B1399" w:rsidRDefault="00D85251" w:rsidP="00816475">
            <w:pPr>
              <w:pStyle w:val="TableBodyText"/>
            </w:pPr>
            <w:r w:rsidRPr="001B1399">
              <w:t>36.00, 82.67</w:t>
            </w:r>
          </w:p>
        </w:tc>
      </w:tr>
      <w:tr w:rsidR="00D85251" w:rsidRPr="001B1399" w14:paraId="55924A6C"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4212CA17" w14:textId="77777777" w:rsidR="00D85251" w:rsidRPr="001B1399" w:rsidRDefault="00D85251" w:rsidP="00816475">
            <w:pPr>
              <w:pStyle w:val="TableBodyText"/>
            </w:pPr>
            <w:r w:rsidRPr="001B1399">
              <w:t>SMC2-A</w:t>
            </w:r>
          </w:p>
        </w:tc>
        <w:tc>
          <w:tcPr>
            <w:tcW w:w="818" w:type="dxa"/>
            <w:tcBorders>
              <w:top w:val="dotted" w:sz="4" w:space="0" w:color="auto"/>
              <w:left w:val="nil"/>
              <w:bottom w:val="dotted" w:sz="4" w:space="0" w:color="auto"/>
              <w:right w:val="nil"/>
            </w:tcBorders>
            <w:shd w:val="clear" w:color="auto" w:fill="auto"/>
            <w:vAlign w:val="center"/>
            <w:hideMark/>
          </w:tcPr>
          <w:p w14:paraId="65DF9DB5"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4EB22249"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22DA3C30" w14:textId="77777777" w:rsidR="00D85251" w:rsidRPr="001B1399" w:rsidRDefault="00D85251" w:rsidP="00816475">
            <w:pPr>
              <w:pStyle w:val="TableBodyText"/>
            </w:pPr>
            <w:r w:rsidRPr="001B1399">
              <w:t>74.16</w:t>
            </w:r>
          </w:p>
        </w:tc>
        <w:tc>
          <w:tcPr>
            <w:tcW w:w="1172" w:type="dxa"/>
            <w:tcBorders>
              <w:top w:val="dotted" w:sz="4" w:space="0" w:color="auto"/>
              <w:left w:val="nil"/>
              <w:bottom w:val="dotted" w:sz="4" w:space="0" w:color="auto"/>
              <w:right w:val="nil"/>
            </w:tcBorders>
            <w:vAlign w:val="center"/>
          </w:tcPr>
          <w:p w14:paraId="2943C5F8"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280E8E57"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517771E0"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6E588925" w14:textId="77777777" w:rsidR="00D85251" w:rsidRPr="001B1399" w:rsidRDefault="00D85251" w:rsidP="00816475">
            <w:pPr>
              <w:pStyle w:val="TableBodyText"/>
            </w:pPr>
            <w:r w:rsidRPr="001B1399">
              <w:t>27.62, 19.52, 23.81, 30.48</w:t>
            </w:r>
          </w:p>
        </w:tc>
      </w:tr>
      <w:tr w:rsidR="00D85251" w:rsidRPr="001B1399" w14:paraId="660561C8"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683E0658" w14:textId="77777777" w:rsidR="00D85251" w:rsidRPr="001B1399" w:rsidRDefault="00D85251" w:rsidP="00816475">
            <w:pPr>
              <w:pStyle w:val="TableBodyText"/>
            </w:pPr>
            <w:r w:rsidRPr="001B1399">
              <w:t>SMC2-Ad</w:t>
            </w:r>
          </w:p>
        </w:tc>
        <w:tc>
          <w:tcPr>
            <w:tcW w:w="818" w:type="dxa"/>
            <w:tcBorders>
              <w:top w:val="dotted" w:sz="4" w:space="0" w:color="auto"/>
              <w:left w:val="nil"/>
              <w:bottom w:val="dotted" w:sz="4" w:space="0" w:color="auto"/>
              <w:right w:val="nil"/>
            </w:tcBorders>
            <w:shd w:val="clear" w:color="auto" w:fill="auto"/>
            <w:vAlign w:val="center"/>
            <w:hideMark/>
          </w:tcPr>
          <w:p w14:paraId="2E865A80"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734AB5FE"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1434B4C8"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45081886"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62A1AB8A"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6F3EA552"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515932F9" w14:textId="77777777" w:rsidR="00D85251" w:rsidRPr="001B1399" w:rsidRDefault="00D85251" w:rsidP="00816475">
            <w:pPr>
              <w:pStyle w:val="TableBodyText"/>
            </w:pPr>
            <w:r w:rsidRPr="001B1399">
              <w:t>11.63</w:t>
            </w:r>
          </w:p>
        </w:tc>
      </w:tr>
      <w:tr w:rsidR="00D85251" w:rsidRPr="001B1399" w14:paraId="1EAA2384"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7852200" w14:textId="77777777" w:rsidR="00D85251" w:rsidRPr="001B1399" w:rsidRDefault="00D85251" w:rsidP="00816475">
            <w:pPr>
              <w:pStyle w:val="TableBodyText"/>
            </w:pPr>
            <w:r w:rsidRPr="001B1399">
              <w:t>SMC2-B</w:t>
            </w:r>
          </w:p>
        </w:tc>
        <w:tc>
          <w:tcPr>
            <w:tcW w:w="818" w:type="dxa"/>
            <w:tcBorders>
              <w:top w:val="dotted" w:sz="4" w:space="0" w:color="auto"/>
              <w:left w:val="nil"/>
              <w:bottom w:val="dotted" w:sz="4" w:space="0" w:color="auto"/>
              <w:right w:val="nil"/>
            </w:tcBorders>
            <w:shd w:val="clear" w:color="auto" w:fill="auto"/>
            <w:vAlign w:val="center"/>
            <w:hideMark/>
          </w:tcPr>
          <w:p w14:paraId="49764CDD"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5A6FA5A8"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0833030A"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2808446A"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60356FAC"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7D09F92A"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02A8BEBE" w14:textId="77777777" w:rsidR="00D85251" w:rsidRPr="001B1399" w:rsidRDefault="00D85251" w:rsidP="00816475">
            <w:pPr>
              <w:pStyle w:val="TableBodyText"/>
            </w:pPr>
            <w:r w:rsidRPr="001B1399">
              <w:t>10.22</w:t>
            </w:r>
          </w:p>
        </w:tc>
      </w:tr>
      <w:tr w:rsidR="00D85251" w:rsidRPr="001B1399" w14:paraId="60381BCA"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0021440B" w14:textId="77777777" w:rsidR="00D85251" w:rsidRPr="001B1399" w:rsidRDefault="00D85251" w:rsidP="00816475">
            <w:pPr>
              <w:pStyle w:val="TableBodyText"/>
            </w:pPr>
            <w:r w:rsidRPr="001B1399">
              <w:t>SMC2-Bd</w:t>
            </w:r>
          </w:p>
        </w:tc>
        <w:tc>
          <w:tcPr>
            <w:tcW w:w="818" w:type="dxa"/>
            <w:tcBorders>
              <w:top w:val="dotted" w:sz="4" w:space="0" w:color="auto"/>
              <w:left w:val="nil"/>
              <w:bottom w:val="dotted" w:sz="4" w:space="0" w:color="auto"/>
              <w:right w:val="nil"/>
            </w:tcBorders>
            <w:shd w:val="clear" w:color="auto" w:fill="auto"/>
            <w:vAlign w:val="center"/>
            <w:hideMark/>
          </w:tcPr>
          <w:p w14:paraId="173C103F"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764807D8" w14:textId="77777777" w:rsidR="00D85251" w:rsidRPr="001B1399" w:rsidRDefault="00D85251" w:rsidP="00816475">
            <w:pPr>
              <w:pStyle w:val="TableBodyText"/>
            </w:pPr>
            <w:r w:rsidRPr="001B1399">
              <w:t>Non-toxic</w:t>
            </w:r>
            <w:r w:rsidRPr="001B1399">
              <w:rPr>
                <w:vertAlign w:val="superscript"/>
              </w:rPr>
              <w:t>[c]</w:t>
            </w:r>
          </w:p>
        </w:tc>
        <w:tc>
          <w:tcPr>
            <w:tcW w:w="717" w:type="dxa"/>
            <w:tcBorders>
              <w:top w:val="dotted" w:sz="4" w:space="0" w:color="auto"/>
              <w:left w:val="nil"/>
              <w:bottom w:val="dotted" w:sz="4" w:space="0" w:color="auto"/>
              <w:right w:val="nil"/>
            </w:tcBorders>
            <w:shd w:val="clear" w:color="auto" w:fill="auto"/>
            <w:noWrap/>
            <w:vAlign w:val="center"/>
            <w:hideMark/>
          </w:tcPr>
          <w:p w14:paraId="4461D233"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7C9CDC2"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13E78683"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34200CF5"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4C9DE3C7" w14:textId="77777777" w:rsidR="00D85251" w:rsidRPr="001B1399" w:rsidRDefault="00D85251" w:rsidP="00816475">
            <w:pPr>
              <w:pStyle w:val="TableBodyText"/>
            </w:pPr>
            <w:r w:rsidRPr="001B1399">
              <w:t>11.35</w:t>
            </w:r>
          </w:p>
        </w:tc>
      </w:tr>
      <w:tr w:rsidR="00D85251" w:rsidRPr="001B1399" w14:paraId="31485564"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638EEDB2" w14:textId="77777777" w:rsidR="00D85251" w:rsidRPr="001B1399" w:rsidRDefault="00D85251" w:rsidP="00816475">
            <w:pPr>
              <w:pStyle w:val="TableBodyText"/>
            </w:pPr>
            <w:r w:rsidRPr="001B1399">
              <w:t>SMC2-C</w:t>
            </w:r>
          </w:p>
        </w:tc>
        <w:tc>
          <w:tcPr>
            <w:tcW w:w="818" w:type="dxa"/>
            <w:tcBorders>
              <w:top w:val="dotted" w:sz="4" w:space="0" w:color="auto"/>
              <w:left w:val="nil"/>
              <w:bottom w:val="dotted" w:sz="4" w:space="0" w:color="auto"/>
              <w:right w:val="nil"/>
            </w:tcBorders>
            <w:shd w:val="clear" w:color="auto" w:fill="auto"/>
            <w:vAlign w:val="center"/>
            <w:hideMark/>
          </w:tcPr>
          <w:p w14:paraId="7D41B348"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5C87C764"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5FF93971"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71D9663"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451F5B36"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5EFAFB36"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5D84233A" w14:textId="77777777" w:rsidR="00D85251" w:rsidRPr="001B1399" w:rsidRDefault="00D85251" w:rsidP="00816475">
            <w:pPr>
              <w:pStyle w:val="TableBodyText"/>
            </w:pPr>
            <w:r w:rsidRPr="001B1399">
              <w:t>28.76, 19.74</w:t>
            </w:r>
          </w:p>
        </w:tc>
      </w:tr>
      <w:tr w:rsidR="00D85251" w:rsidRPr="001B1399" w14:paraId="3587870E"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F00B7B1" w14:textId="77777777" w:rsidR="00D85251" w:rsidRPr="001B1399" w:rsidRDefault="00D85251" w:rsidP="00816475">
            <w:pPr>
              <w:pStyle w:val="TableBodyText"/>
            </w:pPr>
            <w:r w:rsidRPr="001B1399">
              <w:t>SMC2-Cd</w:t>
            </w:r>
          </w:p>
        </w:tc>
        <w:tc>
          <w:tcPr>
            <w:tcW w:w="818" w:type="dxa"/>
            <w:tcBorders>
              <w:top w:val="dotted" w:sz="4" w:space="0" w:color="auto"/>
              <w:left w:val="nil"/>
              <w:bottom w:val="dotted" w:sz="4" w:space="0" w:color="auto"/>
              <w:right w:val="nil"/>
            </w:tcBorders>
            <w:shd w:val="clear" w:color="auto" w:fill="auto"/>
            <w:vAlign w:val="center"/>
            <w:hideMark/>
          </w:tcPr>
          <w:p w14:paraId="1993DD64"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58A101DE"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33D198DC"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0AE20964"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1C8EF029"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32A01C87"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43733365" w14:textId="77777777" w:rsidR="00D85251" w:rsidRPr="001B1399" w:rsidRDefault="00D85251" w:rsidP="00816475">
            <w:pPr>
              <w:pStyle w:val="TableBodyText"/>
            </w:pPr>
            <w:r w:rsidRPr="001B1399">
              <w:t>0</w:t>
            </w:r>
          </w:p>
        </w:tc>
      </w:tr>
      <w:tr w:rsidR="00D85251" w:rsidRPr="001B1399" w14:paraId="39FB1B55"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B54E400" w14:textId="77777777" w:rsidR="00D85251" w:rsidRPr="001B1399" w:rsidRDefault="00D85251" w:rsidP="00816475">
            <w:pPr>
              <w:pStyle w:val="TableBodyText"/>
            </w:pPr>
            <w:r w:rsidRPr="001B1399">
              <w:t>SMC2-G</w:t>
            </w:r>
          </w:p>
        </w:tc>
        <w:tc>
          <w:tcPr>
            <w:tcW w:w="818" w:type="dxa"/>
            <w:tcBorders>
              <w:top w:val="dotted" w:sz="4" w:space="0" w:color="auto"/>
              <w:left w:val="nil"/>
              <w:bottom w:val="dotted" w:sz="4" w:space="0" w:color="auto"/>
              <w:right w:val="nil"/>
            </w:tcBorders>
            <w:shd w:val="clear" w:color="auto" w:fill="auto"/>
            <w:vAlign w:val="center"/>
            <w:hideMark/>
          </w:tcPr>
          <w:p w14:paraId="72BBAB83" w14:textId="77777777" w:rsidR="00D85251" w:rsidRPr="001B1399" w:rsidRDefault="00D85251" w:rsidP="00816475">
            <w:pPr>
              <w:pStyle w:val="TableBodyText"/>
            </w:pPr>
            <w:r w:rsidRPr="001B1399">
              <w:t>50</w:t>
            </w:r>
          </w:p>
        </w:tc>
        <w:tc>
          <w:tcPr>
            <w:tcW w:w="1317" w:type="dxa"/>
            <w:tcBorders>
              <w:top w:val="dotted" w:sz="4" w:space="0" w:color="auto"/>
              <w:left w:val="nil"/>
              <w:bottom w:val="dotted" w:sz="4" w:space="0" w:color="auto"/>
              <w:right w:val="nil"/>
            </w:tcBorders>
            <w:vAlign w:val="center"/>
          </w:tcPr>
          <w:p w14:paraId="24AFC6CA"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vAlign w:val="center"/>
            <w:hideMark/>
          </w:tcPr>
          <w:p w14:paraId="0669F327" w14:textId="77777777" w:rsidR="00D85251" w:rsidRPr="001B1399" w:rsidRDefault="00D85251" w:rsidP="00816475">
            <w:pPr>
              <w:pStyle w:val="TableBodyText"/>
            </w:pPr>
            <w:r w:rsidRPr="001B1399">
              <w:t>65.19</w:t>
            </w:r>
          </w:p>
        </w:tc>
        <w:tc>
          <w:tcPr>
            <w:tcW w:w="1172" w:type="dxa"/>
            <w:tcBorders>
              <w:top w:val="dotted" w:sz="4" w:space="0" w:color="auto"/>
              <w:left w:val="nil"/>
              <w:bottom w:val="dotted" w:sz="4" w:space="0" w:color="auto"/>
              <w:right w:val="nil"/>
            </w:tcBorders>
            <w:vAlign w:val="center"/>
          </w:tcPr>
          <w:p w14:paraId="29A1C263"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3DAB11AD" w14:textId="77777777" w:rsidR="00D85251" w:rsidRPr="001B1399" w:rsidRDefault="00D85251" w:rsidP="00816475">
            <w:pPr>
              <w:pStyle w:val="TableBodyText"/>
            </w:pPr>
            <w:r w:rsidRPr="001B1399">
              <w:t>25</w:t>
            </w:r>
          </w:p>
        </w:tc>
        <w:tc>
          <w:tcPr>
            <w:tcW w:w="1172" w:type="dxa"/>
            <w:tcBorders>
              <w:top w:val="dotted" w:sz="4" w:space="0" w:color="auto"/>
              <w:left w:val="nil"/>
              <w:bottom w:val="dotted" w:sz="4" w:space="0" w:color="auto"/>
              <w:right w:val="nil"/>
            </w:tcBorders>
            <w:vAlign w:val="center"/>
          </w:tcPr>
          <w:p w14:paraId="66D1FF26"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213644D3" w14:textId="77777777" w:rsidR="00D85251" w:rsidRPr="001B1399" w:rsidRDefault="00D85251" w:rsidP="00816475">
            <w:pPr>
              <w:pStyle w:val="TableBodyText"/>
            </w:pPr>
            <w:r w:rsidRPr="001B1399">
              <w:t>30.89, 14.66, 48.69</w:t>
            </w:r>
          </w:p>
        </w:tc>
      </w:tr>
      <w:tr w:rsidR="00D85251" w:rsidRPr="001B1399" w14:paraId="6279F554"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1546D0F" w14:textId="77777777" w:rsidR="00D85251" w:rsidRPr="001B1399" w:rsidRDefault="00D85251" w:rsidP="00816475">
            <w:pPr>
              <w:pStyle w:val="TableBodyText"/>
            </w:pPr>
            <w:r w:rsidRPr="001B1399">
              <w:t>SMC2-Gd</w:t>
            </w:r>
          </w:p>
        </w:tc>
        <w:tc>
          <w:tcPr>
            <w:tcW w:w="818" w:type="dxa"/>
            <w:tcBorders>
              <w:top w:val="dotted" w:sz="4" w:space="0" w:color="auto"/>
              <w:left w:val="nil"/>
              <w:bottom w:val="dotted" w:sz="4" w:space="0" w:color="auto"/>
              <w:right w:val="nil"/>
            </w:tcBorders>
            <w:shd w:val="clear" w:color="auto" w:fill="auto"/>
            <w:vAlign w:val="center"/>
            <w:hideMark/>
          </w:tcPr>
          <w:p w14:paraId="4EE8C8D7"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536DCBA0"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3629AC11" w14:textId="77777777" w:rsidR="00D85251" w:rsidRPr="001B1399" w:rsidRDefault="00D85251" w:rsidP="00816475">
            <w:pPr>
              <w:pStyle w:val="TableBodyText"/>
            </w:pPr>
            <w:r w:rsidRPr="001B1399">
              <w:t>6.059</w:t>
            </w:r>
          </w:p>
        </w:tc>
        <w:tc>
          <w:tcPr>
            <w:tcW w:w="1172" w:type="dxa"/>
            <w:tcBorders>
              <w:top w:val="dotted" w:sz="4" w:space="0" w:color="auto"/>
              <w:left w:val="nil"/>
              <w:bottom w:val="dotted" w:sz="4" w:space="0" w:color="auto"/>
              <w:right w:val="nil"/>
            </w:tcBorders>
            <w:vAlign w:val="center"/>
          </w:tcPr>
          <w:p w14:paraId="77BAD413"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5566DD2E" w14:textId="77777777" w:rsidR="00D85251" w:rsidRPr="001B1399" w:rsidRDefault="00D85251" w:rsidP="00816475">
            <w:pPr>
              <w:pStyle w:val="TableBodyText"/>
            </w:pPr>
            <w:r w:rsidRPr="001B1399">
              <w:t>12.5</w:t>
            </w:r>
          </w:p>
        </w:tc>
        <w:tc>
          <w:tcPr>
            <w:tcW w:w="1172" w:type="dxa"/>
            <w:tcBorders>
              <w:top w:val="dotted" w:sz="4" w:space="0" w:color="auto"/>
              <w:left w:val="nil"/>
              <w:bottom w:val="dotted" w:sz="4" w:space="0" w:color="auto"/>
              <w:right w:val="nil"/>
            </w:tcBorders>
            <w:vAlign w:val="center"/>
          </w:tcPr>
          <w:p w14:paraId="66400659"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41407FF7" w14:textId="77777777" w:rsidR="00D85251" w:rsidRPr="001B1399" w:rsidRDefault="00D85251" w:rsidP="00816475">
            <w:pPr>
              <w:pStyle w:val="TableBodyText"/>
            </w:pPr>
            <w:r w:rsidRPr="001B1399">
              <w:t>45.79, 41.58, 32.63, 23.16</w:t>
            </w:r>
          </w:p>
        </w:tc>
      </w:tr>
      <w:tr w:rsidR="00D85251" w:rsidRPr="001B1399" w14:paraId="2F5CCB6B"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BC5861B" w14:textId="77777777" w:rsidR="00D85251" w:rsidRPr="001B1399" w:rsidRDefault="00D85251" w:rsidP="00816475">
            <w:pPr>
              <w:pStyle w:val="TableBodyText"/>
            </w:pPr>
            <w:r w:rsidRPr="001B1399">
              <w:t>SMC2-I</w:t>
            </w:r>
          </w:p>
        </w:tc>
        <w:tc>
          <w:tcPr>
            <w:tcW w:w="818" w:type="dxa"/>
            <w:tcBorders>
              <w:top w:val="dotted" w:sz="4" w:space="0" w:color="auto"/>
              <w:left w:val="nil"/>
              <w:bottom w:val="dotted" w:sz="4" w:space="0" w:color="auto"/>
              <w:right w:val="nil"/>
            </w:tcBorders>
            <w:shd w:val="clear" w:color="auto" w:fill="auto"/>
            <w:vAlign w:val="center"/>
            <w:hideMark/>
          </w:tcPr>
          <w:p w14:paraId="63B6BDE8" w14:textId="77777777" w:rsidR="00D85251" w:rsidRPr="001B1399" w:rsidRDefault="00D85251" w:rsidP="00816475">
            <w:pPr>
              <w:pStyle w:val="TableBodyText"/>
            </w:pPr>
            <w:r w:rsidRPr="001B1399">
              <w:t>50</w:t>
            </w:r>
          </w:p>
        </w:tc>
        <w:tc>
          <w:tcPr>
            <w:tcW w:w="1317" w:type="dxa"/>
            <w:tcBorders>
              <w:top w:val="dotted" w:sz="4" w:space="0" w:color="auto"/>
              <w:left w:val="nil"/>
              <w:bottom w:val="dotted" w:sz="4" w:space="0" w:color="auto"/>
              <w:right w:val="nil"/>
            </w:tcBorders>
            <w:vAlign w:val="center"/>
          </w:tcPr>
          <w:p w14:paraId="74A0501C"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vAlign w:val="center"/>
            <w:hideMark/>
          </w:tcPr>
          <w:p w14:paraId="452E326A" w14:textId="77777777" w:rsidR="00D85251" w:rsidRPr="001B1399" w:rsidRDefault="00D85251" w:rsidP="00816475">
            <w:pPr>
              <w:pStyle w:val="TableBodyText"/>
            </w:pPr>
            <w:r w:rsidRPr="001B1399">
              <w:t>79.33</w:t>
            </w:r>
          </w:p>
        </w:tc>
        <w:tc>
          <w:tcPr>
            <w:tcW w:w="1172" w:type="dxa"/>
            <w:tcBorders>
              <w:top w:val="dotted" w:sz="4" w:space="0" w:color="auto"/>
              <w:left w:val="nil"/>
              <w:bottom w:val="dotted" w:sz="4" w:space="0" w:color="auto"/>
              <w:right w:val="nil"/>
            </w:tcBorders>
            <w:vAlign w:val="center"/>
          </w:tcPr>
          <w:p w14:paraId="1850EA3F"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73372F47"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271DA012"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36928DF5" w14:textId="77777777" w:rsidR="00D85251" w:rsidRPr="001B1399" w:rsidRDefault="00D85251" w:rsidP="00816475">
            <w:pPr>
              <w:pStyle w:val="TableBodyText"/>
            </w:pPr>
            <w:r w:rsidRPr="001B1399">
              <w:t>18.61, 42.59</w:t>
            </w:r>
          </w:p>
        </w:tc>
      </w:tr>
      <w:tr w:rsidR="00D85251" w:rsidRPr="001B1399" w14:paraId="72191760"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15F4926D" w14:textId="77777777" w:rsidR="00D85251" w:rsidRPr="001B1399" w:rsidRDefault="00D85251" w:rsidP="00816475">
            <w:pPr>
              <w:pStyle w:val="TableBodyText"/>
            </w:pPr>
            <w:r w:rsidRPr="001B1399">
              <w:t>SMC2-Id</w:t>
            </w:r>
          </w:p>
        </w:tc>
        <w:tc>
          <w:tcPr>
            <w:tcW w:w="818" w:type="dxa"/>
            <w:tcBorders>
              <w:top w:val="dotted" w:sz="4" w:space="0" w:color="auto"/>
              <w:left w:val="nil"/>
              <w:bottom w:val="dotted" w:sz="4" w:space="0" w:color="auto"/>
              <w:right w:val="nil"/>
            </w:tcBorders>
            <w:shd w:val="clear" w:color="auto" w:fill="auto"/>
            <w:vAlign w:val="center"/>
            <w:hideMark/>
          </w:tcPr>
          <w:p w14:paraId="62A22F2B" w14:textId="77777777" w:rsidR="00D85251" w:rsidRPr="001B1399" w:rsidRDefault="00D85251" w:rsidP="00816475">
            <w:pPr>
              <w:pStyle w:val="TableBodyText"/>
            </w:pPr>
            <w:r w:rsidRPr="001B1399">
              <w:t>50</w:t>
            </w:r>
          </w:p>
        </w:tc>
        <w:tc>
          <w:tcPr>
            <w:tcW w:w="1317" w:type="dxa"/>
            <w:tcBorders>
              <w:top w:val="dotted" w:sz="4" w:space="0" w:color="auto"/>
              <w:left w:val="nil"/>
              <w:bottom w:val="dotted" w:sz="4" w:space="0" w:color="auto"/>
              <w:right w:val="nil"/>
            </w:tcBorders>
            <w:vAlign w:val="center"/>
          </w:tcPr>
          <w:p w14:paraId="02F88115"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vAlign w:val="center"/>
            <w:hideMark/>
          </w:tcPr>
          <w:p w14:paraId="127CAACB" w14:textId="77777777" w:rsidR="00D85251" w:rsidRPr="001B1399" w:rsidRDefault="00D85251" w:rsidP="00816475">
            <w:pPr>
              <w:pStyle w:val="TableBodyText"/>
            </w:pPr>
            <w:r w:rsidRPr="001B1399">
              <w:t>63.78</w:t>
            </w:r>
          </w:p>
        </w:tc>
        <w:tc>
          <w:tcPr>
            <w:tcW w:w="1172" w:type="dxa"/>
            <w:tcBorders>
              <w:top w:val="dotted" w:sz="4" w:space="0" w:color="auto"/>
              <w:left w:val="nil"/>
              <w:bottom w:val="dotted" w:sz="4" w:space="0" w:color="auto"/>
              <w:right w:val="nil"/>
            </w:tcBorders>
            <w:vAlign w:val="center"/>
          </w:tcPr>
          <w:p w14:paraId="53B0EF03"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45CE1896"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0E920BCF"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13DBCB76" w14:textId="77777777" w:rsidR="00D85251" w:rsidRPr="001B1399" w:rsidRDefault="00D85251" w:rsidP="00816475">
            <w:pPr>
              <w:pStyle w:val="TableBodyText"/>
            </w:pPr>
            <w:r w:rsidRPr="001B1399">
              <w:t>64.79</w:t>
            </w:r>
          </w:p>
        </w:tc>
      </w:tr>
      <w:tr w:rsidR="00D85251" w:rsidRPr="001B1399" w14:paraId="096EEEBF"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47A2AFD7" w14:textId="77777777" w:rsidR="00D85251" w:rsidRPr="001B1399" w:rsidRDefault="00D85251" w:rsidP="00816475">
            <w:pPr>
              <w:pStyle w:val="TableBodyText"/>
            </w:pPr>
            <w:r w:rsidRPr="001B1399">
              <w:t>SMC2-J</w:t>
            </w:r>
          </w:p>
        </w:tc>
        <w:tc>
          <w:tcPr>
            <w:tcW w:w="818" w:type="dxa"/>
            <w:tcBorders>
              <w:top w:val="dotted" w:sz="4" w:space="0" w:color="auto"/>
              <w:left w:val="nil"/>
              <w:bottom w:val="dotted" w:sz="4" w:space="0" w:color="auto"/>
              <w:right w:val="nil"/>
            </w:tcBorders>
            <w:shd w:val="clear" w:color="auto" w:fill="auto"/>
            <w:vAlign w:val="center"/>
            <w:hideMark/>
          </w:tcPr>
          <w:p w14:paraId="4740AF96" w14:textId="77777777" w:rsidR="00D85251" w:rsidRPr="001B1399" w:rsidRDefault="00D85251" w:rsidP="00816475">
            <w:pPr>
              <w:pStyle w:val="TableBodyText"/>
            </w:pPr>
            <w:r w:rsidRPr="001B1399">
              <w:t>50</w:t>
            </w:r>
          </w:p>
        </w:tc>
        <w:tc>
          <w:tcPr>
            <w:tcW w:w="1317" w:type="dxa"/>
            <w:tcBorders>
              <w:top w:val="dotted" w:sz="4" w:space="0" w:color="auto"/>
              <w:left w:val="nil"/>
              <w:bottom w:val="dotted" w:sz="4" w:space="0" w:color="auto"/>
              <w:right w:val="nil"/>
            </w:tcBorders>
            <w:vAlign w:val="center"/>
          </w:tcPr>
          <w:p w14:paraId="179CD739"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vAlign w:val="center"/>
            <w:hideMark/>
          </w:tcPr>
          <w:p w14:paraId="76F9755A" w14:textId="77777777" w:rsidR="00D85251" w:rsidRPr="001B1399" w:rsidRDefault="00D85251" w:rsidP="00816475">
            <w:pPr>
              <w:pStyle w:val="TableBodyText"/>
            </w:pPr>
            <w:r w:rsidRPr="001B1399">
              <w:t>83.33</w:t>
            </w:r>
          </w:p>
        </w:tc>
        <w:tc>
          <w:tcPr>
            <w:tcW w:w="1172" w:type="dxa"/>
            <w:tcBorders>
              <w:top w:val="dotted" w:sz="4" w:space="0" w:color="auto"/>
              <w:left w:val="nil"/>
              <w:bottom w:val="dotted" w:sz="4" w:space="0" w:color="auto"/>
              <w:right w:val="nil"/>
            </w:tcBorders>
            <w:vAlign w:val="center"/>
          </w:tcPr>
          <w:p w14:paraId="5B18011E"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vAlign w:val="center"/>
            <w:hideMark/>
          </w:tcPr>
          <w:p w14:paraId="42EFCCD1"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04913D81"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52F12D97" w14:textId="77777777" w:rsidR="00D85251" w:rsidRPr="001B1399" w:rsidRDefault="00D85251" w:rsidP="00816475">
            <w:pPr>
              <w:pStyle w:val="TableBodyText"/>
            </w:pPr>
            <w:r w:rsidRPr="001B1399">
              <w:t>29.22</w:t>
            </w:r>
          </w:p>
        </w:tc>
      </w:tr>
      <w:tr w:rsidR="00D85251" w:rsidRPr="001B1399" w14:paraId="66967D6D"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FC9D6A5" w14:textId="77777777" w:rsidR="00D85251" w:rsidRPr="001B1399" w:rsidRDefault="00D85251" w:rsidP="00816475">
            <w:pPr>
              <w:pStyle w:val="TableBodyText"/>
            </w:pPr>
            <w:r w:rsidRPr="001B1399">
              <w:t>SMC2-Jd</w:t>
            </w:r>
          </w:p>
        </w:tc>
        <w:tc>
          <w:tcPr>
            <w:tcW w:w="818" w:type="dxa"/>
            <w:tcBorders>
              <w:top w:val="dotted" w:sz="4" w:space="0" w:color="auto"/>
              <w:left w:val="nil"/>
              <w:bottom w:val="dotted" w:sz="4" w:space="0" w:color="auto"/>
              <w:right w:val="nil"/>
            </w:tcBorders>
            <w:shd w:val="clear" w:color="auto" w:fill="auto"/>
            <w:vAlign w:val="center"/>
            <w:hideMark/>
          </w:tcPr>
          <w:p w14:paraId="7D3C8028"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150D876E"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vAlign w:val="center"/>
            <w:hideMark/>
          </w:tcPr>
          <w:p w14:paraId="4311350B"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062CB5AD"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vAlign w:val="center"/>
            <w:hideMark/>
          </w:tcPr>
          <w:p w14:paraId="7C4256AE"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18045131"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8AB8191" w14:textId="77777777" w:rsidR="00D85251" w:rsidRPr="001B1399" w:rsidRDefault="00D85251" w:rsidP="00816475">
            <w:pPr>
              <w:pStyle w:val="TableBodyText"/>
            </w:pPr>
            <w:r w:rsidRPr="001B1399">
              <w:t>9.32</w:t>
            </w:r>
          </w:p>
        </w:tc>
      </w:tr>
      <w:tr w:rsidR="00D85251" w:rsidRPr="001B1399" w14:paraId="7A56659C"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656B237" w14:textId="77777777" w:rsidR="00D85251" w:rsidRPr="001B1399" w:rsidRDefault="00D85251" w:rsidP="00816475">
            <w:pPr>
              <w:pStyle w:val="TableBodyText"/>
            </w:pPr>
            <w:r w:rsidRPr="001B1399">
              <w:t>WC01</w:t>
            </w:r>
          </w:p>
        </w:tc>
        <w:tc>
          <w:tcPr>
            <w:tcW w:w="818" w:type="dxa"/>
            <w:tcBorders>
              <w:top w:val="dotted" w:sz="4" w:space="0" w:color="auto"/>
              <w:left w:val="nil"/>
              <w:bottom w:val="dotted" w:sz="4" w:space="0" w:color="auto"/>
              <w:right w:val="nil"/>
            </w:tcBorders>
            <w:shd w:val="clear" w:color="auto" w:fill="auto"/>
            <w:noWrap/>
            <w:vAlign w:val="center"/>
            <w:hideMark/>
          </w:tcPr>
          <w:p w14:paraId="36FFA5DF" w14:textId="77777777" w:rsidR="00D85251" w:rsidRPr="001B1399" w:rsidRDefault="00D85251" w:rsidP="00816475">
            <w:pPr>
              <w:pStyle w:val="TableBodyText"/>
            </w:pPr>
            <w:r w:rsidRPr="001B1399">
              <w:t>25</w:t>
            </w:r>
          </w:p>
        </w:tc>
        <w:tc>
          <w:tcPr>
            <w:tcW w:w="1317" w:type="dxa"/>
            <w:tcBorders>
              <w:top w:val="dotted" w:sz="4" w:space="0" w:color="auto"/>
              <w:left w:val="nil"/>
              <w:bottom w:val="dotted" w:sz="4" w:space="0" w:color="auto"/>
              <w:right w:val="nil"/>
            </w:tcBorders>
            <w:vAlign w:val="center"/>
          </w:tcPr>
          <w:p w14:paraId="088B3734"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noWrap/>
            <w:vAlign w:val="center"/>
            <w:hideMark/>
          </w:tcPr>
          <w:p w14:paraId="5FD17B8A" w14:textId="77777777" w:rsidR="00D85251" w:rsidRPr="001B1399" w:rsidRDefault="00D85251" w:rsidP="00816475">
            <w:pPr>
              <w:pStyle w:val="TableBodyText"/>
            </w:pPr>
            <w:r w:rsidRPr="001B1399">
              <w:t>31.85</w:t>
            </w:r>
          </w:p>
        </w:tc>
        <w:tc>
          <w:tcPr>
            <w:tcW w:w="1172" w:type="dxa"/>
            <w:tcBorders>
              <w:top w:val="dotted" w:sz="4" w:space="0" w:color="auto"/>
              <w:left w:val="nil"/>
              <w:bottom w:val="dotted" w:sz="4" w:space="0" w:color="auto"/>
              <w:right w:val="nil"/>
            </w:tcBorders>
            <w:vAlign w:val="center"/>
          </w:tcPr>
          <w:p w14:paraId="027D3913"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noWrap/>
            <w:vAlign w:val="center"/>
            <w:hideMark/>
          </w:tcPr>
          <w:p w14:paraId="19033C83" w14:textId="77777777" w:rsidR="00D85251" w:rsidRPr="001B1399" w:rsidRDefault="00D85251" w:rsidP="00816475">
            <w:pPr>
              <w:pStyle w:val="TableBodyText"/>
            </w:pPr>
            <w:r w:rsidRPr="001B1399">
              <w:t>25</w:t>
            </w:r>
          </w:p>
        </w:tc>
        <w:tc>
          <w:tcPr>
            <w:tcW w:w="1172" w:type="dxa"/>
            <w:tcBorders>
              <w:top w:val="dotted" w:sz="4" w:space="0" w:color="auto"/>
              <w:left w:val="nil"/>
              <w:bottom w:val="dotted" w:sz="4" w:space="0" w:color="auto"/>
              <w:right w:val="nil"/>
            </w:tcBorders>
            <w:vAlign w:val="center"/>
          </w:tcPr>
          <w:p w14:paraId="2C352052"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0D25B326" w14:textId="77777777" w:rsidR="00D85251" w:rsidRPr="001B1399" w:rsidRDefault="00D85251" w:rsidP="00816475">
            <w:pPr>
              <w:pStyle w:val="TableBodyText"/>
            </w:pPr>
            <w:r w:rsidRPr="001B1399">
              <w:t>46.11, 54.44</w:t>
            </w:r>
          </w:p>
        </w:tc>
      </w:tr>
      <w:tr w:rsidR="00D85251" w:rsidRPr="001B1399" w14:paraId="73598A71"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F850356" w14:textId="77777777" w:rsidR="00D85251" w:rsidRPr="001B1399" w:rsidRDefault="00D85251" w:rsidP="00816475">
            <w:pPr>
              <w:pStyle w:val="TableBodyText"/>
            </w:pPr>
            <w:r w:rsidRPr="001B1399">
              <w:t>WC02</w:t>
            </w:r>
          </w:p>
        </w:tc>
        <w:tc>
          <w:tcPr>
            <w:tcW w:w="818" w:type="dxa"/>
            <w:tcBorders>
              <w:top w:val="dotted" w:sz="4" w:space="0" w:color="auto"/>
              <w:left w:val="nil"/>
              <w:bottom w:val="dotted" w:sz="4" w:space="0" w:color="auto"/>
              <w:right w:val="nil"/>
            </w:tcBorders>
            <w:shd w:val="clear" w:color="auto" w:fill="auto"/>
            <w:noWrap/>
            <w:vAlign w:val="center"/>
            <w:hideMark/>
          </w:tcPr>
          <w:p w14:paraId="0CDDE937"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384896D5"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53CF3787"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4F922131"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341024E6"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6A646C0F"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299279DB" w14:textId="77777777" w:rsidR="00D85251" w:rsidRPr="001B1399" w:rsidRDefault="00D85251" w:rsidP="00816475">
            <w:pPr>
              <w:pStyle w:val="TableBodyText"/>
            </w:pPr>
            <w:r w:rsidRPr="001B1399">
              <w:t>18.27, 17.77</w:t>
            </w:r>
          </w:p>
        </w:tc>
      </w:tr>
      <w:tr w:rsidR="00D85251" w:rsidRPr="001B1399" w14:paraId="5F7EDC1B" w14:textId="77777777" w:rsidTr="00442230">
        <w:trPr>
          <w:trHeight w:val="264"/>
        </w:trPr>
        <w:tc>
          <w:tcPr>
            <w:tcW w:w="1662" w:type="dxa"/>
            <w:vMerge w:val="restart"/>
            <w:tcBorders>
              <w:top w:val="dotted" w:sz="4" w:space="0" w:color="auto"/>
              <w:left w:val="nil"/>
              <w:bottom w:val="dotted" w:sz="4" w:space="0" w:color="auto"/>
              <w:right w:val="nil"/>
            </w:tcBorders>
            <w:shd w:val="clear" w:color="auto" w:fill="auto"/>
            <w:noWrap/>
            <w:vAlign w:val="center"/>
            <w:hideMark/>
          </w:tcPr>
          <w:p w14:paraId="4D21009E" w14:textId="77777777" w:rsidR="00D85251" w:rsidRPr="001B1399" w:rsidRDefault="00D85251" w:rsidP="00816475">
            <w:pPr>
              <w:pStyle w:val="TableBodyText"/>
            </w:pPr>
            <w:r w:rsidRPr="001B1399">
              <w:t>WC03</w:t>
            </w:r>
          </w:p>
        </w:tc>
        <w:tc>
          <w:tcPr>
            <w:tcW w:w="818" w:type="dxa"/>
            <w:tcBorders>
              <w:top w:val="dotted" w:sz="4" w:space="0" w:color="auto"/>
              <w:left w:val="nil"/>
              <w:bottom w:val="dotted" w:sz="4" w:space="0" w:color="auto"/>
              <w:right w:val="nil"/>
            </w:tcBorders>
            <w:shd w:val="clear" w:color="auto" w:fill="D9D9D9" w:themeFill="background1" w:themeFillShade="D9"/>
            <w:noWrap/>
            <w:vAlign w:val="center"/>
            <w:hideMark/>
          </w:tcPr>
          <w:p w14:paraId="06219913"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shd w:val="clear" w:color="auto" w:fill="D9D9D9" w:themeFill="background1" w:themeFillShade="D9"/>
            <w:vAlign w:val="center"/>
          </w:tcPr>
          <w:p w14:paraId="51FA220D"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D9D9D9" w:themeFill="background1" w:themeFillShade="D9"/>
            <w:noWrap/>
            <w:vAlign w:val="center"/>
          </w:tcPr>
          <w:p w14:paraId="03F936C0" w14:textId="4D02CDEF" w:rsidR="00D85251" w:rsidRPr="001B1399" w:rsidRDefault="00442230" w:rsidP="00816475">
            <w:pPr>
              <w:pStyle w:val="TableBodyText"/>
            </w:pPr>
            <w:r>
              <w:t>-</w:t>
            </w:r>
          </w:p>
        </w:tc>
        <w:tc>
          <w:tcPr>
            <w:tcW w:w="1172" w:type="dxa"/>
            <w:tcBorders>
              <w:top w:val="dotted" w:sz="4" w:space="0" w:color="auto"/>
              <w:left w:val="nil"/>
              <w:bottom w:val="dotted" w:sz="4" w:space="0" w:color="auto"/>
              <w:right w:val="nil"/>
            </w:tcBorders>
            <w:shd w:val="clear" w:color="auto" w:fill="D9D9D9" w:themeFill="background1" w:themeFillShade="D9"/>
            <w:vAlign w:val="center"/>
          </w:tcPr>
          <w:p w14:paraId="0AB6180E" w14:textId="7FA3181F" w:rsidR="00D85251" w:rsidRPr="001B1399" w:rsidRDefault="00442230" w:rsidP="00816475">
            <w:pPr>
              <w:pStyle w:val="TableBodyText"/>
            </w:pPr>
            <w:r>
              <w:t>-</w:t>
            </w:r>
          </w:p>
        </w:tc>
        <w:tc>
          <w:tcPr>
            <w:tcW w:w="723" w:type="dxa"/>
            <w:tcBorders>
              <w:top w:val="dotted" w:sz="4" w:space="0" w:color="auto"/>
              <w:left w:val="nil"/>
              <w:bottom w:val="dotted" w:sz="4" w:space="0" w:color="auto"/>
              <w:right w:val="nil"/>
            </w:tcBorders>
            <w:shd w:val="clear" w:color="auto" w:fill="D9D9D9" w:themeFill="background1" w:themeFillShade="D9"/>
            <w:noWrap/>
            <w:vAlign w:val="center"/>
            <w:hideMark/>
          </w:tcPr>
          <w:p w14:paraId="06C57C53"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shd w:val="clear" w:color="auto" w:fill="D9D9D9" w:themeFill="background1" w:themeFillShade="D9"/>
            <w:vAlign w:val="center"/>
          </w:tcPr>
          <w:p w14:paraId="613F2835"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D9D9D9" w:themeFill="background1" w:themeFillShade="D9"/>
            <w:noWrap/>
            <w:vAlign w:val="center"/>
            <w:hideMark/>
          </w:tcPr>
          <w:p w14:paraId="4EF671F6" w14:textId="77777777" w:rsidR="00D85251" w:rsidRPr="001B1399" w:rsidRDefault="00D85251" w:rsidP="00816475">
            <w:pPr>
              <w:pStyle w:val="TableBodyText"/>
            </w:pPr>
            <w:r w:rsidRPr="001B1399">
              <w:t>0</w:t>
            </w:r>
          </w:p>
        </w:tc>
      </w:tr>
      <w:tr w:rsidR="00D85251" w:rsidRPr="001B1399" w14:paraId="28BAB67D" w14:textId="77777777" w:rsidTr="00816475">
        <w:trPr>
          <w:trHeight w:val="264"/>
        </w:trPr>
        <w:tc>
          <w:tcPr>
            <w:tcW w:w="1662" w:type="dxa"/>
            <w:vMerge/>
            <w:tcBorders>
              <w:top w:val="dotted" w:sz="4" w:space="0" w:color="auto"/>
              <w:left w:val="nil"/>
              <w:bottom w:val="dotted" w:sz="4" w:space="0" w:color="auto"/>
              <w:right w:val="nil"/>
            </w:tcBorders>
            <w:vAlign w:val="center"/>
            <w:hideMark/>
          </w:tcPr>
          <w:p w14:paraId="20CEEDAC" w14:textId="77777777" w:rsidR="00D85251" w:rsidRPr="001B1399" w:rsidRDefault="00D85251" w:rsidP="00816475">
            <w:pPr>
              <w:pStyle w:val="TableBodyText"/>
            </w:pPr>
          </w:p>
        </w:tc>
        <w:tc>
          <w:tcPr>
            <w:tcW w:w="818" w:type="dxa"/>
            <w:tcBorders>
              <w:top w:val="dotted" w:sz="4" w:space="0" w:color="auto"/>
              <w:left w:val="nil"/>
              <w:bottom w:val="dotted" w:sz="4" w:space="0" w:color="auto"/>
              <w:right w:val="nil"/>
            </w:tcBorders>
            <w:shd w:val="clear" w:color="auto" w:fill="auto"/>
            <w:noWrap/>
            <w:vAlign w:val="center"/>
            <w:hideMark/>
          </w:tcPr>
          <w:p w14:paraId="3D80AE9C" w14:textId="77777777" w:rsidR="00D85251" w:rsidRPr="001B1399" w:rsidRDefault="00D85251" w:rsidP="00816475">
            <w:pPr>
              <w:pStyle w:val="TableBodyText"/>
            </w:pPr>
            <w:r w:rsidRPr="001B1399">
              <w:t>-</w:t>
            </w:r>
          </w:p>
        </w:tc>
        <w:tc>
          <w:tcPr>
            <w:tcW w:w="1317" w:type="dxa"/>
            <w:tcBorders>
              <w:top w:val="dotted" w:sz="4" w:space="0" w:color="auto"/>
              <w:left w:val="nil"/>
              <w:bottom w:val="dotted" w:sz="4" w:space="0" w:color="auto"/>
              <w:right w:val="nil"/>
            </w:tcBorders>
            <w:vAlign w:val="center"/>
          </w:tcPr>
          <w:p w14:paraId="0CB76952" w14:textId="77777777" w:rsidR="00D85251" w:rsidRPr="001B1399" w:rsidRDefault="00D85251" w:rsidP="00816475">
            <w:pPr>
              <w:pStyle w:val="TableBodyText"/>
            </w:pPr>
            <w:r w:rsidRPr="001B1399">
              <w:t>-</w:t>
            </w:r>
          </w:p>
        </w:tc>
        <w:tc>
          <w:tcPr>
            <w:tcW w:w="717" w:type="dxa"/>
            <w:tcBorders>
              <w:top w:val="dotted" w:sz="4" w:space="0" w:color="auto"/>
              <w:left w:val="nil"/>
              <w:bottom w:val="dotted" w:sz="4" w:space="0" w:color="auto"/>
              <w:right w:val="nil"/>
            </w:tcBorders>
            <w:shd w:val="clear" w:color="auto" w:fill="auto"/>
            <w:noWrap/>
            <w:vAlign w:val="center"/>
            <w:hideMark/>
          </w:tcPr>
          <w:p w14:paraId="73502FAD"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6641E539"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0903B2C6" w14:textId="77777777" w:rsidR="00D85251" w:rsidRPr="001B1399" w:rsidRDefault="00D85251" w:rsidP="00816475">
            <w:pPr>
              <w:pStyle w:val="TableBodyText"/>
            </w:pPr>
            <w:r w:rsidRPr="001B1399">
              <w:t>-</w:t>
            </w:r>
          </w:p>
        </w:tc>
        <w:tc>
          <w:tcPr>
            <w:tcW w:w="1172" w:type="dxa"/>
            <w:tcBorders>
              <w:top w:val="dotted" w:sz="4" w:space="0" w:color="auto"/>
              <w:left w:val="nil"/>
              <w:bottom w:val="dotted" w:sz="4" w:space="0" w:color="auto"/>
              <w:right w:val="nil"/>
            </w:tcBorders>
            <w:vAlign w:val="center"/>
          </w:tcPr>
          <w:p w14:paraId="6DEDFB17" w14:textId="77777777" w:rsidR="00D85251" w:rsidRPr="001B1399" w:rsidRDefault="00D85251" w:rsidP="00816475">
            <w:pPr>
              <w:pStyle w:val="TableBodyText"/>
            </w:pPr>
            <w:r w:rsidRPr="001B1399">
              <w:t>-</w:t>
            </w:r>
          </w:p>
        </w:tc>
        <w:tc>
          <w:tcPr>
            <w:tcW w:w="1995" w:type="dxa"/>
            <w:tcBorders>
              <w:top w:val="dotted" w:sz="4" w:space="0" w:color="auto"/>
              <w:left w:val="nil"/>
              <w:bottom w:val="dotted" w:sz="4" w:space="0" w:color="auto"/>
              <w:right w:val="nil"/>
            </w:tcBorders>
            <w:shd w:val="clear" w:color="auto" w:fill="auto"/>
            <w:noWrap/>
            <w:vAlign w:val="center"/>
            <w:hideMark/>
          </w:tcPr>
          <w:p w14:paraId="5DC6A527" w14:textId="77777777" w:rsidR="00D85251" w:rsidRPr="001B1399" w:rsidRDefault="00D85251" w:rsidP="00816475">
            <w:pPr>
              <w:pStyle w:val="TableBodyText"/>
            </w:pPr>
            <w:r w:rsidRPr="001B1399">
              <w:t>-</w:t>
            </w:r>
          </w:p>
        </w:tc>
      </w:tr>
      <w:tr w:rsidR="00D85251" w:rsidRPr="001B1399" w14:paraId="70213226"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1DF7B3C7" w14:textId="77777777" w:rsidR="00D85251" w:rsidRPr="001B1399" w:rsidRDefault="00D85251" w:rsidP="00816475">
            <w:pPr>
              <w:pStyle w:val="TableBodyText"/>
            </w:pPr>
            <w:r w:rsidRPr="001B1399">
              <w:t>WC04</w:t>
            </w:r>
          </w:p>
        </w:tc>
        <w:tc>
          <w:tcPr>
            <w:tcW w:w="818" w:type="dxa"/>
            <w:tcBorders>
              <w:top w:val="dotted" w:sz="4" w:space="0" w:color="auto"/>
              <w:left w:val="nil"/>
              <w:bottom w:val="dotted" w:sz="4" w:space="0" w:color="auto"/>
              <w:right w:val="nil"/>
            </w:tcBorders>
            <w:shd w:val="clear" w:color="auto" w:fill="auto"/>
            <w:noWrap/>
            <w:vAlign w:val="center"/>
            <w:hideMark/>
          </w:tcPr>
          <w:p w14:paraId="42B88F04"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3D536F5C"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44E3ED45"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7124987"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139BBB9A"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5878CAA7"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2D033BFD" w14:textId="77777777" w:rsidR="00D85251" w:rsidRPr="001B1399" w:rsidRDefault="00D85251" w:rsidP="00816475">
            <w:pPr>
              <w:pStyle w:val="TableBodyText"/>
            </w:pPr>
            <w:r w:rsidRPr="001B1399">
              <w:t>15.67</w:t>
            </w:r>
          </w:p>
        </w:tc>
      </w:tr>
      <w:tr w:rsidR="00D85251" w:rsidRPr="001B1399" w14:paraId="19F71279"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448DC275" w14:textId="77777777" w:rsidR="00D85251" w:rsidRPr="001B1399" w:rsidRDefault="00D85251" w:rsidP="00816475">
            <w:pPr>
              <w:pStyle w:val="TableBodyText"/>
            </w:pPr>
            <w:r w:rsidRPr="001B1399">
              <w:t>WC05</w:t>
            </w:r>
          </w:p>
        </w:tc>
        <w:tc>
          <w:tcPr>
            <w:tcW w:w="818" w:type="dxa"/>
            <w:tcBorders>
              <w:top w:val="dotted" w:sz="4" w:space="0" w:color="auto"/>
              <w:left w:val="nil"/>
              <w:bottom w:val="dotted" w:sz="4" w:space="0" w:color="auto"/>
              <w:right w:val="nil"/>
            </w:tcBorders>
            <w:shd w:val="clear" w:color="auto" w:fill="auto"/>
            <w:noWrap/>
            <w:vAlign w:val="center"/>
            <w:hideMark/>
          </w:tcPr>
          <w:p w14:paraId="0D69D6A7" w14:textId="77777777" w:rsidR="00D85251" w:rsidRPr="001B1399" w:rsidRDefault="00D85251" w:rsidP="00816475">
            <w:pPr>
              <w:pStyle w:val="TableBodyText"/>
            </w:pPr>
            <w:r w:rsidRPr="001B1399">
              <w:t>50</w:t>
            </w:r>
          </w:p>
        </w:tc>
        <w:tc>
          <w:tcPr>
            <w:tcW w:w="1317" w:type="dxa"/>
            <w:tcBorders>
              <w:top w:val="dotted" w:sz="4" w:space="0" w:color="auto"/>
              <w:left w:val="nil"/>
              <w:bottom w:val="dotted" w:sz="4" w:space="0" w:color="auto"/>
              <w:right w:val="nil"/>
            </w:tcBorders>
            <w:vAlign w:val="center"/>
          </w:tcPr>
          <w:p w14:paraId="305C7778"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noWrap/>
            <w:vAlign w:val="center"/>
            <w:hideMark/>
          </w:tcPr>
          <w:p w14:paraId="66601646" w14:textId="77777777" w:rsidR="00D85251" w:rsidRPr="001B1399" w:rsidRDefault="00D85251" w:rsidP="00816475">
            <w:pPr>
              <w:pStyle w:val="TableBodyText"/>
            </w:pPr>
            <w:r w:rsidRPr="001B1399">
              <w:t>69.85</w:t>
            </w:r>
          </w:p>
        </w:tc>
        <w:tc>
          <w:tcPr>
            <w:tcW w:w="1172" w:type="dxa"/>
            <w:tcBorders>
              <w:top w:val="dotted" w:sz="4" w:space="0" w:color="auto"/>
              <w:left w:val="nil"/>
              <w:bottom w:val="dotted" w:sz="4" w:space="0" w:color="auto"/>
              <w:right w:val="nil"/>
            </w:tcBorders>
            <w:vAlign w:val="center"/>
          </w:tcPr>
          <w:p w14:paraId="0F4379E9"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noWrap/>
            <w:vAlign w:val="center"/>
            <w:hideMark/>
          </w:tcPr>
          <w:p w14:paraId="2AA8AA80"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23A1B596"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0DC0011B" w14:textId="77777777" w:rsidR="00D85251" w:rsidRPr="001B1399" w:rsidRDefault="00D85251" w:rsidP="00816475">
            <w:pPr>
              <w:pStyle w:val="TableBodyText"/>
            </w:pPr>
            <w:r w:rsidRPr="001B1399">
              <w:t>61.14</w:t>
            </w:r>
          </w:p>
        </w:tc>
      </w:tr>
      <w:tr w:rsidR="00D85251" w:rsidRPr="001B1399" w14:paraId="69FBDA0A"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68C5F22" w14:textId="77777777" w:rsidR="00D85251" w:rsidRPr="001B1399" w:rsidRDefault="00D85251" w:rsidP="00816475">
            <w:pPr>
              <w:pStyle w:val="TableBodyText"/>
            </w:pPr>
            <w:r w:rsidRPr="001B1399">
              <w:t>WC06</w:t>
            </w:r>
          </w:p>
        </w:tc>
        <w:tc>
          <w:tcPr>
            <w:tcW w:w="818" w:type="dxa"/>
            <w:tcBorders>
              <w:top w:val="dotted" w:sz="4" w:space="0" w:color="auto"/>
              <w:left w:val="nil"/>
              <w:bottom w:val="dotted" w:sz="4" w:space="0" w:color="auto"/>
              <w:right w:val="nil"/>
            </w:tcBorders>
            <w:shd w:val="clear" w:color="auto" w:fill="auto"/>
            <w:noWrap/>
            <w:vAlign w:val="center"/>
            <w:hideMark/>
          </w:tcPr>
          <w:p w14:paraId="422A7783" w14:textId="77777777" w:rsidR="00D85251" w:rsidRPr="001B1399" w:rsidRDefault="00D85251" w:rsidP="00816475">
            <w:pPr>
              <w:pStyle w:val="TableBodyText"/>
            </w:pPr>
            <w:r w:rsidRPr="001B1399">
              <w:t>50</w:t>
            </w:r>
          </w:p>
        </w:tc>
        <w:tc>
          <w:tcPr>
            <w:tcW w:w="1317" w:type="dxa"/>
            <w:tcBorders>
              <w:top w:val="dotted" w:sz="4" w:space="0" w:color="auto"/>
              <w:left w:val="nil"/>
              <w:bottom w:val="dotted" w:sz="4" w:space="0" w:color="auto"/>
              <w:right w:val="nil"/>
            </w:tcBorders>
            <w:vAlign w:val="center"/>
          </w:tcPr>
          <w:p w14:paraId="7237C676"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noWrap/>
            <w:vAlign w:val="center"/>
            <w:hideMark/>
          </w:tcPr>
          <w:p w14:paraId="60C58FF5" w14:textId="77777777" w:rsidR="00D85251" w:rsidRPr="001B1399" w:rsidRDefault="00D85251" w:rsidP="00816475">
            <w:pPr>
              <w:pStyle w:val="TableBodyText"/>
            </w:pPr>
            <w:r w:rsidRPr="001B1399">
              <w:t>37.86</w:t>
            </w:r>
          </w:p>
        </w:tc>
        <w:tc>
          <w:tcPr>
            <w:tcW w:w="1172" w:type="dxa"/>
            <w:tcBorders>
              <w:top w:val="dotted" w:sz="4" w:space="0" w:color="auto"/>
              <w:left w:val="nil"/>
              <w:bottom w:val="dotted" w:sz="4" w:space="0" w:color="auto"/>
              <w:right w:val="nil"/>
            </w:tcBorders>
            <w:vAlign w:val="center"/>
          </w:tcPr>
          <w:p w14:paraId="163083D9"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noWrap/>
            <w:vAlign w:val="center"/>
            <w:hideMark/>
          </w:tcPr>
          <w:p w14:paraId="5E3EC724" w14:textId="77777777" w:rsidR="00D85251" w:rsidRPr="001B1399" w:rsidRDefault="00D85251" w:rsidP="00816475">
            <w:pPr>
              <w:pStyle w:val="TableBodyText"/>
            </w:pPr>
            <w:r w:rsidRPr="001B1399">
              <w:t>12.5</w:t>
            </w:r>
          </w:p>
        </w:tc>
        <w:tc>
          <w:tcPr>
            <w:tcW w:w="1172" w:type="dxa"/>
            <w:tcBorders>
              <w:top w:val="dotted" w:sz="4" w:space="0" w:color="auto"/>
              <w:left w:val="nil"/>
              <w:bottom w:val="dotted" w:sz="4" w:space="0" w:color="auto"/>
              <w:right w:val="nil"/>
            </w:tcBorders>
            <w:vAlign w:val="center"/>
          </w:tcPr>
          <w:p w14:paraId="296A8978"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77288ED1" w14:textId="77777777" w:rsidR="00D85251" w:rsidRPr="001B1399" w:rsidRDefault="00D85251" w:rsidP="00816475">
            <w:pPr>
              <w:pStyle w:val="TableBodyText"/>
            </w:pPr>
            <w:r w:rsidRPr="001B1399">
              <w:t>18.14, 12.56, 36.74, 65.58</w:t>
            </w:r>
          </w:p>
        </w:tc>
      </w:tr>
      <w:tr w:rsidR="00D85251" w:rsidRPr="001B1399" w14:paraId="24399884"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DE8A40B" w14:textId="77777777" w:rsidR="00D85251" w:rsidRPr="001B1399" w:rsidRDefault="00D85251" w:rsidP="00816475">
            <w:pPr>
              <w:pStyle w:val="TableBodyText"/>
            </w:pPr>
            <w:r w:rsidRPr="001B1399">
              <w:t>WC07</w:t>
            </w:r>
          </w:p>
        </w:tc>
        <w:tc>
          <w:tcPr>
            <w:tcW w:w="818" w:type="dxa"/>
            <w:tcBorders>
              <w:top w:val="dotted" w:sz="4" w:space="0" w:color="auto"/>
              <w:left w:val="nil"/>
              <w:bottom w:val="dotted" w:sz="4" w:space="0" w:color="auto"/>
              <w:right w:val="nil"/>
            </w:tcBorders>
            <w:shd w:val="clear" w:color="auto" w:fill="auto"/>
            <w:noWrap/>
            <w:vAlign w:val="center"/>
            <w:hideMark/>
          </w:tcPr>
          <w:p w14:paraId="60EA4835"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16E1102B"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5335FF36"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598CA04B"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02EE49BF"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0A8FD877"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4B7009ED" w14:textId="77777777" w:rsidR="00D85251" w:rsidRPr="001B1399" w:rsidRDefault="00D85251" w:rsidP="00816475">
            <w:pPr>
              <w:pStyle w:val="TableBodyText"/>
            </w:pPr>
            <w:r w:rsidRPr="001B1399">
              <w:t>18.9</w:t>
            </w:r>
          </w:p>
        </w:tc>
      </w:tr>
      <w:tr w:rsidR="00D85251" w:rsidRPr="001B1399" w14:paraId="655B0E0C"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09CB8D3" w14:textId="77777777" w:rsidR="00D85251" w:rsidRPr="001B1399" w:rsidRDefault="00D85251" w:rsidP="00816475">
            <w:pPr>
              <w:pStyle w:val="TableBodyText"/>
            </w:pPr>
            <w:r w:rsidRPr="001B1399">
              <w:t>WC08</w:t>
            </w:r>
          </w:p>
        </w:tc>
        <w:tc>
          <w:tcPr>
            <w:tcW w:w="818" w:type="dxa"/>
            <w:tcBorders>
              <w:top w:val="dotted" w:sz="4" w:space="0" w:color="auto"/>
              <w:left w:val="nil"/>
              <w:bottom w:val="dotted" w:sz="4" w:space="0" w:color="auto"/>
              <w:right w:val="nil"/>
            </w:tcBorders>
            <w:shd w:val="clear" w:color="auto" w:fill="auto"/>
            <w:noWrap/>
            <w:vAlign w:val="center"/>
            <w:hideMark/>
          </w:tcPr>
          <w:p w14:paraId="276B4B53"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5A356C5E"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4E8B3B59"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4E70A012"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51B9AB1B"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5AE5F91B"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439279E5" w14:textId="77777777" w:rsidR="00D85251" w:rsidRPr="001B1399" w:rsidRDefault="00D85251" w:rsidP="00816475">
            <w:pPr>
              <w:pStyle w:val="TableBodyText"/>
            </w:pPr>
            <w:r w:rsidRPr="001B1399">
              <w:t>5</w:t>
            </w:r>
          </w:p>
        </w:tc>
      </w:tr>
      <w:tr w:rsidR="00D85251" w:rsidRPr="001B1399" w14:paraId="2E8B9A6C"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136C39D" w14:textId="77777777" w:rsidR="00D85251" w:rsidRPr="001B1399" w:rsidRDefault="00D85251" w:rsidP="00816475">
            <w:pPr>
              <w:pStyle w:val="TableBodyText"/>
            </w:pPr>
            <w:r w:rsidRPr="001B1399">
              <w:t>WC09</w:t>
            </w:r>
          </w:p>
        </w:tc>
        <w:tc>
          <w:tcPr>
            <w:tcW w:w="818" w:type="dxa"/>
            <w:tcBorders>
              <w:top w:val="dotted" w:sz="4" w:space="0" w:color="auto"/>
              <w:left w:val="nil"/>
              <w:bottom w:val="dotted" w:sz="4" w:space="0" w:color="auto"/>
              <w:right w:val="nil"/>
            </w:tcBorders>
            <w:shd w:val="clear" w:color="auto" w:fill="auto"/>
            <w:noWrap/>
            <w:vAlign w:val="center"/>
            <w:hideMark/>
          </w:tcPr>
          <w:p w14:paraId="5CFB5565"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3107EB2B"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17D5A48B"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A162CC1"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3FBFD429"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3D3B0009"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1B7D3CA1" w14:textId="77777777" w:rsidR="00D85251" w:rsidRPr="001B1399" w:rsidRDefault="00D85251" w:rsidP="00816475">
            <w:pPr>
              <w:pStyle w:val="TableBodyText"/>
            </w:pPr>
            <w:r w:rsidRPr="001B1399">
              <w:t>11.39</w:t>
            </w:r>
          </w:p>
        </w:tc>
      </w:tr>
      <w:tr w:rsidR="00D85251" w:rsidRPr="001B1399" w14:paraId="4B530B43" w14:textId="77777777" w:rsidTr="00442230">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CAFE1F9" w14:textId="77777777" w:rsidR="00D85251" w:rsidRPr="001B1399" w:rsidRDefault="00D85251" w:rsidP="00816475">
            <w:pPr>
              <w:pStyle w:val="TableBodyText"/>
            </w:pPr>
            <w:r w:rsidRPr="001B1399">
              <w:t>WC10</w:t>
            </w:r>
          </w:p>
        </w:tc>
        <w:tc>
          <w:tcPr>
            <w:tcW w:w="818" w:type="dxa"/>
            <w:tcBorders>
              <w:top w:val="dotted" w:sz="4" w:space="0" w:color="auto"/>
              <w:left w:val="nil"/>
              <w:bottom w:val="dotted" w:sz="4" w:space="0" w:color="auto"/>
              <w:right w:val="nil"/>
            </w:tcBorders>
            <w:shd w:val="clear" w:color="auto" w:fill="D9D9D9" w:themeFill="background1" w:themeFillShade="D9"/>
            <w:noWrap/>
            <w:vAlign w:val="center"/>
            <w:hideMark/>
          </w:tcPr>
          <w:p w14:paraId="427CE4E6"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shd w:val="clear" w:color="auto" w:fill="D9D9D9" w:themeFill="background1" w:themeFillShade="D9"/>
            <w:vAlign w:val="center"/>
          </w:tcPr>
          <w:p w14:paraId="4C66246B"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D9D9D9" w:themeFill="background1" w:themeFillShade="D9"/>
            <w:noWrap/>
            <w:vAlign w:val="center"/>
            <w:hideMark/>
          </w:tcPr>
          <w:p w14:paraId="0590070C" w14:textId="77777777" w:rsidR="00D85251" w:rsidRPr="001B1399" w:rsidRDefault="00D85251" w:rsidP="00816475">
            <w:pPr>
              <w:pStyle w:val="TableBodyText"/>
            </w:pPr>
            <w:r w:rsidRPr="001B1399">
              <w:t>11.61</w:t>
            </w:r>
          </w:p>
        </w:tc>
        <w:tc>
          <w:tcPr>
            <w:tcW w:w="1172" w:type="dxa"/>
            <w:tcBorders>
              <w:top w:val="dotted" w:sz="4" w:space="0" w:color="auto"/>
              <w:left w:val="nil"/>
              <w:bottom w:val="dotted" w:sz="4" w:space="0" w:color="auto"/>
              <w:right w:val="nil"/>
            </w:tcBorders>
            <w:shd w:val="clear" w:color="auto" w:fill="D9D9D9" w:themeFill="background1" w:themeFillShade="D9"/>
            <w:vAlign w:val="center"/>
          </w:tcPr>
          <w:p w14:paraId="016B199A"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D9D9D9" w:themeFill="background1" w:themeFillShade="D9"/>
            <w:noWrap/>
            <w:vAlign w:val="center"/>
            <w:hideMark/>
          </w:tcPr>
          <w:p w14:paraId="04C1CBF1" w14:textId="77777777" w:rsidR="00D85251" w:rsidRPr="001B1399" w:rsidRDefault="00D85251" w:rsidP="00816475">
            <w:pPr>
              <w:pStyle w:val="TableBodyText"/>
            </w:pPr>
            <w:r w:rsidRPr="001B1399">
              <w:t>&lt;6.25</w:t>
            </w:r>
          </w:p>
        </w:tc>
        <w:tc>
          <w:tcPr>
            <w:tcW w:w="1172" w:type="dxa"/>
            <w:tcBorders>
              <w:top w:val="dotted" w:sz="4" w:space="0" w:color="auto"/>
              <w:left w:val="nil"/>
              <w:bottom w:val="dotted" w:sz="4" w:space="0" w:color="auto"/>
              <w:right w:val="nil"/>
            </w:tcBorders>
            <w:shd w:val="clear" w:color="auto" w:fill="D9D9D9" w:themeFill="background1" w:themeFillShade="D9"/>
            <w:vAlign w:val="center"/>
          </w:tcPr>
          <w:p w14:paraId="19B9895D"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D9D9D9" w:themeFill="background1" w:themeFillShade="D9"/>
            <w:noWrap/>
            <w:vAlign w:val="center"/>
            <w:hideMark/>
          </w:tcPr>
          <w:p w14:paraId="7DD76538" w14:textId="77777777" w:rsidR="00D85251" w:rsidRPr="001B1399" w:rsidRDefault="00D85251" w:rsidP="00816475">
            <w:pPr>
              <w:pStyle w:val="TableBodyText"/>
            </w:pPr>
            <w:r w:rsidRPr="001B1399">
              <w:t>17.74, 50, 2.42, 27.42, 26.61</w:t>
            </w:r>
          </w:p>
        </w:tc>
      </w:tr>
      <w:tr w:rsidR="00D85251" w:rsidRPr="001B1399" w14:paraId="0FBF548E"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4BE3E760" w14:textId="77777777" w:rsidR="00D85251" w:rsidRPr="001B1399" w:rsidRDefault="00D85251" w:rsidP="00816475">
            <w:pPr>
              <w:pStyle w:val="TableBodyText"/>
            </w:pPr>
            <w:r w:rsidRPr="001B1399">
              <w:t>WC11</w:t>
            </w:r>
          </w:p>
        </w:tc>
        <w:tc>
          <w:tcPr>
            <w:tcW w:w="818" w:type="dxa"/>
            <w:tcBorders>
              <w:top w:val="dotted" w:sz="4" w:space="0" w:color="auto"/>
              <w:left w:val="nil"/>
              <w:bottom w:val="dotted" w:sz="4" w:space="0" w:color="auto"/>
              <w:right w:val="nil"/>
            </w:tcBorders>
            <w:shd w:val="clear" w:color="auto" w:fill="auto"/>
            <w:noWrap/>
            <w:vAlign w:val="center"/>
            <w:hideMark/>
          </w:tcPr>
          <w:p w14:paraId="01302625" w14:textId="77777777" w:rsidR="00D85251" w:rsidRPr="001B1399" w:rsidRDefault="00D85251" w:rsidP="00816475">
            <w:pPr>
              <w:pStyle w:val="TableBodyText"/>
            </w:pPr>
            <w:r w:rsidRPr="001B1399">
              <w:t>50</w:t>
            </w:r>
          </w:p>
        </w:tc>
        <w:tc>
          <w:tcPr>
            <w:tcW w:w="1317" w:type="dxa"/>
            <w:tcBorders>
              <w:top w:val="dotted" w:sz="4" w:space="0" w:color="auto"/>
              <w:left w:val="nil"/>
              <w:bottom w:val="dotted" w:sz="4" w:space="0" w:color="auto"/>
              <w:right w:val="nil"/>
            </w:tcBorders>
            <w:vAlign w:val="center"/>
          </w:tcPr>
          <w:p w14:paraId="2F340BDF"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noWrap/>
            <w:vAlign w:val="center"/>
            <w:hideMark/>
          </w:tcPr>
          <w:p w14:paraId="7AB826DA" w14:textId="77777777" w:rsidR="00D85251" w:rsidRPr="001B1399" w:rsidRDefault="00D85251" w:rsidP="00816475">
            <w:pPr>
              <w:pStyle w:val="TableBodyText"/>
            </w:pPr>
            <w:r w:rsidRPr="001B1399">
              <w:t>46.46</w:t>
            </w:r>
          </w:p>
        </w:tc>
        <w:tc>
          <w:tcPr>
            <w:tcW w:w="1172" w:type="dxa"/>
            <w:tcBorders>
              <w:top w:val="dotted" w:sz="4" w:space="0" w:color="auto"/>
              <w:left w:val="nil"/>
              <w:bottom w:val="dotted" w:sz="4" w:space="0" w:color="auto"/>
              <w:right w:val="nil"/>
            </w:tcBorders>
            <w:vAlign w:val="center"/>
          </w:tcPr>
          <w:p w14:paraId="05B7716C"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noWrap/>
            <w:vAlign w:val="center"/>
            <w:hideMark/>
          </w:tcPr>
          <w:p w14:paraId="6986ED9C" w14:textId="77777777" w:rsidR="00D85251" w:rsidRPr="001B1399" w:rsidRDefault="00D85251" w:rsidP="00816475">
            <w:pPr>
              <w:pStyle w:val="TableBodyText"/>
            </w:pPr>
            <w:r w:rsidRPr="001B1399">
              <w:t>25</w:t>
            </w:r>
          </w:p>
        </w:tc>
        <w:tc>
          <w:tcPr>
            <w:tcW w:w="1172" w:type="dxa"/>
            <w:tcBorders>
              <w:top w:val="dotted" w:sz="4" w:space="0" w:color="auto"/>
              <w:left w:val="nil"/>
              <w:bottom w:val="dotted" w:sz="4" w:space="0" w:color="auto"/>
              <w:right w:val="nil"/>
            </w:tcBorders>
            <w:vAlign w:val="center"/>
          </w:tcPr>
          <w:p w14:paraId="78566E68"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26D68BD6" w14:textId="77777777" w:rsidR="00D85251" w:rsidRPr="001B1399" w:rsidRDefault="00D85251" w:rsidP="00816475">
            <w:pPr>
              <w:pStyle w:val="TableBodyText"/>
            </w:pPr>
            <w:r w:rsidRPr="001B1399">
              <w:t>20.99, 56.91</w:t>
            </w:r>
          </w:p>
        </w:tc>
      </w:tr>
      <w:tr w:rsidR="00D85251" w:rsidRPr="001B1399" w14:paraId="089DC367"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A1B8DD3" w14:textId="77777777" w:rsidR="00D85251" w:rsidRPr="001B1399" w:rsidRDefault="00D85251" w:rsidP="00816475">
            <w:pPr>
              <w:pStyle w:val="TableBodyText"/>
            </w:pPr>
            <w:r w:rsidRPr="001B1399">
              <w:t>WC12</w:t>
            </w:r>
          </w:p>
        </w:tc>
        <w:tc>
          <w:tcPr>
            <w:tcW w:w="818" w:type="dxa"/>
            <w:tcBorders>
              <w:top w:val="dotted" w:sz="4" w:space="0" w:color="auto"/>
              <w:left w:val="nil"/>
              <w:bottom w:val="dotted" w:sz="4" w:space="0" w:color="auto"/>
              <w:right w:val="nil"/>
            </w:tcBorders>
            <w:shd w:val="clear" w:color="auto" w:fill="auto"/>
            <w:noWrap/>
            <w:vAlign w:val="center"/>
            <w:hideMark/>
          </w:tcPr>
          <w:p w14:paraId="4E1CA102"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3B599CE6"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77E4EEDB"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24AC3674"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7DB1D362"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2A074F3D"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5779BB7" w14:textId="77777777" w:rsidR="00D85251" w:rsidRPr="001B1399" w:rsidRDefault="00D85251" w:rsidP="00816475">
            <w:pPr>
              <w:pStyle w:val="TableBodyText"/>
            </w:pPr>
            <w:r w:rsidRPr="001B1399">
              <w:t>0</w:t>
            </w:r>
          </w:p>
        </w:tc>
      </w:tr>
      <w:tr w:rsidR="00D85251" w:rsidRPr="001B1399" w14:paraId="7380F1AF" w14:textId="77777777" w:rsidTr="00442230">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75E0D14" w14:textId="77777777" w:rsidR="00D85251" w:rsidRPr="001B1399" w:rsidRDefault="00D85251" w:rsidP="00816475">
            <w:pPr>
              <w:pStyle w:val="TableBodyText"/>
            </w:pPr>
            <w:r w:rsidRPr="001B1399">
              <w:t>WC13</w:t>
            </w:r>
          </w:p>
        </w:tc>
        <w:tc>
          <w:tcPr>
            <w:tcW w:w="818" w:type="dxa"/>
            <w:tcBorders>
              <w:top w:val="dotted" w:sz="4" w:space="0" w:color="auto"/>
              <w:left w:val="nil"/>
              <w:bottom w:val="dotted" w:sz="4" w:space="0" w:color="auto"/>
              <w:right w:val="nil"/>
            </w:tcBorders>
            <w:shd w:val="clear" w:color="auto" w:fill="D9D9D9" w:themeFill="background1" w:themeFillShade="D9"/>
            <w:noWrap/>
            <w:vAlign w:val="center"/>
            <w:hideMark/>
          </w:tcPr>
          <w:p w14:paraId="5E2876C1"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shd w:val="clear" w:color="auto" w:fill="D9D9D9" w:themeFill="background1" w:themeFillShade="D9"/>
            <w:vAlign w:val="center"/>
          </w:tcPr>
          <w:p w14:paraId="5160B6AF"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D9D9D9" w:themeFill="background1" w:themeFillShade="D9"/>
            <w:noWrap/>
            <w:vAlign w:val="center"/>
            <w:hideMark/>
          </w:tcPr>
          <w:p w14:paraId="064D38FC" w14:textId="77777777" w:rsidR="00D85251" w:rsidRPr="001B1399" w:rsidRDefault="00D85251" w:rsidP="00816475">
            <w:pPr>
              <w:pStyle w:val="TableBodyText"/>
            </w:pPr>
            <w:r w:rsidRPr="001B1399">
              <w:t>12.14</w:t>
            </w:r>
          </w:p>
        </w:tc>
        <w:tc>
          <w:tcPr>
            <w:tcW w:w="1172" w:type="dxa"/>
            <w:tcBorders>
              <w:top w:val="dotted" w:sz="4" w:space="0" w:color="auto"/>
              <w:left w:val="nil"/>
              <w:bottom w:val="dotted" w:sz="4" w:space="0" w:color="auto"/>
              <w:right w:val="nil"/>
            </w:tcBorders>
            <w:shd w:val="clear" w:color="auto" w:fill="D9D9D9" w:themeFill="background1" w:themeFillShade="D9"/>
            <w:vAlign w:val="center"/>
          </w:tcPr>
          <w:p w14:paraId="5B8FD41E"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D9D9D9" w:themeFill="background1" w:themeFillShade="D9"/>
            <w:noWrap/>
            <w:vAlign w:val="center"/>
            <w:hideMark/>
          </w:tcPr>
          <w:p w14:paraId="37C9620F" w14:textId="77777777" w:rsidR="00D85251" w:rsidRPr="001B1399" w:rsidRDefault="00D85251" w:rsidP="00816475">
            <w:pPr>
              <w:pStyle w:val="TableBodyText"/>
            </w:pPr>
            <w:r w:rsidRPr="001B1399">
              <w:t>&lt;6.25</w:t>
            </w:r>
          </w:p>
        </w:tc>
        <w:tc>
          <w:tcPr>
            <w:tcW w:w="1172" w:type="dxa"/>
            <w:tcBorders>
              <w:top w:val="dotted" w:sz="4" w:space="0" w:color="auto"/>
              <w:left w:val="nil"/>
              <w:bottom w:val="dotted" w:sz="4" w:space="0" w:color="auto"/>
              <w:right w:val="nil"/>
            </w:tcBorders>
            <w:shd w:val="clear" w:color="auto" w:fill="D9D9D9" w:themeFill="background1" w:themeFillShade="D9"/>
            <w:vAlign w:val="center"/>
          </w:tcPr>
          <w:p w14:paraId="43C3A726"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D9D9D9" w:themeFill="background1" w:themeFillShade="D9"/>
            <w:noWrap/>
            <w:vAlign w:val="center"/>
            <w:hideMark/>
          </w:tcPr>
          <w:p w14:paraId="43F04481" w14:textId="77777777" w:rsidR="00D85251" w:rsidRPr="001B1399" w:rsidRDefault="00D85251" w:rsidP="00816475">
            <w:pPr>
              <w:pStyle w:val="TableBodyText"/>
            </w:pPr>
            <w:r w:rsidRPr="001B1399">
              <w:t>7.75, 26.06, 42.25, 38.73, 23.24</w:t>
            </w:r>
          </w:p>
        </w:tc>
      </w:tr>
      <w:tr w:rsidR="00D85251" w:rsidRPr="001B1399" w14:paraId="1E078550"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4C4CB33" w14:textId="77777777" w:rsidR="00D85251" w:rsidRPr="001B1399" w:rsidRDefault="00D85251" w:rsidP="00816475">
            <w:pPr>
              <w:pStyle w:val="TableBodyText"/>
            </w:pPr>
            <w:r w:rsidRPr="001B1399">
              <w:t>WC14</w:t>
            </w:r>
          </w:p>
        </w:tc>
        <w:tc>
          <w:tcPr>
            <w:tcW w:w="818" w:type="dxa"/>
            <w:tcBorders>
              <w:top w:val="dotted" w:sz="4" w:space="0" w:color="auto"/>
              <w:left w:val="nil"/>
              <w:bottom w:val="dotted" w:sz="4" w:space="0" w:color="auto"/>
              <w:right w:val="nil"/>
            </w:tcBorders>
            <w:shd w:val="clear" w:color="auto" w:fill="auto"/>
            <w:noWrap/>
            <w:vAlign w:val="center"/>
            <w:hideMark/>
          </w:tcPr>
          <w:p w14:paraId="7CB42A7B"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26CEB16A"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6278E561"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5304AB14"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75240D3B"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031C9104"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9F3EE3D" w14:textId="77777777" w:rsidR="00D85251" w:rsidRPr="001B1399" w:rsidRDefault="00D85251" w:rsidP="00816475">
            <w:pPr>
              <w:pStyle w:val="TableBodyText"/>
            </w:pPr>
            <w:r w:rsidRPr="001B1399">
              <w:t>1.54</w:t>
            </w:r>
          </w:p>
        </w:tc>
      </w:tr>
      <w:tr w:rsidR="00D85251" w:rsidRPr="001B1399" w14:paraId="25878348"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1920EE1" w14:textId="77777777" w:rsidR="00D85251" w:rsidRPr="001B1399" w:rsidRDefault="00D85251" w:rsidP="00816475">
            <w:pPr>
              <w:pStyle w:val="TableBodyText"/>
            </w:pPr>
            <w:r w:rsidRPr="001B1399">
              <w:t>WC15</w:t>
            </w:r>
          </w:p>
        </w:tc>
        <w:tc>
          <w:tcPr>
            <w:tcW w:w="818" w:type="dxa"/>
            <w:tcBorders>
              <w:top w:val="dotted" w:sz="4" w:space="0" w:color="auto"/>
              <w:left w:val="nil"/>
              <w:bottom w:val="dotted" w:sz="4" w:space="0" w:color="auto"/>
              <w:right w:val="nil"/>
            </w:tcBorders>
            <w:shd w:val="clear" w:color="auto" w:fill="auto"/>
            <w:noWrap/>
            <w:vAlign w:val="center"/>
            <w:hideMark/>
          </w:tcPr>
          <w:p w14:paraId="7B5185C8"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018644C4"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1708D777"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493EB5EA"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05D5B481"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727A769A"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5F24E58F" w14:textId="77777777" w:rsidR="00D85251" w:rsidRPr="001B1399" w:rsidRDefault="00D85251" w:rsidP="00816475">
            <w:pPr>
              <w:pStyle w:val="TableBodyText"/>
            </w:pPr>
            <w:r w:rsidRPr="001B1399">
              <w:t>7.37</w:t>
            </w:r>
          </w:p>
        </w:tc>
      </w:tr>
      <w:tr w:rsidR="00D85251" w:rsidRPr="001B1399" w14:paraId="4F5E11DE"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AC41CF3" w14:textId="77777777" w:rsidR="00D85251" w:rsidRPr="001B1399" w:rsidRDefault="00D85251" w:rsidP="00816475">
            <w:pPr>
              <w:pStyle w:val="TableBodyText"/>
            </w:pPr>
            <w:r w:rsidRPr="001B1399">
              <w:t>WC16</w:t>
            </w:r>
          </w:p>
        </w:tc>
        <w:tc>
          <w:tcPr>
            <w:tcW w:w="818" w:type="dxa"/>
            <w:tcBorders>
              <w:top w:val="dotted" w:sz="4" w:space="0" w:color="auto"/>
              <w:left w:val="nil"/>
              <w:bottom w:val="dotted" w:sz="4" w:space="0" w:color="auto"/>
              <w:right w:val="nil"/>
            </w:tcBorders>
            <w:shd w:val="clear" w:color="auto" w:fill="auto"/>
            <w:noWrap/>
            <w:vAlign w:val="center"/>
            <w:hideMark/>
          </w:tcPr>
          <w:p w14:paraId="30976E2B"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3C6A43EF"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53BCF945"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13B3B6EB"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707D0998"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07E5FD37"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1D2FD729" w14:textId="77777777" w:rsidR="00D85251" w:rsidRPr="001B1399" w:rsidRDefault="00D85251" w:rsidP="00816475">
            <w:pPr>
              <w:pStyle w:val="TableBodyText"/>
            </w:pPr>
            <w:r w:rsidRPr="001B1399">
              <w:t>0</w:t>
            </w:r>
          </w:p>
        </w:tc>
      </w:tr>
      <w:tr w:rsidR="00D85251" w:rsidRPr="001B1399" w14:paraId="5D45A78E"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66E0408C" w14:textId="77777777" w:rsidR="00D85251" w:rsidRPr="001B1399" w:rsidRDefault="00D85251" w:rsidP="00816475">
            <w:pPr>
              <w:pStyle w:val="TableBodyText"/>
            </w:pPr>
            <w:r w:rsidRPr="001B1399">
              <w:t>WC17</w:t>
            </w:r>
          </w:p>
        </w:tc>
        <w:tc>
          <w:tcPr>
            <w:tcW w:w="818" w:type="dxa"/>
            <w:tcBorders>
              <w:top w:val="dotted" w:sz="4" w:space="0" w:color="auto"/>
              <w:left w:val="nil"/>
              <w:bottom w:val="dotted" w:sz="4" w:space="0" w:color="auto"/>
              <w:right w:val="nil"/>
            </w:tcBorders>
            <w:shd w:val="clear" w:color="auto" w:fill="auto"/>
            <w:noWrap/>
            <w:vAlign w:val="center"/>
            <w:hideMark/>
          </w:tcPr>
          <w:p w14:paraId="44191EF7"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12C5B6FC"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46099F70"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7A3666DF"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14157B64"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172B60E8"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63152E2" w14:textId="77777777" w:rsidR="00D85251" w:rsidRPr="001B1399" w:rsidRDefault="00D85251" w:rsidP="00816475">
            <w:pPr>
              <w:pStyle w:val="TableBodyText"/>
            </w:pPr>
            <w:r w:rsidRPr="001B1399">
              <w:t>14.56, 22.98</w:t>
            </w:r>
          </w:p>
        </w:tc>
      </w:tr>
      <w:tr w:rsidR="00D85251" w:rsidRPr="001B1399" w14:paraId="1AB39BAE"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5439CB60" w14:textId="77777777" w:rsidR="00D85251" w:rsidRPr="001B1399" w:rsidRDefault="00D85251" w:rsidP="00816475">
            <w:pPr>
              <w:pStyle w:val="TableBodyText"/>
            </w:pPr>
            <w:r w:rsidRPr="001B1399">
              <w:t>WC18</w:t>
            </w:r>
          </w:p>
        </w:tc>
        <w:tc>
          <w:tcPr>
            <w:tcW w:w="818" w:type="dxa"/>
            <w:tcBorders>
              <w:top w:val="dotted" w:sz="4" w:space="0" w:color="auto"/>
              <w:left w:val="nil"/>
              <w:bottom w:val="dotted" w:sz="4" w:space="0" w:color="auto"/>
              <w:right w:val="nil"/>
            </w:tcBorders>
            <w:shd w:val="clear" w:color="auto" w:fill="auto"/>
            <w:noWrap/>
            <w:vAlign w:val="center"/>
            <w:hideMark/>
          </w:tcPr>
          <w:p w14:paraId="483C0514"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419BBCFD"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0EADFEE5"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44184785"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727C9939"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310F0CBB"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29682080" w14:textId="77777777" w:rsidR="00D85251" w:rsidRPr="001B1399" w:rsidRDefault="00D85251" w:rsidP="00816475">
            <w:pPr>
              <w:pStyle w:val="TableBodyText"/>
            </w:pPr>
            <w:r w:rsidRPr="001B1399">
              <w:t>23.32</w:t>
            </w:r>
          </w:p>
        </w:tc>
      </w:tr>
      <w:tr w:rsidR="00D85251" w:rsidRPr="001B1399" w14:paraId="5C1475B8"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7681921" w14:textId="77777777" w:rsidR="00D85251" w:rsidRPr="001B1399" w:rsidRDefault="00D85251" w:rsidP="00816475">
            <w:pPr>
              <w:pStyle w:val="TableBodyText"/>
            </w:pPr>
            <w:r w:rsidRPr="001B1399">
              <w:t>WC19</w:t>
            </w:r>
          </w:p>
        </w:tc>
        <w:tc>
          <w:tcPr>
            <w:tcW w:w="818" w:type="dxa"/>
            <w:tcBorders>
              <w:top w:val="dotted" w:sz="4" w:space="0" w:color="auto"/>
              <w:left w:val="nil"/>
              <w:bottom w:val="dotted" w:sz="4" w:space="0" w:color="auto"/>
              <w:right w:val="nil"/>
            </w:tcBorders>
            <w:shd w:val="clear" w:color="auto" w:fill="auto"/>
            <w:noWrap/>
            <w:vAlign w:val="center"/>
            <w:hideMark/>
          </w:tcPr>
          <w:p w14:paraId="6F990CA8"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5D878B08"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33ED9171"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3BF1663B"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36EBB888"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0C12FDBF"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4F9D2EAD" w14:textId="77777777" w:rsidR="00D85251" w:rsidRPr="001B1399" w:rsidRDefault="00D85251" w:rsidP="00816475">
            <w:pPr>
              <w:pStyle w:val="TableBodyText"/>
            </w:pPr>
            <w:r w:rsidRPr="001B1399">
              <w:t>0</w:t>
            </w:r>
          </w:p>
        </w:tc>
      </w:tr>
      <w:tr w:rsidR="00D85251" w:rsidRPr="001B1399" w14:paraId="64201D23"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17F4E9A4" w14:textId="77777777" w:rsidR="00D85251" w:rsidRPr="001B1399" w:rsidRDefault="00D85251" w:rsidP="00816475">
            <w:pPr>
              <w:pStyle w:val="TableBodyText"/>
            </w:pPr>
            <w:r w:rsidRPr="001B1399">
              <w:t>WC20</w:t>
            </w:r>
          </w:p>
        </w:tc>
        <w:tc>
          <w:tcPr>
            <w:tcW w:w="818" w:type="dxa"/>
            <w:tcBorders>
              <w:top w:val="dotted" w:sz="4" w:space="0" w:color="auto"/>
              <w:left w:val="nil"/>
              <w:bottom w:val="dotted" w:sz="4" w:space="0" w:color="auto"/>
              <w:right w:val="nil"/>
            </w:tcBorders>
            <w:shd w:val="clear" w:color="auto" w:fill="auto"/>
            <w:noWrap/>
            <w:vAlign w:val="center"/>
            <w:hideMark/>
          </w:tcPr>
          <w:p w14:paraId="29B3EB3B" w14:textId="77777777" w:rsidR="00D85251" w:rsidRPr="001B1399" w:rsidRDefault="00D85251" w:rsidP="00816475">
            <w:pPr>
              <w:pStyle w:val="TableBodyText"/>
            </w:pPr>
            <w:r w:rsidRPr="001B1399">
              <w:t>50</w:t>
            </w:r>
          </w:p>
        </w:tc>
        <w:tc>
          <w:tcPr>
            <w:tcW w:w="1317" w:type="dxa"/>
            <w:tcBorders>
              <w:top w:val="dotted" w:sz="4" w:space="0" w:color="auto"/>
              <w:left w:val="nil"/>
              <w:bottom w:val="dotted" w:sz="4" w:space="0" w:color="auto"/>
              <w:right w:val="nil"/>
            </w:tcBorders>
            <w:vAlign w:val="center"/>
          </w:tcPr>
          <w:p w14:paraId="7654082D"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noWrap/>
            <w:vAlign w:val="center"/>
            <w:hideMark/>
          </w:tcPr>
          <w:p w14:paraId="10CAAD12"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4A5E55CB"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200E26D0"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59F3B9C6"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762AD451" w14:textId="77777777" w:rsidR="00D85251" w:rsidRPr="001B1399" w:rsidRDefault="00D85251" w:rsidP="00816475">
            <w:pPr>
              <w:pStyle w:val="TableBodyText"/>
            </w:pPr>
            <w:r w:rsidRPr="001B1399">
              <w:t>20.06</w:t>
            </w:r>
          </w:p>
        </w:tc>
      </w:tr>
      <w:tr w:rsidR="00D85251" w:rsidRPr="001B1399" w14:paraId="47BD0D2E"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F0AAF57" w14:textId="77777777" w:rsidR="00D85251" w:rsidRPr="001B1399" w:rsidRDefault="00D85251" w:rsidP="00816475">
            <w:pPr>
              <w:pStyle w:val="TableBodyText"/>
            </w:pPr>
            <w:r w:rsidRPr="001B1399">
              <w:t>WC21</w:t>
            </w:r>
          </w:p>
        </w:tc>
        <w:tc>
          <w:tcPr>
            <w:tcW w:w="818" w:type="dxa"/>
            <w:tcBorders>
              <w:top w:val="dotted" w:sz="4" w:space="0" w:color="auto"/>
              <w:left w:val="nil"/>
              <w:bottom w:val="dotted" w:sz="4" w:space="0" w:color="auto"/>
              <w:right w:val="nil"/>
            </w:tcBorders>
            <w:shd w:val="clear" w:color="auto" w:fill="auto"/>
            <w:noWrap/>
            <w:vAlign w:val="center"/>
            <w:hideMark/>
          </w:tcPr>
          <w:p w14:paraId="17F57E77"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40015740"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0E7CF8B0" w14:textId="77777777" w:rsidR="00D85251" w:rsidRPr="001B1399" w:rsidRDefault="00D85251" w:rsidP="00816475">
            <w:pPr>
              <w:pStyle w:val="TableBodyText"/>
            </w:pPr>
            <w:r w:rsidRPr="001B1399">
              <w:t>94.01</w:t>
            </w:r>
          </w:p>
        </w:tc>
        <w:tc>
          <w:tcPr>
            <w:tcW w:w="1172" w:type="dxa"/>
            <w:tcBorders>
              <w:top w:val="dotted" w:sz="4" w:space="0" w:color="auto"/>
              <w:left w:val="nil"/>
              <w:bottom w:val="dotted" w:sz="4" w:space="0" w:color="auto"/>
              <w:right w:val="nil"/>
            </w:tcBorders>
            <w:vAlign w:val="center"/>
          </w:tcPr>
          <w:p w14:paraId="6B5D2185"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noWrap/>
            <w:vAlign w:val="center"/>
            <w:hideMark/>
          </w:tcPr>
          <w:p w14:paraId="6EDBE440" w14:textId="77777777" w:rsidR="00D85251" w:rsidRPr="001B1399" w:rsidRDefault="00D85251" w:rsidP="00816475">
            <w:pPr>
              <w:pStyle w:val="TableBodyText"/>
            </w:pPr>
            <w:r w:rsidRPr="001B1399">
              <w:t>50</w:t>
            </w:r>
          </w:p>
        </w:tc>
        <w:tc>
          <w:tcPr>
            <w:tcW w:w="1172" w:type="dxa"/>
            <w:tcBorders>
              <w:top w:val="dotted" w:sz="4" w:space="0" w:color="auto"/>
              <w:left w:val="nil"/>
              <w:bottom w:val="dotted" w:sz="4" w:space="0" w:color="auto"/>
              <w:right w:val="nil"/>
            </w:tcBorders>
            <w:vAlign w:val="center"/>
          </w:tcPr>
          <w:p w14:paraId="04D04BB0"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45F449B9" w14:textId="77777777" w:rsidR="00D85251" w:rsidRPr="001B1399" w:rsidRDefault="00D85251" w:rsidP="00816475">
            <w:pPr>
              <w:pStyle w:val="TableBodyText"/>
            </w:pPr>
            <w:r w:rsidRPr="001B1399">
              <w:t>26.61</w:t>
            </w:r>
          </w:p>
        </w:tc>
      </w:tr>
      <w:tr w:rsidR="00D85251" w:rsidRPr="001B1399" w14:paraId="38C67BE0"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AAF88C9" w14:textId="77777777" w:rsidR="00D85251" w:rsidRPr="001B1399" w:rsidRDefault="00D85251" w:rsidP="00816475">
            <w:pPr>
              <w:pStyle w:val="TableBodyText"/>
            </w:pPr>
            <w:r w:rsidRPr="001B1399">
              <w:t>WC22</w:t>
            </w:r>
          </w:p>
        </w:tc>
        <w:tc>
          <w:tcPr>
            <w:tcW w:w="818" w:type="dxa"/>
            <w:tcBorders>
              <w:top w:val="dotted" w:sz="4" w:space="0" w:color="auto"/>
              <w:left w:val="nil"/>
              <w:bottom w:val="dotted" w:sz="4" w:space="0" w:color="auto"/>
              <w:right w:val="nil"/>
            </w:tcBorders>
            <w:shd w:val="clear" w:color="auto" w:fill="auto"/>
            <w:noWrap/>
            <w:vAlign w:val="center"/>
            <w:hideMark/>
          </w:tcPr>
          <w:p w14:paraId="7B1F5025"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vAlign w:val="center"/>
          </w:tcPr>
          <w:p w14:paraId="7B52A66E"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auto"/>
            <w:noWrap/>
            <w:vAlign w:val="center"/>
            <w:hideMark/>
          </w:tcPr>
          <w:p w14:paraId="2CC7C811" w14:textId="77777777" w:rsidR="00D85251" w:rsidRPr="001B1399" w:rsidRDefault="00D85251" w:rsidP="00816475">
            <w:pPr>
              <w:pStyle w:val="TableBodyText"/>
            </w:pPr>
            <w:r w:rsidRPr="001B1399">
              <w:t>&gt;100</w:t>
            </w:r>
          </w:p>
        </w:tc>
        <w:tc>
          <w:tcPr>
            <w:tcW w:w="1172" w:type="dxa"/>
            <w:tcBorders>
              <w:top w:val="dotted" w:sz="4" w:space="0" w:color="auto"/>
              <w:left w:val="nil"/>
              <w:bottom w:val="dotted" w:sz="4" w:space="0" w:color="auto"/>
              <w:right w:val="nil"/>
            </w:tcBorders>
            <w:vAlign w:val="center"/>
          </w:tcPr>
          <w:p w14:paraId="075302A1" w14:textId="77777777" w:rsidR="00D85251" w:rsidRPr="001B1399" w:rsidRDefault="00D85251" w:rsidP="00816475">
            <w:pPr>
              <w:pStyle w:val="TableBodyText"/>
            </w:pPr>
            <w:r w:rsidRPr="001B1399">
              <w:t>Non-toxic</w:t>
            </w:r>
          </w:p>
        </w:tc>
        <w:tc>
          <w:tcPr>
            <w:tcW w:w="723" w:type="dxa"/>
            <w:tcBorders>
              <w:top w:val="dotted" w:sz="4" w:space="0" w:color="auto"/>
              <w:left w:val="nil"/>
              <w:bottom w:val="dotted" w:sz="4" w:space="0" w:color="auto"/>
              <w:right w:val="nil"/>
            </w:tcBorders>
            <w:shd w:val="clear" w:color="auto" w:fill="auto"/>
            <w:noWrap/>
            <w:vAlign w:val="center"/>
            <w:hideMark/>
          </w:tcPr>
          <w:p w14:paraId="169894C9" w14:textId="77777777" w:rsidR="00D85251" w:rsidRPr="001B1399" w:rsidRDefault="00D85251" w:rsidP="00816475">
            <w:pPr>
              <w:pStyle w:val="TableBodyText"/>
            </w:pPr>
            <w:r w:rsidRPr="001B1399">
              <w:t>100</w:t>
            </w:r>
          </w:p>
        </w:tc>
        <w:tc>
          <w:tcPr>
            <w:tcW w:w="1172" w:type="dxa"/>
            <w:tcBorders>
              <w:top w:val="dotted" w:sz="4" w:space="0" w:color="auto"/>
              <w:left w:val="nil"/>
              <w:bottom w:val="dotted" w:sz="4" w:space="0" w:color="auto"/>
              <w:right w:val="nil"/>
            </w:tcBorders>
            <w:vAlign w:val="center"/>
          </w:tcPr>
          <w:p w14:paraId="7690A2A1" w14:textId="77777777" w:rsidR="00D85251" w:rsidRPr="001B1399" w:rsidRDefault="00D85251" w:rsidP="00816475">
            <w:pPr>
              <w:pStyle w:val="TableBodyText"/>
            </w:pPr>
            <w:r w:rsidRPr="001B1399">
              <w:t>Non-toxic</w:t>
            </w:r>
          </w:p>
        </w:tc>
        <w:tc>
          <w:tcPr>
            <w:tcW w:w="1995" w:type="dxa"/>
            <w:tcBorders>
              <w:top w:val="dotted" w:sz="4" w:space="0" w:color="auto"/>
              <w:left w:val="nil"/>
              <w:bottom w:val="dotted" w:sz="4" w:space="0" w:color="auto"/>
              <w:right w:val="nil"/>
            </w:tcBorders>
            <w:shd w:val="clear" w:color="auto" w:fill="auto"/>
            <w:noWrap/>
            <w:vAlign w:val="center"/>
            <w:hideMark/>
          </w:tcPr>
          <w:p w14:paraId="25BC02DC" w14:textId="77777777" w:rsidR="00D85251" w:rsidRPr="001B1399" w:rsidRDefault="00D85251" w:rsidP="00816475">
            <w:pPr>
              <w:pStyle w:val="TableBodyText"/>
            </w:pPr>
            <w:r w:rsidRPr="001B1399">
              <w:t>2.03</w:t>
            </w:r>
          </w:p>
        </w:tc>
      </w:tr>
      <w:tr w:rsidR="00D85251" w:rsidRPr="001B1399" w14:paraId="3EBD4F60" w14:textId="77777777" w:rsidTr="00442230">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318B24EE" w14:textId="77777777" w:rsidR="00D85251" w:rsidRPr="001B1399" w:rsidRDefault="00D85251" w:rsidP="00816475">
            <w:pPr>
              <w:pStyle w:val="TableBodyText"/>
            </w:pPr>
            <w:r w:rsidRPr="001B1399">
              <w:t>WC23</w:t>
            </w:r>
          </w:p>
        </w:tc>
        <w:tc>
          <w:tcPr>
            <w:tcW w:w="818" w:type="dxa"/>
            <w:tcBorders>
              <w:top w:val="dotted" w:sz="4" w:space="0" w:color="auto"/>
              <w:left w:val="nil"/>
              <w:bottom w:val="dotted" w:sz="4" w:space="0" w:color="auto"/>
              <w:right w:val="nil"/>
            </w:tcBorders>
            <w:shd w:val="clear" w:color="auto" w:fill="D9D9D9" w:themeFill="background1" w:themeFillShade="D9"/>
            <w:noWrap/>
            <w:vAlign w:val="center"/>
            <w:hideMark/>
          </w:tcPr>
          <w:p w14:paraId="42148F29" w14:textId="77777777" w:rsidR="00D85251" w:rsidRPr="001B1399" w:rsidRDefault="00D85251" w:rsidP="00816475">
            <w:pPr>
              <w:pStyle w:val="TableBodyText"/>
            </w:pPr>
            <w:r w:rsidRPr="001B1399">
              <w:t>25</w:t>
            </w:r>
          </w:p>
        </w:tc>
        <w:tc>
          <w:tcPr>
            <w:tcW w:w="1317" w:type="dxa"/>
            <w:tcBorders>
              <w:top w:val="dotted" w:sz="4" w:space="0" w:color="auto"/>
              <w:left w:val="nil"/>
              <w:bottom w:val="dotted" w:sz="4" w:space="0" w:color="auto"/>
              <w:right w:val="nil"/>
            </w:tcBorders>
            <w:shd w:val="clear" w:color="auto" w:fill="D9D9D9" w:themeFill="background1" w:themeFillShade="D9"/>
            <w:vAlign w:val="center"/>
          </w:tcPr>
          <w:p w14:paraId="29C4E36D"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D9D9D9" w:themeFill="background1" w:themeFillShade="D9"/>
            <w:noWrap/>
            <w:vAlign w:val="center"/>
            <w:hideMark/>
          </w:tcPr>
          <w:p w14:paraId="015583AD" w14:textId="77777777" w:rsidR="00D85251" w:rsidRPr="001B1399" w:rsidRDefault="00D85251" w:rsidP="00816475">
            <w:pPr>
              <w:pStyle w:val="TableBodyText"/>
            </w:pPr>
            <w:r w:rsidRPr="001B1399">
              <w:t>3.344</w:t>
            </w:r>
          </w:p>
        </w:tc>
        <w:tc>
          <w:tcPr>
            <w:tcW w:w="1172" w:type="dxa"/>
            <w:tcBorders>
              <w:top w:val="dotted" w:sz="4" w:space="0" w:color="auto"/>
              <w:left w:val="nil"/>
              <w:bottom w:val="dotted" w:sz="4" w:space="0" w:color="auto"/>
              <w:right w:val="nil"/>
            </w:tcBorders>
            <w:shd w:val="clear" w:color="auto" w:fill="D9D9D9" w:themeFill="background1" w:themeFillShade="D9"/>
            <w:vAlign w:val="center"/>
          </w:tcPr>
          <w:p w14:paraId="48A9245E"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D9D9D9" w:themeFill="background1" w:themeFillShade="D9"/>
            <w:noWrap/>
            <w:vAlign w:val="center"/>
            <w:hideMark/>
          </w:tcPr>
          <w:p w14:paraId="1BE4FD8C" w14:textId="77777777" w:rsidR="00D85251" w:rsidRPr="001B1399" w:rsidRDefault="00D85251" w:rsidP="00816475">
            <w:pPr>
              <w:pStyle w:val="TableBodyText"/>
            </w:pPr>
            <w:r w:rsidRPr="001B1399">
              <w:t>&lt;6.25</w:t>
            </w:r>
          </w:p>
        </w:tc>
        <w:tc>
          <w:tcPr>
            <w:tcW w:w="1172" w:type="dxa"/>
            <w:tcBorders>
              <w:top w:val="dotted" w:sz="4" w:space="0" w:color="auto"/>
              <w:left w:val="nil"/>
              <w:bottom w:val="dotted" w:sz="4" w:space="0" w:color="auto"/>
              <w:right w:val="nil"/>
            </w:tcBorders>
            <w:shd w:val="clear" w:color="auto" w:fill="D9D9D9" w:themeFill="background1" w:themeFillShade="D9"/>
            <w:vAlign w:val="center"/>
          </w:tcPr>
          <w:p w14:paraId="3ADFA92B"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D9D9D9" w:themeFill="background1" w:themeFillShade="D9"/>
            <w:noWrap/>
            <w:vAlign w:val="center"/>
            <w:hideMark/>
          </w:tcPr>
          <w:p w14:paraId="3169B123" w14:textId="77777777" w:rsidR="00D85251" w:rsidRPr="001B1399" w:rsidRDefault="00D85251" w:rsidP="00816475">
            <w:pPr>
              <w:pStyle w:val="TableBodyText"/>
            </w:pPr>
            <w:r w:rsidRPr="001B1399">
              <w:t>46.72, 62.30, 45.90, 75.41, 61.48</w:t>
            </w:r>
          </w:p>
        </w:tc>
      </w:tr>
      <w:tr w:rsidR="00D85251" w:rsidRPr="001B1399" w14:paraId="37D5D15A" w14:textId="77777777" w:rsidTr="00816475">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7F9AF089" w14:textId="77777777" w:rsidR="00D85251" w:rsidRPr="001B1399" w:rsidRDefault="00D85251" w:rsidP="00816475">
            <w:pPr>
              <w:pStyle w:val="TableBodyText"/>
            </w:pPr>
            <w:r w:rsidRPr="001B1399">
              <w:t>WC24</w:t>
            </w:r>
          </w:p>
        </w:tc>
        <w:tc>
          <w:tcPr>
            <w:tcW w:w="818" w:type="dxa"/>
            <w:tcBorders>
              <w:top w:val="dotted" w:sz="4" w:space="0" w:color="auto"/>
              <w:left w:val="nil"/>
              <w:bottom w:val="dotted" w:sz="4" w:space="0" w:color="auto"/>
              <w:right w:val="nil"/>
            </w:tcBorders>
            <w:shd w:val="clear" w:color="auto" w:fill="auto"/>
            <w:noWrap/>
            <w:vAlign w:val="center"/>
            <w:hideMark/>
          </w:tcPr>
          <w:p w14:paraId="760AAFBA" w14:textId="77777777" w:rsidR="00D85251" w:rsidRPr="001B1399" w:rsidRDefault="00D85251" w:rsidP="00816475">
            <w:pPr>
              <w:pStyle w:val="TableBodyText"/>
            </w:pPr>
            <w:r w:rsidRPr="001B1399">
              <w:t>12.5</w:t>
            </w:r>
          </w:p>
        </w:tc>
        <w:tc>
          <w:tcPr>
            <w:tcW w:w="1317" w:type="dxa"/>
            <w:tcBorders>
              <w:top w:val="dotted" w:sz="4" w:space="0" w:color="auto"/>
              <w:left w:val="nil"/>
              <w:bottom w:val="dotted" w:sz="4" w:space="0" w:color="auto"/>
              <w:right w:val="nil"/>
            </w:tcBorders>
            <w:vAlign w:val="center"/>
          </w:tcPr>
          <w:p w14:paraId="13046B6F" w14:textId="77777777" w:rsidR="00D85251" w:rsidRPr="001B1399" w:rsidRDefault="00D85251" w:rsidP="00816475">
            <w:pPr>
              <w:pStyle w:val="TableBodyText"/>
            </w:pPr>
            <w:r w:rsidRPr="001B1399">
              <w:t>Toxic</w:t>
            </w:r>
          </w:p>
        </w:tc>
        <w:tc>
          <w:tcPr>
            <w:tcW w:w="717" w:type="dxa"/>
            <w:tcBorders>
              <w:top w:val="dotted" w:sz="4" w:space="0" w:color="auto"/>
              <w:left w:val="nil"/>
              <w:bottom w:val="dotted" w:sz="4" w:space="0" w:color="auto"/>
              <w:right w:val="nil"/>
            </w:tcBorders>
            <w:shd w:val="clear" w:color="auto" w:fill="auto"/>
            <w:noWrap/>
            <w:vAlign w:val="center"/>
            <w:hideMark/>
          </w:tcPr>
          <w:p w14:paraId="2B9A345A" w14:textId="77777777" w:rsidR="00D85251" w:rsidRPr="001B1399" w:rsidRDefault="00D85251" w:rsidP="00816475">
            <w:pPr>
              <w:pStyle w:val="TableBodyText"/>
            </w:pPr>
            <w:r w:rsidRPr="001B1399">
              <w:t>50.8</w:t>
            </w:r>
          </w:p>
        </w:tc>
        <w:tc>
          <w:tcPr>
            <w:tcW w:w="1172" w:type="dxa"/>
            <w:tcBorders>
              <w:top w:val="dotted" w:sz="4" w:space="0" w:color="auto"/>
              <w:left w:val="nil"/>
              <w:bottom w:val="dotted" w:sz="4" w:space="0" w:color="auto"/>
              <w:right w:val="nil"/>
            </w:tcBorders>
            <w:vAlign w:val="center"/>
          </w:tcPr>
          <w:p w14:paraId="55D72EEB"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auto"/>
            <w:noWrap/>
            <w:vAlign w:val="center"/>
            <w:hideMark/>
          </w:tcPr>
          <w:p w14:paraId="3B2FDF7D" w14:textId="77777777" w:rsidR="00D85251" w:rsidRPr="001B1399" w:rsidRDefault="00D85251" w:rsidP="00816475">
            <w:pPr>
              <w:pStyle w:val="TableBodyText"/>
            </w:pPr>
            <w:r w:rsidRPr="001B1399">
              <w:t>25</w:t>
            </w:r>
          </w:p>
        </w:tc>
        <w:tc>
          <w:tcPr>
            <w:tcW w:w="1172" w:type="dxa"/>
            <w:tcBorders>
              <w:top w:val="dotted" w:sz="4" w:space="0" w:color="auto"/>
              <w:left w:val="nil"/>
              <w:bottom w:val="dotted" w:sz="4" w:space="0" w:color="auto"/>
              <w:right w:val="nil"/>
            </w:tcBorders>
            <w:vAlign w:val="center"/>
          </w:tcPr>
          <w:p w14:paraId="369D8A63"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auto"/>
            <w:noWrap/>
            <w:vAlign w:val="center"/>
            <w:hideMark/>
          </w:tcPr>
          <w:p w14:paraId="54D2D8D9" w14:textId="77777777" w:rsidR="00D85251" w:rsidRPr="001B1399" w:rsidRDefault="00D85251" w:rsidP="00816475">
            <w:pPr>
              <w:pStyle w:val="TableBodyText"/>
            </w:pPr>
            <w:r w:rsidRPr="001B1399">
              <w:t>19.13, 24.5, 56.04</w:t>
            </w:r>
          </w:p>
        </w:tc>
      </w:tr>
      <w:tr w:rsidR="00D85251" w:rsidRPr="001B1399" w14:paraId="45D2D3E3" w14:textId="77777777" w:rsidTr="00442230">
        <w:trPr>
          <w:trHeight w:val="264"/>
        </w:trPr>
        <w:tc>
          <w:tcPr>
            <w:tcW w:w="1662" w:type="dxa"/>
            <w:tcBorders>
              <w:top w:val="dotted" w:sz="4" w:space="0" w:color="auto"/>
              <w:left w:val="nil"/>
              <w:bottom w:val="dotted" w:sz="4" w:space="0" w:color="auto"/>
              <w:right w:val="nil"/>
            </w:tcBorders>
            <w:shd w:val="clear" w:color="auto" w:fill="auto"/>
            <w:noWrap/>
            <w:vAlign w:val="center"/>
            <w:hideMark/>
          </w:tcPr>
          <w:p w14:paraId="20CD3F57" w14:textId="77777777" w:rsidR="00D85251" w:rsidRPr="001B1399" w:rsidRDefault="00D85251" w:rsidP="00816475">
            <w:pPr>
              <w:pStyle w:val="TableBodyText"/>
            </w:pPr>
            <w:r w:rsidRPr="001B1399">
              <w:t>WC25</w:t>
            </w:r>
          </w:p>
        </w:tc>
        <w:tc>
          <w:tcPr>
            <w:tcW w:w="818" w:type="dxa"/>
            <w:tcBorders>
              <w:top w:val="dotted" w:sz="4" w:space="0" w:color="auto"/>
              <w:left w:val="nil"/>
              <w:bottom w:val="dotted" w:sz="4" w:space="0" w:color="auto"/>
              <w:right w:val="nil"/>
            </w:tcBorders>
            <w:shd w:val="clear" w:color="auto" w:fill="D9D9D9" w:themeFill="background1" w:themeFillShade="D9"/>
            <w:noWrap/>
            <w:vAlign w:val="center"/>
            <w:hideMark/>
          </w:tcPr>
          <w:p w14:paraId="7D03B7AE" w14:textId="77777777" w:rsidR="00D85251" w:rsidRPr="001B1399" w:rsidRDefault="00D85251" w:rsidP="00816475">
            <w:pPr>
              <w:pStyle w:val="TableBodyText"/>
            </w:pPr>
            <w:r w:rsidRPr="001B1399">
              <w:t>100</w:t>
            </w:r>
          </w:p>
        </w:tc>
        <w:tc>
          <w:tcPr>
            <w:tcW w:w="1317" w:type="dxa"/>
            <w:tcBorders>
              <w:top w:val="dotted" w:sz="4" w:space="0" w:color="auto"/>
              <w:left w:val="nil"/>
              <w:bottom w:val="dotted" w:sz="4" w:space="0" w:color="auto"/>
              <w:right w:val="nil"/>
            </w:tcBorders>
            <w:shd w:val="clear" w:color="auto" w:fill="D9D9D9" w:themeFill="background1" w:themeFillShade="D9"/>
            <w:vAlign w:val="center"/>
          </w:tcPr>
          <w:p w14:paraId="12AA8E91" w14:textId="77777777" w:rsidR="00D85251" w:rsidRPr="001B1399" w:rsidRDefault="00D85251" w:rsidP="00816475">
            <w:pPr>
              <w:pStyle w:val="TableBodyText"/>
            </w:pPr>
            <w:r w:rsidRPr="001B1399">
              <w:t>Non-toxic</w:t>
            </w:r>
          </w:p>
        </w:tc>
        <w:tc>
          <w:tcPr>
            <w:tcW w:w="717" w:type="dxa"/>
            <w:tcBorders>
              <w:top w:val="dotted" w:sz="4" w:space="0" w:color="auto"/>
              <w:left w:val="nil"/>
              <w:bottom w:val="dotted" w:sz="4" w:space="0" w:color="auto"/>
              <w:right w:val="nil"/>
            </w:tcBorders>
            <w:shd w:val="clear" w:color="auto" w:fill="D9D9D9" w:themeFill="background1" w:themeFillShade="D9"/>
            <w:noWrap/>
            <w:vAlign w:val="center"/>
            <w:hideMark/>
          </w:tcPr>
          <w:p w14:paraId="342C09FF" w14:textId="77777777" w:rsidR="00D85251" w:rsidRPr="001B1399" w:rsidRDefault="00D85251" w:rsidP="00816475">
            <w:pPr>
              <w:pStyle w:val="TableBodyText"/>
            </w:pPr>
            <w:r w:rsidRPr="001B1399">
              <w:t>43.91</w:t>
            </w:r>
          </w:p>
        </w:tc>
        <w:tc>
          <w:tcPr>
            <w:tcW w:w="1172" w:type="dxa"/>
            <w:tcBorders>
              <w:top w:val="dotted" w:sz="4" w:space="0" w:color="auto"/>
              <w:left w:val="nil"/>
              <w:bottom w:val="dotted" w:sz="4" w:space="0" w:color="auto"/>
              <w:right w:val="nil"/>
            </w:tcBorders>
            <w:shd w:val="clear" w:color="auto" w:fill="D9D9D9" w:themeFill="background1" w:themeFillShade="D9"/>
            <w:vAlign w:val="center"/>
          </w:tcPr>
          <w:p w14:paraId="188853C1" w14:textId="77777777" w:rsidR="00D85251" w:rsidRPr="001B1399" w:rsidRDefault="00D85251" w:rsidP="00816475">
            <w:pPr>
              <w:pStyle w:val="TableBodyText"/>
            </w:pPr>
            <w:r w:rsidRPr="001B1399">
              <w:t>Toxic</w:t>
            </w:r>
          </w:p>
        </w:tc>
        <w:tc>
          <w:tcPr>
            <w:tcW w:w="723" w:type="dxa"/>
            <w:tcBorders>
              <w:top w:val="dotted" w:sz="4" w:space="0" w:color="auto"/>
              <w:left w:val="nil"/>
              <w:bottom w:val="dotted" w:sz="4" w:space="0" w:color="auto"/>
              <w:right w:val="nil"/>
            </w:tcBorders>
            <w:shd w:val="clear" w:color="auto" w:fill="D9D9D9" w:themeFill="background1" w:themeFillShade="D9"/>
            <w:noWrap/>
            <w:vAlign w:val="center"/>
            <w:hideMark/>
          </w:tcPr>
          <w:p w14:paraId="4101DDF8" w14:textId="77777777" w:rsidR="00D85251" w:rsidRPr="001B1399" w:rsidRDefault="00D85251" w:rsidP="00816475">
            <w:pPr>
              <w:pStyle w:val="TableBodyText"/>
            </w:pPr>
            <w:r w:rsidRPr="001B1399">
              <w:t>25</w:t>
            </w:r>
          </w:p>
        </w:tc>
        <w:tc>
          <w:tcPr>
            <w:tcW w:w="1172" w:type="dxa"/>
            <w:tcBorders>
              <w:top w:val="dotted" w:sz="4" w:space="0" w:color="auto"/>
              <w:left w:val="nil"/>
              <w:bottom w:val="dotted" w:sz="4" w:space="0" w:color="auto"/>
              <w:right w:val="nil"/>
            </w:tcBorders>
            <w:shd w:val="clear" w:color="auto" w:fill="D9D9D9" w:themeFill="background1" w:themeFillShade="D9"/>
            <w:vAlign w:val="center"/>
          </w:tcPr>
          <w:p w14:paraId="7FAD382D" w14:textId="77777777" w:rsidR="00D85251" w:rsidRPr="001B1399" w:rsidRDefault="00D85251" w:rsidP="00816475">
            <w:pPr>
              <w:pStyle w:val="TableBodyText"/>
            </w:pPr>
            <w:r w:rsidRPr="001B1399">
              <w:t>Toxic</w:t>
            </w:r>
          </w:p>
        </w:tc>
        <w:tc>
          <w:tcPr>
            <w:tcW w:w="1995" w:type="dxa"/>
            <w:tcBorders>
              <w:top w:val="dotted" w:sz="4" w:space="0" w:color="auto"/>
              <w:left w:val="nil"/>
              <w:bottom w:val="dotted" w:sz="4" w:space="0" w:color="auto"/>
              <w:right w:val="nil"/>
            </w:tcBorders>
            <w:shd w:val="clear" w:color="auto" w:fill="D9D9D9" w:themeFill="background1" w:themeFillShade="D9"/>
            <w:noWrap/>
            <w:vAlign w:val="center"/>
            <w:hideMark/>
          </w:tcPr>
          <w:p w14:paraId="33510252" w14:textId="77777777" w:rsidR="00D85251" w:rsidRPr="001B1399" w:rsidRDefault="00D85251" w:rsidP="00816475">
            <w:pPr>
              <w:pStyle w:val="TableBodyText"/>
            </w:pPr>
            <w:r w:rsidRPr="001B1399">
              <w:t>33.04, 33.91</w:t>
            </w:r>
          </w:p>
        </w:tc>
      </w:tr>
      <w:tr w:rsidR="00D85251" w:rsidRPr="001B1399" w14:paraId="625A25DA" w14:textId="77777777" w:rsidTr="00816475">
        <w:trPr>
          <w:trHeight w:val="264"/>
        </w:trPr>
        <w:tc>
          <w:tcPr>
            <w:tcW w:w="1662" w:type="dxa"/>
            <w:tcBorders>
              <w:top w:val="dotted" w:sz="4" w:space="0" w:color="auto"/>
              <w:left w:val="nil"/>
              <w:bottom w:val="single" w:sz="4" w:space="0" w:color="auto"/>
              <w:right w:val="nil"/>
            </w:tcBorders>
            <w:shd w:val="clear" w:color="auto" w:fill="auto"/>
            <w:noWrap/>
            <w:vAlign w:val="center"/>
            <w:hideMark/>
          </w:tcPr>
          <w:p w14:paraId="44178BF9" w14:textId="77777777" w:rsidR="00D85251" w:rsidRPr="001B1399" w:rsidRDefault="00D85251" w:rsidP="00816475">
            <w:pPr>
              <w:pStyle w:val="TableBodyText"/>
            </w:pPr>
            <w:r w:rsidRPr="001B1399">
              <w:t>WC26</w:t>
            </w:r>
          </w:p>
        </w:tc>
        <w:tc>
          <w:tcPr>
            <w:tcW w:w="818" w:type="dxa"/>
            <w:tcBorders>
              <w:top w:val="dotted" w:sz="4" w:space="0" w:color="auto"/>
              <w:left w:val="nil"/>
              <w:bottom w:val="single" w:sz="4" w:space="0" w:color="auto"/>
              <w:right w:val="nil"/>
            </w:tcBorders>
            <w:shd w:val="clear" w:color="auto" w:fill="auto"/>
            <w:noWrap/>
            <w:vAlign w:val="center"/>
            <w:hideMark/>
          </w:tcPr>
          <w:p w14:paraId="5661A77F" w14:textId="77777777" w:rsidR="00D85251" w:rsidRPr="001B1399" w:rsidRDefault="00D85251" w:rsidP="00816475">
            <w:pPr>
              <w:pStyle w:val="TableBodyText"/>
            </w:pPr>
            <w:r w:rsidRPr="001B1399">
              <w:t>6.25</w:t>
            </w:r>
          </w:p>
        </w:tc>
        <w:tc>
          <w:tcPr>
            <w:tcW w:w="1317" w:type="dxa"/>
            <w:tcBorders>
              <w:top w:val="dotted" w:sz="4" w:space="0" w:color="auto"/>
              <w:left w:val="nil"/>
              <w:bottom w:val="single" w:sz="4" w:space="0" w:color="auto"/>
              <w:right w:val="nil"/>
            </w:tcBorders>
            <w:vAlign w:val="center"/>
          </w:tcPr>
          <w:p w14:paraId="7B639D62" w14:textId="77777777" w:rsidR="00D85251" w:rsidRPr="001B1399" w:rsidRDefault="00D85251" w:rsidP="00816475">
            <w:pPr>
              <w:pStyle w:val="TableBodyText"/>
            </w:pPr>
            <w:r w:rsidRPr="001B1399">
              <w:t>Toxic</w:t>
            </w:r>
          </w:p>
        </w:tc>
        <w:tc>
          <w:tcPr>
            <w:tcW w:w="717" w:type="dxa"/>
            <w:tcBorders>
              <w:top w:val="dotted" w:sz="4" w:space="0" w:color="auto"/>
              <w:left w:val="nil"/>
              <w:bottom w:val="single" w:sz="4" w:space="0" w:color="auto"/>
              <w:right w:val="nil"/>
            </w:tcBorders>
            <w:shd w:val="clear" w:color="auto" w:fill="auto"/>
            <w:noWrap/>
            <w:vAlign w:val="center"/>
            <w:hideMark/>
          </w:tcPr>
          <w:p w14:paraId="3799A82C" w14:textId="77777777" w:rsidR="00D85251" w:rsidRPr="001B1399" w:rsidRDefault="00D85251" w:rsidP="00816475">
            <w:pPr>
              <w:pStyle w:val="TableBodyText"/>
            </w:pPr>
            <w:r w:rsidRPr="001B1399">
              <w:t>36.66</w:t>
            </w:r>
          </w:p>
        </w:tc>
        <w:tc>
          <w:tcPr>
            <w:tcW w:w="1172" w:type="dxa"/>
            <w:tcBorders>
              <w:top w:val="dotted" w:sz="4" w:space="0" w:color="auto"/>
              <w:left w:val="nil"/>
              <w:bottom w:val="single" w:sz="4" w:space="0" w:color="auto"/>
              <w:right w:val="nil"/>
            </w:tcBorders>
            <w:vAlign w:val="center"/>
          </w:tcPr>
          <w:p w14:paraId="1CD5654C" w14:textId="77777777" w:rsidR="00D85251" w:rsidRPr="001B1399" w:rsidRDefault="00D85251" w:rsidP="00816475">
            <w:pPr>
              <w:pStyle w:val="TableBodyText"/>
            </w:pPr>
            <w:r w:rsidRPr="001B1399">
              <w:t>Toxic</w:t>
            </w:r>
          </w:p>
        </w:tc>
        <w:tc>
          <w:tcPr>
            <w:tcW w:w="723" w:type="dxa"/>
            <w:tcBorders>
              <w:top w:val="dotted" w:sz="4" w:space="0" w:color="auto"/>
              <w:left w:val="nil"/>
              <w:bottom w:val="single" w:sz="4" w:space="0" w:color="auto"/>
              <w:right w:val="nil"/>
            </w:tcBorders>
            <w:shd w:val="clear" w:color="auto" w:fill="auto"/>
            <w:noWrap/>
            <w:vAlign w:val="center"/>
            <w:hideMark/>
          </w:tcPr>
          <w:p w14:paraId="419BC8C2" w14:textId="77777777" w:rsidR="00D85251" w:rsidRPr="001B1399" w:rsidRDefault="00D85251" w:rsidP="00816475">
            <w:pPr>
              <w:pStyle w:val="TableBodyText"/>
            </w:pPr>
            <w:r w:rsidRPr="001B1399">
              <w:t>25</w:t>
            </w:r>
          </w:p>
        </w:tc>
        <w:tc>
          <w:tcPr>
            <w:tcW w:w="1172" w:type="dxa"/>
            <w:tcBorders>
              <w:top w:val="dotted" w:sz="4" w:space="0" w:color="auto"/>
              <w:left w:val="nil"/>
              <w:bottom w:val="single" w:sz="4" w:space="0" w:color="auto"/>
              <w:right w:val="nil"/>
            </w:tcBorders>
            <w:vAlign w:val="center"/>
          </w:tcPr>
          <w:p w14:paraId="1071A481" w14:textId="77777777" w:rsidR="00D85251" w:rsidRPr="001B1399" w:rsidRDefault="00D85251" w:rsidP="00816475">
            <w:pPr>
              <w:pStyle w:val="TableBodyText"/>
            </w:pPr>
            <w:r w:rsidRPr="001B1399">
              <w:t>Toxic</w:t>
            </w:r>
          </w:p>
        </w:tc>
        <w:tc>
          <w:tcPr>
            <w:tcW w:w="1995" w:type="dxa"/>
            <w:tcBorders>
              <w:top w:val="dotted" w:sz="4" w:space="0" w:color="auto"/>
              <w:left w:val="nil"/>
              <w:bottom w:val="single" w:sz="4" w:space="0" w:color="auto"/>
              <w:right w:val="nil"/>
            </w:tcBorders>
            <w:shd w:val="clear" w:color="auto" w:fill="auto"/>
            <w:noWrap/>
            <w:vAlign w:val="center"/>
            <w:hideMark/>
          </w:tcPr>
          <w:p w14:paraId="72C09D29" w14:textId="77777777" w:rsidR="00D85251" w:rsidRPr="001B1399" w:rsidRDefault="00D85251" w:rsidP="00816475">
            <w:pPr>
              <w:pStyle w:val="TableBodyText"/>
            </w:pPr>
            <w:r w:rsidRPr="001B1399">
              <w:t>20.87, 18.38, 31.15, 41.12</w:t>
            </w:r>
          </w:p>
        </w:tc>
      </w:tr>
    </w:tbl>
    <w:p w14:paraId="376B150E" w14:textId="77777777" w:rsidR="00D85251" w:rsidRPr="00816475" w:rsidRDefault="00D85251" w:rsidP="00816475">
      <w:pPr>
        <w:pStyle w:val="TableFootnote"/>
        <w:ind w:left="288" w:hanging="288"/>
        <w:rPr>
          <w:rFonts w:cs="Arial"/>
          <w:szCs w:val="16"/>
        </w:rPr>
      </w:pPr>
      <w:r w:rsidRPr="00816475">
        <w:rPr>
          <w:rFonts w:cs="Arial"/>
          <w:szCs w:val="16"/>
        </w:rPr>
        <w:t xml:space="preserve">[a] The result was originally reported as 50%, but both the </w:t>
      </w:r>
      <w:proofErr w:type="spellStart"/>
      <w:r w:rsidRPr="00816475">
        <w:rPr>
          <w:rFonts w:cs="Arial"/>
          <w:szCs w:val="16"/>
        </w:rPr>
        <w:t>pMSD</w:t>
      </w:r>
      <w:proofErr w:type="spellEnd"/>
      <w:r w:rsidRPr="00816475">
        <w:rPr>
          <w:rFonts w:cs="Arial"/>
          <w:szCs w:val="16"/>
        </w:rPr>
        <w:t xml:space="preserve"> and %Effect were below the lower bound of 13. An individual 100% concentration test was performed, and the results demonstrated no toxicity.</w:t>
      </w:r>
    </w:p>
    <w:p w14:paraId="22139367" w14:textId="77777777" w:rsidR="00D85251" w:rsidRPr="00816475" w:rsidRDefault="00D85251" w:rsidP="00816475">
      <w:pPr>
        <w:pStyle w:val="TableFootnote"/>
        <w:ind w:left="288" w:hanging="288"/>
        <w:rPr>
          <w:rFonts w:cs="Arial"/>
          <w:szCs w:val="16"/>
        </w:rPr>
      </w:pPr>
      <w:r w:rsidRPr="00816475">
        <w:rPr>
          <w:rFonts w:cs="Arial"/>
          <w:szCs w:val="16"/>
        </w:rPr>
        <w:t xml:space="preserve">[b] The </w:t>
      </w:r>
      <w:proofErr w:type="spellStart"/>
      <w:r w:rsidRPr="00816475">
        <w:rPr>
          <w:rFonts w:cs="Arial"/>
          <w:szCs w:val="16"/>
        </w:rPr>
        <w:t>TUc</w:t>
      </w:r>
      <w:proofErr w:type="spellEnd"/>
      <w:r w:rsidRPr="00816475">
        <w:rPr>
          <w:rFonts w:cs="Arial"/>
          <w:szCs w:val="16"/>
        </w:rPr>
        <w:t xml:space="preserve"> was originally reported as 8, but both the </w:t>
      </w:r>
      <w:proofErr w:type="spellStart"/>
      <w:r w:rsidRPr="00816475">
        <w:rPr>
          <w:rFonts w:cs="Arial"/>
          <w:szCs w:val="16"/>
        </w:rPr>
        <w:t>pMSD</w:t>
      </w:r>
      <w:proofErr w:type="spellEnd"/>
      <w:r w:rsidRPr="00816475">
        <w:rPr>
          <w:rFonts w:cs="Arial"/>
          <w:szCs w:val="16"/>
        </w:rPr>
        <w:t xml:space="preserve"> and %Effect were below lower bound of 13. An individual 25% concentration test was performed and shown to be non-toxic, so the toxic concentration was changed to 50% or 4 </w:t>
      </w:r>
      <w:proofErr w:type="spellStart"/>
      <w:r w:rsidRPr="00816475">
        <w:rPr>
          <w:rFonts w:cs="Arial"/>
          <w:szCs w:val="16"/>
        </w:rPr>
        <w:t>TUc</w:t>
      </w:r>
      <w:proofErr w:type="spellEnd"/>
      <w:r w:rsidRPr="00816475">
        <w:rPr>
          <w:rFonts w:cs="Arial"/>
          <w:szCs w:val="16"/>
        </w:rPr>
        <w:t>.</w:t>
      </w:r>
    </w:p>
    <w:p w14:paraId="640A9DAC" w14:textId="3301C416" w:rsidR="00D85251" w:rsidRDefault="00D85251" w:rsidP="00816475">
      <w:pPr>
        <w:pStyle w:val="TableFootnote"/>
        <w:ind w:left="288" w:hanging="288"/>
        <w:rPr>
          <w:rFonts w:cs="Arial"/>
          <w:szCs w:val="16"/>
        </w:rPr>
      </w:pPr>
      <w:r w:rsidRPr="00816475">
        <w:rPr>
          <w:rFonts w:cs="Arial"/>
          <w:szCs w:val="16"/>
        </w:rPr>
        <w:t xml:space="preserve">[c] The </w:t>
      </w:r>
      <w:proofErr w:type="spellStart"/>
      <w:r w:rsidRPr="00816475">
        <w:rPr>
          <w:rFonts w:cs="Arial"/>
          <w:szCs w:val="16"/>
        </w:rPr>
        <w:t>TUc</w:t>
      </w:r>
      <w:proofErr w:type="spellEnd"/>
      <w:r w:rsidRPr="00816475">
        <w:rPr>
          <w:rFonts w:cs="Arial"/>
          <w:szCs w:val="16"/>
        </w:rPr>
        <w:t xml:space="preserve"> was originally reported as 2, but both the </w:t>
      </w:r>
      <w:proofErr w:type="spellStart"/>
      <w:r w:rsidRPr="00816475">
        <w:rPr>
          <w:rFonts w:cs="Arial"/>
          <w:szCs w:val="16"/>
        </w:rPr>
        <w:t>pMSD</w:t>
      </w:r>
      <w:proofErr w:type="spellEnd"/>
      <w:r w:rsidRPr="00816475">
        <w:rPr>
          <w:rFonts w:cs="Arial"/>
          <w:szCs w:val="16"/>
        </w:rPr>
        <w:t xml:space="preserve"> and %Effect were below lower bound of 13. An individual 100% concentration test was performed, and the results demonstrated no toxicity.</w:t>
      </w:r>
    </w:p>
    <w:p w14:paraId="064FC5BA" w14:textId="154D5827" w:rsidR="00D85251" w:rsidRDefault="006C74EE" w:rsidP="006C74EE">
      <w:pPr>
        <w:pStyle w:val="TableFootnote"/>
        <w:ind w:left="288" w:hanging="288"/>
        <w:rPr>
          <w:rFonts w:cs="Arial"/>
          <w:szCs w:val="16"/>
        </w:rPr>
      </w:pPr>
      <w:r w:rsidRPr="006C74EE">
        <w:rPr>
          <w:rFonts w:cs="Arial"/>
          <w:szCs w:val="16"/>
        </w:rPr>
        <w:t>Gray shading indicates the test results which did not meet the control acceptability criteria. These results were not included in the analysis.</w:t>
      </w:r>
    </w:p>
    <w:p w14:paraId="533B80CC" w14:textId="77777777" w:rsidR="006C74EE" w:rsidRPr="001B1399" w:rsidRDefault="006C74EE" w:rsidP="006C74EE">
      <w:pPr>
        <w:pStyle w:val="TableFootnote"/>
        <w:ind w:left="288" w:hanging="288"/>
        <w:rPr>
          <w:rFonts w:cstheme="minorHAnsi"/>
          <w:szCs w:val="24"/>
        </w:rPr>
      </w:pPr>
    </w:p>
    <w:p w14:paraId="3D6115CF" w14:textId="46964505" w:rsidR="00D85251" w:rsidRPr="00816475" w:rsidRDefault="00112D21" w:rsidP="00816475">
      <w:pPr>
        <w:pStyle w:val="Heading3"/>
      </w:pPr>
      <w:bookmarkStart w:id="25" w:name="_Toc527448273"/>
      <w:r>
        <w:t xml:space="preserve">Toxicity Data </w:t>
      </w:r>
      <w:r w:rsidR="00D85251" w:rsidRPr="00816475">
        <w:t>Results</w:t>
      </w:r>
      <w:bookmarkEnd w:id="25"/>
    </w:p>
    <w:p w14:paraId="508E8A9A" w14:textId="77777777" w:rsidR="00D85251" w:rsidRPr="001B1399" w:rsidRDefault="00D85251" w:rsidP="00816475">
      <w:pPr>
        <w:pStyle w:val="Heading4"/>
      </w:pPr>
      <w:r w:rsidRPr="001B1399">
        <w:t>Chi-Square Comparison Test</w:t>
      </w:r>
    </w:p>
    <w:p w14:paraId="07681F13" w14:textId="77777777" w:rsidR="00D85251" w:rsidRPr="00816475" w:rsidRDefault="00D85251" w:rsidP="00816475">
      <w:pPr>
        <w:spacing w:before="120"/>
        <w:rPr>
          <w:rFonts w:cs="Times New Roman"/>
          <w:szCs w:val="24"/>
        </w:rPr>
      </w:pPr>
      <w:r w:rsidRPr="00816475">
        <w:rPr>
          <w:rFonts w:cs="Times New Roman"/>
          <w:szCs w:val="24"/>
        </w:rPr>
        <w:t xml:space="preserve">The Chi-Square test statistically compares the differences between multiple aspects of multiple tests and shows whether one aspect does not fit the pattern of the others. A Chi-Square test was used to identify whether differences within one dataset could be statistically attributed to a </w:t>
      </w:r>
      <w:proofErr w:type="gramStart"/>
      <w:r w:rsidRPr="00816475">
        <w:rPr>
          <w:rFonts w:cs="Times New Roman"/>
          <w:szCs w:val="24"/>
        </w:rPr>
        <w:t>particular factor</w:t>
      </w:r>
      <w:proofErr w:type="gramEnd"/>
      <w:r w:rsidRPr="00816475">
        <w:rPr>
          <w:rFonts w:cs="Times New Roman"/>
          <w:szCs w:val="24"/>
        </w:rPr>
        <w:t xml:space="preserve">, i.e., whether more frequent fail results are statistically attributable to the use of a particular test. </w:t>
      </w:r>
    </w:p>
    <w:p w14:paraId="407CC94F" w14:textId="13ED0239" w:rsidR="00D85251" w:rsidRPr="00816475" w:rsidRDefault="00D85251" w:rsidP="00816475">
      <w:pPr>
        <w:keepLines/>
        <w:spacing w:before="120"/>
        <w:rPr>
          <w:rFonts w:cs="Times New Roman"/>
          <w:szCs w:val="24"/>
        </w:rPr>
      </w:pPr>
      <w:r w:rsidRPr="00816475">
        <w:rPr>
          <w:rFonts w:cs="Times New Roman"/>
          <w:szCs w:val="24"/>
        </w:rPr>
        <w:t>The results of a Chi-Square test on the number of passing results reported by each of the three studies (EPA, SMC, WC) showed that the differences in pass rates between studies were not significant at the current sample sizes (</w:t>
      </w:r>
      <w:r w:rsidRPr="00816475">
        <w:rPr>
          <w:rFonts w:cs="Times New Roman"/>
          <w:b/>
          <w:szCs w:val="24"/>
        </w:rPr>
        <w:fldChar w:fldCharType="begin"/>
      </w:r>
      <w:r w:rsidRPr="00816475">
        <w:rPr>
          <w:rFonts w:cs="Times New Roman"/>
          <w:b/>
          <w:szCs w:val="24"/>
        </w:rPr>
        <w:instrText xml:space="preserve"> REF _Ref525549197 \h  \* MERGEFORMAT </w:instrText>
      </w:r>
      <w:r w:rsidRPr="00816475">
        <w:rPr>
          <w:rFonts w:cs="Times New Roman"/>
          <w:b/>
          <w:szCs w:val="24"/>
        </w:rPr>
      </w:r>
      <w:r w:rsidRPr="00816475">
        <w:rPr>
          <w:rFonts w:cs="Times New Roman"/>
          <w:b/>
          <w:szCs w:val="24"/>
        </w:rPr>
        <w:fldChar w:fldCharType="separate"/>
      </w:r>
      <w:r w:rsidR="00816475" w:rsidRPr="00816475">
        <w:rPr>
          <w:rFonts w:cs="Times New Roman"/>
          <w:b/>
          <w:szCs w:val="24"/>
        </w:rPr>
        <w:t xml:space="preserve">Table </w:t>
      </w:r>
      <w:r w:rsidR="00816475" w:rsidRPr="00816475">
        <w:rPr>
          <w:rFonts w:cs="Times New Roman"/>
          <w:b/>
          <w:noProof/>
          <w:szCs w:val="24"/>
        </w:rPr>
        <w:t>5</w:t>
      </w:r>
      <w:r w:rsidRPr="00816475">
        <w:rPr>
          <w:rFonts w:cs="Times New Roman"/>
          <w:b/>
          <w:szCs w:val="24"/>
        </w:rPr>
        <w:fldChar w:fldCharType="end"/>
      </w:r>
      <w:r w:rsidRPr="00816475">
        <w:rPr>
          <w:rFonts w:cs="Times New Roman"/>
          <w:szCs w:val="24"/>
        </w:rPr>
        <w:t xml:space="preserve">). Increasing the sample size is not possible as these studies have been completed. Because differences were not significant, the study results can be combined for analysis (as in </w:t>
      </w:r>
      <w:r w:rsidRPr="00816475">
        <w:rPr>
          <w:rFonts w:cs="Times New Roman"/>
          <w:b/>
          <w:szCs w:val="24"/>
        </w:rPr>
        <w:fldChar w:fldCharType="begin"/>
      </w:r>
      <w:r w:rsidRPr="00816475">
        <w:rPr>
          <w:rFonts w:cs="Times New Roman"/>
          <w:b/>
          <w:szCs w:val="24"/>
        </w:rPr>
        <w:instrText xml:space="preserve"> REF _Ref523920933 \h  \* MERGEFORMAT </w:instrText>
      </w:r>
      <w:r w:rsidRPr="00816475">
        <w:rPr>
          <w:rFonts w:cs="Times New Roman"/>
          <w:b/>
          <w:szCs w:val="24"/>
        </w:rPr>
      </w:r>
      <w:r w:rsidRPr="00816475">
        <w:rPr>
          <w:rFonts w:cs="Times New Roman"/>
          <w:b/>
          <w:szCs w:val="24"/>
        </w:rPr>
        <w:fldChar w:fldCharType="separate"/>
      </w:r>
      <w:r w:rsidR="00816475" w:rsidRPr="00816475">
        <w:rPr>
          <w:rFonts w:cs="Times New Roman"/>
          <w:b/>
          <w:szCs w:val="24"/>
        </w:rPr>
        <w:t xml:space="preserve">Table </w:t>
      </w:r>
      <w:r w:rsidR="00816475" w:rsidRPr="00816475">
        <w:rPr>
          <w:rFonts w:cs="Times New Roman"/>
          <w:b/>
          <w:noProof/>
          <w:szCs w:val="24"/>
        </w:rPr>
        <w:t>9</w:t>
      </w:r>
      <w:r w:rsidRPr="00816475">
        <w:rPr>
          <w:rFonts w:cs="Times New Roman"/>
          <w:b/>
          <w:szCs w:val="24"/>
        </w:rPr>
        <w:fldChar w:fldCharType="end"/>
      </w:r>
      <w:r w:rsidRPr="00816475">
        <w:rPr>
          <w:rFonts w:cs="Times New Roman"/>
          <w:szCs w:val="24"/>
        </w:rPr>
        <w:t xml:space="preserve">), and do not need to be analyzed separately (as in </w:t>
      </w:r>
      <w:r w:rsidRPr="00816475">
        <w:rPr>
          <w:rFonts w:cs="Times New Roman"/>
          <w:b/>
          <w:szCs w:val="24"/>
        </w:rPr>
        <w:fldChar w:fldCharType="begin"/>
      </w:r>
      <w:r w:rsidRPr="00816475">
        <w:rPr>
          <w:rFonts w:cs="Times New Roman"/>
          <w:b/>
          <w:szCs w:val="24"/>
        </w:rPr>
        <w:instrText xml:space="preserve"> REF _Ref523920939 \h  \* MERGEFORMAT </w:instrText>
      </w:r>
      <w:r w:rsidRPr="00816475">
        <w:rPr>
          <w:rFonts w:cs="Times New Roman"/>
          <w:b/>
          <w:szCs w:val="24"/>
        </w:rPr>
      </w:r>
      <w:r w:rsidRPr="00816475">
        <w:rPr>
          <w:rFonts w:cs="Times New Roman"/>
          <w:b/>
          <w:szCs w:val="24"/>
        </w:rPr>
        <w:fldChar w:fldCharType="separate"/>
      </w:r>
      <w:r w:rsidR="00816475" w:rsidRPr="00816475">
        <w:rPr>
          <w:rFonts w:cs="Times New Roman"/>
          <w:b/>
          <w:szCs w:val="24"/>
        </w:rPr>
        <w:t xml:space="preserve">Table </w:t>
      </w:r>
      <w:r w:rsidR="00816475" w:rsidRPr="00816475">
        <w:rPr>
          <w:rFonts w:cs="Times New Roman"/>
          <w:b/>
          <w:noProof/>
          <w:szCs w:val="24"/>
        </w:rPr>
        <w:t>10</w:t>
      </w:r>
      <w:r w:rsidRPr="00816475">
        <w:rPr>
          <w:rFonts w:cs="Times New Roman"/>
          <w:b/>
          <w:szCs w:val="24"/>
        </w:rPr>
        <w:fldChar w:fldCharType="end"/>
      </w:r>
      <w:r w:rsidRPr="00816475">
        <w:rPr>
          <w:rFonts w:cs="Times New Roman"/>
          <w:szCs w:val="24"/>
        </w:rPr>
        <w:t xml:space="preserve">). </w:t>
      </w:r>
    </w:p>
    <w:p w14:paraId="0E43B864" w14:textId="1BCF1F7C" w:rsidR="00D85251" w:rsidRPr="001B1399" w:rsidRDefault="00D85251" w:rsidP="00816475">
      <w:pPr>
        <w:pStyle w:val="TableTitle"/>
      </w:pPr>
      <w:bookmarkStart w:id="26" w:name="_Ref525549197"/>
      <w:r w:rsidRPr="008516CD">
        <w:t xml:space="preserve">Table </w:t>
      </w:r>
      <w:r w:rsidRPr="008516CD">
        <w:rPr>
          <w:noProof/>
        </w:rPr>
        <w:fldChar w:fldCharType="begin"/>
      </w:r>
      <w:r w:rsidRPr="008516CD">
        <w:rPr>
          <w:noProof/>
        </w:rPr>
        <w:instrText xml:space="preserve"> SEQ Table \* ARABIC </w:instrText>
      </w:r>
      <w:r w:rsidRPr="008516CD">
        <w:rPr>
          <w:noProof/>
        </w:rPr>
        <w:fldChar w:fldCharType="separate"/>
      </w:r>
      <w:r w:rsidR="00816475" w:rsidRPr="008516CD">
        <w:rPr>
          <w:noProof/>
        </w:rPr>
        <w:t>5</w:t>
      </w:r>
      <w:r w:rsidRPr="008516CD">
        <w:rPr>
          <w:noProof/>
        </w:rPr>
        <w:fldChar w:fldCharType="end"/>
      </w:r>
      <w:bookmarkEnd w:id="26"/>
      <w:r w:rsidRPr="008516CD">
        <w:t>. Results of a Chi-Square Test Comparing Each Study</w:t>
      </w:r>
      <w:r w:rsidRPr="001B1399">
        <w:t xml:space="preserve"> </w:t>
      </w:r>
    </w:p>
    <w:tbl>
      <w:tblPr>
        <w:tblW w:w="7199" w:type="dxa"/>
        <w:tblBorders>
          <w:top w:val="single" w:sz="4" w:space="0" w:color="auto"/>
          <w:bottom w:val="single" w:sz="4" w:space="0" w:color="auto"/>
          <w:insideH w:val="dotted" w:sz="4" w:space="0" w:color="auto"/>
        </w:tblBorders>
        <w:tblLook w:val="04A0" w:firstRow="1" w:lastRow="0" w:firstColumn="1" w:lastColumn="0" w:noHBand="0" w:noVBand="1"/>
      </w:tblPr>
      <w:tblGrid>
        <w:gridCol w:w="1710"/>
        <w:gridCol w:w="1800"/>
        <w:gridCol w:w="990"/>
        <w:gridCol w:w="1250"/>
        <w:gridCol w:w="900"/>
        <w:gridCol w:w="809"/>
      </w:tblGrid>
      <w:tr w:rsidR="00D85251" w:rsidRPr="00816475" w14:paraId="6DD752E0" w14:textId="77777777" w:rsidTr="00D85251">
        <w:trPr>
          <w:trHeight w:val="264"/>
        </w:trPr>
        <w:tc>
          <w:tcPr>
            <w:tcW w:w="1710" w:type="dxa"/>
            <w:tcBorders>
              <w:top w:val="single" w:sz="4" w:space="0" w:color="auto"/>
              <w:bottom w:val="single" w:sz="4" w:space="0" w:color="auto"/>
            </w:tcBorders>
            <w:shd w:val="clear" w:color="auto" w:fill="auto"/>
            <w:noWrap/>
            <w:vAlign w:val="bottom"/>
            <w:hideMark/>
          </w:tcPr>
          <w:p w14:paraId="57057BE4" w14:textId="77777777" w:rsidR="00D85251" w:rsidRPr="00816475" w:rsidRDefault="00D85251" w:rsidP="00FA007D">
            <w:pPr>
              <w:pStyle w:val="TableBodyText"/>
              <w:keepNext/>
              <w:rPr>
                <w:rFonts w:cs="Arial"/>
              </w:rPr>
            </w:pPr>
            <w:r w:rsidRPr="00816475">
              <w:rPr>
                <w:rFonts w:cs="Arial"/>
              </w:rPr>
              <w:t>Study</w:t>
            </w:r>
          </w:p>
        </w:tc>
        <w:tc>
          <w:tcPr>
            <w:tcW w:w="1800" w:type="dxa"/>
            <w:tcBorders>
              <w:top w:val="single" w:sz="4" w:space="0" w:color="auto"/>
              <w:bottom w:val="single" w:sz="4" w:space="0" w:color="auto"/>
            </w:tcBorders>
            <w:shd w:val="clear" w:color="auto" w:fill="auto"/>
            <w:noWrap/>
            <w:vAlign w:val="bottom"/>
            <w:hideMark/>
          </w:tcPr>
          <w:p w14:paraId="086EB013" w14:textId="77777777" w:rsidR="00D85251" w:rsidRPr="00816475" w:rsidRDefault="00D85251" w:rsidP="00FA007D">
            <w:pPr>
              <w:pStyle w:val="TableBodyText"/>
              <w:keepNext/>
              <w:rPr>
                <w:rFonts w:cs="Arial"/>
              </w:rPr>
            </w:pPr>
          </w:p>
        </w:tc>
        <w:tc>
          <w:tcPr>
            <w:tcW w:w="990" w:type="dxa"/>
            <w:tcBorders>
              <w:top w:val="single" w:sz="4" w:space="0" w:color="auto"/>
              <w:bottom w:val="single" w:sz="4" w:space="0" w:color="auto"/>
            </w:tcBorders>
            <w:shd w:val="clear" w:color="auto" w:fill="auto"/>
            <w:noWrap/>
            <w:vAlign w:val="bottom"/>
            <w:hideMark/>
          </w:tcPr>
          <w:p w14:paraId="19657F01" w14:textId="77777777" w:rsidR="00D85251" w:rsidRPr="00816475" w:rsidRDefault="00D85251" w:rsidP="00FA007D">
            <w:pPr>
              <w:pStyle w:val="TableBodyText"/>
              <w:keepNext/>
              <w:rPr>
                <w:rFonts w:cs="Arial"/>
                <w:color w:val="000000"/>
              </w:rPr>
            </w:pPr>
            <w:r w:rsidRPr="00816475">
              <w:rPr>
                <w:rFonts w:cs="Arial"/>
                <w:color w:val="000000"/>
              </w:rPr>
              <w:t>NOEC</w:t>
            </w:r>
          </w:p>
        </w:tc>
        <w:tc>
          <w:tcPr>
            <w:tcW w:w="990" w:type="dxa"/>
            <w:tcBorders>
              <w:top w:val="single" w:sz="4" w:space="0" w:color="auto"/>
              <w:bottom w:val="single" w:sz="4" w:space="0" w:color="auto"/>
            </w:tcBorders>
            <w:shd w:val="clear" w:color="auto" w:fill="auto"/>
            <w:noWrap/>
            <w:vAlign w:val="bottom"/>
            <w:hideMark/>
          </w:tcPr>
          <w:p w14:paraId="65C60262" w14:textId="77777777" w:rsidR="00D85251" w:rsidRPr="00816475" w:rsidRDefault="00D85251" w:rsidP="00FA007D">
            <w:pPr>
              <w:pStyle w:val="TableBodyText"/>
              <w:keepNext/>
              <w:rPr>
                <w:rFonts w:cs="Arial"/>
                <w:color w:val="000000"/>
              </w:rPr>
            </w:pPr>
            <w:r w:rsidRPr="00816475">
              <w:rPr>
                <w:rFonts w:cs="Arial"/>
                <w:color w:val="000000"/>
              </w:rPr>
              <w:t>IC25</w:t>
            </w:r>
          </w:p>
        </w:tc>
        <w:tc>
          <w:tcPr>
            <w:tcW w:w="900" w:type="dxa"/>
            <w:tcBorders>
              <w:top w:val="single" w:sz="4" w:space="0" w:color="auto"/>
              <w:bottom w:val="single" w:sz="4" w:space="0" w:color="auto"/>
            </w:tcBorders>
            <w:shd w:val="clear" w:color="auto" w:fill="auto"/>
            <w:noWrap/>
            <w:vAlign w:val="bottom"/>
            <w:hideMark/>
          </w:tcPr>
          <w:p w14:paraId="78564C34" w14:textId="77777777" w:rsidR="00D85251" w:rsidRPr="00816475" w:rsidRDefault="00D85251" w:rsidP="00FA007D">
            <w:pPr>
              <w:pStyle w:val="TableBodyText"/>
              <w:keepNext/>
              <w:rPr>
                <w:rFonts w:cs="Arial"/>
                <w:color w:val="000000"/>
              </w:rPr>
            </w:pPr>
            <w:r w:rsidRPr="00816475">
              <w:rPr>
                <w:rFonts w:cs="Arial"/>
                <w:color w:val="000000"/>
              </w:rPr>
              <w:t>TST</w:t>
            </w:r>
          </w:p>
        </w:tc>
        <w:tc>
          <w:tcPr>
            <w:tcW w:w="809" w:type="dxa"/>
            <w:tcBorders>
              <w:top w:val="single" w:sz="4" w:space="0" w:color="auto"/>
              <w:bottom w:val="single" w:sz="4" w:space="0" w:color="auto"/>
            </w:tcBorders>
            <w:shd w:val="clear" w:color="auto" w:fill="auto"/>
            <w:noWrap/>
            <w:vAlign w:val="bottom"/>
            <w:hideMark/>
          </w:tcPr>
          <w:p w14:paraId="21B66898" w14:textId="77777777" w:rsidR="00D85251" w:rsidRPr="00816475" w:rsidRDefault="00D85251" w:rsidP="00FA007D">
            <w:pPr>
              <w:pStyle w:val="TableBodyText"/>
              <w:keepNext/>
              <w:rPr>
                <w:rFonts w:cs="Arial"/>
                <w:color w:val="000000"/>
              </w:rPr>
            </w:pPr>
            <w:r w:rsidRPr="00816475">
              <w:rPr>
                <w:rFonts w:cs="Arial"/>
                <w:color w:val="000000"/>
              </w:rPr>
              <w:t>All</w:t>
            </w:r>
          </w:p>
        </w:tc>
      </w:tr>
      <w:tr w:rsidR="00D85251" w:rsidRPr="00816475" w14:paraId="11D4D895" w14:textId="77777777" w:rsidTr="00D85251">
        <w:trPr>
          <w:trHeight w:val="264"/>
        </w:trPr>
        <w:tc>
          <w:tcPr>
            <w:tcW w:w="1710" w:type="dxa"/>
            <w:vMerge w:val="restart"/>
            <w:tcBorders>
              <w:top w:val="single" w:sz="4" w:space="0" w:color="auto"/>
            </w:tcBorders>
            <w:shd w:val="clear" w:color="auto" w:fill="auto"/>
            <w:noWrap/>
            <w:vAlign w:val="center"/>
            <w:hideMark/>
          </w:tcPr>
          <w:p w14:paraId="78935C66" w14:textId="77777777" w:rsidR="00D85251" w:rsidRPr="00816475" w:rsidRDefault="00D85251" w:rsidP="00FA007D">
            <w:pPr>
              <w:pStyle w:val="TableBodyText"/>
              <w:keepNext/>
              <w:rPr>
                <w:rFonts w:cs="Arial"/>
                <w:color w:val="000000"/>
              </w:rPr>
            </w:pPr>
            <w:r w:rsidRPr="00816475">
              <w:rPr>
                <w:rFonts w:cs="Arial"/>
                <w:color w:val="000000"/>
              </w:rPr>
              <w:t>EPA</w:t>
            </w:r>
          </w:p>
        </w:tc>
        <w:tc>
          <w:tcPr>
            <w:tcW w:w="1800" w:type="dxa"/>
            <w:tcBorders>
              <w:top w:val="single" w:sz="4" w:space="0" w:color="auto"/>
            </w:tcBorders>
            <w:shd w:val="clear" w:color="auto" w:fill="auto"/>
            <w:noWrap/>
            <w:vAlign w:val="bottom"/>
            <w:hideMark/>
          </w:tcPr>
          <w:p w14:paraId="484CAD2A" w14:textId="77777777" w:rsidR="00D85251" w:rsidRPr="00816475" w:rsidRDefault="00D85251" w:rsidP="00FA007D">
            <w:pPr>
              <w:pStyle w:val="TableBodyText"/>
              <w:keepNext/>
              <w:rPr>
                <w:rFonts w:cs="Arial"/>
                <w:color w:val="000000"/>
              </w:rPr>
            </w:pPr>
            <w:r w:rsidRPr="00816475">
              <w:rPr>
                <w:rFonts w:cs="Arial"/>
                <w:color w:val="000000"/>
              </w:rPr>
              <w:t># Pass Results</w:t>
            </w:r>
          </w:p>
        </w:tc>
        <w:tc>
          <w:tcPr>
            <w:tcW w:w="990" w:type="dxa"/>
            <w:tcBorders>
              <w:top w:val="single" w:sz="4" w:space="0" w:color="auto"/>
            </w:tcBorders>
            <w:shd w:val="clear" w:color="auto" w:fill="auto"/>
            <w:noWrap/>
            <w:vAlign w:val="bottom"/>
            <w:hideMark/>
          </w:tcPr>
          <w:p w14:paraId="409C04B1" w14:textId="77777777" w:rsidR="00D85251" w:rsidRPr="00816475" w:rsidRDefault="00D85251" w:rsidP="00FA007D">
            <w:pPr>
              <w:pStyle w:val="TableBodyText"/>
              <w:keepNext/>
              <w:rPr>
                <w:rFonts w:cs="Arial"/>
                <w:color w:val="000000"/>
              </w:rPr>
            </w:pPr>
            <w:r w:rsidRPr="00816475">
              <w:rPr>
                <w:rFonts w:cs="Arial"/>
                <w:color w:val="000000"/>
              </w:rPr>
              <w:t>27</w:t>
            </w:r>
          </w:p>
        </w:tc>
        <w:tc>
          <w:tcPr>
            <w:tcW w:w="990" w:type="dxa"/>
            <w:tcBorders>
              <w:top w:val="single" w:sz="4" w:space="0" w:color="auto"/>
            </w:tcBorders>
            <w:shd w:val="clear" w:color="auto" w:fill="auto"/>
            <w:noWrap/>
            <w:vAlign w:val="bottom"/>
            <w:hideMark/>
          </w:tcPr>
          <w:p w14:paraId="3C6CCB60" w14:textId="77777777" w:rsidR="00D85251" w:rsidRPr="00816475" w:rsidRDefault="00D85251" w:rsidP="00FA007D">
            <w:pPr>
              <w:pStyle w:val="TableBodyText"/>
              <w:keepNext/>
              <w:rPr>
                <w:rFonts w:cs="Arial"/>
                <w:color w:val="000000"/>
              </w:rPr>
            </w:pPr>
            <w:r w:rsidRPr="00816475">
              <w:rPr>
                <w:rFonts w:cs="Arial"/>
                <w:color w:val="000000"/>
              </w:rPr>
              <w:t>26</w:t>
            </w:r>
          </w:p>
        </w:tc>
        <w:tc>
          <w:tcPr>
            <w:tcW w:w="900" w:type="dxa"/>
            <w:tcBorders>
              <w:top w:val="single" w:sz="4" w:space="0" w:color="auto"/>
            </w:tcBorders>
            <w:shd w:val="clear" w:color="auto" w:fill="auto"/>
            <w:noWrap/>
            <w:vAlign w:val="bottom"/>
            <w:hideMark/>
          </w:tcPr>
          <w:p w14:paraId="34C2E9E2" w14:textId="77777777" w:rsidR="00D85251" w:rsidRPr="00816475" w:rsidRDefault="00D85251" w:rsidP="00FA007D">
            <w:pPr>
              <w:pStyle w:val="TableBodyText"/>
              <w:keepNext/>
              <w:rPr>
                <w:rFonts w:cs="Arial"/>
                <w:color w:val="000000"/>
              </w:rPr>
            </w:pPr>
            <w:r w:rsidRPr="00816475">
              <w:rPr>
                <w:rFonts w:cs="Arial"/>
                <w:color w:val="000000"/>
              </w:rPr>
              <w:t>24</w:t>
            </w:r>
          </w:p>
        </w:tc>
        <w:tc>
          <w:tcPr>
            <w:tcW w:w="809" w:type="dxa"/>
            <w:tcBorders>
              <w:top w:val="single" w:sz="4" w:space="0" w:color="auto"/>
            </w:tcBorders>
            <w:shd w:val="clear" w:color="auto" w:fill="auto"/>
            <w:noWrap/>
            <w:vAlign w:val="bottom"/>
            <w:hideMark/>
          </w:tcPr>
          <w:p w14:paraId="34934BEF" w14:textId="30B124FF" w:rsidR="00D85251" w:rsidRPr="00816475" w:rsidRDefault="008516CD" w:rsidP="00FA007D">
            <w:pPr>
              <w:pStyle w:val="TableBodyText"/>
              <w:keepNext/>
              <w:rPr>
                <w:rFonts w:cs="Arial"/>
                <w:color w:val="000000"/>
              </w:rPr>
            </w:pPr>
            <w:r>
              <w:rPr>
                <w:rFonts w:cs="Arial"/>
                <w:color w:val="000000"/>
              </w:rPr>
              <w:t>77</w:t>
            </w:r>
          </w:p>
        </w:tc>
      </w:tr>
      <w:tr w:rsidR="00D85251" w:rsidRPr="00816475" w14:paraId="39928BA0" w14:textId="77777777" w:rsidTr="00D85251">
        <w:trPr>
          <w:trHeight w:val="264"/>
        </w:trPr>
        <w:tc>
          <w:tcPr>
            <w:tcW w:w="1710" w:type="dxa"/>
            <w:vMerge/>
            <w:shd w:val="clear" w:color="auto" w:fill="auto"/>
            <w:noWrap/>
            <w:vAlign w:val="center"/>
            <w:hideMark/>
          </w:tcPr>
          <w:p w14:paraId="2D858DEB" w14:textId="77777777" w:rsidR="00D85251" w:rsidRPr="00816475" w:rsidRDefault="00D85251" w:rsidP="00FA007D">
            <w:pPr>
              <w:pStyle w:val="TableBodyText"/>
              <w:keepNext/>
              <w:rPr>
                <w:rFonts w:cs="Arial"/>
                <w:color w:val="000000"/>
              </w:rPr>
            </w:pPr>
          </w:p>
        </w:tc>
        <w:tc>
          <w:tcPr>
            <w:tcW w:w="1800" w:type="dxa"/>
            <w:shd w:val="clear" w:color="auto" w:fill="auto"/>
            <w:noWrap/>
            <w:vAlign w:val="bottom"/>
            <w:hideMark/>
          </w:tcPr>
          <w:p w14:paraId="77A23647" w14:textId="77777777" w:rsidR="00D85251" w:rsidRPr="00816475" w:rsidRDefault="00D85251" w:rsidP="00FA007D">
            <w:pPr>
              <w:pStyle w:val="TableBodyText"/>
              <w:keepNext/>
              <w:rPr>
                <w:rFonts w:cs="Arial"/>
                <w:color w:val="000000"/>
              </w:rPr>
            </w:pPr>
            <w:r w:rsidRPr="00816475">
              <w:rPr>
                <w:rFonts w:cs="Arial"/>
                <w:color w:val="000000"/>
              </w:rPr>
              <w:t>Expected #</w:t>
            </w:r>
          </w:p>
        </w:tc>
        <w:tc>
          <w:tcPr>
            <w:tcW w:w="990" w:type="dxa"/>
            <w:shd w:val="clear" w:color="auto" w:fill="auto"/>
            <w:noWrap/>
            <w:vAlign w:val="bottom"/>
            <w:hideMark/>
          </w:tcPr>
          <w:p w14:paraId="25092DB1" w14:textId="48E45306" w:rsidR="00D85251" w:rsidRPr="00816475" w:rsidRDefault="00696263" w:rsidP="00FA007D">
            <w:pPr>
              <w:pStyle w:val="TableBodyText"/>
              <w:keepNext/>
              <w:rPr>
                <w:rFonts w:cs="Arial"/>
                <w:color w:val="000000"/>
              </w:rPr>
            </w:pPr>
            <w:r>
              <w:rPr>
                <w:rFonts w:cs="Arial"/>
                <w:color w:val="000000"/>
              </w:rPr>
              <w:t>2</w:t>
            </w:r>
            <w:r w:rsidR="00A4072E">
              <w:rPr>
                <w:rFonts w:cs="Arial"/>
                <w:color w:val="000000"/>
              </w:rPr>
              <w:t>7.5</w:t>
            </w:r>
          </w:p>
        </w:tc>
        <w:tc>
          <w:tcPr>
            <w:tcW w:w="990" w:type="dxa"/>
            <w:shd w:val="clear" w:color="auto" w:fill="auto"/>
            <w:noWrap/>
            <w:vAlign w:val="bottom"/>
            <w:hideMark/>
          </w:tcPr>
          <w:p w14:paraId="6C2AA85A" w14:textId="47B46836" w:rsidR="00D85251" w:rsidRPr="00816475" w:rsidRDefault="00696263" w:rsidP="00FA007D">
            <w:pPr>
              <w:pStyle w:val="TableBodyText"/>
              <w:keepNext/>
              <w:rPr>
                <w:rFonts w:cs="Arial"/>
                <w:color w:val="000000"/>
              </w:rPr>
            </w:pPr>
            <w:r>
              <w:rPr>
                <w:rFonts w:cs="Arial"/>
                <w:color w:val="000000"/>
              </w:rPr>
              <w:t>26</w:t>
            </w:r>
          </w:p>
        </w:tc>
        <w:tc>
          <w:tcPr>
            <w:tcW w:w="900" w:type="dxa"/>
            <w:shd w:val="clear" w:color="auto" w:fill="auto"/>
            <w:noWrap/>
            <w:vAlign w:val="bottom"/>
            <w:hideMark/>
          </w:tcPr>
          <w:p w14:paraId="3B8988B8" w14:textId="355762A0" w:rsidR="00D85251" w:rsidRPr="00816475" w:rsidRDefault="00696263" w:rsidP="00FA007D">
            <w:pPr>
              <w:pStyle w:val="TableBodyText"/>
              <w:keepNext/>
              <w:rPr>
                <w:rFonts w:cs="Arial"/>
                <w:color w:val="000000"/>
              </w:rPr>
            </w:pPr>
            <w:r>
              <w:rPr>
                <w:rFonts w:cs="Arial"/>
                <w:color w:val="000000"/>
              </w:rPr>
              <w:t>23</w:t>
            </w:r>
            <w:r w:rsidR="00A4072E">
              <w:rPr>
                <w:rFonts w:cs="Arial"/>
                <w:color w:val="000000"/>
              </w:rPr>
              <w:t>.5</w:t>
            </w:r>
          </w:p>
        </w:tc>
        <w:tc>
          <w:tcPr>
            <w:tcW w:w="809" w:type="dxa"/>
            <w:shd w:val="clear" w:color="auto" w:fill="auto"/>
            <w:noWrap/>
            <w:vAlign w:val="bottom"/>
            <w:hideMark/>
          </w:tcPr>
          <w:p w14:paraId="264ED6C8" w14:textId="77777777" w:rsidR="00D85251" w:rsidRPr="00816475" w:rsidRDefault="00D85251" w:rsidP="00FA007D">
            <w:pPr>
              <w:pStyle w:val="TableBodyText"/>
              <w:keepNext/>
              <w:rPr>
                <w:rFonts w:cs="Arial"/>
                <w:color w:val="000000"/>
              </w:rPr>
            </w:pPr>
          </w:p>
        </w:tc>
      </w:tr>
      <w:tr w:rsidR="00D85251" w:rsidRPr="00816475" w14:paraId="551250D2" w14:textId="77777777" w:rsidTr="00D85251">
        <w:trPr>
          <w:trHeight w:val="264"/>
        </w:trPr>
        <w:tc>
          <w:tcPr>
            <w:tcW w:w="1710" w:type="dxa"/>
            <w:vMerge w:val="restart"/>
            <w:shd w:val="clear" w:color="auto" w:fill="auto"/>
            <w:noWrap/>
            <w:vAlign w:val="center"/>
            <w:hideMark/>
          </w:tcPr>
          <w:p w14:paraId="46035237" w14:textId="77777777" w:rsidR="00D85251" w:rsidRPr="00816475" w:rsidRDefault="00D85251" w:rsidP="00FA007D">
            <w:pPr>
              <w:pStyle w:val="TableBodyText"/>
              <w:keepNext/>
              <w:rPr>
                <w:rFonts w:cs="Arial"/>
                <w:color w:val="000000"/>
              </w:rPr>
            </w:pPr>
            <w:r w:rsidRPr="00816475">
              <w:rPr>
                <w:rFonts w:cs="Arial"/>
                <w:color w:val="000000"/>
              </w:rPr>
              <w:t>SMC</w:t>
            </w:r>
          </w:p>
        </w:tc>
        <w:tc>
          <w:tcPr>
            <w:tcW w:w="1800" w:type="dxa"/>
            <w:shd w:val="clear" w:color="auto" w:fill="auto"/>
            <w:noWrap/>
            <w:vAlign w:val="bottom"/>
            <w:hideMark/>
          </w:tcPr>
          <w:p w14:paraId="0875E0B3" w14:textId="77777777" w:rsidR="00D85251" w:rsidRPr="00816475" w:rsidRDefault="00D85251" w:rsidP="00FA007D">
            <w:pPr>
              <w:pStyle w:val="TableBodyText"/>
              <w:keepNext/>
              <w:rPr>
                <w:rFonts w:cs="Arial"/>
                <w:color w:val="000000"/>
              </w:rPr>
            </w:pPr>
            <w:r w:rsidRPr="00816475">
              <w:rPr>
                <w:rFonts w:cs="Arial"/>
                <w:color w:val="000000"/>
              </w:rPr>
              <w:t># Pass Results</w:t>
            </w:r>
          </w:p>
        </w:tc>
        <w:tc>
          <w:tcPr>
            <w:tcW w:w="990" w:type="dxa"/>
            <w:shd w:val="clear" w:color="auto" w:fill="auto"/>
            <w:noWrap/>
            <w:vAlign w:val="bottom"/>
            <w:hideMark/>
          </w:tcPr>
          <w:p w14:paraId="2D39E8E7" w14:textId="77777777" w:rsidR="00D85251" w:rsidRPr="00816475" w:rsidRDefault="00D85251" w:rsidP="00FA007D">
            <w:pPr>
              <w:pStyle w:val="TableBodyText"/>
              <w:keepNext/>
              <w:rPr>
                <w:rFonts w:cs="Arial"/>
                <w:color w:val="000000"/>
              </w:rPr>
            </w:pPr>
            <w:r w:rsidRPr="00816475">
              <w:rPr>
                <w:rFonts w:cs="Arial"/>
                <w:color w:val="000000"/>
              </w:rPr>
              <w:t>14</w:t>
            </w:r>
          </w:p>
        </w:tc>
        <w:tc>
          <w:tcPr>
            <w:tcW w:w="990" w:type="dxa"/>
            <w:shd w:val="clear" w:color="auto" w:fill="auto"/>
            <w:noWrap/>
            <w:vAlign w:val="bottom"/>
            <w:hideMark/>
          </w:tcPr>
          <w:p w14:paraId="21A8B066" w14:textId="77777777" w:rsidR="00D85251" w:rsidRPr="00816475" w:rsidRDefault="00D85251" w:rsidP="00FA007D">
            <w:pPr>
              <w:pStyle w:val="TableBodyText"/>
              <w:keepNext/>
              <w:rPr>
                <w:rFonts w:cs="Arial"/>
                <w:color w:val="000000"/>
              </w:rPr>
            </w:pPr>
            <w:r w:rsidRPr="00816475">
              <w:rPr>
                <w:rFonts w:cs="Arial"/>
                <w:color w:val="000000"/>
              </w:rPr>
              <w:t>12</w:t>
            </w:r>
          </w:p>
        </w:tc>
        <w:tc>
          <w:tcPr>
            <w:tcW w:w="900" w:type="dxa"/>
            <w:shd w:val="clear" w:color="auto" w:fill="auto"/>
            <w:noWrap/>
            <w:vAlign w:val="bottom"/>
            <w:hideMark/>
          </w:tcPr>
          <w:p w14:paraId="5F8401A9" w14:textId="77777777" w:rsidR="00D85251" w:rsidRPr="00816475" w:rsidRDefault="00D85251" w:rsidP="00FA007D">
            <w:pPr>
              <w:pStyle w:val="TableBodyText"/>
              <w:keepNext/>
              <w:rPr>
                <w:rFonts w:cs="Arial"/>
                <w:color w:val="000000"/>
              </w:rPr>
            </w:pPr>
            <w:r w:rsidRPr="00816475">
              <w:rPr>
                <w:rFonts w:cs="Arial"/>
                <w:color w:val="000000"/>
              </w:rPr>
              <w:t>10</w:t>
            </w:r>
          </w:p>
        </w:tc>
        <w:tc>
          <w:tcPr>
            <w:tcW w:w="809" w:type="dxa"/>
            <w:shd w:val="clear" w:color="auto" w:fill="auto"/>
            <w:noWrap/>
            <w:vAlign w:val="bottom"/>
            <w:hideMark/>
          </w:tcPr>
          <w:p w14:paraId="66408A9B" w14:textId="77777777" w:rsidR="00D85251" w:rsidRPr="00816475" w:rsidRDefault="00D85251" w:rsidP="00FA007D">
            <w:pPr>
              <w:pStyle w:val="TableBodyText"/>
              <w:keepNext/>
              <w:rPr>
                <w:rFonts w:cs="Arial"/>
                <w:color w:val="000000"/>
              </w:rPr>
            </w:pPr>
            <w:r w:rsidRPr="00816475">
              <w:rPr>
                <w:rFonts w:cs="Arial"/>
                <w:color w:val="000000"/>
              </w:rPr>
              <w:t>36</w:t>
            </w:r>
          </w:p>
        </w:tc>
      </w:tr>
      <w:tr w:rsidR="00D85251" w:rsidRPr="00816475" w14:paraId="7DF0D125" w14:textId="77777777" w:rsidTr="00D85251">
        <w:trPr>
          <w:trHeight w:val="264"/>
        </w:trPr>
        <w:tc>
          <w:tcPr>
            <w:tcW w:w="1710" w:type="dxa"/>
            <w:vMerge/>
            <w:shd w:val="clear" w:color="auto" w:fill="auto"/>
            <w:noWrap/>
            <w:vAlign w:val="center"/>
            <w:hideMark/>
          </w:tcPr>
          <w:p w14:paraId="3AB37370" w14:textId="77777777" w:rsidR="00D85251" w:rsidRPr="00816475" w:rsidRDefault="00D85251" w:rsidP="00FA007D">
            <w:pPr>
              <w:pStyle w:val="TableBodyText"/>
              <w:keepNext/>
              <w:rPr>
                <w:rFonts w:cs="Arial"/>
                <w:color w:val="000000"/>
              </w:rPr>
            </w:pPr>
          </w:p>
        </w:tc>
        <w:tc>
          <w:tcPr>
            <w:tcW w:w="1800" w:type="dxa"/>
            <w:shd w:val="clear" w:color="auto" w:fill="auto"/>
            <w:noWrap/>
            <w:vAlign w:val="bottom"/>
            <w:hideMark/>
          </w:tcPr>
          <w:p w14:paraId="11605FCA" w14:textId="77777777" w:rsidR="00D85251" w:rsidRPr="00816475" w:rsidRDefault="00D85251" w:rsidP="00FA007D">
            <w:pPr>
              <w:pStyle w:val="TableBodyText"/>
              <w:keepNext/>
              <w:rPr>
                <w:rFonts w:cs="Arial"/>
                <w:color w:val="000000"/>
              </w:rPr>
            </w:pPr>
            <w:r w:rsidRPr="00816475">
              <w:rPr>
                <w:rFonts w:cs="Arial"/>
                <w:color w:val="000000"/>
              </w:rPr>
              <w:t>Expected #</w:t>
            </w:r>
          </w:p>
        </w:tc>
        <w:tc>
          <w:tcPr>
            <w:tcW w:w="990" w:type="dxa"/>
            <w:shd w:val="clear" w:color="auto" w:fill="auto"/>
            <w:noWrap/>
            <w:vAlign w:val="bottom"/>
            <w:hideMark/>
          </w:tcPr>
          <w:p w14:paraId="39478287" w14:textId="05C03E97" w:rsidR="00D85251" w:rsidRPr="00816475" w:rsidRDefault="00696263" w:rsidP="00FA007D">
            <w:pPr>
              <w:pStyle w:val="TableBodyText"/>
              <w:keepNext/>
              <w:rPr>
                <w:rFonts w:cs="Arial"/>
                <w:color w:val="000000"/>
              </w:rPr>
            </w:pPr>
            <w:r>
              <w:rPr>
                <w:rFonts w:cs="Arial"/>
                <w:color w:val="000000"/>
              </w:rPr>
              <w:t>13</w:t>
            </w:r>
          </w:p>
        </w:tc>
        <w:tc>
          <w:tcPr>
            <w:tcW w:w="990" w:type="dxa"/>
            <w:shd w:val="clear" w:color="auto" w:fill="auto"/>
            <w:noWrap/>
            <w:vAlign w:val="bottom"/>
            <w:hideMark/>
          </w:tcPr>
          <w:p w14:paraId="07674D16" w14:textId="4F23384C" w:rsidR="00D85251" w:rsidRPr="00816475" w:rsidRDefault="00696263" w:rsidP="00FA007D">
            <w:pPr>
              <w:pStyle w:val="TableBodyText"/>
              <w:keepNext/>
              <w:rPr>
                <w:rFonts w:cs="Arial"/>
                <w:color w:val="000000"/>
              </w:rPr>
            </w:pPr>
            <w:r>
              <w:rPr>
                <w:rFonts w:cs="Arial"/>
                <w:color w:val="000000"/>
              </w:rPr>
              <w:t>12</w:t>
            </w:r>
          </w:p>
        </w:tc>
        <w:tc>
          <w:tcPr>
            <w:tcW w:w="900" w:type="dxa"/>
            <w:shd w:val="clear" w:color="auto" w:fill="auto"/>
            <w:noWrap/>
            <w:vAlign w:val="bottom"/>
            <w:hideMark/>
          </w:tcPr>
          <w:p w14:paraId="210508E1" w14:textId="1925EA90" w:rsidR="00D85251" w:rsidRPr="00816475" w:rsidRDefault="00696263" w:rsidP="00FA007D">
            <w:pPr>
              <w:pStyle w:val="TableBodyText"/>
              <w:keepNext/>
              <w:rPr>
                <w:rFonts w:cs="Arial"/>
                <w:color w:val="000000"/>
              </w:rPr>
            </w:pPr>
            <w:r>
              <w:rPr>
                <w:rFonts w:cs="Arial"/>
                <w:color w:val="000000"/>
              </w:rPr>
              <w:t>11</w:t>
            </w:r>
          </w:p>
        </w:tc>
        <w:tc>
          <w:tcPr>
            <w:tcW w:w="809" w:type="dxa"/>
            <w:shd w:val="clear" w:color="auto" w:fill="auto"/>
            <w:noWrap/>
            <w:vAlign w:val="bottom"/>
            <w:hideMark/>
          </w:tcPr>
          <w:p w14:paraId="593268F1" w14:textId="77777777" w:rsidR="00D85251" w:rsidRPr="00816475" w:rsidRDefault="00D85251" w:rsidP="00FA007D">
            <w:pPr>
              <w:pStyle w:val="TableBodyText"/>
              <w:keepNext/>
              <w:rPr>
                <w:rFonts w:cs="Arial"/>
                <w:color w:val="000000"/>
              </w:rPr>
            </w:pPr>
          </w:p>
        </w:tc>
      </w:tr>
      <w:tr w:rsidR="00D85251" w:rsidRPr="00816475" w14:paraId="75A9164A" w14:textId="77777777" w:rsidTr="00D85251">
        <w:trPr>
          <w:trHeight w:val="264"/>
        </w:trPr>
        <w:tc>
          <w:tcPr>
            <w:tcW w:w="1710" w:type="dxa"/>
            <w:vMerge w:val="restart"/>
            <w:shd w:val="clear" w:color="auto" w:fill="auto"/>
            <w:noWrap/>
            <w:vAlign w:val="center"/>
            <w:hideMark/>
          </w:tcPr>
          <w:p w14:paraId="1A94725A" w14:textId="77777777" w:rsidR="00D85251" w:rsidRPr="00816475" w:rsidRDefault="00D85251" w:rsidP="00FA007D">
            <w:pPr>
              <w:pStyle w:val="TableBodyText"/>
              <w:keepNext/>
              <w:rPr>
                <w:rFonts w:cs="Arial"/>
                <w:color w:val="000000"/>
              </w:rPr>
            </w:pPr>
            <w:r w:rsidRPr="00816475">
              <w:rPr>
                <w:rFonts w:cs="Arial"/>
                <w:color w:val="000000"/>
              </w:rPr>
              <w:t>WC</w:t>
            </w:r>
          </w:p>
        </w:tc>
        <w:tc>
          <w:tcPr>
            <w:tcW w:w="1800" w:type="dxa"/>
            <w:shd w:val="clear" w:color="auto" w:fill="auto"/>
            <w:noWrap/>
            <w:vAlign w:val="bottom"/>
            <w:hideMark/>
          </w:tcPr>
          <w:p w14:paraId="4BF3AE8D" w14:textId="77777777" w:rsidR="00D85251" w:rsidRPr="00816475" w:rsidRDefault="00D85251" w:rsidP="00FA007D">
            <w:pPr>
              <w:pStyle w:val="TableBodyText"/>
              <w:keepNext/>
              <w:rPr>
                <w:rFonts w:cs="Arial"/>
                <w:color w:val="000000"/>
              </w:rPr>
            </w:pPr>
            <w:r w:rsidRPr="00816475">
              <w:rPr>
                <w:rFonts w:cs="Arial"/>
                <w:color w:val="000000"/>
              </w:rPr>
              <w:t># Pass Results</w:t>
            </w:r>
          </w:p>
        </w:tc>
        <w:tc>
          <w:tcPr>
            <w:tcW w:w="990" w:type="dxa"/>
            <w:shd w:val="clear" w:color="auto" w:fill="auto"/>
            <w:noWrap/>
            <w:vAlign w:val="bottom"/>
            <w:hideMark/>
          </w:tcPr>
          <w:p w14:paraId="5E7C387A" w14:textId="3A0357BD" w:rsidR="00D85251" w:rsidRPr="00816475" w:rsidRDefault="008516CD" w:rsidP="00FA007D">
            <w:pPr>
              <w:pStyle w:val="TableBodyText"/>
              <w:keepNext/>
              <w:rPr>
                <w:rFonts w:cs="Arial"/>
                <w:color w:val="000000"/>
              </w:rPr>
            </w:pPr>
            <w:r>
              <w:rPr>
                <w:rFonts w:cs="Arial"/>
                <w:color w:val="000000"/>
              </w:rPr>
              <w:t>14</w:t>
            </w:r>
          </w:p>
        </w:tc>
        <w:tc>
          <w:tcPr>
            <w:tcW w:w="990" w:type="dxa"/>
            <w:shd w:val="clear" w:color="auto" w:fill="auto"/>
            <w:noWrap/>
            <w:vAlign w:val="bottom"/>
            <w:hideMark/>
          </w:tcPr>
          <w:p w14:paraId="5E8F97AE" w14:textId="1FE53508" w:rsidR="00D85251" w:rsidRPr="00816475" w:rsidRDefault="008516CD" w:rsidP="00FA007D">
            <w:pPr>
              <w:pStyle w:val="TableBodyText"/>
              <w:keepNext/>
              <w:rPr>
                <w:rFonts w:cs="Arial"/>
                <w:color w:val="000000"/>
              </w:rPr>
            </w:pPr>
            <w:r>
              <w:rPr>
                <w:rFonts w:cs="Arial"/>
                <w:color w:val="000000"/>
              </w:rPr>
              <w:t>14</w:t>
            </w:r>
          </w:p>
        </w:tc>
        <w:tc>
          <w:tcPr>
            <w:tcW w:w="900" w:type="dxa"/>
            <w:shd w:val="clear" w:color="auto" w:fill="auto"/>
            <w:noWrap/>
            <w:vAlign w:val="bottom"/>
            <w:hideMark/>
          </w:tcPr>
          <w:p w14:paraId="45BAD59D" w14:textId="63388D5C" w:rsidR="00D85251" w:rsidRPr="00816475" w:rsidRDefault="008516CD" w:rsidP="00FA007D">
            <w:pPr>
              <w:pStyle w:val="TableBodyText"/>
              <w:keepNext/>
              <w:rPr>
                <w:rFonts w:cs="Arial"/>
                <w:color w:val="000000"/>
              </w:rPr>
            </w:pPr>
            <w:r>
              <w:rPr>
                <w:rFonts w:cs="Arial"/>
                <w:color w:val="000000"/>
              </w:rPr>
              <w:t>13</w:t>
            </w:r>
          </w:p>
        </w:tc>
        <w:tc>
          <w:tcPr>
            <w:tcW w:w="809" w:type="dxa"/>
            <w:shd w:val="clear" w:color="auto" w:fill="auto"/>
            <w:noWrap/>
            <w:vAlign w:val="bottom"/>
            <w:hideMark/>
          </w:tcPr>
          <w:p w14:paraId="2BA1B4FD" w14:textId="5CDC0DAC" w:rsidR="00D85251" w:rsidRPr="00816475" w:rsidRDefault="008516CD" w:rsidP="00FA007D">
            <w:pPr>
              <w:pStyle w:val="TableBodyText"/>
              <w:keepNext/>
              <w:rPr>
                <w:rFonts w:cs="Arial"/>
                <w:color w:val="000000"/>
              </w:rPr>
            </w:pPr>
            <w:r>
              <w:rPr>
                <w:rFonts w:cs="Arial"/>
                <w:color w:val="000000"/>
              </w:rPr>
              <w:t>41</w:t>
            </w:r>
          </w:p>
        </w:tc>
      </w:tr>
      <w:tr w:rsidR="00D85251" w:rsidRPr="00816475" w14:paraId="51DA4738" w14:textId="77777777" w:rsidTr="00D85251">
        <w:trPr>
          <w:trHeight w:val="264"/>
        </w:trPr>
        <w:tc>
          <w:tcPr>
            <w:tcW w:w="1710" w:type="dxa"/>
            <w:vMerge/>
            <w:shd w:val="clear" w:color="auto" w:fill="auto"/>
            <w:noWrap/>
            <w:vAlign w:val="bottom"/>
            <w:hideMark/>
          </w:tcPr>
          <w:p w14:paraId="72C9008D" w14:textId="77777777" w:rsidR="00D85251" w:rsidRPr="00816475" w:rsidRDefault="00D85251" w:rsidP="00FA007D">
            <w:pPr>
              <w:pStyle w:val="TableBodyText"/>
              <w:keepNext/>
              <w:rPr>
                <w:rFonts w:cs="Arial"/>
                <w:color w:val="000000"/>
              </w:rPr>
            </w:pPr>
          </w:p>
        </w:tc>
        <w:tc>
          <w:tcPr>
            <w:tcW w:w="1800" w:type="dxa"/>
            <w:shd w:val="clear" w:color="auto" w:fill="auto"/>
            <w:noWrap/>
            <w:vAlign w:val="bottom"/>
            <w:hideMark/>
          </w:tcPr>
          <w:p w14:paraId="2427222D" w14:textId="77777777" w:rsidR="00D85251" w:rsidRPr="00696263" w:rsidRDefault="00D85251" w:rsidP="00FA007D">
            <w:pPr>
              <w:pStyle w:val="TableBodyText"/>
              <w:keepNext/>
              <w:rPr>
                <w:rFonts w:cs="Arial"/>
                <w:color w:val="000000"/>
              </w:rPr>
            </w:pPr>
            <w:r w:rsidRPr="00696263">
              <w:rPr>
                <w:rFonts w:cs="Arial"/>
                <w:color w:val="000000"/>
              </w:rPr>
              <w:t>Expected #</w:t>
            </w:r>
          </w:p>
        </w:tc>
        <w:tc>
          <w:tcPr>
            <w:tcW w:w="990" w:type="dxa"/>
            <w:shd w:val="clear" w:color="auto" w:fill="auto"/>
            <w:noWrap/>
            <w:vAlign w:val="bottom"/>
            <w:hideMark/>
          </w:tcPr>
          <w:p w14:paraId="0C56E30E" w14:textId="71814D62" w:rsidR="00D85251" w:rsidRPr="00696263" w:rsidRDefault="007921BE" w:rsidP="00FA007D">
            <w:pPr>
              <w:pStyle w:val="TableBodyText"/>
              <w:keepNext/>
              <w:rPr>
                <w:rFonts w:cs="Arial"/>
                <w:color w:val="000000"/>
              </w:rPr>
            </w:pPr>
            <w:r>
              <w:rPr>
                <w:rFonts w:cs="Arial"/>
                <w:color w:val="000000"/>
              </w:rPr>
              <w:t>15</w:t>
            </w:r>
          </w:p>
        </w:tc>
        <w:tc>
          <w:tcPr>
            <w:tcW w:w="990" w:type="dxa"/>
            <w:shd w:val="clear" w:color="auto" w:fill="auto"/>
            <w:noWrap/>
            <w:vAlign w:val="bottom"/>
            <w:hideMark/>
          </w:tcPr>
          <w:p w14:paraId="7C51473B" w14:textId="778F61F3" w:rsidR="00D85251" w:rsidRPr="00696263" w:rsidRDefault="00696263" w:rsidP="00FA007D">
            <w:pPr>
              <w:pStyle w:val="TableBodyText"/>
              <w:keepNext/>
              <w:rPr>
                <w:rFonts w:cs="Arial"/>
                <w:color w:val="000000"/>
              </w:rPr>
            </w:pPr>
            <w:r w:rsidRPr="00696263">
              <w:rPr>
                <w:rFonts w:cs="Arial"/>
                <w:color w:val="000000"/>
              </w:rPr>
              <w:t>14</w:t>
            </w:r>
          </w:p>
        </w:tc>
        <w:tc>
          <w:tcPr>
            <w:tcW w:w="900" w:type="dxa"/>
            <w:shd w:val="clear" w:color="auto" w:fill="auto"/>
            <w:noWrap/>
            <w:vAlign w:val="bottom"/>
            <w:hideMark/>
          </w:tcPr>
          <w:p w14:paraId="552696A5" w14:textId="2888605A" w:rsidR="00D85251" w:rsidRPr="00696263" w:rsidRDefault="007921BE" w:rsidP="00FA007D">
            <w:pPr>
              <w:pStyle w:val="TableBodyText"/>
              <w:keepNext/>
              <w:rPr>
                <w:rFonts w:cs="Arial"/>
                <w:color w:val="000000"/>
              </w:rPr>
            </w:pPr>
            <w:r>
              <w:rPr>
                <w:rFonts w:cs="Arial"/>
                <w:color w:val="000000"/>
              </w:rPr>
              <w:t>13</w:t>
            </w:r>
          </w:p>
        </w:tc>
        <w:tc>
          <w:tcPr>
            <w:tcW w:w="809" w:type="dxa"/>
            <w:shd w:val="clear" w:color="auto" w:fill="auto"/>
            <w:noWrap/>
            <w:vAlign w:val="bottom"/>
            <w:hideMark/>
          </w:tcPr>
          <w:p w14:paraId="446E2DA7" w14:textId="77777777" w:rsidR="00D85251" w:rsidRPr="00816475" w:rsidRDefault="00D85251" w:rsidP="00FA007D">
            <w:pPr>
              <w:pStyle w:val="TableBodyText"/>
              <w:keepNext/>
              <w:rPr>
                <w:rFonts w:cs="Arial"/>
                <w:color w:val="000000"/>
              </w:rPr>
            </w:pPr>
          </w:p>
        </w:tc>
      </w:tr>
      <w:tr w:rsidR="00D85251" w:rsidRPr="00816475" w14:paraId="2716F034" w14:textId="77777777" w:rsidTr="00D85251">
        <w:trPr>
          <w:trHeight w:val="264"/>
        </w:trPr>
        <w:tc>
          <w:tcPr>
            <w:tcW w:w="1710" w:type="dxa"/>
            <w:tcBorders>
              <w:bottom w:val="single" w:sz="4" w:space="0" w:color="auto"/>
            </w:tcBorders>
            <w:shd w:val="clear" w:color="auto" w:fill="auto"/>
            <w:noWrap/>
            <w:vAlign w:val="bottom"/>
            <w:hideMark/>
          </w:tcPr>
          <w:p w14:paraId="3DEB0A3B" w14:textId="77777777" w:rsidR="00D85251" w:rsidRPr="00816475" w:rsidRDefault="00D85251" w:rsidP="00FA007D">
            <w:pPr>
              <w:pStyle w:val="TableBodyText"/>
              <w:keepNext/>
              <w:rPr>
                <w:rFonts w:cs="Arial"/>
              </w:rPr>
            </w:pPr>
          </w:p>
        </w:tc>
        <w:tc>
          <w:tcPr>
            <w:tcW w:w="1800" w:type="dxa"/>
            <w:tcBorders>
              <w:bottom w:val="single" w:sz="4" w:space="0" w:color="auto"/>
            </w:tcBorders>
            <w:shd w:val="clear" w:color="auto" w:fill="auto"/>
            <w:noWrap/>
            <w:vAlign w:val="bottom"/>
            <w:hideMark/>
          </w:tcPr>
          <w:p w14:paraId="7CF45FEF" w14:textId="77777777" w:rsidR="00D85251" w:rsidRPr="00696263" w:rsidRDefault="00D85251" w:rsidP="00FA007D">
            <w:pPr>
              <w:pStyle w:val="TableBodyText"/>
              <w:keepNext/>
              <w:rPr>
                <w:rFonts w:cs="Arial"/>
              </w:rPr>
            </w:pPr>
          </w:p>
        </w:tc>
        <w:tc>
          <w:tcPr>
            <w:tcW w:w="990" w:type="dxa"/>
            <w:tcBorders>
              <w:bottom w:val="single" w:sz="4" w:space="0" w:color="auto"/>
            </w:tcBorders>
            <w:shd w:val="clear" w:color="auto" w:fill="auto"/>
            <w:noWrap/>
            <w:vAlign w:val="bottom"/>
            <w:hideMark/>
          </w:tcPr>
          <w:p w14:paraId="4611403F" w14:textId="77777777" w:rsidR="00D85251" w:rsidRPr="00696263" w:rsidRDefault="00D85251" w:rsidP="00FA007D">
            <w:pPr>
              <w:pStyle w:val="TableBodyText"/>
              <w:keepNext/>
              <w:rPr>
                <w:rFonts w:cs="Arial"/>
              </w:rPr>
            </w:pPr>
          </w:p>
        </w:tc>
        <w:tc>
          <w:tcPr>
            <w:tcW w:w="990" w:type="dxa"/>
            <w:tcBorders>
              <w:bottom w:val="single" w:sz="4" w:space="0" w:color="auto"/>
            </w:tcBorders>
            <w:shd w:val="clear" w:color="auto" w:fill="auto"/>
            <w:noWrap/>
            <w:vAlign w:val="bottom"/>
            <w:hideMark/>
          </w:tcPr>
          <w:p w14:paraId="1EDA846F" w14:textId="77777777" w:rsidR="00D85251" w:rsidRPr="00696263" w:rsidRDefault="00D85251" w:rsidP="00FA007D">
            <w:pPr>
              <w:pStyle w:val="TableBodyText"/>
              <w:keepNext/>
              <w:rPr>
                <w:rFonts w:cs="Arial"/>
              </w:rPr>
            </w:pPr>
          </w:p>
        </w:tc>
        <w:tc>
          <w:tcPr>
            <w:tcW w:w="900" w:type="dxa"/>
            <w:tcBorders>
              <w:bottom w:val="single" w:sz="4" w:space="0" w:color="auto"/>
            </w:tcBorders>
            <w:shd w:val="clear" w:color="auto" w:fill="auto"/>
            <w:noWrap/>
            <w:vAlign w:val="bottom"/>
            <w:hideMark/>
          </w:tcPr>
          <w:p w14:paraId="40175E1B" w14:textId="77777777" w:rsidR="00D85251" w:rsidRPr="00696263" w:rsidRDefault="00D85251" w:rsidP="00FA007D">
            <w:pPr>
              <w:pStyle w:val="TableBodyText"/>
              <w:keepNext/>
              <w:rPr>
                <w:rFonts w:cs="Arial"/>
              </w:rPr>
            </w:pPr>
          </w:p>
        </w:tc>
        <w:tc>
          <w:tcPr>
            <w:tcW w:w="809" w:type="dxa"/>
            <w:tcBorders>
              <w:bottom w:val="single" w:sz="4" w:space="0" w:color="auto"/>
            </w:tcBorders>
            <w:shd w:val="clear" w:color="auto" w:fill="auto"/>
            <w:noWrap/>
            <w:vAlign w:val="bottom"/>
            <w:hideMark/>
          </w:tcPr>
          <w:p w14:paraId="5B820C19" w14:textId="77777777" w:rsidR="00D85251" w:rsidRPr="00816475" w:rsidRDefault="00D85251" w:rsidP="00FA007D">
            <w:pPr>
              <w:pStyle w:val="TableBodyText"/>
              <w:keepNext/>
              <w:rPr>
                <w:rFonts w:cs="Arial"/>
              </w:rPr>
            </w:pPr>
          </w:p>
        </w:tc>
      </w:tr>
      <w:tr w:rsidR="00D85251" w:rsidRPr="00816475" w14:paraId="6D8B8AC2" w14:textId="77777777" w:rsidTr="00D85251">
        <w:trPr>
          <w:trHeight w:val="264"/>
        </w:trPr>
        <w:tc>
          <w:tcPr>
            <w:tcW w:w="1710" w:type="dxa"/>
            <w:tcBorders>
              <w:top w:val="single" w:sz="4" w:space="0" w:color="auto"/>
              <w:bottom w:val="single" w:sz="4" w:space="0" w:color="auto"/>
            </w:tcBorders>
            <w:shd w:val="clear" w:color="auto" w:fill="auto"/>
            <w:noWrap/>
            <w:vAlign w:val="bottom"/>
            <w:hideMark/>
          </w:tcPr>
          <w:p w14:paraId="3609BB8E" w14:textId="77777777" w:rsidR="00D85251" w:rsidRPr="00816475" w:rsidRDefault="00D85251" w:rsidP="00FA007D">
            <w:pPr>
              <w:pStyle w:val="TableBodyText"/>
              <w:keepNext/>
              <w:rPr>
                <w:rFonts w:cs="Arial"/>
              </w:rPr>
            </w:pPr>
          </w:p>
        </w:tc>
        <w:tc>
          <w:tcPr>
            <w:tcW w:w="1800" w:type="dxa"/>
            <w:tcBorders>
              <w:top w:val="single" w:sz="4" w:space="0" w:color="auto"/>
              <w:bottom w:val="single" w:sz="4" w:space="0" w:color="auto"/>
            </w:tcBorders>
            <w:shd w:val="clear" w:color="auto" w:fill="auto"/>
            <w:noWrap/>
            <w:vAlign w:val="bottom"/>
            <w:hideMark/>
          </w:tcPr>
          <w:p w14:paraId="2E6D070F" w14:textId="77777777" w:rsidR="00D85251" w:rsidRPr="00696263" w:rsidRDefault="00D85251" w:rsidP="00FA007D">
            <w:pPr>
              <w:pStyle w:val="TableBodyText"/>
              <w:keepNext/>
              <w:rPr>
                <w:rFonts w:cs="Arial"/>
                <w:color w:val="000000"/>
              </w:rPr>
            </w:pPr>
            <w:r w:rsidRPr="00696263">
              <w:rPr>
                <w:rFonts w:cs="Arial"/>
                <w:color w:val="000000"/>
              </w:rPr>
              <w:t>Chi-Square Value</w:t>
            </w:r>
          </w:p>
        </w:tc>
        <w:tc>
          <w:tcPr>
            <w:tcW w:w="990" w:type="dxa"/>
            <w:tcBorders>
              <w:top w:val="single" w:sz="4" w:space="0" w:color="auto"/>
              <w:bottom w:val="single" w:sz="4" w:space="0" w:color="auto"/>
            </w:tcBorders>
            <w:shd w:val="clear" w:color="auto" w:fill="auto"/>
            <w:noWrap/>
            <w:vAlign w:val="bottom"/>
          </w:tcPr>
          <w:p w14:paraId="27B4A770" w14:textId="77777777" w:rsidR="00D85251" w:rsidRPr="00696263" w:rsidRDefault="00D85251" w:rsidP="00FA007D">
            <w:pPr>
              <w:pStyle w:val="TableBodyText"/>
              <w:keepNext/>
              <w:rPr>
                <w:rFonts w:cs="Arial"/>
                <w:color w:val="000000"/>
              </w:rPr>
            </w:pPr>
            <w:r w:rsidRPr="00696263">
              <w:rPr>
                <w:rFonts w:cs="Arial"/>
                <w:color w:val="000000"/>
              </w:rPr>
              <w:t>P-Value</w:t>
            </w:r>
          </w:p>
        </w:tc>
        <w:tc>
          <w:tcPr>
            <w:tcW w:w="990" w:type="dxa"/>
            <w:tcBorders>
              <w:top w:val="single" w:sz="4" w:space="0" w:color="auto"/>
              <w:bottom w:val="single" w:sz="4" w:space="0" w:color="auto"/>
            </w:tcBorders>
            <w:shd w:val="clear" w:color="auto" w:fill="auto"/>
            <w:noWrap/>
            <w:vAlign w:val="bottom"/>
          </w:tcPr>
          <w:p w14:paraId="5888371F" w14:textId="77777777" w:rsidR="00D85251" w:rsidRPr="00696263" w:rsidRDefault="00D85251" w:rsidP="00FA007D">
            <w:pPr>
              <w:pStyle w:val="TableBodyText"/>
              <w:keepNext/>
              <w:rPr>
                <w:rFonts w:cs="Arial"/>
                <w:color w:val="000000"/>
              </w:rPr>
            </w:pPr>
            <w:r w:rsidRPr="00696263">
              <w:rPr>
                <w:rFonts w:cs="Arial"/>
                <w:color w:val="000000"/>
              </w:rPr>
              <w:t>Significant?</w:t>
            </w:r>
          </w:p>
        </w:tc>
        <w:tc>
          <w:tcPr>
            <w:tcW w:w="900" w:type="dxa"/>
            <w:tcBorders>
              <w:top w:val="single" w:sz="4" w:space="0" w:color="auto"/>
              <w:bottom w:val="single" w:sz="4" w:space="0" w:color="auto"/>
            </w:tcBorders>
            <w:shd w:val="clear" w:color="auto" w:fill="auto"/>
            <w:noWrap/>
            <w:vAlign w:val="bottom"/>
            <w:hideMark/>
          </w:tcPr>
          <w:p w14:paraId="7CB78C61" w14:textId="77777777" w:rsidR="00D85251" w:rsidRPr="00696263" w:rsidRDefault="00D85251" w:rsidP="00FA007D">
            <w:pPr>
              <w:pStyle w:val="TableBodyText"/>
              <w:keepNext/>
              <w:rPr>
                <w:rFonts w:cs="Arial"/>
                <w:color w:val="000000"/>
              </w:rPr>
            </w:pPr>
          </w:p>
        </w:tc>
        <w:tc>
          <w:tcPr>
            <w:tcW w:w="809" w:type="dxa"/>
            <w:tcBorders>
              <w:top w:val="single" w:sz="4" w:space="0" w:color="auto"/>
              <w:bottom w:val="single" w:sz="4" w:space="0" w:color="auto"/>
            </w:tcBorders>
            <w:shd w:val="clear" w:color="auto" w:fill="auto"/>
            <w:noWrap/>
            <w:vAlign w:val="bottom"/>
            <w:hideMark/>
          </w:tcPr>
          <w:p w14:paraId="28916990" w14:textId="77777777" w:rsidR="00D85251" w:rsidRPr="00816475" w:rsidRDefault="00D85251" w:rsidP="00FA007D">
            <w:pPr>
              <w:pStyle w:val="TableBodyText"/>
              <w:keepNext/>
              <w:rPr>
                <w:rFonts w:cs="Arial"/>
              </w:rPr>
            </w:pPr>
          </w:p>
        </w:tc>
      </w:tr>
      <w:tr w:rsidR="00D85251" w:rsidRPr="00816475" w14:paraId="753D2707" w14:textId="77777777" w:rsidTr="00D85251">
        <w:trPr>
          <w:trHeight w:val="264"/>
        </w:trPr>
        <w:tc>
          <w:tcPr>
            <w:tcW w:w="1710" w:type="dxa"/>
            <w:tcBorders>
              <w:top w:val="single" w:sz="4" w:space="0" w:color="auto"/>
            </w:tcBorders>
            <w:shd w:val="clear" w:color="auto" w:fill="auto"/>
            <w:noWrap/>
            <w:vAlign w:val="bottom"/>
            <w:hideMark/>
          </w:tcPr>
          <w:p w14:paraId="1D571F54" w14:textId="77777777" w:rsidR="00D85251" w:rsidRPr="00816475" w:rsidRDefault="00D85251" w:rsidP="00FA007D">
            <w:pPr>
              <w:pStyle w:val="TableBodyText"/>
              <w:keepNext/>
              <w:rPr>
                <w:rFonts w:cs="Arial"/>
                <w:color w:val="000000"/>
              </w:rPr>
            </w:pPr>
            <w:r w:rsidRPr="00816475">
              <w:rPr>
                <w:rFonts w:cs="Arial"/>
                <w:color w:val="000000"/>
              </w:rPr>
              <w:t>Pearson</w:t>
            </w:r>
          </w:p>
        </w:tc>
        <w:tc>
          <w:tcPr>
            <w:tcW w:w="1800" w:type="dxa"/>
            <w:tcBorders>
              <w:top w:val="single" w:sz="4" w:space="0" w:color="auto"/>
            </w:tcBorders>
            <w:shd w:val="clear" w:color="auto" w:fill="auto"/>
            <w:noWrap/>
            <w:vAlign w:val="bottom"/>
            <w:hideMark/>
          </w:tcPr>
          <w:p w14:paraId="32598DE4" w14:textId="1A92F4AF" w:rsidR="00D85251" w:rsidRPr="00696263" w:rsidRDefault="00D85251" w:rsidP="00FA007D">
            <w:pPr>
              <w:pStyle w:val="TableBodyText"/>
              <w:keepNext/>
              <w:rPr>
                <w:rFonts w:cs="Arial"/>
                <w:color w:val="000000"/>
              </w:rPr>
            </w:pPr>
            <w:r w:rsidRPr="00696263">
              <w:rPr>
                <w:rFonts w:cs="Arial"/>
                <w:color w:val="000000"/>
              </w:rPr>
              <w:t>0.</w:t>
            </w:r>
            <w:r w:rsidR="007921BE">
              <w:rPr>
                <w:rFonts w:cs="Arial"/>
                <w:color w:val="000000"/>
              </w:rPr>
              <w:t>261</w:t>
            </w:r>
          </w:p>
        </w:tc>
        <w:tc>
          <w:tcPr>
            <w:tcW w:w="990" w:type="dxa"/>
            <w:tcBorders>
              <w:top w:val="single" w:sz="4" w:space="0" w:color="auto"/>
            </w:tcBorders>
            <w:shd w:val="clear" w:color="auto" w:fill="auto"/>
            <w:noWrap/>
            <w:vAlign w:val="bottom"/>
          </w:tcPr>
          <w:p w14:paraId="30A53C65" w14:textId="6729A540" w:rsidR="00D85251" w:rsidRPr="00696263" w:rsidRDefault="00D85251" w:rsidP="00FA007D">
            <w:pPr>
              <w:pStyle w:val="TableBodyText"/>
              <w:keepNext/>
              <w:rPr>
                <w:rFonts w:cs="Arial"/>
                <w:color w:val="000000"/>
              </w:rPr>
            </w:pPr>
            <w:r w:rsidRPr="00696263">
              <w:rPr>
                <w:rFonts w:cs="Arial"/>
                <w:color w:val="000000"/>
              </w:rPr>
              <w:t>0.</w:t>
            </w:r>
            <w:r w:rsidR="007921BE">
              <w:rPr>
                <w:rFonts w:cs="Arial"/>
                <w:color w:val="000000"/>
              </w:rPr>
              <w:t>992</w:t>
            </w:r>
          </w:p>
        </w:tc>
        <w:tc>
          <w:tcPr>
            <w:tcW w:w="990" w:type="dxa"/>
            <w:tcBorders>
              <w:top w:val="single" w:sz="4" w:space="0" w:color="auto"/>
            </w:tcBorders>
            <w:shd w:val="clear" w:color="auto" w:fill="auto"/>
            <w:noWrap/>
            <w:vAlign w:val="bottom"/>
          </w:tcPr>
          <w:p w14:paraId="4E0ABCFE" w14:textId="77777777" w:rsidR="00D85251" w:rsidRPr="00696263" w:rsidRDefault="00D85251" w:rsidP="00FA007D">
            <w:pPr>
              <w:pStyle w:val="TableBodyText"/>
              <w:keepNext/>
              <w:rPr>
                <w:rFonts w:cs="Arial"/>
                <w:color w:val="000000"/>
              </w:rPr>
            </w:pPr>
            <w:r w:rsidRPr="00696263">
              <w:rPr>
                <w:rFonts w:cs="Arial"/>
                <w:color w:val="000000"/>
              </w:rPr>
              <w:t>No</w:t>
            </w:r>
          </w:p>
        </w:tc>
        <w:tc>
          <w:tcPr>
            <w:tcW w:w="900" w:type="dxa"/>
            <w:tcBorders>
              <w:top w:val="single" w:sz="4" w:space="0" w:color="auto"/>
            </w:tcBorders>
            <w:shd w:val="clear" w:color="auto" w:fill="auto"/>
            <w:noWrap/>
            <w:vAlign w:val="bottom"/>
            <w:hideMark/>
          </w:tcPr>
          <w:p w14:paraId="0D012EFF" w14:textId="77777777" w:rsidR="00D85251" w:rsidRPr="00696263" w:rsidRDefault="00D85251" w:rsidP="00FA007D">
            <w:pPr>
              <w:pStyle w:val="TableBodyText"/>
              <w:keepNext/>
              <w:rPr>
                <w:rFonts w:cs="Arial"/>
                <w:color w:val="000000"/>
              </w:rPr>
            </w:pPr>
          </w:p>
        </w:tc>
        <w:tc>
          <w:tcPr>
            <w:tcW w:w="809" w:type="dxa"/>
            <w:tcBorders>
              <w:top w:val="single" w:sz="4" w:space="0" w:color="auto"/>
            </w:tcBorders>
            <w:shd w:val="clear" w:color="auto" w:fill="auto"/>
            <w:noWrap/>
            <w:vAlign w:val="bottom"/>
            <w:hideMark/>
          </w:tcPr>
          <w:p w14:paraId="0174B47F" w14:textId="77777777" w:rsidR="00D85251" w:rsidRPr="00816475" w:rsidRDefault="00D85251" w:rsidP="00FA007D">
            <w:pPr>
              <w:pStyle w:val="TableBodyText"/>
              <w:keepNext/>
              <w:rPr>
                <w:rFonts w:cs="Arial"/>
              </w:rPr>
            </w:pPr>
          </w:p>
        </w:tc>
      </w:tr>
      <w:tr w:rsidR="00D85251" w:rsidRPr="00816475" w14:paraId="252F9A2C" w14:textId="77777777" w:rsidTr="00D85251">
        <w:trPr>
          <w:trHeight w:val="264"/>
        </w:trPr>
        <w:tc>
          <w:tcPr>
            <w:tcW w:w="1710" w:type="dxa"/>
            <w:shd w:val="clear" w:color="auto" w:fill="auto"/>
            <w:noWrap/>
            <w:vAlign w:val="bottom"/>
            <w:hideMark/>
          </w:tcPr>
          <w:p w14:paraId="460F2EE8" w14:textId="77777777" w:rsidR="00D85251" w:rsidRPr="00816475" w:rsidRDefault="00D85251" w:rsidP="00816475">
            <w:pPr>
              <w:pStyle w:val="TableBodyText"/>
              <w:rPr>
                <w:rFonts w:cs="Arial"/>
                <w:color w:val="000000"/>
              </w:rPr>
            </w:pPr>
            <w:r w:rsidRPr="00816475">
              <w:rPr>
                <w:rFonts w:cs="Arial"/>
                <w:color w:val="000000"/>
              </w:rPr>
              <w:t>Likelihood Ratio</w:t>
            </w:r>
          </w:p>
        </w:tc>
        <w:tc>
          <w:tcPr>
            <w:tcW w:w="1800" w:type="dxa"/>
            <w:shd w:val="clear" w:color="auto" w:fill="auto"/>
            <w:noWrap/>
            <w:vAlign w:val="bottom"/>
            <w:hideMark/>
          </w:tcPr>
          <w:p w14:paraId="4F8746EF" w14:textId="50C4FB5C" w:rsidR="00D85251" w:rsidRPr="00696263" w:rsidRDefault="00D85251" w:rsidP="00816475">
            <w:pPr>
              <w:pStyle w:val="TableBodyText"/>
              <w:rPr>
                <w:rFonts w:cs="Arial"/>
                <w:color w:val="000000"/>
              </w:rPr>
            </w:pPr>
            <w:r w:rsidRPr="00696263">
              <w:rPr>
                <w:rFonts w:cs="Arial"/>
                <w:color w:val="000000"/>
              </w:rPr>
              <w:t>0.</w:t>
            </w:r>
            <w:r w:rsidR="007921BE">
              <w:rPr>
                <w:rFonts w:cs="Arial"/>
                <w:color w:val="000000"/>
              </w:rPr>
              <w:t>261</w:t>
            </w:r>
          </w:p>
        </w:tc>
        <w:tc>
          <w:tcPr>
            <w:tcW w:w="990" w:type="dxa"/>
            <w:shd w:val="clear" w:color="auto" w:fill="auto"/>
            <w:noWrap/>
            <w:vAlign w:val="bottom"/>
          </w:tcPr>
          <w:p w14:paraId="13B911B3" w14:textId="7F14214A" w:rsidR="00D85251" w:rsidRPr="00696263" w:rsidRDefault="00D85251" w:rsidP="00816475">
            <w:pPr>
              <w:pStyle w:val="TableBodyText"/>
              <w:rPr>
                <w:rFonts w:cs="Arial"/>
                <w:color w:val="000000"/>
              </w:rPr>
            </w:pPr>
            <w:r w:rsidRPr="00696263">
              <w:rPr>
                <w:rFonts w:cs="Arial"/>
                <w:color w:val="000000"/>
              </w:rPr>
              <w:t>0.</w:t>
            </w:r>
            <w:r w:rsidR="007921BE">
              <w:rPr>
                <w:rFonts w:cs="Arial"/>
                <w:color w:val="000000"/>
              </w:rPr>
              <w:t>992</w:t>
            </w:r>
          </w:p>
        </w:tc>
        <w:tc>
          <w:tcPr>
            <w:tcW w:w="990" w:type="dxa"/>
            <w:shd w:val="clear" w:color="auto" w:fill="auto"/>
            <w:noWrap/>
            <w:vAlign w:val="bottom"/>
          </w:tcPr>
          <w:p w14:paraId="3DE8AF75" w14:textId="77777777" w:rsidR="00D85251" w:rsidRPr="00696263" w:rsidRDefault="00D85251" w:rsidP="00816475">
            <w:pPr>
              <w:pStyle w:val="TableBodyText"/>
              <w:rPr>
                <w:rFonts w:cs="Arial"/>
                <w:color w:val="000000"/>
              </w:rPr>
            </w:pPr>
            <w:r w:rsidRPr="00696263">
              <w:rPr>
                <w:rFonts w:cs="Arial"/>
                <w:color w:val="000000"/>
              </w:rPr>
              <w:t>No</w:t>
            </w:r>
          </w:p>
        </w:tc>
        <w:tc>
          <w:tcPr>
            <w:tcW w:w="900" w:type="dxa"/>
            <w:shd w:val="clear" w:color="auto" w:fill="auto"/>
            <w:noWrap/>
            <w:vAlign w:val="bottom"/>
            <w:hideMark/>
          </w:tcPr>
          <w:p w14:paraId="229FF485" w14:textId="77777777" w:rsidR="00D85251" w:rsidRPr="00696263" w:rsidRDefault="00D85251" w:rsidP="00816475">
            <w:pPr>
              <w:pStyle w:val="TableBodyText"/>
              <w:rPr>
                <w:rFonts w:cs="Arial"/>
                <w:color w:val="000000"/>
              </w:rPr>
            </w:pPr>
          </w:p>
        </w:tc>
        <w:tc>
          <w:tcPr>
            <w:tcW w:w="809" w:type="dxa"/>
            <w:shd w:val="clear" w:color="auto" w:fill="auto"/>
            <w:noWrap/>
            <w:vAlign w:val="bottom"/>
            <w:hideMark/>
          </w:tcPr>
          <w:p w14:paraId="6D746410" w14:textId="77777777" w:rsidR="00D85251" w:rsidRPr="00816475" w:rsidRDefault="00D85251" w:rsidP="00816475">
            <w:pPr>
              <w:pStyle w:val="TableBodyText"/>
              <w:rPr>
                <w:rFonts w:cs="Arial"/>
              </w:rPr>
            </w:pPr>
          </w:p>
        </w:tc>
      </w:tr>
    </w:tbl>
    <w:p w14:paraId="2E3A543D" w14:textId="77777777" w:rsidR="00D85251" w:rsidRPr="00A9704C" w:rsidRDefault="00D85251" w:rsidP="00112D21">
      <w:pPr>
        <w:pStyle w:val="TableFootnote"/>
      </w:pPr>
    </w:p>
    <w:p w14:paraId="0EBE823A" w14:textId="38C6F163" w:rsidR="00D85251" w:rsidRPr="00816475" w:rsidRDefault="00D85251" w:rsidP="00816475">
      <w:pPr>
        <w:spacing w:before="120"/>
        <w:rPr>
          <w:rFonts w:cs="Times New Roman"/>
          <w:szCs w:val="24"/>
        </w:rPr>
      </w:pPr>
      <w:r w:rsidRPr="00816475">
        <w:rPr>
          <w:rFonts w:cs="Times New Roman"/>
          <w:szCs w:val="24"/>
        </w:rPr>
        <w:t xml:space="preserve">The results of a Chi-Square test on pass/fail results (binary, not quantitative) showed that the differences between the three analyses (NOEC, IC25, and TST) were not significant at the current sample size, as the p-value associated with the analysis was greater than 0.05. The results of the test are shown in </w:t>
      </w:r>
      <w:r w:rsidRPr="00816475">
        <w:rPr>
          <w:rFonts w:cs="Times New Roman"/>
          <w:b/>
          <w:szCs w:val="24"/>
        </w:rPr>
        <w:fldChar w:fldCharType="begin"/>
      </w:r>
      <w:r w:rsidRPr="00816475">
        <w:rPr>
          <w:rFonts w:cs="Times New Roman"/>
          <w:b/>
          <w:szCs w:val="24"/>
        </w:rPr>
        <w:instrText xml:space="preserve"> REF _Ref525549097 \h  \* MERGEFORMAT </w:instrText>
      </w:r>
      <w:r w:rsidRPr="00816475">
        <w:rPr>
          <w:rFonts w:cs="Times New Roman"/>
          <w:b/>
          <w:szCs w:val="24"/>
        </w:rPr>
      </w:r>
      <w:r w:rsidRPr="00816475">
        <w:rPr>
          <w:rFonts w:cs="Times New Roman"/>
          <w:b/>
          <w:szCs w:val="24"/>
        </w:rPr>
        <w:fldChar w:fldCharType="separate"/>
      </w:r>
      <w:r w:rsidR="00816475" w:rsidRPr="00816475">
        <w:rPr>
          <w:rFonts w:cs="Times New Roman"/>
          <w:b/>
          <w:szCs w:val="24"/>
        </w:rPr>
        <w:t xml:space="preserve">Table </w:t>
      </w:r>
      <w:r w:rsidR="00816475" w:rsidRPr="00816475">
        <w:rPr>
          <w:rFonts w:cs="Times New Roman"/>
          <w:b/>
          <w:noProof/>
          <w:szCs w:val="24"/>
        </w:rPr>
        <w:t>6</w:t>
      </w:r>
      <w:r w:rsidRPr="00816475">
        <w:rPr>
          <w:rFonts w:cs="Times New Roman"/>
          <w:b/>
          <w:szCs w:val="24"/>
        </w:rPr>
        <w:fldChar w:fldCharType="end"/>
      </w:r>
      <w:r w:rsidRPr="00816475">
        <w:rPr>
          <w:rFonts w:cs="Times New Roman"/>
          <w:szCs w:val="24"/>
        </w:rPr>
        <w:t xml:space="preserve">. A larger sample size would be necessary to determine whether the results are statistically significant. </w:t>
      </w:r>
      <w:r w:rsidRPr="00696263">
        <w:rPr>
          <w:rFonts w:cs="Times New Roman"/>
          <w:szCs w:val="24"/>
        </w:rPr>
        <w:t xml:space="preserve">When each existing dataset is used </w:t>
      </w:r>
      <w:r w:rsidR="00696263" w:rsidRPr="00696263">
        <w:rPr>
          <w:rFonts w:cs="Times New Roman"/>
          <w:szCs w:val="24"/>
        </w:rPr>
        <w:t>three times</w:t>
      </w:r>
      <w:r w:rsidRPr="00696263">
        <w:rPr>
          <w:rFonts w:cs="Times New Roman"/>
          <w:szCs w:val="24"/>
        </w:rPr>
        <w:t xml:space="preserve"> (</w:t>
      </w:r>
      <w:r w:rsidR="00696263" w:rsidRPr="00696263">
        <w:rPr>
          <w:rFonts w:cs="Times New Roman"/>
          <w:szCs w:val="24"/>
        </w:rPr>
        <w:t>213</w:t>
      </w:r>
      <w:r w:rsidRPr="00696263">
        <w:rPr>
          <w:rFonts w:cs="Times New Roman"/>
          <w:szCs w:val="24"/>
        </w:rPr>
        <w:t xml:space="preserve"> results for each analysis, or </w:t>
      </w:r>
      <w:r w:rsidR="00696263" w:rsidRPr="00696263">
        <w:rPr>
          <w:rFonts w:cs="Times New Roman"/>
          <w:szCs w:val="24"/>
        </w:rPr>
        <w:t>639</w:t>
      </w:r>
      <w:r w:rsidRPr="00696263">
        <w:rPr>
          <w:rFonts w:cs="Times New Roman"/>
          <w:szCs w:val="24"/>
        </w:rPr>
        <w:t xml:space="preserve"> results total), the p-value drops to 0.</w:t>
      </w:r>
      <w:r w:rsidR="00696263" w:rsidRPr="00696263">
        <w:rPr>
          <w:rFonts w:cs="Times New Roman"/>
          <w:szCs w:val="24"/>
        </w:rPr>
        <w:t>03</w:t>
      </w:r>
      <w:r w:rsidRPr="00696263">
        <w:rPr>
          <w:rFonts w:cs="Times New Roman"/>
          <w:szCs w:val="24"/>
        </w:rPr>
        <w:t xml:space="preserve">, which shows statistical significance. Therefore, not more than </w:t>
      </w:r>
      <w:r w:rsidR="00696263" w:rsidRPr="00696263">
        <w:rPr>
          <w:rFonts w:cs="Times New Roman"/>
          <w:szCs w:val="24"/>
        </w:rPr>
        <w:t>213</w:t>
      </w:r>
      <w:r w:rsidRPr="00696263">
        <w:rPr>
          <w:rFonts w:cs="Times New Roman"/>
          <w:szCs w:val="24"/>
        </w:rPr>
        <w:t xml:space="preserve"> sample results</w:t>
      </w:r>
      <w:r w:rsidRPr="00816475">
        <w:rPr>
          <w:rFonts w:cs="Times New Roman"/>
          <w:szCs w:val="24"/>
        </w:rPr>
        <w:t xml:space="preserve"> would be necessary to </w:t>
      </w:r>
      <w:r w:rsidR="00004795">
        <w:rPr>
          <w:rFonts w:cs="Times New Roman"/>
          <w:szCs w:val="24"/>
        </w:rPr>
        <w:t>provide</w:t>
      </w:r>
      <w:r w:rsidRPr="00816475">
        <w:rPr>
          <w:rFonts w:cs="Times New Roman"/>
          <w:szCs w:val="24"/>
        </w:rPr>
        <w:t xml:space="preserve"> results with statistical significance. </w:t>
      </w:r>
    </w:p>
    <w:p w14:paraId="3D96AB49" w14:textId="061DD3EA" w:rsidR="00D85251" w:rsidRPr="00696263" w:rsidRDefault="00D85251" w:rsidP="00816475">
      <w:pPr>
        <w:pStyle w:val="TableTitle"/>
      </w:pPr>
      <w:bookmarkStart w:id="27" w:name="_Ref525549097"/>
      <w:r w:rsidRPr="001B1399">
        <w:t xml:space="preserve">Table </w:t>
      </w:r>
      <w:r w:rsidRPr="001B1399">
        <w:rPr>
          <w:noProof/>
        </w:rPr>
        <w:fldChar w:fldCharType="begin"/>
      </w:r>
      <w:r w:rsidRPr="001B1399">
        <w:rPr>
          <w:noProof/>
        </w:rPr>
        <w:instrText xml:space="preserve"> SEQ Table \* ARABIC </w:instrText>
      </w:r>
      <w:r w:rsidRPr="001B1399">
        <w:rPr>
          <w:noProof/>
        </w:rPr>
        <w:fldChar w:fldCharType="separate"/>
      </w:r>
      <w:r w:rsidR="006F0139">
        <w:rPr>
          <w:noProof/>
        </w:rPr>
        <w:t>6</w:t>
      </w:r>
      <w:r w:rsidRPr="001B1399">
        <w:rPr>
          <w:noProof/>
        </w:rPr>
        <w:fldChar w:fldCharType="end"/>
      </w:r>
      <w:bookmarkEnd w:id="27"/>
      <w:r w:rsidRPr="00696263">
        <w:t>. Results of a Chi-Square Test Comparing Each Analysis</w:t>
      </w:r>
    </w:p>
    <w:tbl>
      <w:tblPr>
        <w:tblW w:w="6920" w:type="dxa"/>
        <w:tblBorders>
          <w:top w:val="single" w:sz="4" w:space="0" w:color="auto"/>
          <w:bottom w:val="single" w:sz="4" w:space="0" w:color="auto"/>
        </w:tblBorders>
        <w:tblLook w:val="04A0" w:firstRow="1" w:lastRow="0" w:firstColumn="1" w:lastColumn="0" w:noHBand="0" w:noVBand="1"/>
      </w:tblPr>
      <w:tblGrid>
        <w:gridCol w:w="1710"/>
        <w:gridCol w:w="1890"/>
        <w:gridCol w:w="1080"/>
        <w:gridCol w:w="1250"/>
        <w:gridCol w:w="990"/>
      </w:tblGrid>
      <w:tr w:rsidR="00D85251" w:rsidRPr="00696263" w14:paraId="3ADDDE2D" w14:textId="77777777" w:rsidTr="00451AF6">
        <w:trPr>
          <w:trHeight w:val="264"/>
        </w:trPr>
        <w:tc>
          <w:tcPr>
            <w:tcW w:w="1710" w:type="dxa"/>
            <w:tcBorders>
              <w:bottom w:val="single" w:sz="4" w:space="0" w:color="auto"/>
            </w:tcBorders>
            <w:shd w:val="clear" w:color="auto" w:fill="auto"/>
            <w:noWrap/>
            <w:vAlign w:val="bottom"/>
            <w:hideMark/>
          </w:tcPr>
          <w:p w14:paraId="5835DC8B" w14:textId="77777777" w:rsidR="00D85251" w:rsidRPr="00696263" w:rsidRDefault="00D85251" w:rsidP="00816475">
            <w:pPr>
              <w:pStyle w:val="TableBodyText"/>
            </w:pPr>
            <w:r w:rsidRPr="00696263">
              <w:t>Analysis</w:t>
            </w:r>
          </w:p>
        </w:tc>
        <w:tc>
          <w:tcPr>
            <w:tcW w:w="1890" w:type="dxa"/>
            <w:tcBorders>
              <w:bottom w:val="single" w:sz="4" w:space="0" w:color="auto"/>
            </w:tcBorders>
            <w:shd w:val="clear" w:color="auto" w:fill="auto"/>
            <w:noWrap/>
            <w:vAlign w:val="bottom"/>
            <w:hideMark/>
          </w:tcPr>
          <w:p w14:paraId="255AB636" w14:textId="77777777" w:rsidR="00D85251" w:rsidRPr="00696263" w:rsidRDefault="00D85251" w:rsidP="00816475">
            <w:pPr>
              <w:pStyle w:val="TableBodyText"/>
            </w:pPr>
          </w:p>
        </w:tc>
        <w:tc>
          <w:tcPr>
            <w:tcW w:w="1080" w:type="dxa"/>
            <w:tcBorders>
              <w:bottom w:val="single" w:sz="4" w:space="0" w:color="auto"/>
            </w:tcBorders>
            <w:shd w:val="clear" w:color="auto" w:fill="auto"/>
            <w:noWrap/>
            <w:vAlign w:val="bottom"/>
            <w:hideMark/>
          </w:tcPr>
          <w:p w14:paraId="240CF6CF" w14:textId="77777777" w:rsidR="00D85251" w:rsidRPr="00696263" w:rsidRDefault="00D85251" w:rsidP="00816475">
            <w:pPr>
              <w:pStyle w:val="TableBodyText"/>
              <w:rPr>
                <w:color w:val="000000"/>
              </w:rPr>
            </w:pPr>
            <w:r w:rsidRPr="00696263">
              <w:rPr>
                <w:color w:val="000000"/>
              </w:rPr>
              <w:t>Fail</w:t>
            </w:r>
          </w:p>
        </w:tc>
        <w:tc>
          <w:tcPr>
            <w:tcW w:w="1250" w:type="dxa"/>
            <w:tcBorders>
              <w:bottom w:val="single" w:sz="4" w:space="0" w:color="auto"/>
            </w:tcBorders>
            <w:shd w:val="clear" w:color="auto" w:fill="auto"/>
            <w:noWrap/>
            <w:vAlign w:val="bottom"/>
            <w:hideMark/>
          </w:tcPr>
          <w:p w14:paraId="206517BA" w14:textId="77777777" w:rsidR="00D85251" w:rsidRPr="00696263" w:rsidRDefault="00D85251" w:rsidP="00816475">
            <w:pPr>
              <w:pStyle w:val="TableBodyText"/>
              <w:rPr>
                <w:color w:val="000000"/>
              </w:rPr>
            </w:pPr>
            <w:r w:rsidRPr="00696263">
              <w:rPr>
                <w:color w:val="000000"/>
              </w:rPr>
              <w:t>Pass</w:t>
            </w:r>
          </w:p>
        </w:tc>
        <w:tc>
          <w:tcPr>
            <w:tcW w:w="990" w:type="dxa"/>
            <w:tcBorders>
              <w:bottom w:val="single" w:sz="4" w:space="0" w:color="auto"/>
            </w:tcBorders>
            <w:shd w:val="clear" w:color="auto" w:fill="auto"/>
            <w:noWrap/>
            <w:vAlign w:val="bottom"/>
            <w:hideMark/>
          </w:tcPr>
          <w:p w14:paraId="614BFAB5" w14:textId="77777777" w:rsidR="00D85251" w:rsidRPr="00696263" w:rsidRDefault="00D85251" w:rsidP="00816475">
            <w:pPr>
              <w:pStyle w:val="TableBodyText"/>
              <w:rPr>
                <w:color w:val="000000"/>
              </w:rPr>
            </w:pPr>
            <w:r w:rsidRPr="00696263">
              <w:rPr>
                <w:color w:val="000000"/>
              </w:rPr>
              <w:t>All</w:t>
            </w:r>
          </w:p>
        </w:tc>
      </w:tr>
      <w:tr w:rsidR="00451AF6" w:rsidRPr="00696263" w14:paraId="030B94E3" w14:textId="77777777" w:rsidTr="00451AF6">
        <w:trPr>
          <w:trHeight w:val="264"/>
        </w:trPr>
        <w:tc>
          <w:tcPr>
            <w:tcW w:w="1710" w:type="dxa"/>
            <w:vMerge w:val="restart"/>
            <w:tcBorders>
              <w:top w:val="single" w:sz="4" w:space="0" w:color="auto"/>
              <w:bottom w:val="dotted" w:sz="4" w:space="0" w:color="auto"/>
            </w:tcBorders>
            <w:shd w:val="clear" w:color="auto" w:fill="auto"/>
            <w:noWrap/>
            <w:vAlign w:val="center"/>
            <w:hideMark/>
          </w:tcPr>
          <w:p w14:paraId="603EDACD" w14:textId="77777777" w:rsidR="00451AF6" w:rsidRPr="00696263" w:rsidRDefault="00451AF6" w:rsidP="006C0C51">
            <w:pPr>
              <w:pStyle w:val="TableBodyText"/>
              <w:rPr>
                <w:color w:val="000000"/>
              </w:rPr>
            </w:pPr>
            <w:r w:rsidRPr="00696263">
              <w:rPr>
                <w:color w:val="000000"/>
              </w:rPr>
              <w:t>NOEC</w:t>
            </w:r>
          </w:p>
        </w:tc>
        <w:tc>
          <w:tcPr>
            <w:tcW w:w="1890" w:type="dxa"/>
            <w:tcBorders>
              <w:top w:val="single" w:sz="4" w:space="0" w:color="auto"/>
              <w:bottom w:val="dotted" w:sz="4" w:space="0" w:color="auto"/>
            </w:tcBorders>
            <w:shd w:val="clear" w:color="auto" w:fill="auto"/>
            <w:noWrap/>
            <w:vAlign w:val="bottom"/>
            <w:hideMark/>
          </w:tcPr>
          <w:p w14:paraId="665CE38E" w14:textId="77777777" w:rsidR="00451AF6" w:rsidRPr="00696263" w:rsidRDefault="00451AF6" w:rsidP="006C0C51">
            <w:pPr>
              <w:pStyle w:val="TableBodyText"/>
              <w:rPr>
                <w:color w:val="000000"/>
              </w:rPr>
            </w:pPr>
            <w:r w:rsidRPr="00696263">
              <w:rPr>
                <w:color w:val="000000"/>
              </w:rPr>
              <w:t>Count</w:t>
            </w:r>
          </w:p>
        </w:tc>
        <w:tc>
          <w:tcPr>
            <w:tcW w:w="1080" w:type="dxa"/>
            <w:tcBorders>
              <w:top w:val="single" w:sz="4" w:space="0" w:color="auto"/>
              <w:bottom w:val="dotted" w:sz="4" w:space="0" w:color="auto"/>
            </w:tcBorders>
            <w:shd w:val="clear" w:color="auto" w:fill="auto"/>
            <w:noWrap/>
            <w:vAlign w:val="bottom"/>
            <w:hideMark/>
          </w:tcPr>
          <w:p w14:paraId="1492ACCF" w14:textId="023B2E9E" w:rsidR="00451AF6" w:rsidRPr="00696263" w:rsidRDefault="00451AF6" w:rsidP="006C0C51">
            <w:pPr>
              <w:pStyle w:val="TableBodyText"/>
              <w:rPr>
                <w:color w:val="000000"/>
              </w:rPr>
            </w:pPr>
            <w:r w:rsidRPr="00696263">
              <w:rPr>
                <w:color w:val="000000"/>
              </w:rPr>
              <w:t>16</w:t>
            </w:r>
          </w:p>
        </w:tc>
        <w:tc>
          <w:tcPr>
            <w:tcW w:w="1250" w:type="dxa"/>
            <w:tcBorders>
              <w:top w:val="single" w:sz="4" w:space="0" w:color="auto"/>
              <w:bottom w:val="dotted" w:sz="4" w:space="0" w:color="auto"/>
            </w:tcBorders>
            <w:shd w:val="clear" w:color="auto" w:fill="auto"/>
            <w:noWrap/>
            <w:vAlign w:val="bottom"/>
            <w:hideMark/>
          </w:tcPr>
          <w:p w14:paraId="59FC3C17" w14:textId="66CF8D84" w:rsidR="00451AF6" w:rsidRPr="00696263" w:rsidRDefault="00451AF6" w:rsidP="006C0C51">
            <w:pPr>
              <w:pStyle w:val="TableBodyText"/>
              <w:rPr>
                <w:color w:val="000000"/>
              </w:rPr>
            </w:pPr>
            <w:r w:rsidRPr="00696263">
              <w:rPr>
                <w:color w:val="000000"/>
              </w:rPr>
              <w:t>55</w:t>
            </w:r>
          </w:p>
        </w:tc>
        <w:tc>
          <w:tcPr>
            <w:tcW w:w="990" w:type="dxa"/>
            <w:tcBorders>
              <w:top w:val="single" w:sz="4" w:space="0" w:color="auto"/>
              <w:bottom w:val="dotted" w:sz="4" w:space="0" w:color="auto"/>
            </w:tcBorders>
            <w:shd w:val="clear" w:color="auto" w:fill="auto"/>
            <w:noWrap/>
            <w:vAlign w:val="bottom"/>
            <w:hideMark/>
          </w:tcPr>
          <w:p w14:paraId="3C9A35B7" w14:textId="77777777" w:rsidR="00451AF6" w:rsidRPr="00696263" w:rsidRDefault="00451AF6" w:rsidP="006C0C51">
            <w:pPr>
              <w:pStyle w:val="TableBodyText"/>
              <w:rPr>
                <w:color w:val="000000"/>
              </w:rPr>
            </w:pPr>
            <w:r w:rsidRPr="00696263">
              <w:rPr>
                <w:color w:val="000000"/>
              </w:rPr>
              <w:t>71</w:t>
            </w:r>
          </w:p>
        </w:tc>
      </w:tr>
      <w:tr w:rsidR="00451AF6" w:rsidRPr="00696263" w14:paraId="78FC39A9" w14:textId="77777777" w:rsidTr="00451AF6">
        <w:trPr>
          <w:trHeight w:val="264"/>
        </w:trPr>
        <w:tc>
          <w:tcPr>
            <w:tcW w:w="1710" w:type="dxa"/>
            <w:vMerge/>
            <w:tcBorders>
              <w:top w:val="dotted" w:sz="4" w:space="0" w:color="auto"/>
              <w:bottom w:val="single" w:sz="4" w:space="0" w:color="auto"/>
            </w:tcBorders>
            <w:shd w:val="clear" w:color="auto" w:fill="auto"/>
            <w:noWrap/>
            <w:vAlign w:val="center"/>
            <w:hideMark/>
          </w:tcPr>
          <w:p w14:paraId="6E5B6F0D" w14:textId="77777777" w:rsidR="00451AF6" w:rsidRPr="00696263" w:rsidRDefault="00451AF6" w:rsidP="006C0C51">
            <w:pPr>
              <w:pStyle w:val="TableBodyText"/>
              <w:rPr>
                <w:color w:val="000000"/>
              </w:rPr>
            </w:pPr>
          </w:p>
        </w:tc>
        <w:tc>
          <w:tcPr>
            <w:tcW w:w="1890" w:type="dxa"/>
            <w:tcBorders>
              <w:top w:val="dotted" w:sz="4" w:space="0" w:color="auto"/>
              <w:bottom w:val="single" w:sz="4" w:space="0" w:color="auto"/>
            </w:tcBorders>
            <w:shd w:val="clear" w:color="auto" w:fill="auto"/>
            <w:noWrap/>
            <w:vAlign w:val="bottom"/>
            <w:hideMark/>
          </w:tcPr>
          <w:p w14:paraId="44C03478" w14:textId="77777777" w:rsidR="00451AF6" w:rsidRPr="00696263" w:rsidRDefault="00451AF6" w:rsidP="006C0C51">
            <w:pPr>
              <w:pStyle w:val="TableBodyText"/>
              <w:rPr>
                <w:color w:val="000000"/>
              </w:rPr>
            </w:pPr>
            <w:r w:rsidRPr="00696263">
              <w:rPr>
                <w:color w:val="000000"/>
              </w:rPr>
              <w:t>Expected count</w:t>
            </w:r>
          </w:p>
        </w:tc>
        <w:tc>
          <w:tcPr>
            <w:tcW w:w="1080" w:type="dxa"/>
            <w:tcBorders>
              <w:top w:val="dotted" w:sz="4" w:space="0" w:color="auto"/>
              <w:bottom w:val="single" w:sz="4" w:space="0" w:color="auto"/>
            </w:tcBorders>
            <w:shd w:val="clear" w:color="auto" w:fill="auto"/>
            <w:noWrap/>
            <w:vAlign w:val="bottom"/>
            <w:hideMark/>
          </w:tcPr>
          <w:p w14:paraId="1CA9BBFC" w14:textId="49AD1876" w:rsidR="00451AF6" w:rsidRPr="00696263" w:rsidRDefault="00004795" w:rsidP="006C0C51">
            <w:pPr>
              <w:pStyle w:val="TableBodyText"/>
              <w:rPr>
                <w:color w:val="000000"/>
              </w:rPr>
            </w:pPr>
            <w:r>
              <w:rPr>
                <w:color w:val="000000"/>
              </w:rPr>
              <w:t>20</w:t>
            </w:r>
          </w:p>
        </w:tc>
        <w:tc>
          <w:tcPr>
            <w:tcW w:w="1250" w:type="dxa"/>
            <w:tcBorders>
              <w:top w:val="dotted" w:sz="4" w:space="0" w:color="auto"/>
              <w:bottom w:val="single" w:sz="4" w:space="0" w:color="auto"/>
            </w:tcBorders>
            <w:shd w:val="clear" w:color="auto" w:fill="auto"/>
            <w:noWrap/>
            <w:vAlign w:val="bottom"/>
            <w:hideMark/>
          </w:tcPr>
          <w:p w14:paraId="369D649A" w14:textId="3A887629" w:rsidR="00451AF6" w:rsidRPr="00696263" w:rsidRDefault="00004795" w:rsidP="006C0C51">
            <w:pPr>
              <w:pStyle w:val="TableBodyText"/>
              <w:rPr>
                <w:color w:val="000000"/>
              </w:rPr>
            </w:pPr>
            <w:r>
              <w:rPr>
                <w:color w:val="000000"/>
              </w:rPr>
              <w:t>51</w:t>
            </w:r>
          </w:p>
        </w:tc>
        <w:tc>
          <w:tcPr>
            <w:tcW w:w="990" w:type="dxa"/>
            <w:tcBorders>
              <w:top w:val="dotted" w:sz="4" w:space="0" w:color="auto"/>
              <w:bottom w:val="single" w:sz="4" w:space="0" w:color="auto"/>
            </w:tcBorders>
            <w:shd w:val="clear" w:color="auto" w:fill="auto"/>
            <w:noWrap/>
            <w:vAlign w:val="bottom"/>
            <w:hideMark/>
          </w:tcPr>
          <w:p w14:paraId="4F29284F" w14:textId="77777777" w:rsidR="00451AF6" w:rsidRPr="00696263" w:rsidRDefault="00451AF6" w:rsidP="006C0C51">
            <w:pPr>
              <w:pStyle w:val="TableBodyText"/>
              <w:rPr>
                <w:color w:val="000000"/>
              </w:rPr>
            </w:pPr>
          </w:p>
        </w:tc>
      </w:tr>
      <w:tr w:rsidR="00D85251" w:rsidRPr="00696263" w14:paraId="348C4A7D" w14:textId="77777777" w:rsidTr="00451AF6">
        <w:trPr>
          <w:trHeight w:val="264"/>
        </w:trPr>
        <w:tc>
          <w:tcPr>
            <w:tcW w:w="1710" w:type="dxa"/>
            <w:vMerge w:val="restart"/>
            <w:tcBorders>
              <w:top w:val="single" w:sz="4" w:space="0" w:color="auto"/>
              <w:bottom w:val="dotted" w:sz="4" w:space="0" w:color="auto"/>
            </w:tcBorders>
            <w:shd w:val="clear" w:color="auto" w:fill="auto"/>
            <w:noWrap/>
            <w:vAlign w:val="center"/>
            <w:hideMark/>
          </w:tcPr>
          <w:p w14:paraId="6CA137D1" w14:textId="77777777" w:rsidR="00D85251" w:rsidRPr="00696263" w:rsidRDefault="00D85251" w:rsidP="00816475">
            <w:pPr>
              <w:pStyle w:val="TableBodyText"/>
              <w:rPr>
                <w:color w:val="000000"/>
              </w:rPr>
            </w:pPr>
            <w:r w:rsidRPr="00696263">
              <w:rPr>
                <w:color w:val="000000"/>
              </w:rPr>
              <w:t>IC25</w:t>
            </w:r>
          </w:p>
        </w:tc>
        <w:tc>
          <w:tcPr>
            <w:tcW w:w="1890" w:type="dxa"/>
            <w:tcBorders>
              <w:top w:val="single" w:sz="4" w:space="0" w:color="auto"/>
              <w:bottom w:val="dotted" w:sz="4" w:space="0" w:color="auto"/>
            </w:tcBorders>
            <w:shd w:val="clear" w:color="auto" w:fill="auto"/>
            <w:noWrap/>
            <w:vAlign w:val="bottom"/>
            <w:hideMark/>
          </w:tcPr>
          <w:p w14:paraId="7FE73419" w14:textId="77777777" w:rsidR="00D85251" w:rsidRPr="00696263" w:rsidRDefault="00D85251" w:rsidP="00816475">
            <w:pPr>
              <w:pStyle w:val="TableBodyText"/>
              <w:rPr>
                <w:color w:val="000000"/>
              </w:rPr>
            </w:pPr>
            <w:r w:rsidRPr="00696263">
              <w:rPr>
                <w:color w:val="000000"/>
              </w:rPr>
              <w:t>Count</w:t>
            </w:r>
          </w:p>
        </w:tc>
        <w:tc>
          <w:tcPr>
            <w:tcW w:w="1080" w:type="dxa"/>
            <w:tcBorders>
              <w:top w:val="single" w:sz="4" w:space="0" w:color="auto"/>
              <w:bottom w:val="dotted" w:sz="4" w:space="0" w:color="auto"/>
            </w:tcBorders>
            <w:shd w:val="clear" w:color="auto" w:fill="auto"/>
            <w:noWrap/>
            <w:vAlign w:val="bottom"/>
            <w:hideMark/>
          </w:tcPr>
          <w:p w14:paraId="63C6A7EE" w14:textId="33DEB64C" w:rsidR="00D85251" w:rsidRPr="00696263" w:rsidRDefault="00451AF6" w:rsidP="00816475">
            <w:pPr>
              <w:pStyle w:val="TableBodyText"/>
              <w:rPr>
                <w:color w:val="000000"/>
              </w:rPr>
            </w:pPr>
            <w:r w:rsidRPr="00696263">
              <w:rPr>
                <w:color w:val="000000"/>
              </w:rPr>
              <w:t>19</w:t>
            </w:r>
          </w:p>
        </w:tc>
        <w:tc>
          <w:tcPr>
            <w:tcW w:w="1250" w:type="dxa"/>
            <w:tcBorders>
              <w:top w:val="single" w:sz="4" w:space="0" w:color="auto"/>
              <w:bottom w:val="dotted" w:sz="4" w:space="0" w:color="auto"/>
            </w:tcBorders>
            <w:shd w:val="clear" w:color="auto" w:fill="auto"/>
            <w:noWrap/>
            <w:vAlign w:val="bottom"/>
            <w:hideMark/>
          </w:tcPr>
          <w:p w14:paraId="5725313F" w14:textId="16DC94FB" w:rsidR="00D85251" w:rsidRPr="00696263" w:rsidRDefault="00451AF6" w:rsidP="00816475">
            <w:pPr>
              <w:pStyle w:val="TableBodyText"/>
              <w:rPr>
                <w:color w:val="000000"/>
              </w:rPr>
            </w:pPr>
            <w:r w:rsidRPr="00696263">
              <w:rPr>
                <w:color w:val="000000"/>
              </w:rPr>
              <w:t>52</w:t>
            </w:r>
          </w:p>
        </w:tc>
        <w:tc>
          <w:tcPr>
            <w:tcW w:w="990" w:type="dxa"/>
            <w:tcBorders>
              <w:top w:val="single" w:sz="4" w:space="0" w:color="auto"/>
              <w:bottom w:val="dotted" w:sz="4" w:space="0" w:color="auto"/>
            </w:tcBorders>
            <w:shd w:val="clear" w:color="auto" w:fill="auto"/>
            <w:noWrap/>
            <w:vAlign w:val="bottom"/>
            <w:hideMark/>
          </w:tcPr>
          <w:p w14:paraId="48DF2B48" w14:textId="38225EFE" w:rsidR="00D85251" w:rsidRPr="00696263" w:rsidRDefault="00D85251" w:rsidP="00816475">
            <w:pPr>
              <w:pStyle w:val="TableBodyText"/>
              <w:rPr>
                <w:color w:val="000000"/>
              </w:rPr>
            </w:pPr>
            <w:r w:rsidRPr="00696263">
              <w:rPr>
                <w:color w:val="000000"/>
              </w:rPr>
              <w:t>7</w:t>
            </w:r>
            <w:r w:rsidR="008516CD" w:rsidRPr="00696263">
              <w:rPr>
                <w:color w:val="000000"/>
              </w:rPr>
              <w:t>1</w:t>
            </w:r>
          </w:p>
        </w:tc>
      </w:tr>
      <w:tr w:rsidR="00D85251" w:rsidRPr="00696263" w14:paraId="5A8AD298" w14:textId="77777777" w:rsidTr="00451AF6">
        <w:trPr>
          <w:trHeight w:val="264"/>
        </w:trPr>
        <w:tc>
          <w:tcPr>
            <w:tcW w:w="1710" w:type="dxa"/>
            <w:vMerge/>
            <w:tcBorders>
              <w:top w:val="dotted" w:sz="4" w:space="0" w:color="auto"/>
              <w:bottom w:val="single" w:sz="4" w:space="0" w:color="auto"/>
            </w:tcBorders>
            <w:shd w:val="clear" w:color="auto" w:fill="auto"/>
            <w:noWrap/>
            <w:vAlign w:val="center"/>
            <w:hideMark/>
          </w:tcPr>
          <w:p w14:paraId="05127561" w14:textId="77777777" w:rsidR="00D85251" w:rsidRPr="00696263" w:rsidRDefault="00D85251" w:rsidP="00816475">
            <w:pPr>
              <w:pStyle w:val="TableBodyText"/>
              <w:rPr>
                <w:color w:val="000000"/>
              </w:rPr>
            </w:pPr>
          </w:p>
        </w:tc>
        <w:tc>
          <w:tcPr>
            <w:tcW w:w="1890" w:type="dxa"/>
            <w:tcBorders>
              <w:top w:val="dotted" w:sz="4" w:space="0" w:color="auto"/>
              <w:bottom w:val="single" w:sz="4" w:space="0" w:color="auto"/>
            </w:tcBorders>
            <w:shd w:val="clear" w:color="auto" w:fill="auto"/>
            <w:noWrap/>
            <w:vAlign w:val="bottom"/>
            <w:hideMark/>
          </w:tcPr>
          <w:p w14:paraId="302DC728" w14:textId="77777777" w:rsidR="00D85251" w:rsidRPr="00696263" w:rsidRDefault="00D85251" w:rsidP="00816475">
            <w:pPr>
              <w:pStyle w:val="TableBodyText"/>
              <w:rPr>
                <w:color w:val="000000"/>
              </w:rPr>
            </w:pPr>
            <w:r w:rsidRPr="00696263">
              <w:rPr>
                <w:color w:val="000000"/>
              </w:rPr>
              <w:t>Expected count</w:t>
            </w:r>
          </w:p>
        </w:tc>
        <w:tc>
          <w:tcPr>
            <w:tcW w:w="1080" w:type="dxa"/>
            <w:tcBorders>
              <w:top w:val="dotted" w:sz="4" w:space="0" w:color="auto"/>
              <w:bottom w:val="single" w:sz="4" w:space="0" w:color="auto"/>
            </w:tcBorders>
            <w:shd w:val="clear" w:color="auto" w:fill="auto"/>
            <w:noWrap/>
            <w:vAlign w:val="bottom"/>
            <w:hideMark/>
          </w:tcPr>
          <w:p w14:paraId="673E16DB" w14:textId="786DEE4B" w:rsidR="00D85251" w:rsidRPr="00696263" w:rsidRDefault="00004795" w:rsidP="00816475">
            <w:pPr>
              <w:pStyle w:val="TableBodyText"/>
              <w:rPr>
                <w:color w:val="000000"/>
              </w:rPr>
            </w:pPr>
            <w:r>
              <w:rPr>
                <w:color w:val="000000"/>
              </w:rPr>
              <w:t>20</w:t>
            </w:r>
          </w:p>
        </w:tc>
        <w:tc>
          <w:tcPr>
            <w:tcW w:w="1250" w:type="dxa"/>
            <w:tcBorders>
              <w:top w:val="dotted" w:sz="4" w:space="0" w:color="auto"/>
              <w:bottom w:val="single" w:sz="4" w:space="0" w:color="auto"/>
            </w:tcBorders>
            <w:shd w:val="clear" w:color="auto" w:fill="auto"/>
            <w:noWrap/>
            <w:vAlign w:val="bottom"/>
            <w:hideMark/>
          </w:tcPr>
          <w:p w14:paraId="53FFBAC8" w14:textId="4FB74543" w:rsidR="00D85251" w:rsidRPr="00696263" w:rsidRDefault="00004795" w:rsidP="00816475">
            <w:pPr>
              <w:pStyle w:val="TableBodyText"/>
              <w:rPr>
                <w:color w:val="000000"/>
              </w:rPr>
            </w:pPr>
            <w:r>
              <w:rPr>
                <w:color w:val="000000"/>
              </w:rPr>
              <w:t>51</w:t>
            </w:r>
          </w:p>
        </w:tc>
        <w:tc>
          <w:tcPr>
            <w:tcW w:w="990" w:type="dxa"/>
            <w:tcBorders>
              <w:top w:val="dotted" w:sz="4" w:space="0" w:color="auto"/>
              <w:bottom w:val="single" w:sz="4" w:space="0" w:color="auto"/>
            </w:tcBorders>
            <w:shd w:val="clear" w:color="auto" w:fill="auto"/>
            <w:noWrap/>
            <w:vAlign w:val="bottom"/>
            <w:hideMark/>
          </w:tcPr>
          <w:p w14:paraId="14AD61BA" w14:textId="77777777" w:rsidR="00D85251" w:rsidRPr="00696263" w:rsidRDefault="00D85251" w:rsidP="00816475">
            <w:pPr>
              <w:pStyle w:val="TableBodyText"/>
              <w:rPr>
                <w:color w:val="000000"/>
              </w:rPr>
            </w:pPr>
          </w:p>
        </w:tc>
      </w:tr>
      <w:tr w:rsidR="00D85251" w:rsidRPr="00696263" w14:paraId="7462310F" w14:textId="77777777" w:rsidTr="00451AF6">
        <w:trPr>
          <w:trHeight w:val="264"/>
        </w:trPr>
        <w:tc>
          <w:tcPr>
            <w:tcW w:w="1710" w:type="dxa"/>
            <w:vMerge w:val="restart"/>
            <w:tcBorders>
              <w:top w:val="single" w:sz="4" w:space="0" w:color="auto"/>
              <w:bottom w:val="dotted" w:sz="4" w:space="0" w:color="auto"/>
            </w:tcBorders>
            <w:shd w:val="clear" w:color="auto" w:fill="auto"/>
            <w:noWrap/>
            <w:vAlign w:val="center"/>
            <w:hideMark/>
          </w:tcPr>
          <w:p w14:paraId="61B5DEC9" w14:textId="77777777" w:rsidR="00D85251" w:rsidRPr="00696263" w:rsidRDefault="00D85251" w:rsidP="00816475">
            <w:pPr>
              <w:pStyle w:val="TableBodyText"/>
              <w:rPr>
                <w:color w:val="000000"/>
              </w:rPr>
            </w:pPr>
            <w:r w:rsidRPr="00696263">
              <w:rPr>
                <w:color w:val="000000"/>
              </w:rPr>
              <w:t>TST</w:t>
            </w:r>
          </w:p>
        </w:tc>
        <w:tc>
          <w:tcPr>
            <w:tcW w:w="1890" w:type="dxa"/>
            <w:tcBorders>
              <w:top w:val="single" w:sz="4" w:space="0" w:color="auto"/>
              <w:bottom w:val="dotted" w:sz="4" w:space="0" w:color="auto"/>
            </w:tcBorders>
            <w:shd w:val="clear" w:color="auto" w:fill="auto"/>
            <w:noWrap/>
            <w:vAlign w:val="bottom"/>
            <w:hideMark/>
          </w:tcPr>
          <w:p w14:paraId="1930BF88" w14:textId="77777777" w:rsidR="00D85251" w:rsidRPr="00696263" w:rsidRDefault="00D85251" w:rsidP="00816475">
            <w:pPr>
              <w:pStyle w:val="TableBodyText"/>
              <w:rPr>
                <w:color w:val="000000"/>
              </w:rPr>
            </w:pPr>
            <w:r w:rsidRPr="00696263">
              <w:rPr>
                <w:color w:val="000000"/>
              </w:rPr>
              <w:t>Count</w:t>
            </w:r>
          </w:p>
        </w:tc>
        <w:tc>
          <w:tcPr>
            <w:tcW w:w="1080" w:type="dxa"/>
            <w:tcBorders>
              <w:top w:val="single" w:sz="4" w:space="0" w:color="auto"/>
              <w:bottom w:val="dotted" w:sz="4" w:space="0" w:color="auto"/>
            </w:tcBorders>
            <w:shd w:val="clear" w:color="auto" w:fill="auto"/>
            <w:noWrap/>
            <w:vAlign w:val="bottom"/>
            <w:hideMark/>
          </w:tcPr>
          <w:p w14:paraId="7E307734" w14:textId="7D03D501" w:rsidR="00D85251" w:rsidRPr="00696263" w:rsidRDefault="00451AF6" w:rsidP="00816475">
            <w:pPr>
              <w:pStyle w:val="TableBodyText"/>
              <w:rPr>
                <w:color w:val="000000"/>
              </w:rPr>
            </w:pPr>
            <w:r w:rsidRPr="00696263">
              <w:rPr>
                <w:color w:val="000000"/>
              </w:rPr>
              <w:t>24</w:t>
            </w:r>
          </w:p>
        </w:tc>
        <w:tc>
          <w:tcPr>
            <w:tcW w:w="1250" w:type="dxa"/>
            <w:tcBorders>
              <w:top w:val="single" w:sz="4" w:space="0" w:color="auto"/>
              <w:bottom w:val="dotted" w:sz="4" w:space="0" w:color="auto"/>
            </w:tcBorders>
            <w:shd w:val="clear" w:color="auto" w:fill="auto"/>
            <w:noWrap/>
            <w:vAlign w:val="bottom"/>
            <w:hideMark/>
          </w:tcPr>
          <w:p w14:paraId="245A0BF0" w14:textId="235D99DD" w:rsidR="00D85251" w:rsidRPr="00696263" w:rsidRDefault="00451AF6" w:rsidP="00816475">
            <w:pPr>
              <w:pStyle w:val="TableBodyText"/>
              <w:rPr>
                <w:color w:val="000000"/>
              </w:rPr>
            </w:pPr>
            <w:r w:rsidRPr="00696263">
              <w:rPr>
                <w:color w:val="000000"/>
              </w:rPr>
              <w:t>47</w:t>
            </w:r>
          </w:p>
        </w:tc>
        <w:tc>
          <w:tcPr>
            <w:tcW w:w="990" w:type="dxa"/>
            <w:tcBorders>
              <w:top w:val="single" w:sz="4" w:space="0" w:color="auto"/>
              <w:bottom w:val="dotted" w:sz="4" w:space="0" w:color="auto"/>
            </w:tcBorders>
            <w:shd w:val="clear" w:color="auto" w:fill="auto"/>
            <w:noWrap/>
            <w:vAlign w:val="bottom"/>
            <w:hideMark/>
          </w:tcPr>
          <w:p w14:paraId="2D88CE61" w14:textId="28348933" w:rsidR="00D85251" w:rsidRPr="00696263" w:rsidRDefault="00D85251" w:rsidP="00816475">
            <w:pPr>
              <w:pStyle w:val="TableBodyText"/>
              <w:rPr>
                <w:color w:val="000000"/>
              </w:rPr>
            </w:pPr>
            <w:r w:rsidRPr="00696263">
              <w:rPr>
                <w:color w:val="000000"/>
              </w:rPr>
              <w:t>7</w:t>
            </w:r>
            <w:r w:rsidR="008516CD" w:rsidRPr="00696263">
              <w:rPr>
                <w:color w:val="000000"/>
              </w:rPr>
              <w:t>1</w:t>
            </w:r>
          </w:p>
        </w:tc>
      </w:tr>
      <w:tr w:rsidR="00D85251" w:rsidRPr="00696263" w14:paraId="077571FD" w14:textId="77777777" w:rsidTr="00451AF6">
        <w:trPr>
          <w:trHeight w:val="264"/>
        </w:trPr>
        <w:tc>
          <w:tcPr>
            <w:tcW w:w="1710" w:type="dxa"/>
            <w:vMerge/>
            <w:tcBorders>
              <w:top w:val="dotted" w:sz="4" w:space="0" w:color="auto"/>
              <w:bottom w:val="single" w:sz="4" w:space="0" w:color="auto"/>
            </w:tcBorders>
            <w:shd w:val="clear" w:color="auto" w:fill="auto"/>
            <w:noWrap/>
            <w:vAlign w:val="bottom"/>
            <w:hideMark/>
          </w:tcPr>
          <w:p w14:paraId="7600F3C6" w14:textId="77777777" w:rsidR="00D85251" w:rsidRPr="00696263" w:rsidRDefault="00D85251" w:rsidP="00816475">
            <w:pPr>
              <w:pStyle w:val="TableBodyText"/>
              <w:rPr>
                <w:color w:val="000000"/>
              </w:rPr>
            </w:pPr>
          </w:p>
        </w:tc>
        <w:tc>
          <w:tcPr>
            <w:tcW w:w="1890" w:type="dxa"/>
            <w:tcBorders>
              <w:top w:val="dotted" w:sz="4" w:space="0" w:color="auto"/>
              <w:bottom w:val="single" w:sz="4" w:space="0" w:color="auto"/>
            </w:tcBorders>
            <w:shd w:val="clear" w:color="auto" w:fill="auto"/>
            <w:noWrap/>
            <w:vAlign w:val="bottom"/>
            <w:hideMark/>
          </w:tcPr>
          <w:p w14:paraId="1D94DF5A" w14:textId="77777777" w:rsidR="00D85251" w:rsidRPr="00696263" w:rsidRDefault="00D85251" w:rsidP="00816475">
            <w:pPr>
              <w:pStyle w:val="TableBodyText"/>
              <w:rPr>
                <w:color w:val="000000"/>
              </w:rPr>
            </w:pPr>
            <w:r w:rsidRPr="00696263">
              <w:rPr>
                <w:color w:val="000000"/>
              </w:rPr>
              <w:t>Expected count</w:t>
            </w:r>
          </w:p>
        </w:tc>
        <w:tc>
          <w:tcPr>
            <w:tcW w:w="1080" w:type="dxa"/>
            <w:tcBorders>
              <w:top w:val="dotted" w:sz="4" w:space="0" w:color="auto"/>
              <w:bottom w:val="single" w:sz="4" w:space="0" w:color="auto"/>
            </w:tcBorders>
            <w:shd w:val="clear" w:color="auto" w:fill="auto"/>
            <w:noWrap/>
            <w:vAlign w:val="bottom"/>
            <w:hideMark/>
          </w:tcPr>
          <w:p w14:paraId="7349533D" w14:textId="5FFCB970" w:rsidR="00D85251" w:rsidRPr="00696263" w:rsidRDefault="00004795" w:rsidP="00816475">
            <w:pPr>
              <w:pStyle w:val="TableBodyText"/>
              <w:rPr>
                <w:color w:val="000000"/>
              </w:rPr>
            </w:pPr>
            <w:r>
              <w:rPr>
                <w:color w:val="000000"/>
              </w:rPr>
              <w:t>20</w:t>
            </w:r>
          </w:p>
        </w:tc>
        <w:tc>
          <w:tcPr>
            <w:tcW w:w="1250" w:type="dxa"/>
            <w:tcBorders>
              <w:top w:val="dotted" w:sz="4" w:space="0" w:color="auto"/>
              <w:bottom w:val="single" w:sz="4" w:space="0" w:color="auto"/>
            </w:tcBorders>
            <w:shd w:val="clear" w:color="auto" w:fill="auto"/>
            <w:noWrap/>
            <w:vAlign w:val="bottom"/>
            <w:hideMark/>
          </w:tcPr>
          <w:p w14:paraId="5F0B394E" w14:textId="6E934F19" w:rsidR="00D85251" w:rsidRPr="00696263" w:rsidRDefault="00004795" w:rsidP="00816475">
            <w:pPr>
              <w:pStyle w:val="TableBodyText"/>
              <w:rPr>
                <w:color w:val="000000"/>
              </w:rPr>
            </w:pPr>
            <w:r>
              <w:rPr>
                <w:color w:val="000000"/>
              </w:rPr>
              <w:t>51</w:t>
            </w:r>
          </w:p>
        </w:tc>
        <w:tc>
          <w:tcPr>
            <w:tcW w:w="990" w:type="dxa"/>
            <w:tcBorders>
              <w:top w:val="dotted" w:sz="4" w:space="0" w:color="auto"/>
              <w:bottom w:val="single" w:sz="4" w:space="0" w:color="auto"/>
            </w:tcBorders>
            <w:shd w:val="clear" w:color="auto" w:fill="auto"/>
            <w:noWrap/>
            <w:vAlign w:val="bottom"/>
            <w:hideMark/>
          </w:tcPr>
          <w:p w14:paraId="4CA23FC6" w14:textId="77777777" w:rsidR="00D85251" w:rsidRPr="00696263" w:rsidRDefault="00D85251" w:rsidP="00816475">
            <w:pPr>
              <w:pStyle w:val="TableBodyText"/>
              <w:rPr>
                <w:color w:val="000000"/>
              </w:rPr>
            </w:pPr>
          </w:p>
        </w:tc>
      </w:tr>
      <w:tr w:rsidR="00D85251" w:rsidRPr="00696263" w14:paraId="58BBA67B" w14:textId="77777777" w:rsidTr="00451AF6">
        <w:trPr>
          <w:trHeight w:val="264"/>
        </w:trPr>
        <w:tc>
          <w:tcPr>
            <w:tcW w:w="1710" w:type="dxa"/>
            <w:tcBorders>
              <w:top w:val="single" w:sz="4" w:space="0" w:color="auto"/>
              <w:bottom w:val="nil"/>
            </w:tcBorders>
            <w:shd w:val="clear" w:color="auto" w:fill="auto"/>
            <w:noWrap/>
            <w:vAlign w:val="bottom"/>
            <w:hideMark/>
          </w:tcPr>
          <w:p w14:paraId="3FA2AF55" w14:textId="77777777" w:rsidR="00D85251" w:rsidRPr="00696263" w:rsidRDefault="00D85251" w:rsidP="00816475">
            <w:pPr>
              <w:pStyle w:val="TableBodyText"/>
              <w:rPr>
                <w:color w:val="000000"/>
              </w:rPr>
            </w:pPr>
            <w:r w:rsidRPr="00696263">
              <w:rPr>
                <w:color w:val="000000"/>
              </w:rPr>
              <w:t>All</w:t>
            </w:r>
          </w:p>
        </w:tc>
        <w:tc>
          <w:tcPr>
            <w:tcW w:w="1890" w:type="dxa"/>
            <w:tcBorders>
              <w:top w:val="single" w:sz="4" w:space="0" w:color="auto"/>
              <w:bottom w:val="nil"/>
            </w:tcBorders>
            <w:shd w:val="clear" w:color="auto" w:fill="auto"/>
            <w:noWrap/>
            <w:vAlign w:val="bottom"/>
            <w:hideMark/>
          </w:tcPr>
          <w:p w14:paraId="5F2D2119" w14:textId="77777777" w:rsidR="00D85251" w:rsidRPr="00696263" w:rsidRDefault="00D85251" w:rsidP="00816475">
            <w:pPr>
              <w:pStyle w:val="TableBodyText"/>
              <w:rPr>
                <w:color w:val="000000"/>
              </w:rPr>
            </w:pPr>
            <w:r w:rsidRPr="00696263">
              <w:rPr>
                <w:color w:val="000000"/>
              </w:rPr>
              <w:t>Count</w:t>
            </w:r>
          </w:p>
        </w:tc>
        <w:tc>
          <w:tcPr>
            <w:tcW w:w="1080" w:type="dxa"/>
            <w:tcBorders>
              <w:top w:val="single" w:sz="4" w:space="0" w:color="auto"/>
              <w:bottom w:val="nil"/>
            </w:tcBorders>
            <w:shd w:val="clear" w:color="auto" w:fill="auto"/>
            <w:noWrap/>
            <w:vAlign w:val="bottom"/>
            <w:hideMark/>
          </w:tcPr>
          <w:p w14:paraId="615BB863" w14:textId="65531663" w:rsidR="00D85251" w:rsidRPr="00696263" w:rsidRDefault="00451AF6" w:rsidP="00816475">
            <w:pPr>
              <w:pStyle w:val="TableBodyText"/>
              <w:rPr>
                <w:color w:val="000000"/>
              </w:rPr>
            </w:pPr>
            <w:r w:rsidRPr="00696263">
              <w:rPr>
                <w:color w:val="000000"/>
              </w:rPr>
              <w:t>59</w:t>
            </w:r>
          </w:p>
        </w:tc>
        <w:tc>
          <w:tcPr>
            <w:tcW w:w="1250" w:type="dxa"/>
            <w:tcBorders>
              <w:top w:val="single" w:sz="4" w:space="0" w:color="auto"/>
              <w:bottom w:val="nil"/>
            </w:tcBorders>
            <w:shd w:val="clear" w:color="auto" w:fill="auto"/>
            <w:noWrap/>
            <w:vAlign w:val="bottom"/>
            <w:hideMark/>
          </w:tcPr>
          <w:p w14:paraId="16BD94EB" w14:textId="787618BB" w:rsidR="00D85251" w:rsidRPr="00696263" w:rsidRDefault="00451AF6" w:rsidP="00816475">
            <w:pPr>
              <w:pStyle w:val="TableBodyText"/>
              <w:rPr>
                <w:color w:val="000000"/>
              </w:rPr>
            </w:pPr>
            <w:r w:rsidRPr="00696263">
              <w:rPr>
                <w:color w:val="000000"/>
              </w:rPr>
              <w:t>154</w:t>
            </w:r>
          </w:p>
        </w:tc>
        <w:tc>
          <w:tcPr>
            <w:tcW w:w="990" w:type="dxa"/>
            <w:tcBorders>
              <w:top w:val="single" w:sz="4" w:space="0" w:color="auto"/>
              <w:bottom w:val="nil"/>
            </w:tcBorders>
            <w:shd w:val="clear" w:color="auto" w:fill="auto"/>
            <w:noWrap/>
            <w:vAlign w:val="bottom"/>
            <w:hideMark/>
          </w:tcPr>
          <w:p w14:paraId="0206C4E1" w14:textId="7C5C2347" w:rsidR="00D85251" w:rsidRPr="00696263" w:rsidRDefault="00451AF6" w:rsidP="00816475">
            <w:pPr>
              <w:pStyle w:val="TableBodyText"/>
              <w:rPr>
                <w:color w:val="000000"/>
              </w:rPr>
            </w:pPr>
            <w:r w:rsidRPr="00696263">
              <w:rPr>
                <w:color w:val="000000"/>
              </w:rPr>
              <w:t>213</w:t>
            </w:r>
          </w:p>
        </w:tc>
      </w:tr>
      <w:tr w:rsidR="00D85251" w:rsidRPr="00696263" w14:paraId="68D45A07" w14:textId="77777777" w:rsidTr="00451AF6">
        <w:trPr>
          <w:trHeight w:val="264"/>
        </w:trPr>
        <w:tc>
          <w:tcPr>
            <w:tcW w:w="1710" w:type="dxa"/>
            <w:tcBorders>
              <w:top w:val="nil"/>
              <w:bottom w:val="single" w:sz="4" w:space="0" w:color="auto"/>
            </w:tcBorders>
            <w:shd w:val="clear" w:color="auto" w:fill="auto"/>
            <w:noWrap/>
            <w:vAlign w:val="bottom"/>
            <w:hideMark/>
          </w:tcPr>
          <w:p w14:paraId="31EEA61C" w14:textId="77777777" w:rsidR="00D85251" w:rsidRPr="00696263" w:rsidRDefault="00D85251" w:rsidP="00816475">
            <w:pPr>
              <w:pStyle w:val="TableBodyText"/>
              <w:rPr>
                <w:color w:val="000000"/>
              </w:rPr>
            </w:pPr>
          </w:p>
        </w:tc>
        <w:tc>
          <w:tcPr>
            <w:tcW w:w="1890" w:type="dxa"/>
            <w:tcBorders>
              <w:top w:val="nil"/>
              <w:bottom w:val="single" w:sz="4" w:space="0" w:color="auto"/>
            </w:tcBorders>
            <w:shd w:val="clear" w:color="auto" w:fill="auto"/>
            <w:noWrap/>
            <w:vAlign w:val="bottom"/>
            <w:hideMark/>
          </w:tcPr>
          <w:p w14:paraId="2B676075" w14:textId="77777777" w:rsidR="00D85251" w:rsidRPr="00696263" w:rsidRDefault="00D85251" w:rsidP="00816475">
            <w:pPr>
              <w:pStyle w:val="TableBodyText"/>
            </w:pPr>
          </w:p>
        </w:tc>
        <w:tc>
          <w:tcPr>
            <w:tcW w:w="1080" w:type="dxa"/>
            <w:tcBorders>
              <w:top w:val="nil"/>
              <w:bottom w:val="single" w:sz="4" w:space="0" w:color="auto"/>
            </w:tcBorders>
            <w:shd w:val="clear" w:color="auto" w:fill="auto"/>
            <w:noWrap/>
            <w:vAlign w:val="bottom"/>
            <w:hideMark/>
          </w:tcPr>
          <w:p w14:paraId="37EC2BA4" w14:textId="77777777" w:rsidR="00D85251" w:rsidRPr="00696263" w:rsidRDefault="00D85251" w:rsidP="00816475">
            <w:pPr>
              <w:pStyle w:val="TableBodyText"/>
            </w:pPr>
          </w:p>
        </w:tc>
        <w:tc>
          <w:tcPr>
            <w:tcW w:w="1250" w:type="dxa"/>
            <w:tcBorders>
              <w:top w:val="nil"/>
              <w:bottom w:val="single" w:sz="4" w:space="0" w:color="auto"/>
            </w:tcBorders>
            <w:shd w:val="clear" w:color="auto" w:fill="auto"/>
            <w:noWrap/>
            <w:vAlign w:val="bottom"/>
            <w:hideMark/>
          </w:tcPr>
          <w:p w14:paraId="7A5302D3" w14:textId="77777777" w:rsidR="00D85251" w:rsidRPr="00696263" w:rsidRDefault="00D85251" w:rsidP="00816475">
            <w:pPr>
              <w:pStyle w:val="TableBodyText"/>
            </w:pPr>
          </w:p>
        </w:tc>
        <w:tc>
          <w:tcPr>
            <w:tcW w:w="990" w:type="dxa"/>
            <w:tcBorders>
              <w:top w:val="nil"/>
              <w:bottom w:val="single" w:sz="4" w:space="0" w:color="auto"/>
            </w:tcBorders>
            <w:shd w:val="clear" w:color="auto" w:fill="auto"/>
            <w:noWrap/>
            <w:vAlign w:val="bottom"/>
            <w:hideMark/>
          </w:tcPr>
          <w:p w14:paraId="5DA04718" w14:textId="77777777" w:rsidR="00D85251" w:rsidRPr="00696263" w:rsidRDefault="00D85251" w:rsidP="00816475">
            <w:pPr>
              <w:pStyle w:val="TableBodyText"/>
            </w:pPr>
          </w:p>
        </w:tc>
      </w:tr>
      <w:tr w:rsidR="00D85251" w:rsidRPr="00696263" w14:paraId="7CA975E7" w14:textId="77777777" w:rsidTr="00451AF6">
        <w:trPr>
          <w:trHeight w:val="264"/>
        </w:trPr>
        <w:tc>
          <w:tcPr>
            <w:tcW w:w="1710" w:type="dxa"/>
            <w:tcBorders>
              <w:top w:val="single" w:sz="4" w:space="0" w:color="auto"/>
              <w:bottom w:val="dotted" w:sz="4" w:space="0" w:color="auto"/>
            </w:tcBorders>
            <w:shd w:val="clear" w:color="auto" w:fill="auto"/>
            <w:noWrap/>
            <w:vAlign w:val="bottom"/>
            <w:hideMark/>
          </w:tcPr>
          <w:p w14:paraId="358EB77A" w14:textId="77777777" w:rsidR="00D85251" w:rsidRPr="00696263" w:rsidRDefault="00D85251" w:rsidP="00816475">
            <w:pPr>
              <w:pStyle w:val="TableBodyText"/>
            </w:pPr>
          </w:p>
        </w:tc>
        <w:tc>
          <w:tcPr>
            <w:tcW w:w="1890" w:type="dxa"/>
            <w:tcBorders>
              <w:top w:val="single" w:sz="4" w:space="0" w:color="auto"/>
              <w:bottom w:val="dotted" w:sz="4" w:space="0" w:color="auto"/>
            </w:tcBorders>
            <w:shd w:val="clear" w:color="auto" w:fill="auto"/>
            <w:noWrap/>
            <w:vAlign w:val="bottom"/>
            <w:hideMark/>
          </w:tcPr>
          <w:p w14:paraId="3F21A39B" w14:textId="77777777" w:rsidR="00D85251" w:rsidRPr="00696263" w:rsidRDefault="00D85251" w:rsidP="00816475">
            <w:pPr>
              <w:pStyle w:val="TableBodyText"/>
              <w:rPr>
                <w:color w:val="000000"/>
              </w:rPr>
            </w:pPr>
            <w:r w:rsidRPr="00696263">
              <w:rPr>
                <w:color w:val="000000"/>
              </w:rPr>
              <w:t>Chi-Square Value</w:t>
            </w:r>
          </w:p>
        </w:tc>
        <w:tc>
          <w:tcPr>
            <w:tcW w:w="1080" w:type="dxa"/>
            <w:tcBorders>
              <w:top w:val="single" w:sz="4" w:space="0" w:color="auto"/>
              <w:bottom w:val="dotted" w:sz="4" w:space="0" w:color="auto"/>
            </w:tcBorders>
            <w:shd w:val="clear" w:color="auto" w:fill="auto"/>
            <w:noWrap/>
            <w:vAlign w:val="bottom"/>
          </w:tcPr>
          <w:p w14:paraId="088E3473" w14:textId="77777777" w:rsidR="00D85251" w:rsidRPr="00696263" w:rsidRDefault="00D85251" w:rsidP="00816475">
            <w:pPr>
              <w:pStyle w:val="TableBodyText"/>
              <w:rPr>
                <w:color w:val="000000"/>
              </w:rPr>
            </w:pPr>
            <w:r w:rsidRPr="00696263">
              <w:rPr>
                <w:color w:val="000000"/>
              </w:rPr>
              <w:t>P-Value</w:t>
            </w:r>
          </w:p>
        </w:tc>
        <w:tc>
          <w:tcPr>
            <w:tcW w:w="1250" w:type="dxa"/>
            <w:tcBorders>
              <w:top w:val="single" w:sz="4" w:space="0" w:color="auto"/>
              <w:bottom w:val="dotted" w:sz="4" w:space="0" w:color="auto"/>
            </w:tcBorders>
            <w:shd w:val="clear" w:color="auto" w:fill="auto"/>
            <w:noWrap/>
            <w:vAlign w:val="bottom"/>
          </w:tcPr>
          <w:p w14:paraId="527EC9A9" w14:textId="77777777" w:rsidR="00D85251" w:rsidRPr="00696263" w:rsidRDefault="00D85251" w:rsidP="00816475">
            <w:pPr>
              <w:pStyle w:val="TableBodyText"/>
              <w:rPr>
                <w:color w:val="000000"/>
              </w:rPr>
            </w:pPr>
            <w:r w:rsidRPr="00696263">
              <w:rPr>
                <w:color w:val="000000"/>
              </w:rPr>
              <w:t>Significant?</w:t>
            </w:r>
          </w:p>
        </w:tc>
        <w:tc>
          <w:tcPr>
            <w:tcW w:w="990" w:type="dxa"/>
            <w:tcBorders>
              <w:top w:val="single" w:sz="4" w:space="0" w:color="auto"/>
              <w:bottom w:val="dotted" w:sz="4" w:space="0" w:color="auto"/>
            </w:tcBorders>
            <w:shd w:val="clear" w:color="auto" w:fill="auto"/>
            <w:noWrap/>
            <w:vAlign w:val="bottom"/>
            <w:hideMark/>
          </w:tcPr>
          <w:p w14:paraId="650B46D6" w14:textId="77777777" w:rsidR="00D85251" w:rsidRPr="00696263" w:rsidRDefault="00D85251" w:rsidP="00816475">
            <w:pPr>
              <w:pStyle w:val="TableBodyText"/>
              <w:rPr>
                <w:color w:val="000000"/>
              </w:rPr>
            </w:pPr>
          </w:p>
        </w:tc>
      </w:tr>
      <w:tr w:rsidR="00D85251" w:rsidRPr="00696263" w14:paraId="7432922E" w14:textId="77777777" w:rsidTr="00451AF6">
        <w:trPr>
          <w:trHeight w:val="264"/>
        </w:trPr>
        <w:tc>
          <w:tcPr>
            <w:tcW w:w="1710" w:type="dxa"/>
            <w:tcBorders>
              <w:top w:val="dotted" w:sz="4" w:space="0" w:color="auto"/>
              <w:bottom w:val="dotted" w:sz="4" w:space="0" w:color="auto"/>
            </w:tcBorders>
            <w:shd w:val="clear" w:color="auto" w:fill="auto"/>
            <w:noWrap/>
            <w:vAlign w:val="bottom"/>
            <w:hideMark/>
          </w:tcPr>
          <w:p w14:paraId="0C1D09EB" w14:textId="77777777" w:rsidR="00D85251" w:rsidRPr="00696263" w:rsidRDefault="00D85251" w:rsidP="00816475">
            <w:pPr>
              <w:pStyle w:val="TableBodyText"/>
              <w:rPr>
                <w:color w:val="000000"/>
              </w:rPr>
            </w:pPr>
            <w:r w:rsidRPr="00696263">
              <w:rPr>
                <w:color w:val="000000"/>
              </w:rPr>
              <w:t>Pearson</w:t>
            </w:r>
          </w:p>
        </w:tc>
        <w:tc>
          <w:tcPr>
            <w:tcW w:w="1890" w:type="dxa"/>
            <w:tcBorders>
              <w:top w:val="dotted" w:sz="4" w:space="0" w:color="auto"/>
              <w:bottom w:val="dotted" w:sz="4" w:space="0" w:color="auto"/>
            </w:tcBorders>
            <w:shd w:val="clear" w:color="auto" w:fill="auto"/>
            <w:noWrap/>
            <w:vAlign w:val="bottom"/>
            <w:hideMark/>
          </w:tcPr>
          <w:p w14:paraId="51123E88" w14:textId="43FE4AD4" w:rsidR="00D85251" w:rsidRPr="00696263" w:rsidRDefault="00696263" w:rsidP="00816475">
            <w:pPr>
              <w:pStyle w:val="TableBodyText"/>
              <w:rPr>
                <w:color w:val="000000"/>
              </w:rPr>
            </w:pPr>
            <w:r w:rsidRPr="00696263">
              <w:rPr>
                <w:color w:val="000000"/>
              </w:rPr>
              <w:t>2.297</w:t>
            </w:r>
          </w:p>
        </w:tc>
        <w:tc>
          <w:tcPr>
            <w:tcW w:w="1080" w:type="dxa"/>
            <w:tcBorders>
              <w:top w:val="dotted" w:sz="4" w:space="0" w:color="auto"/>
              <w:bottom w:val="dotted" w:sz="4" w:space="0" w:color="auto"/>
            </w:tcBorders>
            <w:shd w:val="clear" w:color="auto" w:fill="auto"/>
            <w:noWrap/>
            <w:vAlign w:val="bottom"/>
          </w:tcPr>
          <w:p w14:paraId="43F5D028" w14:textId="48632CE9" w:rsidR="00D85251" w:rsidRPr="00696263" w:rsidRDefault="00D85251" w:rsidP="00816475">
            <w:pPr>
              <w:pStyle w:val="TableBodyText"/>
              <w:rPr>
                <w:color w:val="000000"/>
              </w:rPr>
            </w:pPr>
            <w:r w:rsidRPr="00696263">
              <w:rPr>
                <w:color w:val="000000"/>
              </w:rPr>
              <w:t>0.</w:t>
            </w:r>
            <w:r w:rsidR="00696263" w:rsidRPr="00696263">
              <w:rPr>
                <w:color w:val="000000"/>
              </w:rPr>
              <w:t>317</w:t>
            </w:r>
          </w:p>
        </w:tc>
        <w:tc>
          <w:tcPr>
            <w:tcW w:w="1250" w:type="dxa"/>
            <w:tcBorders>
              <w:top w:val="dotted" w:sz="4" w:space="0" w:color="auto"/>
              <w:bottom w:val="dotted" w:sz="4" w:space="0" w:color="auto"/>
            </w:tcBorders>
            <w:shd w:val="clear" w:color="auto" w:fill="auto"/>
            <w:noWrap/>
            <w:vAlign w:val="bottom"/>
          </w:tcPr>
          <w:p w14:paraId="483F65D3" w14:textId="77777777" w:rsidR="00D85251" w:rsidRPr="00696263" w:rsidRDefault="00D85251" w:rsidP="00816475">
            <w:pPr>
              <w:pStyle w:val="TableBodyText"/>
              <w:rPr>
                <w:color w:val="000000"/>
              </w:rPr>
            </w:pPr>
            <w:r w:rsidRPr="00696263">
              <w:rPr>
                <w:color w:val="000000"/>
              </w:rPr>
              <w:t>No</w:t>
            </w:r>
          </w:p>
        </w:tc>
        <w:tc>
          <w:tcPr>
            <w:tcW w:w="990" w:type="dxa"/>
            <w:tcBorders>
              <w:top w:val="dotted" w:sz="4" w:space="0" w:color="auto"/>
              <w:bottom w:val="dotted" w:sz="4" w:space="0" w:color="auto"/>
            </w:tcBorders>
            <w:shd w:val="clear" w:color="auto" w:fill="auto"/>
            <w:noWrap/>
            <w:vAlign w:val="bottom"/>
            <w:hideMark/>
          </w:tcPr>
          <w:p w14:paraId="43321A95" w14:textId="77777777" w:rsidR="00D85251" w:rsidRPr="00696263" w:rsidRDefault="00D85251" w:rsidP="00816475">
            <w:pPr>
              <w:pStyle w:val="TableBodyText"/>
              <w:rPr>
                <w:color w:val="000000"/>
              </w:rPr>
            </w:pPr>
          </w:p>
        </w:tc>
      </w:tr>
      <w:tr w:rsidR="00D85251" w:rsidRPr="001B1399" w14:paraId="78EDB9C7" w14:textId="77777777" w:rsidTr="00451AF6">
        <w:trPr>
          <w:trHeight w:val="264"/>
        </w:trPr>
        <w:tc>
          <w:tcPr>
            <w:tcW w:w="1710" w:type="dxa"/>
            <w:tcBorders>
              <w:top w:val="dotted" w:sz="4" w:space="0" w:color="auto"/>
              <w:bottom w:val="single" w:sz="4" w:space="0" w:color="auto"/>
            </w:tcBorders>
            <w:shd w:val="clear" w:color="auto" w:fill="auto"/>
            <w:noWrap/>
            <w:vAlign w:val="bottom"/>
            <w:hideMark/>
          </w:tcPr>
          <w:p w14:paraId="531ED690" w14:textId="77777777" w:rsidR="00D85251" w:rsidRPr="00696263" w:rsidRDefault="00D85251" w:rsidP="00816475">
            <w:pPr>
              <w:pStyle w:val="TableBodyText"/>
              <w:rPr>
                <w:color w:val="000000"/>
              </w:rPr>
            </w:pPr>
            <w:r w:rsidRPr="00696263">
              <w:rPr>
                <w:color w:val="000000"/>
              </w:rPr>
              <w:t>Likelihood Ratio</w:t>
            </w:r>
          </w:p>
        </w:tc>
        <w:tc>
          <w:tcPr>
            <w:tcW w:w="1890" w:type="dxa"/>
            <w:tcBorders>
              <w:top w:val="dotted" w:sz="4" w:space="0" w:color="auto"/>
              <w:bottom w:val="single" w:sz="4" w:space="0" w:color="auto"/>
            </w:tcBorders>
            <w:shd w:val="clear" w:color="auto" w:fill="auto"/>
            <w:noWrap/>
            <w:vAlign w:val="bottom"/>
            <w:hideMark/>
          </w:tcPr>
          <w:p w14:paraId="611A22DC" w14:textId="3E3C0C61" w:rsidR="00D85251" w:rsidRPr="00696263" w:rsidRDefault="00696263" w:rsidP="00816475">
            <w:pPr>
              <w:pStyle w:val="TableBodyText"/>
              <w:rPr>
                <w:color w:val="000000"/>
              </w:rPr>
            </w:pPr>
            <w:r w:rsidRPr="00696263">
              <w:rPr>
                <w:color w:val="000000"/>
              </w:rPr>
              <w:t>2.286</w:t>
            </w:r>
          </w:p>
        </w:tc>
        <w:tc>
          <w:tcPr>
            <w:tcW w:w="1080" w:type="dxa"/>
            <w:tcBorders>
              <w:top w:val="dotted" w:sz="4" w:space="0" w:color="auto"/>
              <w:bottom w:val="single" w:sz="4" w:space="0" w:color="auto"/>
            </w:tcBorders>
            <w:shd w:val="clear" w:color="auto" w:fill="auto"/>
            <w:noWrap/>
            <w:vAlign w:val="bottom"/>
          </w:tcPr>
          <w:p w14:paraId="42B835E0" w14:textId="56543EB7" w:rsidR="00D85251" w:rsidRPr="00696263" w:rsidRDefault="00D85251" w:rsidP="00816475">
            <w:pPr>
              <w:pStyle w:val="TableBodyText"/>
              <w:rPr>
                <w:color w:val="000000"/>
              </w:rPr>
            </w:pPr>
            <w:r w:rsidRPr="00696263">
              <w:rPr>
                <w:color w:val="000000"/>
              </w:rPr>
              <w:t>0.</w:t>
            </w:r>
            <w:r w:rsidR="00696263" w:rsidRPr="00696263">
              <w:rPr>
                <w:color w:val="000000"/>
              </w:rPr>
              <w:t>319</w:t>
            </w:r>
          </w:p>
        </w:tc>
        <w:tc>
          <w:tcPr>
            <w:tcW w:w="1250" w:type="dxa"/>
            <w:tcBorders>
              <w:top w:val="dotted" w:sz="4" w:space="0" w:color="auto"/>
              <w:bottom w:val="single" w:sz="4" w:space="0" w:color="auto"/>
            </w:tcBorders>
            <w:shd w:val="clear" w:color="auto" w:fill="auto"/>
            <w:noWrap/>
            <w:vAlign w:val="bottom"/>
          </w:tcPr>
          <w:p w14:paraId="2FF7B80E" w14:textId="77777777" w:rsidR="00D85251" w:rsidRPr="00696263" w:rsidRDefault="00D85251" w:rsidP="00816475">
            <w:pPr>
              <w:pStyle w:val="TableBodyText"/>
              <w:rPr>
                <w:color w:val="000000"/>
              </w:rPr>
            </w:pPr>
            <w:r w:rsidRPr="00696263">
              <w:rPr>
                <w:color w:val="000000"/>
              </w:rPr>
              <w:t>No</w:t>
            </w:r>
          </w:p>
        </w:tc>
        <w:tc>
          <w:tcPr>
            <w:tcW w:w="990" w:type="dxa"/>
            <w:tcBorders>
              <w:top w:val="dotted" w:sz="4" w:space="0" w:color="auto"/>
              <w:bottom w:val="single" w:sz="4" w:space="0" w:color="auto"/>
            </w:tcBorders>
            <w:shd w:val="clear" w:color="auto" w:fill="auto"/>
            <w:noWrap/>
            <w:vAlign w:val="bottom"/>
            <w:hideMark/>
          </w:tcPr>
          <w:p w14:paraId="4D5CB738" w14:textId="77777777" w:rsidR="00D85251" w:rsidRPr="001B1399" w:rsidRDefault="00D85251" w:rsidP="00816475">
            <w:pPr>
              <w:pStyle w:val="TableBodyText"/>
              <w:rPr>
                <w:color w:val="000000"/>
              </w:rPr>
            </w:pPr>
          </w:p>
        </w:tc>
      </w:tr>
    </w:tbl>
    <w:p w14:paraId="52FD10B6" w14:textId="77777777" w:rsidR="00D85251" w:rsidRPr="00A9704C" w:rsidRDefault="00D85251" w:rsidP="00112D21">
      <w:pPr>
        <w:pStyle w:val="TableFootnote"/>
      </w:pPr>
    </w:p>
    <w:p w14:paraId="5176F50D" w14:textId="19B3456B" w:rsidR="00D85251" w:rsidRPr="001B1399" w:rsidRDefault="00112D21" w:rsidP="00816475">
      <w:pPr>
        <w:pStyle w:val="Heading4"/>
      </w:pPr>
      <w:r>
        <w:t xml:space="preserve">Toxicity Data </w:t>
      </w:r>
      <w:r w:rsidR="00D85251" w:rsidRPr="001B1399">
        <w:t xml:space="preserve">Fail Rate </w:t>
      </w:r>
    </w:p>
    <w:p w14:paraId="5BA3D2E1" w14:textId="4D3C9D7B" w:rsidR="00D85251" w:rsidRPr="00816475" w:rsidRDefault="00D85251" w:rsidP="00816475">
      <w:pPr>
        <w:keepNext/>
        <w:keepLines/>
        <w:spacing w:before="120"/>
        <w:rPr>
          <w:rFonts w:cs="Times New Roman"/>
          <w:szCs w:val="24"/>
        </w:rPr>
      </w:pPr>
      <w:r w:rsidRPr="00816475">
        <w:rPr>
          <w:rFonts w:cs="Times New Roman"/>
          <w:szCs w:val="24"/>
        </w:rPr>
        <w:t>The “fail rate” is the number of blank samples that showed toxicity out of the total number of samples. As blank samples are expected to show no toxicity, the fail rate is expected to be zero. However, when working with living organisms, there are uncertainties involved (</w:t>
      </w:r>
      <w:r w:rsidR="00AD1E21">
        <w:rPr>
          <w:rFonts w:cs="Times New Roman"/>
          <w:szCs w:val="24"/>
        </w:rPr>
        <w:t xml:space="preserve">e.g., </w:t>
      </w:r>
      <w:r w:rsidRPr="00816475">
        <w:rPr>
          <w:rFonts w:cs="Times New Roman"/>
          <w:szCs w:val="24"/>
        </w:rPr>
        <w:t>organisms which fail to reproduce regardless of water toxicity) and these are accounted for by a maximum acceptable fail rate of 1 in 20 (5%)</w:t>
      </w:r>
      <w:r w:rsidRPr="00816475">
        <w:rPr>
          <w:rStyle w:val="FootnoteReference"/>
          <w:rFonts w:cs="Times New Roman"/>
          <w:szCs w:val="24"/>
        </w:rPr>
        <w:footnoteReference w:id="10"/>
      </w:r>
      <w:r w:rsidRPr="00816475">
        <w:rPr>
          <w:rFonts w:cs="Times New Roman"/>
          <w:szCs w:val="24"/>
        </w:rPr>
        <w:t xml:space="preserve">. Therefore, even when using blank water, one out of 20 toxicity tests may acceptably fail. The actual number of failed tests reported during the three studies were compared with this acceptable rate. </w:t>
      </w:r>
    </w:p>
    <w:p w14:paraId="36DDF5CE" w14:textId="1C8C3677" w:rsidR="00D85251" w:rsidRPr="00816475" w:rsidRDefault="00D85251" w:rsidP="00816475">
      <w:pPr>
        <w:spacing w:before="120"/>
        <w:rPr>
          <w:rFonts w:cs="Times New Roman"/>
          <w:szCs w:val="24"/>
        </w:rPr>
      </w:pPr>
      <w:r w:rsidRPr="00816475">
        <w:rPr>
          <w:rFonts w:cs="Times New Roman"/>
          <w:szCs w:val="24"/>
        </w:rPr>
        <w:t xml:space="preserve">There were </w:t>
      </w:r>
      <w:r w:rsidR="00DD0E5D" w:rsidRPr="00DD0E5D">
        <w:rPr>
          <w:rFonts w:cs="Times New Roman"/>
          <w:szCs w:val="24"/>
        </w:rPr>
        <w:t>71</w:t>
      </w:r>
      <w:r w:rsidRPr="00816475">
        <w:rPr>
          <w:rFonts w:cs="Times New Roman"/>
          <w:szCs w:val="24"/>
        </w:rPr>
        <w:t xml:space="preserve"> data points (</w:t>
      </w:r>
      <w:proofErr w:type="spellStart"/>
      <w:r w:rsidRPr="00816475">
        <w:rPr>
          <w:rFonts w:cs="Times New Roman"/>
          <w:szCs w:val="24"/>
        </w:rPr>
        <w:t>TUc</w:t>
      </w:r>
      <w:proofErr w:type="spellEnd"/>
      <w:r w:rsidRPr="00816475">
        <w:rPr>
          <w:rFonts w:cs="Times New Roman"/>
          <w:szCs w:val="24"/>
        </w:rPr>
        <w:t xml:space="preserve"> results) available from the combined three studies of blank water. The study fail rates were compared with the maximum acceptable fail rate for each of the three analyses. It was found that for each analysis type, the fail rate of the combined data set exceeded the acceptable fail rate (</w:t>
      </w:r>
      <w:r w:rsidRPr="00816475">
        <w:rPr>
          <w:rFonts w:cs="Times New Roman"/>
          <w:b/>
          <w:szCs w:val="24"/>
        </w:rPr>
        <w:fldChar w:fldCharType="begin"/>
      </w:r>
      <w:r w:rsidRPr="00816475">
        <w:rPr>
          <w:rFonts w:cs="Times New Roman"/>
          <w:b/>
          <w:szCs w:val="24"/>
        </w:rPr>
        <w:instrText xml:space="preserve"> REF _Ref525549733 \h  \* MERGEFORMAT </w:instrText>
      </w:r>
      <w:r w:rsidRPr="00816475">
        <w:rPr>
          <w:rFonts w:cs="Times New Roman"/>
          <w:b/>
          <w:szCs w:val="24"/>
        </w:rPr>
      </w:r>
      <w:r w:rsidRPr="00816475">
        <w:rPr>
          <w:rFonts w:cs="Times New Roman"/>
          <w:b/>
          <w:szCs w:val="24"/>
        </w:rPr>
        <w:fldChar w:fldCharType="separate"/>
      </w:r>
      <w:r w:rsidR="00816475" w:rsidRPr="00816475">
        <w:rPr>
          <w:rFonts w:cs="Times New Roman"/>
          <w:b/>
          <w:szCs w:val="24"/>
        </w:rPr>
        <w:t xml:space="preserve">Table </w:t>
      </w:r>
      <w:r w:rsidR="00816475" w:rsidRPr="00816475">
        <w:rPr>
          <w:rFonts w:cs="Times New Roman"/>
          <w:b/>
          <w:noProof/>
          <w:szCs w:val="24"/>
        </w:rPr>
        <w:t>7</w:t>
      </w:r>
      <w:r w:rsidRPr="00816475">
        <w:rPr>
          <w:rFonts w:cs="Times New Roman"/>
          <w:b/>
          <w:szCs w:val="24"/>
        </w:rPr>
        <w:fldChar w:fldCharType="end"/>
      </w:r>
      <w:r w:rsidRPr="00816475">
        <w:rPr>
          <w:rFonts w:cs="Times New Roman"/>
          <w:szCs w:val="24"/>
        </w:rPr>
        <w:t xml:space="preserve">). </w:t>
      </w:r>
    </w:p>
    <w:p w14:paraId="7C2BA12C" w14:textId="4C520EC7" w:rsidR="00D85251" w:rsidRPr="001B1399" w:rsidRDefault="00D85251" w:rsidP="00816475">
      <w:pPr>
        <w:pStyle w:val="TableTitle"/>
      </w:pPr>
      <w:bookmarkStart w:id="28" w:name="_Ref525549733"/>
      <w:r w:rsidRPr="00DD0E5D">
        <w:t xml:space="preserve">Table </w:t>
      </w:r>
      <w:r w:rsidRPr="00DD0E5D">
        <w:rPr>
          <w:noProof/>
        </w:rPr>
        <w:fldChar w:fldCharType="begin"/>
      </w:r>
      <w:r w:rsidRPr="00DD0E5D">
        <w:rPr>
          <w:noProof/>
        </w:rPr>
        <w:instrText xml:space="preserve"> SEQ Table \* ARABIC </w:instrText>
      </w:r>
      <w:r w:rsidRPr="00DD0E5D">
        <w:rPr>
          <w:noProof/>
        </w:rPr>
        <w:fldChar w:fldCharType="separate"/>
      </w:r>
      <w:r w:rsidR="006F0139" w:rsidRPr="00DD0E5D">
        <w:rPr>
          <w:noProof/>
        </w:rPr>
        <w:t>7</w:t>
      </w:r>
      <w:r w:rsidRPr="00DD0E5D">
        <w:rPr>
          <w:noProof/>
        </w:rPr>
        <w:fldChar w:fldCharType="end"/>
      </w:r>
      <w:bookmarkEnd w:id="28"/>
      <w:r w:rsidRPr="00DD0E5D">
        <w:t>. Fail Rates of Blank Toxicity Test Analyses</w:t>
      </w:r>
    </w:p>
    <w:tbl>
      <w:tblPr>
        <w:tblW w:w="5490" w:type="dxa"/>
        <w:tblBorders>
          <w:top w:val="single" w:sz="4" w:space="0" w:color="auto"/>
          <w:bottom w:val="single" w:sz="4" w:space="0" w:color="auto"/>
        </w:tblBorders>
        <w:tblLook w:val="04A0" w:firstRow="1" w:lastRow="0" w:firstColumn="1" w:lastColumn="0" w:noHBand="0" w:noVBand="1"/>
      </w:tblPr>
      <w:tblGrid>
        <w:gridCol w:w="976"/>
        <w:gridCol w:w="1454"/>
        <w:gridCol w:w="990"/>
        <w:gridCol w:w="2070"/>
      </w:tblGrid>
      <w:tr w:rsidR="00D85251" w:rsidRPr="001B1399" w14:paraId="1774BFF7" w14:textId="77777777" w:rsidTr="00D85251">
        <w:trPr>
          <w:trHeight w:val="264"/>
        </w:trPr>
        <w:tc>
          <w:tcPr>
            <w:tcW w:w="976" w:type="dxa"/>
            <w:tcBorders>
              <w:bottom w:val="single" w:sz="4" w:space="0" w:color="auto"/>
            </w:tcBorders>
            <w:shd w:val="clear" w:color="auto" w:fill="auto"/>
            <w:noWrap/>
            <w:vAlign w:val="bottom"/>
            <w:hideMark/>
          </w:tcPr>
          <w:p w14:paraId="30D2FDCF" w14:textId="77777777" w:rsidR="00D85251" w:rsidRPr="001B1399" w:rsidRDefault="00D85251" w:rsidP="00816475">
            <w:pPr>
              <w:pStyle w:val="TableBodyText"/>
            </w:pPr>
            <w:r w:rsidRPr="001B1399">
              <w:t>Analysis</w:t>
            </w:r>
          </w:p>
        </w:tc>
        <w:tc>
          <w:tcPr>
            <w:tcW w:w="1454" w:type="dxa"/>
            <w:tcBorders>
              <w:bottom w:val="single" w:sz="4" w:space="0" w:color="auto"/>
            </w:tcBorders>
            <w:shd w:val="clear" w:color="auto" w:fill="auto"/>
            <w:noWrap/>
            <w:vAlign w:val="bottom"/>
            <w:hideMark/>
          </w:tcPr>
          <w:p w14:paraId="295FCC89" w14:textId="77777777" w:rsidR="00D85251" w:rsidRPr="001B1399" w:rsidRDefault="00D85251" w:rsidP="00816475">
            <w:pPr>
              <w:pStyle w:val="TableBodyText"/>
              <w:rPr>
                <w:color w:val="000000"/>
              </w:rPr>
            </w:pPr>
            <w:r w:rsidRPr="001B1399">
              <w:rPr>
                <w:color w:val="000000"/>
              </w:rPr>
              <w:t>Sample size</w:t>
            </w:r>
          </w:p>
        </w:tc>
        <w:tc>
          <w:tcPr>
            <w:tcW w:w="990" w:type="dxa"/>
            <w:tcBorders>
              <w:bottom w:val="single" w:sz="4" w:space="0" w:color="auto"/>
            </w:tcBorders>
            <w:shd w:val="clear" w:color="auto" w:fill="auto"/>
            <w:noWrap/>
            <w:vAlign w:val="bottom"/>
            <w:hideMark/>
          </w:tcPr>
          <w:p w14:paraId="5B36718B" w14:textId="77777777" w:rsidR="00D85251" w:rsidRPr="001B1399" w:rsidRDefault="00D85251" w:rsidP="00816475">
            <w:pPr>
              <w:pStyle w:val="TableBodyText"/>
              <w:rPr>
                <w:color w:val="000000"/>
              </w:rPr>
            </w:pPr>
            <w:r w:rsidRPr="001B1399">
              <w:rPr>
                <w:color w:val="000000"/>
              </w:rPr>
              <w:t>Fail rate</w:t>
            </w:r>
          </w:p>
        </w:tc>
        <w:tc>
          <w:tcPr>
            <w:tcW w:w="2070" w:type="dxa"/>
            <w:tcBorders>
              <w:bottom w:val="single" w:sz="4" w:space="0" w:color="auto"/>
            </w:tcBorders>
          </w:tcPr>
          <w:p w14:paraId="52AED02A" w14:textId="77777777" w:rsidR="00D85251" w:rsidRPr="001B1399" w:rsidRDefault="00D85251" w:rsidP="00816475">
            <w:pPr>
              <w:pStyle w:val="TableBodyText"/>
              <w:rPr>
                <w:color w:val="000000"/>
              </w:rPr>
            </w:pPr>
            <w:r w:rsidRPr="001B1399">
              <w:rPr>
                <w:color w:val="000000"/>
              </w:rPr>
              <w:t>Acceptable fail rate</w:t>
            </w:r>
          </w:p>
        </w:tc>
      </w:tr>
      <w:tr w:rsidR="00D85251" w:rsidRPr="001B1399" w14:paraId="17DF923D" w14:textId="77777777" w:rsidTr="00D85251">
        <w:trPr>
          <w:trHeight w:val="264"/>
        </w:trPr>
        <w:tc>
          <w:tcPr>
            <w:tcW w:w="976" w:type="dxa"/>
            <w:tcBorders>
              <w:top w:val="single" w:sz="4" w:space="0" w:color="auto"/>
              <w:bottom w:val="dotted" w:sz="4" w:space="0" w:color="auto"/>
            </w:tcBorders>
            <w:shd w:val="clear" w:color="auto" w:fill="auto"/>
            <w:noWrap/>
            <w:vAlign w:val="bottom"/>
            <w:hideMark/>
          </w:tcPr>
          <w:p w14:paraId="74F51F00" w14:textId="77777777" w:rsidR="00D85251" w:rsidRPr="001B1399" w:rsidRDefault="00D85251" w:rsidP="00816475">
            <w:pPr>
              <w:pStyle w:val="TableBodyText"/>
              <w:rPr>
                <w:color w:val="000000"/>
              </w:rPr>
            </w:pPr>
            <w:r w:rsidRPr="001B1399">
              <w:rPr>
                <w:color w:val="000000"/>
              </w:rPr>
              <w:t>NOEC</w:t>
            </w:r>
          </w:p>
        </w:tc>
        <w:tc>
          <w:tcPr>
            <w:tcW w:w="1454" w:type="dxa"/>
            <w:tcBorders>
              <w:top w:val="single" w:sz="4" w:space="0" w:color="auto"/>
              <w:bottom w:val="dotted" w:sz="4" w:space="0" w:color="auto"/>
            </w:tcBorders>
            <w:shd w:val="clear" w:color="auto" w:fill="auto"/>
            <w:noWrap/>
            <w:vAlign w:val="bottom"/>
            <w:hideMark/>
          </w:tcPr>
          <w:p w14:paraId="7AB32CA5" w14:textId="55C304DE" w:rsidR="00D85251" w:rsidRPr="001B1399" w:rsidRDefault="00D85251" w:rsidP="00816475">
            <w:pPr>
              <w:pStyle w:val="TableBodyText"/>
              <w:rPr>
                <w:color w:val="000000"/>
              </w:rPr>
            </w:pPr>
            <w:r w:rsidRPr="001B1399">
              <w:rPr>
                <w:color w:val="000000"/>
              </w:rPr>
              <w:t>7</w:t>
            </w:r>
            <w:r w:rsidR="00DD0E5D">
              <w:rPr>
                <w:color w:val="000000"/>
              </w:rPr>
              <w:t>1</w:t>
            </w:r>
          </w:p>
        </w:tc>
        <w:tc>
          <w:tcPr>
            <w:tcW w:w="990" w:type="dxa"/>
            <w:tcBorders>
              <w:top w:val="single" w:sz="4" w:space="0" w:color="auto"/>
              <w:bottom w:val="dotted" w:sz="4" w:space="0" w:color="auto"/>
            </w:tcBorders>
            <w:shd w:val="clear" w:color="auto" w:fill="auto"/>
            <w:noWrap/>
            <w:vAlign w:val="bottom"/>
            <w:hideMark/>
          </w:tcPr>
          <w:p w14:paraId="46C4BAA4" w14:textId="774C97EC" w:rsidR="00D85251" w:rsidRPr="001B1399" w:rsidRDefault="00D85251" w:rsidP="00816475">
            <w:pPr>
              <w:pStyle w:val="TableBodyText"/>
              <w:rPr>
                <w:color w:val="000000"/>
              </w:rPr>
            </w:pPr>
            <w:r w:rsidRPr="001B1399">
              <w:rPr>
                <w:color w:val="000000"/>
              </w:rPr>
              <w:t>2</w:t>
            </w:r>
            <w:r w:rsidR="00DD0E5D">
              <w:rPr>
                <w:color w:val="000000"/>
              </w:rPr>
              <w:t>3</w:t>
            </w:r>
            <w:r w:rsidRPr="001B1399">
              <w:rPr>
                <w:color w:val="000000"/>
              </w:rPr>
              <w:t>%</w:t>
            </w:r>
          </w:p>
        </w:tc>
        <w:tc>
          <w:tcPr>
            <w:tcW w:w="2070" w:type="dxa"/>
            <w:tcBorders>
              <w:top w:val="single" w:sz="4" w:space="0" w:color="auto"/>
              <w:bottom w:val="dotted" w:sz="4" w:space="0" w:color="auto"/>
            </w:tcBorders>
          </w:tcPr>
          <w:p w14:paraId="0438F36F" w14:textId="77777777" w:rsidR="00D85251" w:rsidRPr="001B1399" w:rsidRDefault="00D85251" w:rsidP="00816475">
            <w:pPr>
              <w:pStyle w:val="TableBodyText"/>
              <w:rPr>
                <w:color w:val="000000"/>
              </w:rPr>
            </w:pPr>
            <w:r w:rsidRPr="001B1399">
              <w:rPr>
                <w:color w:val="000000"/>
              </w:rPr>
              <w:t>5%</w:t>
            </w:r>
          </w:p>
        </w:tc>
      </w:tr>
      <w:tr w:rsidR="00D85251" w:rsidRPr="001B1399" w14:paraId="6E8CB0DA" w14:textId="77777777" w:rsidTr="00D85251">
        <w:trPr>
          <w:trHeight w:val="264"/>
        </w:trPr>
        <w:tc>
          <w:tcPr>
            <w:tcW w:w="976" w:type="dxa"/>
            <w:tcBorders>
              <w:top w:val="dotted" w:sz="4" w:space="0" w:color="auto"/>
              <w:bottom w:val="dotted" w:sz="4" w:space="0" w:color="auto"/>
            </w:tcBorders>
            <w:shd w:val="clear" w:color="auto" w:fill="auto"/>
            <w:noWrap/>
            <w:vAlign w:val="bottom"/>
            <w:hideMark/>
          </w:tcPr>
          <w:p w14:paraId="76F9E860" w14:textId="77777777" w:rsidR="00D85251" w:rsidRPr="001B1399" w:rsidRDefault="00D85251" w:rsidP="00816475">
            <w:pPr>
              <w:pStyle w:val="TableBodyText"/>
              <w:rPr>
                <w:color w:val="000000"/>
              </w:rPr>
            </w:pPr>
            <w:r w:rsidRPr="001B1399">
              <w:rPr>
                <w:color w:val="000000"/>
              </w:rPr>
              <w:t>IC25</w:t>
            </w:r>
          </w:p>
        </w:tc>
        <w:tc>
          <w:tcPr>
            <w:tcW w:w="1454" w:type="dxa"/>
            <w:tcBorders>
              <w:top w:val="dotted" w:sz="4" w:space="0" w:color="auto"/>
              <w:bottom w:val="dotted" w:sz="4" w:space="0" w:color="auto"/>
            </w:tcBorders>
            <w:shd w:val="clear" w:color="auto" w:fill="auto"/>
            <w:noWrap/>
            <w:vAlign w:val="bottom"/>
            <w:hideMark/>
          </w:tcPr>
          <w:p w14:paraId="6C54B03F" w14:textId="2393E6FA" w:rsidR="00D85251" w:rsidRPr="001B1399" w:rsidRDefault="00D85251" w:rsidP="00816475">
            <w:pPr>
              <w:pStyle w:val="TableBodyText"/>
              <w:rPr>
                <w:color w:val="000000"/>
              </w:rPr>
            </w:pPr>
            <w:r w:rsidRPr="001B1399">
              <w:rPr>
                <w:color w:val="000000"/>
              </w:rPr>
              <w:t>7</w:t>
            </w:r>
            <w:r w:rsidR="00DD0E5D">
              <w:rPr>
                <w:color w:val="000000"/>
              </w:rPr>
              <w:t>1</w:t>
            </w:r>
          </w:p>
        </w:tc>
        <w:tc>
          <w:tcPr>
            <w:tcW w:w="990" w:type="dxa"/>
            <w:tcBorders>
              <w:top w:val="dotted" w:sz="4" w:space="0" w:color="auto"/>
              <w:bottom w:val="dotted" w:sz="4" w:space="0" w:color="auto"/>
            </w:tcBorders>
            <w:shd w:val="clear" w:color="auto" w:fill="auto"/>
            <w:noWrap/>
            <w:vAlign w:val="bottom"/>
            <w:hideMark/>
          </w:tcPr>
          <w:p w14:paraId="07FA4705" w14:textId="69D429B3" w:rsidR="00D85251" w:rsidRPr="001B1399" w:rsidRDefault="00DD0E5D" w:rsidP="00816475">
            <w:pPr>
              <w:pStyle w:val="TableBodyText"/>
              <w:rPr>
                <w:color w:val="000000"/>
              </w:rPr>
            </w:pPr>
            <w:r>
              <w:rPr>
                <w:color w:val="000000"/>
              </w:rPr>
              <w:t>27</w:t>
            </w:r>
            <w:r w:rsidR="00D85251" w:rsidRPr="001B1399">
              <w:rPr>
                <w:color w:val="000000"/>
              </w:rPr>
              <w:t>%</w:t>
            </w:r>
          </w:p>
        </w:tc>
        <w:tc>
          <w:tcPr>
            <w:tcW w:w="2070" w:type="dxa"/>
            <w:tcBorders>
              <w:top w:val="dotted" w:sz="4" w:space="0" w:color="auto"/>
              <w:bottom w:val="dotted" w:sz="4" w:space="0" w:color="auto"/>
            </w:tcBorders>
          </w:tcPr>
          <w:p w14:paraId="27832E1C" w14:textId="77777777" w:rsidR="00D85251" w:rsidRPr="001B1399" w:rsidRDefault="00D85251" w:rsidP="00816475">
            <w:pPr>
              <w:pStyle w:val="TableBodyText"/>
              <w:rPr>
                <w:color w:val="000000"/>
              </w:rPr>
            </w:pPr>
            <w:r w:rsidRPr="001B1399">
              <w:rPr>
                <w:color w:val="000000"/>
              </w:rPr>
              <w:t>5%</w:t>
            </w:r>
          </w:p>
        </w:tc>
      </w:tr>
      <w:tr w:rsidR="00D85251" w:rsidRPr="001B1399" w14:paraId="75023C68" w14:textId="77777777" w:rsidTr="00D85251">
        <w:trPr>
          <w:trHeight w:val="264"/>
        </w:trPr>
        <w:tc>
          <w:tcPr>
            <w:tcW w:w="976" w:type="dxa"/>
            <w:tcBorders>
              <w:top w:val="dotted" w:sz="4" w:space="0" w:color="auto"/>
              <w:bottom w:val="single" w:sz="4" w:space="0" w:color="auto"/>
            </w:tcBorders>
            <w:shd w:val="clear" w:color="auto" w:fill="auto"/>
            <w:noWrap/>
            <w:vAlign w:val="bottom"/>
            <w:hideMark/>
          </w:tcPr>
          <w:p w14:paraId="26697C61" w14:textId="77777777" w:rsidR="00D85251" w:rsidRPr="001B1399" w:rsidRDefault="00D85251" w:rsidP="00816475">
            <w:pPr>
              <w:pStyle w:val="TableBodyText"/>
              <w:rPr>
                <w:color w:val="000000"/>
              </w:rPr>
            </w:pPr>
            <w:r w:rsidRPr="001B1399">
              <w:rPr>
                <w:color w:val="000000"/>
              </w:rPr>
              <w:t>TST</w:t>
            </w:r>
          </w:p>
        </w:tc>
        <w:tc>
          <w:tcPr>
            <w:tcW w:w="1454" w:type="dxa"/>
            <w:tcBorders>
              <w:top w:val="dotted" w:sz="4" w:space="0" w:color="auto"/>
              <w:bottom w:val="single" w:sz="4" w:space="0" w:color="auto"/>
            </w:tcBorders>
            <w:shd w:val="clear" w:color="auto" w:fill="auto"/>
            <w:noWrap/>
            <w:vAlign w:val="bottom"/>
            <w:hideMark/>
          </w:tcPr>
          <w:p w14:paraId="37D55F58" w14:textId="28A34B79" w:rsidR="00D85251" w:rsidRPr="001B1399" w:rsidRDefault="00D85251" w:rsidP="00816475">
            <w:pPr>
              <w:pStyle w:val="TableBodyText"/>
              <w:rPr>
                <w:color w:val="000000"/>
              </w:rPr>
            </w:pPr>
            <w:r w:rsidRPr="001B1399">
              <w:rPr>
                <w:color w:val="000000"/>
              </w:rPr>
              <w:t>7</w:t>
            </w:r>
            <w:r w:rsidR="00DD0E5D">
              <w:rPr>
                <w:color w:val="000000"/>
              </w:rPr>
              <w:t>1</w:t>
            </w:r>
          </w:p>
        </w:tc>
        <w:tc>
          <w:tcPr>
            <w:tcW w:w="990" w:type="dxa"/>
            <w:tcBorders>
              <w:top w:val="dotted" w:sz="4" w:space="0" w:color="auto"/>
              <w:bottom w:val="single" w:sz="4" w:space="0" w:color="auto"/>
            </w:tcBorders>
            <w:shd w:val="clear" w:color="auto" w:fill="auto"/>
            <w:noWrap/>
            <w:vAlign w:val="bottom"/>
            <w:hideMark/>
          </w:tcPr>
          <w:p w14:paraId="0FB77F19" w14:textId="2EDBAD98" w:rsidR="00D85251" w:rsidRPr="001B1399" w:rsidRDefault="00D85251" w:rsidP="00816475">
            <w:pPr>
              <w:pStyle w:val="TableBodyText"/>
              <w:rPr>
                <w:color w:val="000000"/>
              </w:rPr>
            </w:pPr>
            <w:r w:rsidRPr="001B1399">
              <w:rPr>
                <w:color w:val="000000"/>
              </w:rPr>
              <w:t>3</w:t>
            </w:r>
            <w:r w:rsidR="00DD0E5D">
              <w:rPr>
                <w:color w:val="000000"/>
              </w:rPr>
              <w:t>4</w:t>
            </w:r>
            <w:r w:rsidRPr="001B1399">
              <w:rPr>
                <w:color w:val="000000"/>
              </w:rPr>
              <w:t>%</w:t>
            </w:r>
          </w:p>
        </w:tc>
        <w:tc>
          <w:tcPr>
            <w:tcW w:w="2070" w:type="dxa"/>
            <w:tcBorders>
              <w:top w:val="dotted" w:sz="4" w:space="0" w:color="auto"/>
              <w:bottom w:val="single" w:sz="4" w:space="0" w:color="auto"/>
            </w:tcBorders>
          </w:tcPr>
          <w:p w14:paraId="0D93AA8B" w14:textId="77777777" w:rsidR="00D85251" w:rsidRPr="001B1399" w:rsidRDefault="00D85251" w:rsidP="00816475">
            <w:pPr>
              <w:pStyle w:val="TableBodyText"/>
              <w:rPr>
                <w:color w:val="000000"/>
              </w:rPr>
            </w:pPr>
            <w:r w:rsidRPr="001B1399">
              <w:rPr>
                <w:color w:val="000000"/>
              </w:rPr>
              <w:t>5%</w:t>
            </w:r>
          </w:p>
        </w:tc>
      </w:tr>
    </w:tbl>
    <w:p w14:paraId="63D254F0" w14:textId="77777777" w:rsidR="00112D21" w:rsidRDefault="00112D21" w:rsidP="00112D21">
      <w:pPr>
        <w:pStyle w:val="TableFootnote"/>
      </w:pPr>
    </w:p>
    <w:p w14:paraId="71D45E89" w14:textId="0B0F44E2" w:rsidR="00D85251" w:rsidRPr="00816475" w:rsidRDefault="00D85251" w:rsidP="00816475">
      <w:pPr>
        <w:keepNext/>
        <w:spacing w:before="120"/>
        <w:rPr>
          <w:rFonts w:cs="Times New Roman"/>
          <w:szCs w:val="24"/>
        </w:rPr>
      </w:pPr>
      <w:r w:rsidRPr="00816475">
        <w:rPr>
          <w:rFonts w:cs="Times New Roman"/>
          <w:szCs w:val="24"/>
        </w:rPr>
        <w:t>When the three analyses were analyzed separately by study, the results of one analysis (the NOEC analysis of the EPA study) had a fail rate below the acceptable fail rate, but all other individual studies’ tests had fail rates above the acceptable rate (</w:t>
      </w:r>
      <w:r w:rsidRPr="00816475">
        <w:rPr>
          <w:rFonts w:cs="Times New Roman"/>
          <w:b/>
          <w:szCs w:val="24"/>
        </w:rPr>
        <w:fldChar w:fldCharType="begin"/>
      </w:r>
      <w:r w:rsidRPr="00816475">
        <w:rPr>
          <w:rFonts w:cs="Times New Roman"/>
          <w:b/>
          <w:szCs w:val="24"/>
        </w:rPr>
        <w:instrText xml:space="preserve"> REF _Ref525549835 \h  \* MERGEFORMAT </w:instrText>
      </w:r>
      <w:r w:rsidRPr="00816475">
        <w:rPr>
          <w:rFonts w:cs="Times New Roman"/>
          <w:b/>
          <w:szCs w:val="24"/>
        </w:rPr>
      </w:r>
      <w:r w:rsidRPr="00816475">
        <w:rPr>
          <w:rFonts w:cs="Times New Roman"/>
          <w:b/>
          <w:szCs w:val="24"/>
        </w:rPr>
        <w:fldChar w:fldCharType="separate"/>
      </w:r>
      <w:r w:rsidR="00816475" w:rsidRPr="00816475">
        <w:rPr>
          <w:rFonts w:cs="Times New Roman"/>
          <w:b/>
          <w:szCs w:val="24"/>
        </w:rPr>
        <w:t xml:space="preserve">Table </w:t>
      </w:r>
      <w:r w:rsidR="00816475" w:rsidRPr="00816475">
        <w:rPr>
          <w:rFonts w:cs="Times New Roman"/>
          <w:b/>
          <w:noProof/>
          <w:szCs w:val="24"/>
        </w:rPr>
        <w:t>8</w:t>
      </w:r>
      <w:r w:rsidRPr="00816475">
        <w:rPr>
          <w:rFonts w:cs="Times New Roman"/>
          <w:b/>
          <w:szCs w:val="24"/>
        </w:rPr>
        <w:fldChar w:fldCharType="end"/>
      </w:r>
      <w:r w:rsidRPr="00816475">
        <w:rPr>
          <w:rFonts w:cs="Times New Roman"/>
          <w:szCs w:val="24"/>
        </w:rPr>
        <w:t xml:space="preserve">). </w:t>
      </w:r>
    </w:p>
    <w:p w14:paraId="7B3B983D" w14:textId="1261F2E9" w:rsidR="00D85251" w:rsidRPr="001B1399" w:rsidRDefault="00D85251" w:rsidP="00816475">
      <w:pPr>
        <w:pStyle w:val="TableTitle"/>
      </w:pPr>
      <w:bookmarkStart w:id="29" w:name="_Ref525549835"/>
      <w:r w:rsidRPr="00DD0E5D">
        <w:t xml:space="preserve">Table </w:t>
      </w:r>
      <w:r w:rsidRPr="00DD0E5D">
        <w:rPr>
          <w:noProof/>
        </w:rPr>
        <w:fldChar w:fldCharType="begin"/>
      </w:r>
      <w:r w:rsidRPr="00DD0E5D">
        <w:rPr>
          <w:noProof/>
        </w:rPr>
        <w:instrText xml:space="preserve"> SEQ Table \* ARABIC </w:instrText>
      </w:r>
      <w:r w:rsidRPr="00DD0E5D">
        <w:rPr>
          <w:noProof/>
        </w:rPr>
        <w:fldChar w:fldCharType="separate"/>
      </w:r>
      <w:r w:rsidR="006F0139" w:rsidRPr="00DD0E5D">
        <w:rPr>
          <w:noProof/>
        </w:rPr>
        <w:t>8</w:t>
      </w:r>
      <w:r w:rsidRPr="00DD0E5D">
        <w:rPr>
          <w:noProof/>
        </w:rPr>
        <w:fldChar w:fldCharType="end"/>
      </w:r>
      <w:bookmarkEnd w:id="29"/>
      <w:r w:rsidRPr="00DD0E5D">
        <w:t>. Fail Rate of Toxicity Test Analyses by Study</w:t>
      </w:r>
    </w:p>
    <w:tbl>
      <w:tblPr>
        <w:tblW w:w="4500" w:type="dxa"/>
        <w:tblLook w:val="04A0" w:firstRow="1" w:lastRow="0" w:firstColumn="1" w:lastColumn="0" w:noHBand="0" w:noVBand="1"/>
      </w:tblPr>
      <w:tblGrid>
        <w:gridCol w:w="976"/>
        <w:gridCol w:w="976"/>
        <w:gridCol w:w="1468"/>
        <w:gridCol w:w="1080"/>
      </w:tblGrid>
      <w:tr w:rsidR="00D85251" w:rsidRPr="001B1399" w14:paraId="45B23D3A" w14:textId="77777777" w:rsidTr="00D85251">
        <w:trPr>
          <w:trHeight w:val="264"/>
          <w:tblHeader/>
        </w:trPr>
        <w:tc>
          <w:tcPr>
            <w:tcW w:w="976" w:type="dxa"/>
            <w:tcBorders>
              <w:top w:val="single" w:sz="4" w:space="0" w:color="auto"/>
              <w:left w:val="nil"/>
              <w:bottom w:val="single" w:sz="4" w:space="0" w:color="auto"/>
              <w:right w:val="nil"/>
            </w:tcBorders>
            <w:shd w:val="clear" w:color="auto" w:fill="auto"/>
            <w:noWrap/>
            <w:vAlign w:val="bottom"/>
            <w:hideMark/>
          </w:tcPr>
          <w:p w14:paraId="384C60B6" w14:textId="77777777" w:rsidR="00D85251" w:rsidRPr="001B1399" w:rsidRDefault="00D85251" w:rsidP="00816475">
            <w:pPr>
              <w:pStyle w:val="TableBodyText"/>
            </w:pPr>
            <w:r w:rsidRPr="001B1399">
              <w:t>Study</w:t>
            </w:r>
          </w:p>
        </w:tc>
        <w:tc>
          <w:tcPr>
            <w:tcW w:w="976" w:type="dxa"/>
            <w:tcBorders>
              <w:top w:val="single" w:sz="4" w:space="0" w:color="auto"/>
              <w:left w:val="nil"/>
              <w:bottom w:val="single" w:sz="4" w:space="0" w:color="auto"/>
              <w:right w:val="nil"/>
            </w:tcBorders>
            <w:shd w:val="clear" w:color="auto" w:fill="auto"/>
            <w:noWrap/>
            <w:vAlign w:val="bottom"/>
            <w:hideMark/>
          </w:tcPr>
          <w:p w14:paraId="6526E607" w14:textId="77777777" w:rsidR="00D85251" w:rsidRPr="001B1399" w:rsidRDefault="00D85251" w:rsidP="00816475">
            <w:pPr>
              <w:pStyle w:val="TableBodyText"/>
            </w:pPr>
            <w:r w:rsidRPr="001B1399">
              <w:t>Analysis</w:t>
            </w:r>
          </w:p>
        </w:tc>
        <w:tc>
          <w:tcPr>
            <w:tcW w:w="1468" w:type="dxa"/>
            <w:tcBorders>
              <w:top w:val="single" w:sz="4" w:space="0" w:color="auto"/>
              <w:left w:val="nil"/>
              <w:bottom w:val="single" w:sz="4" w:space="0" w:color="auto"/>
              <w:right w:val="nil"/>
            </w:tcBorders>
            <w:shd w:val="clear" w:color="auto" w:fill="auto"/>
            <w:noWrap/>
            <w:vAlign w:val="bottom"/>
            <w:hideMark/>
          </w:tcPr>
          <w:p w14:paraId="2053986D" w14:textId="77777777" w:rsidR="00D85251" w:rsidRPr="001B1399" w:rsidRDefault="00D85251" w:rsidP="00816475">
            <w:pPr>
              <w:pStyle w:val="TableBodyText"/>
            </w:pPr>
            <w:r w:rsidRPr="001B1399">
              <w:t>Sample size</w:t>
            </w:r>
          </w:p>
        </w:tc>
        <w:tc>
          <w:tcPr>
            <w:tcW w:w="1080" w:type="dxa"/>
            <w:tcBorders>
              <w:top w:val="single" w:sz="4" w:space="0" w:color="auto"/>
              <w:left w:val="nil"/>
              <w:bottom w:val="single" w:sz="4" w:space="0" w:color="auto"/>
              <w:right w:val="nil"/>
            </w:tcBorders>
            <w:shd w:val="clear" w:color="auto" w:fill="auto"/>
            <w:noWrap/>
            <w:vAlign w:val="bottom"/>
            <w:hideMark/>
          </w:tcPr>
          <w:p w14:paraId="420B4711" w14:textId="77777777" w:rsidR="00D85251" w:rsidRPr="001B1399" w:rsidRDefault="00D85251" w:rsidP="00816475">
            <w:pPr>
              <w:pStyle w:val="TableBodyText"/>
            </w:pPr>
            <w:r w:rsidRPr="001B1399">
              <w:t>Fail rate</w:t>
            </w:r>
          </w:p>
        </w:tc>
      </w:tr>
      <w:tr w:rsidR="00D85251" w:rsidRPr="001B1399" w14:paraId="2D29BF54" w14:textId="77777777" w:rsidTr="00D85251">
        <w:trPr>
          <w:trHeight w:val="264"/>
        </w:trPr>
        <w:tc>
          <w:tcPr>
            <w:tcW w:w="976" w:type="dxa"/>
            <w:vMerge w:val="restart"/>
            <w:tcBorders>
              <w:top w:val="single" w:sz="4" w:space="0" w:color="auto"/>
              <w:left w:val="nil"/>
              <w:bottom w:val="dotted" w:sz="4" w:space="0" w:color="auto"/>
              <w:right w:val="nil"/>
            </w:tcBorders>
            <w:shd w:val="clear" w:color="auto" w:fill="auto"/>
            <w:noWrap/>
            <w:vAlign w:val="center"/>
            <w:hideMark/>
          </w:tcPr>
          <w:p w14:paraId="61E3C30B" w14:textId="77777777" w:rsidR="00D85251" w:rsidRPr="001B1399" w:rsidRDefault="00D85251" w:rsidP="00816475">
            <w:pPr>
              <w:pStyle w:val="TableBodyText"/>
            </w:pPr>
            <w:r w:rsidRPr="001B1399">
              <w:t>EPA</w:t>
            </w:r>
          </w:p>
        </w:tc>
        <w:tc>
          <w:tcPr>
            <w:tcW w:w="976" w:type="dxa"/>
            <w:tcBorders>
              <w:top w:val="single" w:sz="4" w:space="0" w:color="auto"/>
              <w:left w:val="nil"/>
              <w:bottom w:val="dotted" w:sz="4" w:space="0" w:color="auto"/>
              <w:right w:val="nil"/>
            </w:tcBorders>
            <w:shd w:val="clear" w:color="auto" w:fill="auto"/>
            <w:noWrap/>
            <w:vAlign w:val="bottom"/>
            <w:hideMark/>
          </w:tcPr>
          <w:p w14:paraId="79BE6930" w14:textId="77777777" w:rsidR="00D85251" w:rsidRPr="001B1399" w:rsidRDefault="00D85251" w:rsidP="00816475">
            <w:pPr>
              <w:pStyle w:val="TableBodyText"/>
            </w:pPr>
            <w:r w:rsidRPr="001B1399">
              <w:t>NOEC</w:t>
            </w:r>
          </w:p>
        </w:tc>
        <w:tc>
          <w:tcPr>
            <w:tcW w:w="1468" w:type="dxa"/>
            <w:tcBorders>
              <w:top w:val="single" w:sz="4" w:space="0" w:color="auto"/>
              <w:left w:val="nil"/>
              <w:bottom w:val="dotted" w:sz="4" w:space="0" w:color="auto"/>
              <w:right w:val="nil"/>
            </w:tcBorders>
            <w:shd w:val="clear" w:color="auto" w:fill="auto"/>
            <w:noWrap/>
            <w:vAlign w:val="bottom"/>
            <w:hideMark/>
          </w:tcPr>
          <w:p w14:paraId="18D661BB" w14:textId="77777777" w:rsidR="00D85251" w:rsidRPr="001B1399" w:rsidRDefault="00D85251" w:rsidP="00816475">
            <w:pPr>
              <w:pStyle w:val="TableBodyText"/>
            </w:pPr>
            <w:r w:rsidRPr="001B1399">
              <w:t>28</w:t>
            </w:r>
          </w:p>
        </w:tc>
        <w:tc>
          <w:tcPr>
            <w:tcW w:w="1080" w:type="dxa"/>
            <w:tcBorders>
              <w:top w:val="single" w:sz="4" w:space="0" w:color="auto"/>
              <w:left w:val="nil"/>
              <w:bottom w:val="dotted" w:sz="4" w:space="0" w:color="auto"/>
              <w:right w:val="nil"/>
            </w:tcBorders>
            <w:shd w:val="clear" w:color="auto" w:fill="auto"/>
            <w:noWrap/>
            <w:vAlign w:val="bottom"/>
            <w:hideMark/>
          </w:tcPr>
          <w:p w14:paraId="7370102F" w14:textId="77777777" w:rsidR="00D85251" w:rsidRPr="001B1399" w:rsidRDefault="00D85251" w:rsidP="00816475">
            <w:pPr>
              <w:pStyle w:val="TableBodyText"/>
            </w:pPr>
            <w:r w:rsidRPr="001B1399">
              <w:t>3.6%</w:t>
            </w:r>
          </w:p>
        </w:tc>
      </w:tr>
      <w:tr w:rsidR="00D85251" w:rsidRPr="001B1399" w14:paraId="0BA8635E" w14:textId="77777777" w:rsidTr="00D85251">
        <w:trPr>
          <w:trHeight w:val="264"/>
        </w:trPr>
        <w:tc>
          <w:tcPr>
            <w:tcW w:w="976" w:type="dxa"/>
            <w:vMerge/>
            <w:tcBorders>
              <w:top w:val="dotted" w:sz="4" w:space="0" w:color="auto"/>
              <w:left w:val="nil"/>
              <w:bottom w:val="dotted" w:sz="4" w:space="0" w:color="auto"/>
              <w:right w:val="nil"/>
            </w:tcBorders>
            <w:shd w:val="clear" w:color="auto" w:fill="auto"/>
            <w:noWrap/>
            <w:vAlign w:val="center"/>
            <w:hideMark/>
          </w:tcPr>
          <w:p w14:paraId="359DD4DB" w14:textId="77777777" w:rsidR="00D85251" w:rsidRPr="001B1399" w:rsidRDefault="00D85251" w:rsidP="00816475">
            <w:pPr>
              <w:pStyle w:val="TableBodyText"/>
            </w:pPr>
          </w:p>
        </w:tc>
        <w:tc>
          <w:tcPr>
            <w:tcW w:w="976" w:type="dxa"/>
            <w:tcBorders>
              <w:top w:val="dotted" w:sz="4" w:space="0" w:color="auto"/>
              <w:left w:val="nil"/>
              <w:bottom w:val="dotted" w:sz="4" w:space="0" w:color="auto"/>
              <w:right w:val="nil"/>
            </w:tcBorders>
            <w:shd w:val="clear" w:color="auto" w:fill="auto"/>
            <w:noWrap/>
            <w:vAlign w:val="bottom"/>
            <w:hideMark/>
          </w:tcPr>
          <w:p w14:paraId="02FB9926" w14:textId="77777777" w:rsidR="00D85251" w:rsidRPr="001B1399" w:rsidRDefault="00D85251" w:rsidP="00816475">
            <w:pPr>
              <w:pStyle w:val="TableBodyText"/>
            </w:pPr>
            <w:r w:rsidRPr="001B1399">
              <w:t>IC25</w:t>
            </w:r>
          </w:p>
        </w:tc>
        <w:tc>
          <w:tcPr>
            <w:tcW w:w="1468" w:type="dxa"/>
            <w:tcBorders>
              <w:top w:val="dotted" w:sz="4" w:space="0" w:color="auto"/>
              <w:left w:val="nil"/>
              <w:bottom w:val="dotted" w:sz="4" w:space="0" w:color="auto"/>
              <w:right w:val="nil"/>
            </w:tcBorders>
            <w:shd w:val="clear" w:color="auto" w:fill="auto"/>
            <w:noWrap/>
            <w:vAlign w:val="bottom"/>
            <w:hideMark/>
          </w:tcPr>
          <w:p w14:paraId="092EF424" w14:textId="77777777" w:rsidR="00D85251" w:rsidRPr="001B1399" w:rsidRDefault="00D85251" w:rsidP="00816475">
            <w:pPr>
              <w:pStyle w:val="TableBodyText"/>
            </w:pPr>
            <w:r w:rsidRPr="001B1399">
              <w:t>28</w:t>
            </w:r>
          </w:p>
        </w:tc>
        <w:tc>
          <w:tcPr>
            <w:tcW w:w="1080" w:type="dxa"/>
            <w:tcBorders>
              <w:top w:val="dotted" w:sz="4" w:space="0" w:color="auto"/>
              <w:left w:val="nil"/>
              <w:bottom w:val="dotted" w:sz="4" w:space="0" w:color="auto"/>
              <w:right w:val="nil"/>
            </w:tcBorders>
            <w:shd w:val="clear" w:color="auto" w:fill="auto"/>
            <w:noWrap/>
            <w:vAlign w:val="bottom"/>
            <w:hideMark/>
          </w:tcPr>
          <w:p w14:paraId="6958B86F" w14:textId="77777777" w:rsidR="00D85251" w:rsidRPr="001B1399" w:rsidRDefault="00D85251" w:rsidP="00816475">
            <w:pPr>
              <w:pStyle w:val="TableBodyText"/>
            </w:pPr>
            <w:r w:rsidRPr="001B1399">
              <w:t>7.1%</w:t>
            </w:r>
          </w:p>
        </w:tc>
      </w:tr>
      <w:tr w:rsidR="00D85251" w:rsidRPr="001B1399" w14:paraId="421AACC5" w14:textId="77777777" w:rsidTr="00D85251">
        <w:trPr>
          <w:trHeight w:val="264"/>
        </w:trPr>
        <w:tc>
          <w:tcPr>
            <w:tcW w:w="976" w:type="dxa"/>
            <w:vMerge/>
            <w:tcBorders>
              <w:top w:val="dotted" w:sz="4" w:space="0" w:color="auto"/>
              <w:left w:val="nil"/>
              <w:bottom w:val="dotted" w:sz="4" w:space="0" w:color="auto"/>
              <w:right w:val="nil"/>
            </w:tcBorders>
            <w:shd w:val="clear" w:color="auto" w:fill="auto"/>
            <w:noWrap/>
            <w:vAlign w:val="center"/>
            <w:hideMark/>
          </w:tcPr>
          <w:p w14:paraId="55F8CAAA" w14:textId="77777777" w:rsidR="00D85251" w:rsidRPr="001B1399" w:rsidRDefault="00D85251" w:rsidP="00816475">
            <w:pPr>
              <w:pStyle w:val="TableBodyText"/>
            </w:pPr>
          </w:p>
        </w:tc>
        <w:tc>
          <w:tcPr>
            <w:tcW w:w="976" w:type="dxa"/>
            <w:tcBorders>
              <w:top w:val="dotted" w:sz="4" w:space="0" w:color="auto"/>
              <w:left w:val="nil"/>
              <w:bottom w:val="dotted" w:sz="4" w:space="0" w:color="auto"/>
              <w:right w:val="nil"/>
            </w:tcBorders>
            <w:shd w:val="clear" w:color="auto" w:fill="auto"/>
            <w:noWrap/>
            <w:vAlign w:val="bottom"/>
            <w:hideMark/>
          </w:tcPr>
          <w:p w14:paraId="4483BA78" w14:textId="77777777" w:rsidR="00D85251" w:rsidRPr="001B1399" w:rsidRDefault="00D85251" w:rsidP="00816475">
            <w:pPr>
              <w:pStyle w:val="TableBodyText"/>
            </w:pPr>
            <w:r w:rsidRPr="001B1399">
              <w:t>TST</w:t>
            </w:r>
          </w:p>
        </w:tc>
        <w:tc>
          <w:tcPr>
            <w:tcW w:w="1468" w:type="dxa"/>
            <w:tcBorders>
              <w:top w:val="dotted" w:sz="4" w:space="0" w:color="auto"/>
              <w:left w:val="nil"/>
              <w:bottom w:val="dotted" w:sz="4" w:space="0" w:color="auto"/>
              <w:right w:val="nil"/>
            </w:tcBorders>
            <w:shd w:val="clear" w:color="auto" w:fill="auto"/>
            <w:noWrap/>
            <w:vAlign w:val="bottom"/>
            <w:hideMark/>
          </w:tcPr>
          <w:p w14:paraId="0C9557DA" w14:textId="77777777" w:rsidR="00D85251" w:rsidRPr="001B1399" w:rsidRDefault="00D85251" w:rsidP="00816475">
            <w:pPr>
              <w:pStyle w:val="TableBodyText"/>
            </w:pPr>
            <w:r w:rsidRPr="001B1399">
              <w:t>28</w:t>
            </w:r>
          </w:p>
        </w:tc>
        <w:tc>
          <w:tcPr>
            <w:tcW w:w="1080" w:type="dxa"/>
            <w:tcBorders>
              <w:top w:val="dotted" w:sz="4" w:space="0" w:color="auto"/>
              <w:left w:val="nil"/>
              <w:bottom w:val="dotted" w:sz="4" w:space="0" w:color="auto"/>
              <w:right w:val="nil"/>
            </w:tcBorders>
            <w:shd w:val="clear" w:color="auto" w:fill="auto"/>
            <w:noWrap/>
            <w:vAlign w:val="bottom"/>
            <w:hideMark/>
          </w:tcPr>
          <w:p w14:paraId="5857F9E5" w14:textId="77777777" w:rsidR="00D85251" w:rsidRPr="001B1399" w:rsidRDefault="00D85251" w:rsidP="00816475">
            <w:pPr>
              <w:pStyle w:val="TableBodyText"/>
            </w:pPr>
            <w:r w:rsidRPr="001B1399">
              <w:t>14%</w:t>
            </w:r>
          </w:p>
        </w:tc>
      </w:tr>
      <w:tr w:rsidR="00D85251" w:rsidRPr="001B1399" w14:paraId="7EE06A81" w14:textId="77777777" w:rsidTr="00D85251">
        <w:trPr>
          <w:trHeight w:val="264"/>
        </w:trPr>
        <w:tc>
          <w:tcPr>
            <w:tcW w:w="976" w:type="dxa"/>
            <w:vMerge w:val="restart"/>
            <w:tcBorders>
              <w:top w:val="dotted" w:sz="4" w:space="0" w:color="auto"/>
              <w:left w:val="nil"/>
              <w:bottom w:val="dotted" w:sz="4" w:space="0" w:color="auto"/>
              <w:right w:val="nil"/>
            </w:tcBorders>
            <w:shd w:val="clear" w:color="auto" w:fill="auto"/>
            <w:noWrap/>
            <w:vAlign w:val="center"/>
            <w:hideMark/>
          </w:tcPr>
          <w:p w14:paraId="1462CE98" w14:textId="77777777" w:rsidR="00D85251" w:rsidRPr="001B1399" w:rsidRDefault="00D85251" w:rsidP="00816475">
            <w:pPr>
              <w:pStyle w:val="TableBodyText"/>
            </w:pPr>
            <w:r w:rsidRPr="001B1399">
              <w:t>SMC</w:t>
            </w:r>
          </w:p>
        </w:tc>
        <w:tc>
          <w:tcPr>
            <w:tcW w:w="976" w:type="dxa"/>
            <w:tcBorders>
              <w:top w:val="dotted" w:sz="4" w:space="0" w:color="auto"/>
              <w:left w:val="nil"/>
              <w:bottom w:val="dotted" w:sz="4" w:space="0" w:color="auto"/>
              <w:right w:val="nil"/>
            </w:tcBorders>
            <w:shd w:val="clear" w:color="auto" w:fill="auto"/>
            <w:noWrap/>
            <w:vAlign w:val="bottom"/>
            <w:hideMark/>
          </w:tcPr>
          <w:p w14:paraId="2D9C6C92" w14:textId="77777777" w:rsidR="00D85251" w:rsidRPr="001B1399" w:rsidRDefault="00D85251" w:rsidP="00816475">
            <w:pPr>
              <w:pStyle w:val="TableBodyText"/>
            </w:pPr>
            <w:r w:rsidRPr="001B1399">
              <w:t>NOEC</w:t>
            </w:r>
          </w:p>
        </w:tc>
        <w:tc>
          <w:tcPr>
            <w:tcW w:w="1468" w:type="dxa"/>
            <w:tcBorders>
              <w:top w:val="dotted" w:sz="4" w:space="0" w:color="auto"/>
              <w:left w:val="nil"/>
              <w:bottom w:val="dotted" w:sz="4" w:space="0" w:color="auto"/>
              <w:right w:val="nil"/>
            </w:tcBorders>
            <w:shd w:val="clear" w:color="auto" w:fill="auto"/>
            <w:noWrap/>
            <w:vAlign w:val="bottom"/>
            <w:hideMark/>
          </w:tcPr>
          <w:p w14:paraId="64FDDE3A" w14:textId="77777777" w:rsidR="00D85251" w:rsidRPr="001B1399" w:rsidRDefault="00D85251" w:rsidP="00816475">
            <w:pPr>
              <w:pStyle w:val="TableBodyText"/>
            </w:pPr>
            <w:r w:rsidRPr="001B1399">
              <w:t>22</w:t>
            </w:r>
          </w:p>
        </w:tc>
        <w:tc>
          <w:tcPr>
            <w:tcW w:w="1080" w:type="dxa"/>
            <w:tcBorders>
              <w:top w:val="dotted" w:sz="4" w:space="0" w:color="auto"/>
              <w:left w:val="nil"/>
              <w:bottom w:val="dotted" w:sz="4" w:space="0" w:color="auto"/>
              <w:right w:val="nil"/>
            </w:tcBorders>
            <w:shd w:val="clear" w:color="auto" w:fill="auto"/>
            <w:noWrap/>
            <w:vAlign w:val="bottom"/>
            <w:hideMark/>
          </w:tcPr>
          <w:p w14:paraId="7A4331F5" w14:textId="77777777" w:rsidR="00D85251" w:rsidRPr="001B1399" w:rsidRDefault="00D85251" w:rsidP="00816475">
            <w:pPr>
              <w:pStyle w:val="TableBodyText"/>
            </w:pPr>
            <w:r w:rsidRPr="001B1399">
              <w:t>36%</w:t>
            </w:r>
          </w:p>
        </w:tc>
      </w:tr>
      <w:tr w:rsidR="00D85251" w:rsidRPr="001B1399" w14:paraId="0B0E69AA" w14:textId="77777777" w:rsidTr="00D85251">
        <w:trPr>
          <w:trHeight w:val="264"/>
        </w:trPr>
        <w:tc>
          <w:tcPr>
            <w:tcW w:w="976" w:type="dxa"/>
            <w:vMerge/>
            <w:tcBorders>
              <w:top w:val="dotted" w:sz="4" w:space="0" w:color="auto"/>
              <w:left w:val="nil"/>
              <w:bottom w:val="dotted" w:sz="4" w:space="0" w:color="auto"/>
              <w:right w:val="nil"/>
            </w:tcBorders>
            <w:shd w:val="clear" w:color="auto" w:fill="auto"/>
            <w:noWrap/>
            <w:vAlign w:val="center"/>
            <w:hideMark/>
          </w:tcPr>
          <w:p w14:paraId="0262C34A" w14:textId="77777777" w:rsidR="00D85251" w:rsidRPr="001B1399" w:rsidRDefault="00D85251" w:rsidP="00816475">
            <w:pPr>
              <w:pStyle w:val="TableBodyText"/>
            </w:pPr>
          </w:p>
        </w:tc>
        <w:tc>
          <w:tcPr>
            <w:tcW w:w="976" w:type="dxa"/>
            <w:tcBorders>
              <w:top w:val="dotted" w:sz="4" w:space="0" w:color="auto"/>
              <w:left w:val="nil"/>
              <w:bottom w:val="dotted" w:sz="4" w:space="0" w:color="auto"/>
              <w:right w:val="nil"/>
            </w:tcBorders>
            <w:shd w:val="clear" w:color="auto" w:fill="auto"/>
            <w:noWrap/>
            <w:vAlign w:val="bottom"/>
            <w:hideMark/>
          </w:tcPr>
          <w:p w14:paraId="21EA9B11" w14:textId="77777777" w:rsidR="00D85251" w:rsidRPr="001B1399" w:rsidRDefault="00D85251" w:rsidP="00816475">
            <w:pPr>
              <w:pStyle w:val="TableBodyText"/>
            </w:pPr>
            <w:r w:rsidRPr="001B1399">
              <w:t>IC25</w:t>
            </w:r>
          </w:p>
        </w:tc>
        <w:tc>
          <w:tcPr>
            <w:tcW w:w="1468" w:type="dxa"/>
            <w:tcBorders>
              <w:top w:val="dotted" w:sz="4" w:space="0" w:color="auto"/>
              <w:left w:val="nil"/>
              <w:bottom w:val="dotted" w:sz="4" w:space="0" w:color="auto"/>
              <w:right w:val="nil"/>
            </w:tcBorders>
            <w:shd w:val="clear" w:color="auto" w:fill="auto"/>
            <w:noWrap/>
            <w:vAlign w:val="bottom"/>
            <w:hideMark/>
          </w:tcPr>
          <w:p w14:paraId="404BA2F6" w14:textId="77777777" w:rsidR="00D85251" w:rsidRPr="001B1399" w:rsidRDefault="00D85251" w:rsidP="00816475">
            <w:pPr>
              <w:pStyle w:val="TableBodyText"/>
            </w:pPr>
            <w:r w:rsidRPr="001B1399">
              <w:t>22</w:t>
            </w:r>
          </w:p>
        </w:tc>
        <w:tc>
          <w:tcPr>
            <w:tcW w:w="1080" w:type="dxa"/>
            <w:tcBorders>
              <w:top w:val="dotted" w:sz="4" w:space="0" w:color="auto"/>
              <w:left w:val="nil"/>
              <w:bottom w:val="dotted" w:sz="4" w:space="0" w:color="auto"/>
              <w:right w:val="nil"/>
            </w:tcBorders>
            <w:shd w:val="clear" w:color="auto" w:fill="auto"/>
            <w:noWrap/>
            <w:vAlign w:val="bottom"/>
            <w:hideMark/>
          </w:tcPr>
          <w:p w14:paraId="30B7824C" w14:textId="77777777" w:rsidR="00D85251" w:rsidRPr="001B1399" w:rsidRDefault="00D85251" w:rsidP="00816475">
            <w:pPr>
              <w:pStyle w:val="TableBodyText"/>
            </w:pPr>
            <w:r w:rsidRPr="001B1399">
              <w:t>45%</w:t>
            </w:r>
          </w:p>
        </w:tc>
      </w:tr>
      <w:tr w:rsidR="00D85251" w:rsidRPr="001B1399" w14:paraId="1322E7B0" w14:textId="77777777" w:rsidTr="00D85251">
        <w:trPr>
          <w:trHeight w:val="264"/>
        </w:trPr>
        <w:tc>
          <w:tcPr>
            <w:tcW w:w="976" w:type="dxa"/>
            <w:vMerge/>
            <w:tcBorders>
              <w:top w:val="dotted" w:sz="4" w:space="0" w:color="auto"/>
              <w:left w:val="nil"/>
              <w:bottom w:val="dotted" w:sz="4" w:space="0" w:color="auto"/>
              <w:right w:val="nil"/>
            </w:tcBorders>
            <w:shd w:val="clear" w:color="auto" w:fill="auto"/>
            <w:noWrap/>
            <w:vAlign w:val="center"/>
            <w:hideMark/>
          </w:tcPr>
          <w:p w14:paraId="42F8603F" w14:textId="77777777" w:rsidR="00D85251" w:rsidRPr="001B1399" w:rsidRDefault="00D85251" w:rsidP="00816475">
            <w:pPr>
              <w:pStyle w:val="TableBodyText"/>
            </w:pPr>
          </w:p>
        </w:tc>
        <w:tc>
          <w:tcPr>
            <w:tcW w:w="976" w:type="dxa"/>
            <w:tcBorders>
              <w:top w:val="dotted" w:sz="4" w:space="0" w:color="auto"/>
              <w:left w:val="nil"/>
              <w:bottom w:val="dotted" w:sz="4" w:space="0" w:color="auto"/>
              <w:right w:val="nil"/>
            </w:tcBorders>
            <w:shd w:val="clear" w:color="auto" w:fill="auto"/>
            <w:noWrap/>
            <w:vAlign w:val="bottom"/>
            <w:hideMark/>
          </w:tcPr>
          <w:p w14:paraId="4D912149" w14:textId="77777777" w:rsidR="00D85251" w:rsidRPr="001B1399" w:rsidRDefault="00D85251" w:rsidP="00816475">
            <w:pPr>
              <w:pStyle w:val="TableBodyText"/>
            </w:pPr>
            <w:r w:rsidRPr="001B1399">
              <w:t>TST</w:t>
            </w:r>
          </w:p>
        </w:tc>
        <w:tc>
          <w:tcPr>
            <w:tcW w:w="1468" w:type="dxa"/>
            <w:tcBorders>
              <w:top w:val="dotted" w:sz="4" w:space="0" w:color="auto"/>
              <w:left w:val="nil"/>
              <w:bottom w:val="dotted" w:sz="4" w:space="0" w:color="auto"/>
              <w:right w:val="nil"/>
            </w:tcBorders>
            <w:shd w:val="clear" w:color="auto" w:fill="auto"/>
            <w:noWrap/>
            <w:vAlign w:val="bottom"/>
            <w:hideMark/>
          </w:tcPr>
          <w:p w14:paraId="53B6C389" w14:textId="77777777" w:rsidR="00D85251" w:rsidRPr="001B1399" w:rsidRDefault="00D85251" w:rsidP="00816475">
            <w:pPr>
              <w:pStyle w:val="TableBodyText"/>
            </w:pPr>
            <w:r w:rsidRPr="001B1399">
              <w:t>22</w:t>
            </w:r>
          </w:p>
        </w:tc>
        <w:tc>
          <w:tcPr>
            <w:tcW w:w="1080" w:type="dxa"/>
            <w:tcBorders>
              <w:top w:val="dotted" w:sz="4" w:space="0" w:color="auto"/>
              <w:left w:val="nil"/>
              <w:bottom w:val="dotted" w:sz="4" w:space="0" w:color="auto"/>
              <w:right w:val="nil"/>
            </w:tcBorders>
            <w:shd w:val="clear" w:color="auto" w:fill="auto"/>
            <w:noWrap/>
            <w:vAlign w:val="bottom"/>
            <w:hideMark/>
          </w:tcPr>
          <w:p w14:paraId="25784CB1" w14:textId="77777777" w:rsidR="00D85251" w:rsidRPr="001B1399" w:rsidRDefault="00D85251" w:rsidP="00816475">
            <w:pPr>
              <w:pStyle w:val="TableBodyText"/>
            </w:pPr>
            <w:r w:rsidRPr="001B1399">
              <w:t>55%</w:t>
            </w:r>
          </w:p>
        </w:tc>
      </w:tr>
      <w:tr w:rsidR="00D85251" w:rsidRPr="001B1399" w14:paraId="155478E1" w14:textId="77777777" w:rsidTr="00D85251">
        <w:trPr>
          <w:trHeight w:val="264"/>
        </w:trPr>
        <w:tc>
          <w:tcPr>
            <w:tcW w:w="976" w:type="dxa"/>
            <w:vMerge w:val="restart"/>
            <w:tcBorders>
              <w:top w:val="dotted" w:sz="4" w:space="0" w:color="auto"/>
              <w:left w:val="nil"/>
              <w:bottom w:val="dotted" w:sz="4" w:space="0" w:color="auto"/>
              <w:right w:val="nil"/>
            </w:tcBorders>
            <w:shd w:val="clear" w:color="auto" w:fill="auto"/>
            <w:noWrap/>
            <w:vAlign w:val="center"/>
            <w:hideMark/>
          </w:tcPr>
          <w:p w14:paraId="3D1F060E" w14:textId="77777777" w:rsidR="00D85251" w:rsidRPr="001B1399" w:rsidRDefault="00D85251" w:rsidP="00816475">
            <w:pPr>
              <w:pStyle w:val="TableBodyText"/>
            </w:pPr>
            <w:r w:rsidRPr="001B1399">
              <w:t>WC</w:t>
            </w:r>
          </w:p>
        </w:tc>
        <w:tc>
          <w:tcPr>
            <w:tcW w:w="976" w:type="dxa"/>
            <w:tcBorders>
              <w:top w:val="dotted" w:sz="4" w:space="0" w:color="auto"/>
              <w:left w:val="nil"/>
              <w:bottom w:val="dotted" w:sz="4" w:space="0" w:color="auto"/>
              <w:right w:val="nil"/>
            </w:tcBorders>
            <w:shd w:val="clear" w:color="auto" w:fill="auto"/>
            <w:noWrap/>
            <w:vAlign w:val="bottom"/>
            <w:hideMark/>
          </w:tcPr>
          <w:p w14:paraId="6A382CFC" w14:textId="77777777" w:rsidR="00D85251" w:rsidRPr="001B1399" w:rsidRDefault="00D85251" w:rsidP="00816475">
            <w:pPr>
              <w:pStyle w:val="TableBodyText"/>
            </w:pPr>
            <w:r w:rsidRPr="001B1399">
              <w:t>NOEC</w:t>
            </w:r>
          </w:p>
        </w:tc>
        <w:tc>
          <w:tcPr>
            <w:tcW w:w="1468" w:type="dxa"/>
            <w:tcBorders>
              <w:top w:val="dotted" w:sz="4" w:space="0" w:color="auto"/>
              <w:left w:val="nil"/>
              <w:bottom w:val="dotted" w:sz="4" w:space="0" w:color="auto"/>
              <w:right w:val="nil"/>
            </w:tcBorders>
            <w:shd w:val="clear" w:color="auto" w:fill="auto"/>
            <w:noWrap/>
            <w:vAlign w:val="bottom"/>
            <w:hideMark/>
          </w:tcPr>
          <w:p w14:paraId="0822C0F4" w14:textId="4CC42700" w:rsidR="00D85251" w:rsidRPr="001B1399" w:rsidRDefault="00D85251" w:rsidP="00816475">
            <w:pPr>
              <w:pStyle w:val="TableBodyText"/>
            </w:pPr>
            <w:r w:rsidRPr="001B1399">
              <w:t>2</w:t>
            </w:r>
            <w:r w:rsidR="00DD0E5D">
              <w:t>1</w:t>
            </w:r>
          </w:p>
        </w:tc>
        <w:tc>
          <w:tcPr>
            <w:tcW w:w="1080" w:type="dxa"/>
            <w:tcBorders>
              <w:top w:val="dotted" w:sz="4" w:space="0" w:color="auto"/>
              <w:left w:val="nil"/>
              <w:bottom w:val="dotted" w:sz="4" w:space="0" w:color="auto"/>
              <w:right w:val="nil"/>
            </w:tcBorders>
            <w:shd w:val="clear" w:color="auto" w:fill="auto"/>
            <w:noWrap/>
            <w:vAlign w:val="bottom"/>
            <w:hideMark/>
          </w:tcPr>
          <w:p w14:paraId="3850F85A" w14:textId="02A741ED" w:rsidR="00D85251" w:rsidRPr="001B1399" w:rsidRDefault="00DD0E5D" w:rsidP="00816475">
            <w:pPr>
              <w:pStyle w:val="TableBodyText"/>
            </w:pPr>
            <w:r>
              <w:t>33</w:t>
            </w:r>
            <w:r w:rsidR="00D85251" w:rsidRPr="001B1399">
              <w:t>%</w:t>
            </w:r>
          </w:p>
        </w:tc>
      </w:tr>
      <w:tr w:rsidR="00D85251" w:rsidRPr="001B1399" w14:paraId="0EF10DEC" w14:textId="77777777" w:rsidTr="00D85251">
        <w:trPr>
          <w:trHeight w:val="264"/>
        </w:trPr>
        <w:tc>
          <w:tcPr>
            <w:tcW w:w="976" w:type="dxa"/>
            <w:vMerge/>
            <w:tcBorders>
              <w:top w:val="dotted" w:sz="4" w:space="0" w:color="auto"/>
              <w:left w:val="nil"/>
              <w:bottom w:val="dotted" w:sz="4" w:space="0" w:color="auto"/>
              <w:right w:val="nil"/>
            </w:tcBorders>
            <w:shd w:val="clear" w:color="auto" w:fill="auto"/>
            <w:noWrap/>
            <w:vAlign w:val="bottom"/>
            <w:hideMark/>
          </w:tcPr>
          <w:p w14:paraId="64ADFD98" w14:textId="77777777" w:rsidR="00D85251" w:rsidRPr="001B1399" w:rsidRDefault="00D85251" w:rsidP="00816475">
            <w:pPr>
              <w:pStyle w:val="TableBodyText"/>
            </w:pPr>
          </w:p>
        </w:tc>
        <w:tc>
          <w:tcPr>
            <w:tcW w:w="976" w:type="dxa"/>
            <w:tcBorders>
              <w:top w:val="dotted" w:sz="4" w:space="0" w:color="auto"/>
              <w:left w:val="nil"/>
              <w:bottom w:val="dotted" w:sz="4" w:space="0" w:color="auto"/>
              <w:right w:val="nil"/>
            </w:tcBorders>
            <w:shd w:val="clear" w:color="auto" w:fill="auto"/>
            <w:noWrap/>
            <w:vAlign w:val="bottom"/>
            <w:hideMark/>
          </w:tcPr>
          <w:p w14:paraId="01E6905B" w14:textId="77777777" w:rsidR="00D85251" w:rsidRPr="001B1399" w:rsidRDefault="00D85251" w:rsidP="00816475">
            <w:pPr>
              <w:pStyle w:val="TableBodyText"/>
            </w:pPr>
            <w:r w:rsidRPr="001B1399">
              <w:t>IC25</w:t>
            </w:r>
          </w:p>
        </w:tc>
        <w:tc>
          <w:tcPr>
            <w:tcW w:w="1468" w:type="dxa"/>
            <w:tcBorders>
              <w:top w:val="dotted" w:sz="4" w:space="0" w:color="auto"/>
              <w:left w:val="nil"/>
              <w:bottom w:val="dotted" w:sz="4" w:space="0" w:color="auto"/>
              <w:right w:val="nil"/>
            </w:tcBorders>
            <w:shd w:val="clear" w:color="auto" w:fill="auto"/>
            <w:noWrap/>
            <w:vAlign w:val="bottom"/>
            <w:hideMark/>
          </w:tcPr>
          <w:p w14:paraId="053CA843" w14:textId="0811EFD0" w:rsidR="00D85251" w:rsidRPr="001B1399" w:rsidRDefault="00D85251" w:rsidP="00816475">
            <w:pPr>
              <w:pStyle w:val="TableBodyText"/>
            </w:pPr>
            <w:r w:rsidRPr="001B1399">
              <w:t>2</w:t>
            </w:r>
            <w:r w:rsidR="00DD0E5D">
              <w:t>1</w:t>
            </w:r>
          </w:p>
        </w:tc>
        <w:tc>
          <w:tcPr>
            <w:tcW w:w="1080" w:type="dxa"/>
            <w:tcBorders>
              <w:top w:val="dotted" w:sz="4" w:space="0" w:color="auto"/>
              <w:left w:val="nil"/>
              <w:bottom w:val="dotted" w:sz="4" w:space="0" w:color="auto"/>
              <w:right w:val="nil"/>
            </w:tcBorders>
            <w:shd w:val="clear" w:color="auto" w:fill="auto"/>
            <w:noWrap/>
            <w:vAlign w:val="bottom"/>
            <w:hideMark/>
          </w:tcPr>
          <w:p w14:paraId="030FC479" w14:textId="176CB402" w:rsidR="00D85251" w:rsidRPr="001B1399" w:rsidRDefault="00DD0E5D" w:rsidP="00816475">
            <w:pPr>
              <w:pStyle w:val="TableBodyText"/>
            </w:pPr>
            <w:r>
              <w:t>33</w:t>
            </w:r>
            <w:r w:rsidR="00D85251" w:rsidRPr="001B1399">
              <w:t>%</w:t>
            </w:r>
          </w:p>
        </w:tc>
      </w:tr>
      <w:tr w:rsidR="00D85251" w:rsidRPr="001B1399" w14:paraId="5C78597C" w14:textId="77777777" w:rsidTr="00D85251">
        <w:trPr>
          <w:trHeight w:val="264"/>
        </w:trPr>
        <w:tc>
          <w:tcPr>
            <w:tcW w:w="976" w:type="dxa"/>
            <w:vMerge/>
            <w:tcBorders>
              <w:top w:val="dotted" w:sz="4" w:space="0" w:color="auto"/>
              <w:left w:val="nil"/>
              <w:bottom w:val="single" w:sz="4" w:space="0" w:color="auto"/>
              <w:right w:val="nil"/>
            </w:tcBorders>
            <w:shd w:val="clear" w:color="auto" w:fill="auto"/>
            <w:noWrap/>
            <w:vAlign w:val="bottom"/>
            <w:hideMark/>
          </w:tcPr>
          <w:p w14:paraId="50AFD541" w14:textId="77777777" w:rsidR="00D85251" w:rsidRPr="001B1399" w:rsidRDefault="00D85251" w:rsidP="00816475">
            <w:pPr>
              <w:pStyle w:val="TableBodyText"/>
            </w:pPr>
          </w:p>
        </w:tc>
        <w:tc>
          <w:tcPr>
            <w:tcW w:w="976" w:type="dxa"/>
            <w:tcBorders>
              <w:top w:val="dotted" w:sz="4" w:space="0" w:color="auto"/>
              <w:left w:val="nil"/>
              <w:bottom w:val="single" w:sz="4" w:space="0" w:color="auto"/>
              <w:right w:val="nil"/>
            </w:tcBorders>
            <w:shd w:val="clear" w:color="auto" w:fill="auto"/>
            <w:noWrap/>
            <w:vAlign w:val="bottom"/>
            <w:hideMark/>
          </w:tcPr>
          <w:p w14:paraId="0495033A" w14:textId="77777777" w:rsidR="00D85251" w:rsidRPr="001B1399" w:rsidRDefault="00D85251" w:rsidP="00816475">
            <w:pPr>
              <w:pStyle w:val="TableBodyText"/>
            </w:pPr>
            <w:r w:rsidRPr="001B1399">
              <w:t>TST</w:t>
            </w:r>
          </w:p>
        </w:tc>
        <w:tc>
          <w:tcPr>
            <w:tcW w:w="1468" w:type="dxa"/>
            <w:tcBorders>
              <w:top w:val="dotted" w:sz="4" w:space="0" w:color="auto"/>
              <w:left w:val="nil"/>
              <w:bottom w:val="single" w:sz="4" w:space="0" w:color="auto"/>
              <w:right w:val="nil"/>
            </w:tcBorders>
            <w:shd w:val="clear" w:color="auto" w:fill="auto"/>
            <w:noWrap/>
            <w:vAlign w:val="bottom"/>
            <w:hideMark/>
          </w:tcPr>
          <w:p w14:paraId="63A9813D" w14:textId="63D921B2" w:rsidR="00D85251" w:rsidRPr="001B1399" w:rsidRDefault="00D85251" w:rsidP="00816475">
            <w:pPr>
              <w:pStyle w:val="TableBodyText"/>
            </w:pPr>
            <w:r w:rsidRPr="001B1399">
              <w:t>2</w:t>
            </w:r>
            <w:r w:rsidR="00DD0E5D">
              <w:t>1</w:t>
            </w:r>
          </w:p>
        </w:tc>
        <w:tc>
          <w:tcPr>
            <w:tcW w:w="1080" w:type="dxa"/>
            <w:tcBorders>
              <w:top w:val="dotted" w:sz="4" w:space="0" w:color="auto"/>
              <w:left w:val="nil"/>
              <w:bottom w:val="single" w:sz="4" w:space="0" w:color="auto"/>
              <w:right w:val="nil"/>
            </w:tcBorders>
            <w:shd w:val="clear" w:color="auto" w:fill="auto"/>
            <w:noWrap/>
            <w:vAlign w:val="bottom"/>
            <w:hideMark/>
          </w:tcPr>
          <w:p w14:paraId="78CFF1B3" w14:textId="0EE7D468" w:rsidR="00D85251" w:rsidRPr="001B1399" w:rsidRDefault="00DD0E5D" w:rsidP="00816475">
            <w:pPr>
              <w:pStyle w:val="TableBodyText"/>
            </w:pPr>
            <w:r>
              <w:t>38</w:t>
            </w:r>
            <w:r w:rsidR="00D85251" w:rsidRPr="001B1399">
              <w:t>%</w:t>
            </w:r>
          </w:p>
        </w:tc>
      </w:tr>
    </w:tbl>
    <w:p w14:paraId="100DD4D3" w14:textId="77777777" w:rsidR="00D85251" w:rsidRPr="00A9704C" w:rsidRDefault="00D85251" w:rsidP="00112D21">
      <w:pPr>
        <w:pStyle w:val="TableFootnote"/>
      </w:pPr>
    </w:p>
    <w:p w14:paraId="7DAA4FE8" w14:textId="77777777" w:rsidR="00D85251" w:rsidRPr="001B1399" w:rsidRDefault="00D85251" w:rsidP="00816475">
      <w:pPr>
        <w:pStyle w:val="Heading4"/>
      </w:pPr>
      <w:r w:rsidRPr="001B1399">
        <w:t>T-Tests and Power Analyses</w:t>
      </w:r>
    </w:p>
    <w:p w14:paraId="09C86C66" w14:textId="77777777" w:rsidR="00D85251" w:rsidRPr="00816475" w:rsidRDefault="00D85251" w:rsidP="00816475">
      <w:pPr>
        <w:keepNext/>
        <w:keepLines/>
        <w:spacing w:before="120"/>
        <w:rPr>
          <w:rFonts w:cs="Times New Roman"/>
          <w:szCs w:val="24"/>
        </w:rPr>
      </w:pPr>
      <w:r w:rsidRPr="00816475">
        <w:rPr>
          <w:rFonts w:cs="Times New Roman"/>
          <w:szCs w:val="24"/>
        </w:rPr>
        <w:t xml:space="preserve">Statistical differences between two datasets can be determined using a paired t-test when each dataset contains the same number of samples. The statistical significance of the differences determined (mean paired difference) can be estimated using the p-value. A p-value below 0.05 is considered to represent statistical significance. The confidence level, or number of samples required to achieve a higher confidence level, can be determined using a power analysis. A confidence level or power of 80% has </w:t>
      </w:r>
      <w:proofErr w:type="gramStart"/>
      <w:r w:rsidRPr="00816475">
        <w:rPr>
          <w:rFonts w:cs="Times New Roman"/>
          <w:szCs w:val="24"/>
        </w:rPr>
        <w:t>been considered to be</w:t>
      </w:r>
      <w:proofErr w:type="gramEnd"/>
      <w:r w:rsidRPr="00816475">
        <w:rPr>
          <w:rFonts w:cs="Times New Roman"/>
          <w:szCs w:val="24"/>
        </w:rPr>
        <w:t xml:space="preserve"> “sufficient” by the statistician Jacob Cohen (1988)</w:t>
      </w:r>
      <w:r w:rsidRPr="00816475">
        <w:rPr>
          <w:rStyle w:val="FootnoteReference"/>
          <w:rFonts w:cs="Times New Roman"/>
          <w:szCs w:val="24"/>
        </w:rPr>
        <w:footnoteReference w:id="11"/>
      </w:r>
      <w:r w:rsidRPr="00816475">
        <w:rPr>
          <w:rFonts w:cs="Times New Roman"/>
          <w:szCs w:val="24"/>
        </w:rPr>
        <w:t>.</w:t>
      </w:r>
    </w:p>
    <w:p w14:paraId="68F334EF" w14:textId="33523A08" w:rsidR="00D85251" w:rsidRPr="00816475" w:rsidRDefault="00D85251" w:rsidP="00816475">
      <w:pPr>
        <w:spacing w:before="120"/>
        <w:rPr>
          <w:rFonts w:cs="Times New Roman"/>
          <w:szCs w:val="24"/>
        </w:rPr>
      </w:pPr>
      <w:r w:rsidRPr="00816475">
        <w:rPr>
          <w:rFonts w:cs="Times New Roman"/>
          <w:szCs w:val="24"/>
        </w:rPr>
        <w:t xml:space="preserve">The statistical differences between the results of each blank analysis and the results of an “ideal” analysis (containing all passing results, or </w:t>
      </w:r>
      <w:proofErr w:type="spellStart"/>
      <w:r w:rsidRPr="00816475">
        <w:rPr>
          <w:rFonts w:cs="Times New Roman"/>
          <w:szCs w:val="24"/>
        </w:rPr>
        <w:t>TUc</w:t>
      </w:r>
      <w:proofErr w:type="spellEnd"/>
      <w:r w:rsidRPr="00816475">
        <w:rPr>
          <w:rFonts w:cs="Times New Roman"/>
          <w:szCs w:val="24"/>
        </w:rPr>
        <w:t xml:space="preserve"> set equal to 1) were found to be significant (p-values below 0.05). However, only the TST analysis showed a confidence level </w:t>
      </w:r>
      <w:r w:rsidRPr="00F113BF">
        <w:rPr>
          <w:rFonts w:cs="Times New Roman"/>
          <w:szCs w:val="24"/>
        </w:rPr>
        <w:t>over 80% (</w:t>
      </w:r>
      <w:r w:rsidRPr="00816475">
        <w:rPr>
          <w:rFonts w:cs="Times New Roman"/>
          <w:szCs w:val="24"/>
        </w:rPr>
        <w:t xml:space="preserve">at </w:t>
      </w:r>
      <w:r w:rsidRPr="00F113BF">
        <w:rPr>
          <w:rFonts w:cs="Times New Roman"/>
          <w:szCs w:val="24"/>
        </w:rPr>
        <w:t>9</w:t>
      </w:r>
      <w:r w:rsidR="00F113BF" w:rsidRPr="00F113BF">
        <w:rPr>
          <w:rFonts w:cs="Times New Roman"/>
          <w:szCs w:val="24"/>
        </w:rPr>
        <w:t>3</w:t>
      </w:r>
      <w:r w:rsidRPr="00816475">
        <w:rPr>
          <w:rFonts w:cs="Times New Roman"/>
          <w:szCs w:val="24"/>
        </w:rPr>
        <w:t xml:space="preserve">%). As shown in </w:t>
      </w:r>
      <w:r w:rsidR="00816475" w:rsidRPr="00816475">
        <w:rPr>
          <w:rFonts w:cs="Times New Roman"/>
          <w:b/>
          <w:szCs w:val="24"/>
        </w:rPr>
        <w:fldChar w:fldCharType="begin"/>
      </w:r>
      <w:r w:rsidR="00816475" w:rsidRPr="00816475">
        <w:rPr>
          <w:rFonts w:cs="Times New Roman"/>
          <w:b/>
          <w:szCs w:val="24"/>
        </w:rPr>
        <w:instrText xml:space="preserve"> REF _Ref523920933 \h  \* MERGEFORMAT </w:instrText>
      </w:r>
      <w:r w:rsidR="00816475" w:rsidRPr="00816475">
        <w:rPr>
          <w:rFonts w:cs="Times New Roman"/>
          <w:b/>
          <w:szCs w:val="24"/>
        </w:rPr>
      </w:r>
      <w:r w:rsidR="00816475" w:rsidRPr="00816475">
        <w:rPr>
          <w:rFonts w:cs="Times New Roman"/>
          <w:b/>
          <w:szCs w:val="24"/>
        </w:rPr>
        <w:fldChar w:fldCharType="separate"/>
      </w:r>
      <w:r w:rsidR="00816475" w:rsidRPr="00816475">
        <w:rPr>
          <w:rFonts w:cs="Times New Roman"/>
          <w:b/>
          <w:szCs w:val="24"/>
        </w:rPr>
        <w:t xml:space="preserve">Table </w:t>
      </w:r>
      <w:r w:rsidR="00816475" w:rsidRPr="00816475">
        <w:rPr>
          <w:rFonts w:cs="Times New Roman"/>
          <w:b/>
          <w:noProof/>
          <w:szCs w:val="24"/>
        </w:rPr>
        <w:t>9</w:t>
      </w:r>
      <w:r w:rsidR="00816475" w:rsidRPr="00816475">
        <w:rPr>
          <w:rFonts w:cs="Times New Roman"/>
          <w:b/>
          <w:szCs w:val="24"/>
        </w:rPr>
        <w:fldChar w:fldCharType="end"/>
      </w:r>
      <w:r w:rsidRPr="00816475">
        <w:rPr>
          <w:rFonts w:cs="Times New Roman"/>
          <w:szCs w:val="24"/>
        </w:rPr>
        <w:t xml:space="preserve">, the number of samples necessary for a confidence level of 80% was found to </w:t>
      </w:r>
      <w:r w:rsidRPr="00F113BF">
        <w:rPr>
          <w:rFonts w:cs="Times New Roman"/>
          <w:szCs w:val="24"/>
        </w:rPr>
        <w:t xml:space="preserve">be </w:t>
      </w:r>
      <w:r w:rsidR="00F113BF" w:rsidRPr="00F113BF">
        <w:rPr>
          <w:rFonts w:cs="Times New Roman"/>
          <w:szCs w:val="24"/>
        </w:rPr>
        <w:t>88</w:t>
      </w:r>
      <w:r w:rsidRPr="00F113BF">
        <w:rPr>
          <w:rFonts w:cs="Times New Roman"/>
          <w:szCs w:val="24"/>
        </w:rPr>
        <w:t xml:space="preserve"> for the NOEC analysis and </w:t>
      </w:r>
      <w:r w:rsidR="00F113BF" w:rsidRPr="00F113BF">
        <w:rPr>
          <w:rFonts w:cs="Times New Roman"/>
          <w:szCs w:val="24"/>
        </w:rPr>
        <w:t>126</w:t>
      </w:r>
      <w:r w:rsidRPr="00F113BF">
        <w:rPr>
          <w:rFonts w:cs="Times New Roman"/>
          <w:szCs w:val="24"/>
        </w:rPr>
        <w:t xml:space="preserve"> for the</w:t>
      </w:r>
      <w:r w:rsidRPr="00816475">
        <w:rPr>
          <w:rFonts w:cs="Times New Roman"/>
          <w:szCs w:val="24"/>
        </w:rPr>
        <w:t xml:space="preserve"> IC25 analysis</w:t>
      </w:r>
      <w:r w:rsidRPr="00816475">
        <w:rPr>
          <w:rStyle w:val="FootnoteReference"/>
          <w:rFonts w:cs="Times New Roman"/>
          <w:szCs w:val="24"/>
        </w:rPr>
        <w:footnoteReference w:id="12"/>
      </w:r>
      <w:r w:rsidRPr="00816475">
        <w:rPr>
          <w:rFonts w:cs="Times New Roman"/>
          <w:szCs w:val="24"/>
        </w:rPr>
        <w:t xml:space="preserve">. </w:t>
      </w:r>
    </w:p>
    <w:p w14:paraId="55429149" w14:textId="4AF46A30" w:rsidR="00D85251" w:rsidRPr="001B1399" w:rsidRDefault="00D85251" w:rsidP="00816475">
      <w:pPr>
        <w:pStyle w:val="TableTitle"/>
      </w:pPr>
      <w:bookmarkStart w:id="30" w:name="_Ref523920933"/>
      <w:r w:rsidRPr="00F113BF">
        <w:t xml:space="preserve">Table </w:t>
      </w:r>
      <w:r w:rsidRPr="00F113BF">
        <w:rPr>
          <w:noProof/>
        </w:rPr>
        <w:fldChar w:fldCharType="begin"/>
      </w:r>
      <w:r w:rsidRPr="00F113BF">
        <w:rPr>
          <w:noProof/>
        </w:rPr>
        <w:instrText xml:space="preserve"> SEQ Table \* ARABIC </w:instrText>
      </w:r>
      <w:r w:rsidRPr="00F113BF">
        <w:rPr>
          <w:noProof/>
        </w:rPr>
        <w:fldChar w:fldCharType="separate"/>
      </w:r>
      <w:r w:rsidR="006F0139" w:rsidRPr="00F113BF">
        <w:rPr>
          <w:noProof/>
        </w:rPr>
        <w:t>9</w:t>
      </w:r>
      <w:r w:rsidRPr="00F113BF">
        <w:rPr>
          <w:noProof/>
        </w:rPr>
        <w:fldChar w:fldCharType="end"/>
      </w:r>
      <w:bookmarkEnd w:id="30"/>
      <w:r w:rsidRPr="00F113BF">
        <w:t>. Results of Comparison Between Blank Analyses and “Ideal” Analyses</w:t>
      </w:r>
    </w:p>
    <w:tbl>
      <w:tblPr>
        <w:tblW w:w="8767" w:type="dxa"/>
        <w:tblBorders>
          <w:top w:val="single" w:sz="4" w:space="0" w:color="auto"/>
          <w:bottom w:val="single" w:sz="4" w:space="0" w:color="auto"/>
        </w:tblBorders>
        <w:tblLook w:val="04A0" w:firstRow="1" w:lastRow="0" w:firstColumn="1" w:lastColumn="0" w:noHBand="0" w:noVBand="1"/>
      </w:tblPr>
      <w:tblGrid>
        <w:gridCol w:w="1056"/>
        <w:gridCol w:w="1128"/>
        <w:gridCol w:w="1050"/>
        <w:gridCol w:w="976"/>
        <w:gridCol w:w="1206"/>
        <w:gridCol w:w="1228"/>
        <w:gridCol w:w="895"/>
        <w:gridCol w:w="1228"/>
      </w:tblGrid>
      <w:tr w:rsidR="00D85251" w:rsidRPr="001B1399" w14:paraId="73925062" w14:textId="77777777" w:rsidTr="00FD4639">
        <w:trPr>
          <w:trHeight w:val="264"/>
          <w:tblHeader/>
        </w:trPr>
        <w:tc>
          <w:tcPr>
            <w:tcW w:w="1056" w:type="dxa"/>
            <w:tcBorders>
              <w:bottom w:val="single" w:sz="4" w:space="0" w:color="auto"/>
            </w:tcBorders>
            <w:shd w:val="clear" w:color="auto" w:fill="auto"/>
            <w:noWrap/>
            <w:vAlign w:val="bottom"/>
            <w:hideMark/>
          </w:tcPr>
          <w:p w14:paraId="75CC7CE6" w14:textId="77777777" w:rsidR="00D85251" w:rsidRPr="001B1399" w:rsidRDefault="00D85251" w:rsidP="00816475">
            <w:pPr>
              <w:pStyle w:val="TableBodyText"/>
            </w:pPr>
            <w:r w:rsidRPr="001B1399">
              <w:t>Analysis</w:t>
            </w:r>
          </w:p>
        </w:tc>
        <w:tc>
          <w:tcPr>
            <w:tcW w:w="1128" w:type="dxa"/>
            <w:tcBorders>
              <w:bottom w:val="single" w:sz="4" w:space="0" w:color="auto"/>
            </w:tcBorders>
            <w:shd w:val="clear" w:color="auto" w:fill="auto"/>
            <w:noWrap/>
            <w:vAlign w:val="bottom"/>
            <w:hideMark/>
          </w:tcPr>
          <w:p w14:paraId="40E08C86" w14:textId="77777777" w:rsidR="00D85251" w:rsidRPr="001B1399" w:rsidRDefault="00D85251" w:rsidP="00816475">
            <w:pPr>
              <w:pStyle w:val="TableBodyText"/>
              <w:rPr>
                <w:color w:val="000000"/>
              </w:rPr>
            </w:pPr>
            <w:r w:rsidRPr="001B1399">
              <w:rPr>
                <w:color w:val="000000"/>
              </w:rPr>
              <w:t xml:space="preserve">Mean Paired Difference </w:t>
            </w:r>
          </w:p>
        </w:tc>
        <w:tc>
          <w:tcPr>
            <w:tcW w:w="1050" w:type="dxa"/>
            <w:tcBorders>
              <w:bottom w:val="single" w:sz="4" w:space="0" w:color="auto"/>
            </w:tcBorders>
            <w:shd w:val="clear" w:color="auto" w:fill="auto"/>
            <w:noWrap/>
            <w:vAlign w:val="bottom"/>
            <w:hideMark/>
          </w:tcPr>
          <w:p w14:paraId="017BCC05" w14:textId="77777777" w:rsidR="00D85251" w:rsidRPr="001B1399" w:rsidRDefault="00D85251" w:rsidP="00816475">
            <w:pPr>
              <w:pStyle w:val="TableBodyText"/>
              <w:rPr>
                <w:color w:val="000000"/>
              </w:rPr>
            </w:pPr>
            <w:r w:rsidRPr="001B1399">
              <w:rPr>
                <w:color w:val="000000"/>
              </w:rPr>
              <w:t>Standard Deviation</w:t>
            </w:r>
          </w:p>
        </w:tc>
        <w:tc>
          <w:tcPr>
            <w:tcW w:w="976" w:type="dxa"/>
            <w:tcBorders>
              <w:bottom w:val="single" w:sz="4" w:space="0" w:color="auto"/>
            </w:tcBorders>
            <w:shd w:val="clear" w:color="auto" w:fill="auto"/>
            <w:noWrap/>
            <w:vAlign w:val="bottom"/>
            <w:hideMark/>
          </w:tcPr>
          <w:p w14:paraId="054E9F68" w14:textId="77777777" w:rsidR="00D85251" w:rsidRPr="001B1399" w:rsidRDefault="00D85251" w:rsidP="00816475">
            <w:pPr>
              <w:pStyle w:val="TableBodyText"/>
              <w:rPr>
                <w:color w:val="000000"/>
              </w:rPr>
            </w:pPr>
            <w:r w:rsidRPr="001B1399">
              <w:rPr>
                <w:color w:val="000000"/>
              </w:rPr>
              <w:t>p-value</w:t>
            </w:r>
          </w:p>
        </w:tc>
        <w:tc>
          <w:tcPr>
            <w:tcW w:w="1206" w:type="dxa"/>
            <w:tcBorders>
              <w:bottom w:val="single" w:sz="4" w:space="0" w:color="auto"/>
            </w:tcBorders>
            <w:shd w:val="clear" w:color="auto" w:fill="auto"/>
            <w:noWrap/>
            <w:vAlign w:val="bottom"/>
            <w:hideMark/>
          </w:tcPr>
          <w:p w14:paraId="3446061D" w14:textId="77777777" w:rsidR="00D85251" w:rsidRPr="001B1399" w:rsidRDefault="00D85251" w:rsidP="00816475">
            <w:pPr>
              <w:pStyle w:val="TableBodyText"/>
              <w:rPr>
                <w:color w:val="000000"/>
              </w:rPr>
            </w:pPr>
            <w:r w:rsidRPr="001B1399">
              <w:rPr>
                <w:color w:val="000000"/>
              </w:rPr>
              <w:t>Significant difference?</w:t>
            </w:r>
          </w:p>
        </w:tc>
        <w:tc>
          <w:tcPr>
            <w:tcW w:w="1228" w:type="dxa"/>
            <w:tcBorders>
              <w:bottom w:val="single" w:sz="4" w:space="0" w:color="auto"/>
            </w:tcBorders>
            <w:shd w:val="clear" w:color="auto" w:fill="auto"/>
            <w:noWrap/>
            <w:vAlign w:val="bottom"/>
            <w:hideMark/>
          </w:tcPr>
          <w:p w14:paraId="7D6567BF" w14:textId="77777777" w:rsidR="00D85251" w:rsidRPr="001B1399" w:rsidRDefault="00D85251" w:rsidP="00816475">
            <w:pPr>
              <w:pStyle w:val="TableBodyText"/>
              <w:rPr>
                <w:color w:val="000000"/>
              </w:rPr>
            </w:pPr>
            <w:r w:rsidRPr="001B1399">
              <w:rPr>
                <w:color w:val="000000"/>
              </w:rPr>
              <w:t>Confidence Level</w:t>
            </w:r>
          </w:p>
        </w:tc>
        <w:tc>
          <w:tcPr>
            <w:tcW w:w="895" w:type="dxa"/>
            <w:tcBorders>
              <w:bottom w:val="single" w:sz="4" w:space="0" w:color="auto"/>
            </w:tcBorders>
            <w:vAlign w:val="bottom"/>
          </w:tcPr>
          <w:p w14:paraId="364A09CE" w14:textId="77777777" w:rsidR="00D85251" w:rsidRPr="001B1399" w:rsidRDefault="00D85251" w:rsidP="00816475">
            <w:pPr>
              <w:pStyle w:val="TableBodyText"/>
              <w:rPr>
                <w:color w:val="000000"/>
              </w:rPr>
            </w:pPr>
            <w:r w:rsidRPr="001B1399">
              <w:rPr>
                <w:color w:val="000000"/>
              </w:rPr>
              <w:t>Sample size</w:t>
            </w:r>
          </w:p>
        </w:tc>
        <w:tc>
          <w:tcPr>
            <w:tcW w:w="1228" w:type="dxa"/>
            <w:tcBorders>
              <w:bottom w:val="single" w:sz="4" w:space="0" w:color="auto"/>
            </w:tcBorders>
            <w:shd w:val="clear" w:color="auto" w:fill="auto"/>
            <w:noWrap/>
            <w:vAlign w:val="bottom"/>
            <w:hideMark/>
          </w:tcPr>
          <w:p w14:paraId="5166E5FF" w14:textId="77777777" w:rsidR="00D85251" w:rsidRPr="001B1399" w:rsidRDefault="00D85251" w:rsidP="00816475">
            <w:pPr>
              <w:pStyle w:val="TableBodyText"/>
              <w:rPr>
                <w:color w:val="000000"/>
              </w:rPr>
            </w:pPr>
            <w:r w:rsidRPr="001B1399">
              <w:rPr>
                <w:color w:val="000000"/>
              </w:rPr>
              <w:t xml:space="preserve">Samples Required for 80% Confidence </w:t>
            </w:r>
          </w:p>
        </w:tc>
      </w:tr>
      <w:tr w:rsidR="00D85251" w:rsidRPr="001B1399" w14:paraId="26F4A30F" w14:textId="77777777" w:rsidTr="00D85251">
        <w:trPr>
          <w:trHeight w:val="264"/>
        </w:trPr>
        <w:tc>
          <w:tcPr>
            <w:tcW w:w="1056" w:type="dxa"/>
            <w:tcBorders>
              <w:top w:val="single" w:sz="4" w:space="0" w:color="auto"/>
              <w:bottom w:val="dotted" w:sz="4" w:space="0" w:color="auto"/>
            </w:tcBorders>
            <w:shd w:val="clear" w:color="auto" w:fill="auto"/>
            <w:noWrap/>
            <w:vAlign w:val="bottom"/>
            <w:hideMark/>
          </w:tcPr>
          <w:p w14:paraId="4F22BD41" w14:textId="77777777" w:rsidR="00D85251" w:rsidRPr="001B1399" w:rsidRDefault="00D85251" w:rsidP="00816475">
            <w:pPr>
              <w:pStyle w:val="TableBodyText"/>
              <w:rPr>
                <w:color w:val="000000"/>
              </w:rPr>
            </w:pPr>
            <w:r w:rsidRPr="001B1399">
              <w:rPr>
                <w:color w:val="000000"/>
              </w:rPr>
              <w:t>NOEC</w:t>
            </w:r>
          </w:p>
        </w:tc>
        <w:tc>
          <w:tcPr>
            <w:tcW w:w="1128" w:type="dxa"/>
            <w:tcBorders>
              <w:top w:val="single" w:sz="4" w:space="0" w:color="auto"/>
              <w:bottom w:val="dotted" w:sz="4" w:space="0" w:color="auto"/>
            </w:tcBorders>
            <w:shd w:val="clear" w:color="auto" w:fill="auto"/>
            <w:noWrap/>
            <w:vAlign w:val="bottom"/>
            <w:hideMark/>
          </w:tcPr>
          <w:p w14:paraId="02C357FC" w14:textId="7D020086" w:rsidR="00D85251" w:rsidRPr="001B1399" w:rsidRDefault="00D85251" w:rsidP="00816475">
            <w:pPr>
              <w:pStyle w:val="TableBodyText"/>
              <w:rPr>
                <w:color w:val="000000"/>
              </w:rPr>
            </w:pPr>
            <w:r w:rsidRPr="001B1399">
              <w:rPr>
                <w:color w:val="000000"/>
              </w:rPr>
              <w:t>0.</w:t>
            </w:r>
            <w:r w:rsidR="00301E77">
              <w:rPr>
                <w:color w:val="000000"/>
              </w:rPr>
              <w:t>620</w:t>
            </w:r>
          </w:p>
        </w:tc>
        <w:tc>
          <w:tcPr>
            <w:tcW w:w="1050" w:type="dxa"/>
            <w:tcBorders>
              <w:top w:val="single" w:sz="4" w:space="0" w:color="auto"/>
              <w:bottom w:val="dotted" w:sz="4" w:space="0" w:color="auto"/>
            </w:tcBorders>
            <w:shd w:val="clear" w:color="auto" w:fill="auto"/>
            <w:noWrap/>
            <w:vAlign w:val="bottom"/>
            <w:hideMark/>
          </w:tcPr>
          <w:p w14:paraId="1B130B35" w14:textId="0FD7CEC4" w:rsidR="00D85251" w:rsidRPr="001B1399" w:rsidRDefault="00D85251" w:rsidP="00816475">
            <w:pPr>
              <w:pStyle w:val="TableBodyText"/>
              <w:rPr>
                <w:color w:val="000000"/>
              </w:rPr>
            </w:pPr>
            <w:r w:rsidRPr="001B1399">
              <w:rPr>
                <w:color w:val="000000"/>
              </w:rPr>
              <w:t>2.</w:t>
            </w:r>
            <w:r w:rsidR="00301E77">
              <w:rPr>
                <w:color w:val="000000"/>
              </w:rPr>
              <w:t>045</w:t>
            </w:r>
          </w:p>
        </w:tc>
        <w:tc>
          <w:tcPr>
            <w:tcW w:w="976" w:type="dxa"/>
            <w:tcBorders>
              <w:top w:val="single" w:sz="4" w:space="0" w:color="auto"/>
              <w:bottom w:val="dotted" w:sz="4" w:space="0" w:color="auto"/>
            </w:tcBorders>
            <w:shd w:val="clear" w:color="auto" w:fill="auto"/>
            <w:noWrap/>
            <w:vAlign w:val="bottom"/>
            <w:hideMark/>
          </w:tcPr>
          <w:p w14:paraId="44A1AD9F" w14:textId="3DD595CD" w:rsidR="00D85251" w:rsidRPr="001B1399" w:rsidRDefault="00D85251" w:rsidP="00816475">
            <w:pPr>
              <w:pStyle w:val="TableBodyText"/>
              <w:rPr>
                <w:color w:val="000000"/>
              </w:rPr>
            </w:pPr>
            <w:r w:rsidRPr="001B1399">
              <w:rPr>
                <w:color w:val="000000"/>
              </w:rPr>
              <w:t>0.</w:t>
            </w:r>
            <w:r w:rsidR="00301E77">
              <w:rPr>
                <w:color w:val="000000"/>
              </w:rPr>
              <w:t>013</w:t>
            </w:r>
          </w:p>
        </w:tc>
        <w:tc>
          <w:tcPr>
            <w:tcW w:w="1206" w:type="dxa"/>
            <w:tcBorders>
              <w:top w:val="single" w:sz="4" w:space="0" w:color="auto"/>
              <w:bottom w:val="dotted" w:sz="4" w:space="0" w:color="auto"/>
            </w:tcBorders>
            <w:shd w:val="clear" w:color="auto" w:fill="D6E3BC" w:themeFill="accent3" w:themeFillTint="66"/>
            <w:noWrap/>
            <w:vAlign w:val="bottom"/>
            <w:hideMark/>
          </w:tcPr>
          <w:p w14:paraId="098E948B" w14:textId="77777777" w:rsidR="00D85251" w:rsidRPr="001B1399" w:rsidRDefault="00D85251" w:rsidP="00816475">
            <w:pPr>
              <w:pStyle w:val="TableBodyText"/>
              <w:rPr>
                <w:color w:val="000000"/>
              </w:rPr>
            </w:pPr>
            <w:r w:rsidRPr="001B1399">
              <w:rPr>
                <w:color w:val="000000"/>
              </w:rPr>
              <w:t>Yes</w:t>
            </w:r>
          </w:p>
        </w:tc>
        <w:tc>
          <w:tcPr>
            <w:tcW w:w="1228" w:type="dxa"/>
            <w:tcBorders>
              <w:top w:val="single" w:sz="4" w:space="0" w:color="auto"/>
              <w:bottom w:val="dotted" w:sz="4" w:space="0" w:color="auto"/>
            </w:tcBorders>
            <w:shd w:val="clear" w:color="auto" w:fill="auto"/>
            <w:noWrap/>
            <w:vAlign w:val="bottom"/>
            <w:hideMark/>
          </w:tcPr>
          <w:p w14:paraId="3DE53B90" w14:textId="66E418F9" w:rsidR="00D85251" w:rsidRPr="001B1399" w:rsidRDefault="00F113BF" w:rsidP="00816475">
            <w:pPr>
              <w:pStyle w:val="TableBodyText"/>
              <w:rPr>
                <w:color w:val="000000"/>
              </w:rPr>
            </w:pPr>
            <w:r>
              <w:rPr>
                <w:color w:val="000000"/>
              </w:rPr>
              <w:t>71</w:t>
            </w:r>
            <w:r w:rsidR="00D85251" w:rsidRPr="001B1399">
              <w:rPr>
                <w:color w:val="000000"/>
              </w:rPr>
              <w:t>%</w:t>
            </w:r>
          </w:p>
        </w:tc>
        <w:tc>
          <w:tcPr>
            <w:tcW w:w="895" w:type="dxa"/>
            <w:tcBorders>
              <w:top w:val="single" w:sz="4" w:space="0" w:color="auto"/>
              <w:bottom w:val="dotted" w:sz="4" w:space="0" w:color="auto"/>
            </w:tcBorders>
            <w:vAlign w:val="bottom"/>
          </w:tcPr>
          <w:p w14:paraId="1E2ADD74" w14:textId="33FB1686" w:rsidR="00D85251" w:rsidRPr="001B1399" w:rsidRDefault="00D85251" w:rsidP="00816475">
            <w:pPr>
              <w:pStyle w:val="TableBodyText"/>
              <w:rPr>
                <w:color w:val="000000"/>
              </w:rPr>
            </w:pPr>
            <w:r w:rsidRPr="001B1399">
              <w:rPr>
                <w:color w:val="000000"/>
              </w:rPr>
              <w:t>7</w:t>
            </w:r>
            <w:r w:rsidR="00301E77">
              <w:rPr>
                <w:color w:val="000000"/>
              </w:rPr>
              <w:t>1</w:t>
            </w:r>
          </w:p>
        </w:tc>
        <w:tc>
          <w:tcPr>
            <w:tcW w:w="1228" w:type="dxa"/>
            <w:tcBorders>
              <w:top w:val="single" w:sz="4" w:space="0" w:color="auto"/>
              <w:bottom w:val="dotted" w:sz="4" w:space="0" w:color="auto"/>
            </w:tcBorders>
            <w:shd w:val="clear" w:color="auto" w:fill="auto"/>
            <w:noWrap/>
            <w:vAlign w:val="bottom"/>
            <w:hideMark/>
          </w:tcPr>
          <w:p w14:paraId="6D7E7252" w14:textId="33304E5A" w:rsidR="00D85251" w:rsidRPr="001B1399" w:rsidRDefault="00F113BF" w:rsidP="00816475">
            <w:pPr>
              <w:pStyle w:val="TableBodyText"/>
              <w:rPr>
                <w:color w:val="000000"/>
              </w:rPr>
            </w:pPr>
            <w:r>
              <w:rPr>
                <w:color w:val="000000"/>
              </w:rPr>
              <w:t>88</w:t>
            </w:r>
          </w:p>
        </w:tc>
      </w:tr>
      <w:tr w:rsidR="00D85251" w:rsidRPr="001B1399" w14:paraId="7F9BAD08" w14:textId="77777777" w:rsidTr="00D85251">
        <w:trPr>
          <w:trHeight w:val="264"/>
        </w:trPr>
        <w:tc>
          <w:tcPr>
            <w:tcW w:w="1056" w:type="dxa"/>
            <w:tcBorders>
              <w:top w:val="dotted" w:sz="4" w:space="0" w:color="auto"/>
              <w:bottom w:val="dotted" w:sz="4" w:space="0" w:color="auto"/>
            </w:tcBorders>
            <w:shd w:val="clear" w:color="auto" w:fill="auto"/>
            <w:noWrap/>
            <w:vAlign w:val="bottom"/>
            <w:hideMark/>
          </w:tcPr>
          <w:p w14:paraId="12204640" w14:textId="77777777" w:rsidR="00D85251" w:rsidRPr="001B1399" w:rsidRDefault="00D85251" w:rsidP="00816475">
            <w:pPr>
              <w:pStyle w:val="TableBodyText"/>
              <w:rPr>
                <w:color w:val="000000"/>
              </w:rPr>
            </w:pPr>
            <w:r w:rsidRPr="001B1399">
              <w:rPr>
                <w:color w:val="000000"/>
              </w:rPr>
              <w:t>IC25</w:t>
            </w:r>
          </w:p>
        </w:tc>
        <w:tc>
          <w:tcPr>
            <w:tcW w:w="1128" w:type="dxa"/>
            <w:tcBorders>
              <w:top w:val="dotted" w:sz="4" w:space="0" w:color="auto"/>
              <w:bottom w:val="dotted" w:sz="4" w:space="0" w:color="auto"/>
            </w:tcBorders>
            <w:shd w:val="clear" w:color="auto" w:fill="auto"/>
            <w:noWrap/>
            <w:vAlign w:val="bottom"/>
            <w:hideMark/>
          </w:tcPr>
          <w:p w14:paraId="7B33C9E2" w14:textId="49FD6F2E" w:rsidR="00D85251" w:rsidRPr="001B1399" w:rsidRDefault="00F113BF" w:rsidP="00816475">
            <w:pPr>
              <w:pStyle w:val="TableBodyText"/>
              <w:rPr>
                <w:color w:val="000000"/>
              </w:rPr>
            </w:pPr>
            <w:r>
              <w:rPr>
                <w:color w:val="000000"/>
              </w:rPr>
              <w:t>0.495</w:t>
            </w:r>
          </w:p>
        </w:tc>
        <w:tc>
          <w:tcPr>
            <w:tcW w:w="1050" w:type="dxa"/>
            <w:tcBorders>
              <w:top w:val="dotted" w:sz="4" w:space="0" w:color="auto"/>
              <w:bottom w:val="dotted" w:sz="4" w:space="0" w:color="auto"/>
            </w:tcBorders>
            <w:shd w:val="clear" w:color="auto" w:fill="auto"/>
            <w:noWrap/>
            <w:vAlign w:val="bottom"/>
            <w:hideMark/>
          </w:tcPr>
          <w:p w14:paraId="0CD4CBA1" w14:textId="024C4620" w:rsidR="00D85251" w:rsidRPr="001B1399" w:rsidRDefault="00F113BF" w:rsidP="00816475">
            <w:pPr>
              <w:pStyle w:val="TableBodyText"/>
              <w:rPr>
                <w:color w:val="000000"/>
              </w:rPr>
            </w:pPr>
            <w:r>
              <w:rPr>
                <w:color w:val="000000"/>
              </w:rPr>
              <w:t>1.963</w:t>
            </w:r>
          </w:p>
        </w:tc>
        <w:tc>
          <w:tcPr>
            <w:tcW w:w="976" w:type="dxa"/>
            <w:tcBorders>
              <w:top w:val="dotted" w:sz="4" w:space="0" w:color="auto"/>
              <w:bottom w:val="dotted" w:sz="4" w:space="0" w:color="auto"/>
            </w:tcBorders>
            <w:shd w:val="clear" w:color="auto" w:fill="auto"/>
            <w:noWrap/>
            <w:vAlign w:val="bottom"/>
            <w:hideMark/>
          </w:tcPr>
          <w:p w14:paraId="5A94A1F3" w14:textId="0EBCF99C" w:rsidR="00D85251" w:rsidRPr="001B1399" w:rsidRDefault="00D85251" w:rsidP="00816475">
            <w:pPr>
              <w:pStyle w:val="TableBodyText"/>
              <w:rPr>
                <w:color w:val="000000"/>
              </w:rPr>
            </w:pPr>
            <w:r w:rsidRPr="001B1399">
              <w:rPr>
                <w:color w:val="000000"/>
              </w:rPr>
              <w:t>0.</w:t>
            </w:r>
            <w:r w:rsidR="00F113BF">
              <w:rPr>
                <w:color w:val="000000"/>
              </w:rPr>
              <w:t>037</w:t>
            </w:r>
          </w:p>
        </w:tc>
        <w:tc>
          <w:tcPr>
            <w:tcW w:w="1206" w:type="dxa"/>
            <w:tcBorders>
              <w:top w:val="dotted" w:sz="4" w:space="0" w:color="auto"/>
              <w:bottom w:val="dotted" w:sz="4" w:space="0" w:color="auto"/>
            </w:tcBorders>
            <w:shd w:val="clear" w:color="auto" w:fill="D6E3BC" w:themeFill="accent3" w:themeFillTint="66"/>
            <w:noWrap/>
            <w:vAlign w:val="bottom"/>
            <w:hideMark/>
          </w:tcPr>
          <w:p w14:paraId="1315C58A" w14:textId="77777777" w:rsidR="00D85251" w:rsidRPr="001B1399" w:rsidRDefault="00D85251" w:rsidP="00816475">
            <w:pPr>
              <w:pStyle w:val="TableBodyText"/>
              <w:rPr>
                <w:color w:val="000000"/>
              </w:rPr>
            </w:pPr>
            <w:r w:rsidRPr="001B1399">
              <w:rPr>
                <w:color w:val="000000"/>
              </w:rPr>
              <w:t>Yes</w:t>
            </w:r>
          </w:p>
        </w:tc>
        <w:tc>
          <w:tcPr>
            <w:tcW w:w="1228" w:type="dxa"/>
            <w:tcBorders>
              <w:top w:val="dotted" w:sz="4" w:space="0" w:color="auto"/>
              <w:bottom w:val="dotted" w:sz="4" w:space="0" w:color="auto"/>
            </w:tcBorders>
            <w:shd w:val="clear" w:color="auto" w:fill="auto"/>
            <w:noWrap/>
            <w:vAlign w:val="bottom"/>
            <w:hideMark/>
          </w:tcPr>
          <w:p w14:paraId="454805F1" w14:textId="1B8B74B5" w:rsidR="00D85251" w:rsidRPr="001B1399" w:rsidRDefault="00F113BF" w:rsidP="00816475">
            <w:pPr>
              <w:pStyle w:val="TableBodyText"/>
              <w:rPr>
                <w:color w:val="000000"/>
              </w:rPr>
            </w:pPr>
            <w:r>
              <w:rPr>
                <w:color w:val="000000"/>
              </w:rPr>
              <w:t>55</w:t>
            </w:r>
            <w:r w:rsidR="00D85251" w:rsidRPr="001B1399">
              <w:rPr>
                <w:color w:val="000000"/>
              </w:rPr>
              <w:t>%</w:t>
            </w:r>
          </w:p>
        </w:tc>
        <w:tc>
          <w:tcPr>
            <w:tcW w:w="895" w:type="dxa"/>
            <w:tcBorders>
              <w:top w:val="dotted" w:sz="4" w:space="0" w:color="auto"/>
              <w:bottom w:val="dotted" w:sz="4" w:space="0" w:color="auto"/>
            </w:tcBorders>
            <w:vAlign w:val="bottom"/>
          </w:tcPr>
          <w:p w14:paraId="7718BAF9" w14:textId="715D8C8A" w:rsidR="00D85251" w:rsidRPr="001B1399" w:rsidRDefault="00D85251" w:rsidP="00816475">
            <w:pPr>
              <w:pStyle w:val="TableBodyText"/>
              <w:rPr>
                <w:color w:val="000000"/>
              </w:rPr>
            </w:pPr>
            <w:r w:rsidRPr="001B1399">
              <w:rPr>
                <w:color w:val="000000"/>
              </w:rPr>
              <w:t>7</w:t>
            </w:r>
            <w:r w:rsidR="00301E77">
              <w:rPr>
                <w:color w:val="000000"/>
              </w:rPr>
              <w:t>1</w:t>
            </w:r>
          </w:p>
        </w:tc>
        <w:tc>
          <w:tcPr>
            <w:tcW w:w="1228" w:type="dxa"/>
            <w:tcBorders>
              <w:top w:val="dotted" w:sz="4" w:space="0" w:color="auto"/>
              <w:bottom w:val="dotted" w:sz="4" w:space="0" w:color="auto"/>
            </w:tcBorders>
            <w:shd w:val="clear" w:color="auto" w:fill="auto"/>
            <w:noWrap/>
            <w:vAlign w:val="bottom"/>
            <w:hideMark/>
          </w:tcPr>
          <w:p w14:paraId="0AC9ED27" w14:textId="1E56E15C" w:rsidR="00D85251" w:rsidRPr="001B1399" w:rsidRDefault="00F113BF" w:rsidP="00816475">
            <w:pPr>
              <w:pStyle w:val="TableBodyText"/>
              <w:rPr>
                <w:color w:val="000000"/>
              </w:rPr>
            </w:pPr>
            <w:r>
              <w:rPr>
                <w:color w:val="000000"/>
              </w:rPr>
              <w:t>126</w:t>
            </w:r>
          </w:p>
        </w:tc>
      </w:tr>
      <w:tr w:rsidR="00D85251" w:rsidRPr="001B1399" w14:paraId="78FF8055" w14:textId="77777777" w:rsidTr="00D85251">
        <w:trPr>
          <w:trHeight w:val="264"/>
        </w:trPr>
        <w:tc>
          <w:tcPr>
            <w:tcW w:w="1056" w:type="dxa"/>
            <w:tcBorders>
              <w:top w:val="dotted" w:sz="4" w:space="0" w:color="auto"/>
              <w:bottom w:val="single" w:sz="4" w:space="0" w:color="auto"/>
            </w:tcBorders>
            <w:shd w:val="clear" w:color="auto" w:fill="auto"/>
            <w:noWrap/>
            <w:vAlign w:val="bottom"/>
            <w:hideMark/>
          </w:tcPr>
          <w:p w14:paraId="124A1122" w14:textId="77777777" w:rsidR="00D85251" w:rsidRPr="001B1399" w:rsidRDefault="00D85251" w:rsidP="00816475">
            <w:pPr>
              <w:pStyle w:val="TableBodyText"/>
              <w:rPr>
                <w:color w:val="000000"/>
              </w:rPr>
            </w:pPr>
            <w:r w:rsidRPr="001B1399">
              <w:rPr>
                <w:color w:val="000000"/>
              </w:rPr>
              <w:t>TST</w:t>
            </w:r>
          </w:p>
        </w:tc>
        <w:tc>
          <w:tcPr>
            <w:tcW w:w="1128" w:type="dxa"/>
            <w:tcBorders>
              <w:top w:val="dotted" w:sz="4" w:space="0" w:color="auto"/>
              <w:bottom w:val="single" w:sz="4" w:space="0" w:color="auto"/>
            </w:tcBorders>
            <w:shd w:val="clear" w:color="auto" w:fill="auto"/>
            <w:noWrap/>
            <w:vAlign w:val="bottom"/>
            <w:hideMark/>
          </w:tcPr>
          <w:p w14:paraId="3E7FF754" w14:textId="1CBE0510" w:rsidR="00D85251" w:rsidRPr="001B1399" w:rsidRDefault="00F113BF" w:rsidP="00816475">
            <w:pPr>
              <w:pStyle w:val="TableBodyText"/>
              <w:rPr>
                <w:color w:val="000000"/>
              </w:rPr>
            </w:pPr>
            <w:r>
              <w:rPr>
                <w:color w:val="000000"/>
              </w:rPr>
              <w:t>0.930</w:t>
            </w:r>
          </w:p>
        </w:tc>
        <w:tc>
          <w:tcPr>
            <w:tcW w:w="1050" w:type="dxa"/>
            <w:tcBorders>
              <w:top w:val="dotted" w:sz="4" w:space="0" w:color="auto"/>
              <w:bottom w:val="single" w:sz="4" w:space="0" w:color="auto"/>
            </w:tcBorders>
            <w:shd w:val="clear" w:color="auto" w:fill="auto"/>
            <w:noWrap/>
            <w:vAlign w:val="bottom"/>
            <w:hideMark/>
          </w:tcPr>
          <w:p w14:paraId="4E403146" w14:textId="6C7627AF" w:rsidR="00D85251" w:rsidRPr="001B1399" w:rsidRDefault="00F113BF" w:rsidP="00816475">
            <w:pPr>
              <w:pStyle w:val="TableBodyText"/>
              <w:rPr>
                <w:color w:val="000000"/>
              </w:rPr>
            </w:pPr>
            <w:r>
              <w:rPr>
                <w:color w:val="000000"/>
              </w:rPr>
              <w:t>2.225</w:t>
            </w:r>
          </w:p>
        </w:tc>
        <w:tc>
          <w:tcPr>
            <w:tcW w:w="976" w:type="dxa"/>
            <w:tcBorders>
              <w:top w:val="dotted" w:sz="4" w:space="0" w:color="auto"/>
              <w:bottom w:val="single" w:sz="4" w:space="0" w:color="auto"/>
            </w:tcBorders>
            <w:shd w:val="clear" w:color="auto" w:fill="auto"/>
            <w:noWrap/>
            <w:vAlign w:val="bottom"/>
            <w:hideMark/>
          </w:tcPr>
          <w:p w14:paraId="0FAF2984" w14:textId="5E9ED626" w:rsidR="00D85251" w:rsidRPr="001B1399" w:rsidRDefault="00D85251" w:rsidP="00816475">
            <w:pPr>
              <w:pStyle w:val="TableBodyText"/>
              <w:rPr>
                <w:color w:val="000000"/>
              </w:rPr>
            </w:pPr>
            <w:r w:rsidRPr="001B1399">
              <w:rPr>
                <w:color w:val="000000"/>
              </w:rPr>
              <w:t>0.</w:t>
            </w:r>
            <w:r w:rsidR="00F113BF">
              <w:rPr>
                <w:color w:val="000000"/>
              </w:rPr>
              <w:t>001</w:t>
            </w:r>
          </w:p>
        </w:tc>
        <w:tc>
          <w:tcPr>
            <w:tcW w:w="1206" w:type="dxa"/>
            <w:tcBorders>
              <w:top w:val="dotted" w:sz="4" w:space="0" w:color="auto"/>
              <w:bottom w:val="single" w:sz="4" w:space="0" w:color="auto"/>
            </w:tcBorders>
            <w:shd w:val="clear" w:color="auto" w:fill="D6E3BC" w:themeFill="accent3" w:themeFillTint="66"/>
            <w:noWrap/>
            <w:vAlign w:val="bottom"/>
            <w:hideMark/>
          </w:tcPr>
          <w:p w14:paraId="4DD873AF" w14:textId="77777777" w:rsidR="00D85251" w:rsidRPr="001B1399" w:rsidRDefault="00D85251" w:rsidP="00816475">
            <w:pPr>
              <w:pStyle w:val="TableBodyText"/>
              <w:rPr>
                <w:color w:val="000000"/>
              </w:rPr>
            </w:pPr>
            <w:r w:rsidRPr="001B1399">
              <w:rPr>
                <w:color w:val="000000"/>
              </w:rPr>
              <w:t>Yes</w:t>
            </w:r>
          </w:p>
        </w:tc>
        <w:tc>
          <w:tcPr>
            <w:tcW w:w="1228" w:type="dxa"/>
            <w:tcBorders>
              <w:top w:val="dotted" w:sz="4" w:space="0" w:color="auto"/>
              <w:bottom w:val="single" w:sz="4" w:space="0" w:color="auto"/>
            </w:tcBorders>
            <w:shd w:val="clear" w:color="000000" w:fill="FFFF00"/>
            <w:noWrap/>
            <w:vAlign w:val="bottom"/>
            <w:hideMark/>
          </w:tcPr>
          <w:p w14:paraId="03DAEC66" w14:textId="63A13ACC" w:rsidR="00D85251" w:rsidRPr="001B1399" w:rsidRDefault="00F113BF" w:rsidP="00816475">
            <w:pPr>
              <w:pStyle w:val="TableBodyText"/>
              <w:rPr>
                <w:color w:val="000000"/>
              </w:rPr>
            </w:pPr>
            <w:r>
              <w:rPr>
                <w:color w:val="000000"/>
              </w:rPr>
              <w:t>93</w:t>
            </w:r>
            <w:r w:rsidR="00D85251" w:rsidRPr="001B1399">
              <w:rPr>
                <w:color w:val="000000"/>
              </w:rPr>
              <w:t>%</w:t>
            </w:r>
          </w:p>
        </w:tc>
        <w:tc>
          <w:tcPr>
            <w:tcW w:w="895" w:type="dxa"/>
            <w:tcBorders>
              <w:top w:val="dotted" w:sz="4" w:space="0" w:color="auto"/>
              <w:bottom w:val="single" w:sz="4" w:space="0" w:color="auto"/>
            </w:tcBorders>
            <w:vAlign w:val="bottom"/>
          </w:tcPr>
          <w:p w14:paraId="00ABC725" w14:textId="7B77A851" w:rsidR="00D85251" w:rsidRPr="001B1399" w:rsidRDefault="00D85251" w:rsidP="00816475">
            <w:pPr>
              <w:pStyle w:val="TableBodyText"/>
              <w:rPr>
                <w:color w:val="000000"/>
              </w:rPr>
            </w:pPr>
            <w:r w:rsidRPr="001B1399">
              <w:rPr>
                <w:color w:val="000000"/>
              </w:rPr>
              <w:t>7</w:t>
            </w:r>
            <w:r w:rsidR="00301E77">
              <w:rPr>
                <w:color w:val="000000"/>
              </w:rPr>
              <w:t>1</w:t>
            </w:r>
          </w:p>
        </w:tc>
        <w:tc>
          <w:tcPr>
            <w:tcW w:w="1228" w:type="dxa"/>
            <w:tcBorders>
              <w:top w:val="dotted" w:sz="4" w:space="0" w:color="auto"/>
              <w:bottom w:val="single" w:sz="4" w:space="0" w:color="auto"/>
            </w:tcBorders>
            <w:shd w:val="clear" w:color="auto" w:fill="auto"/>
            <w:noWrap/>
            <w:vAlign w:val="bottom"/>
            <w:hideMark/>
          </w:tcPr>
          <w:p w14:paraId="590391DC" w14:textId="2BFF966E" w:rsidR="00D85251" w:rsidRPr="001B1399" w:rsidRDefault="00F113BF" w:rsidP="00816475">
            <w:pPr>
              <w:pStyle w:val="TableBodyText"/>
              <w:rPr>
                <w:color w:val="000000"/>
              </w:rPr>
            </w:pPr>
            <w:r>
              <w:rPr>
                <w:color w:val="000000"/>
              </w:rPr>
              <w:t>47</w:t>
            </w:r>
          </w:p>
        </w:tc>
      </w:tr>
    </w:tbl>
    <w:p w14:paraId="2DA24EA2" w14:textId="77777777" w:rsidR="00A9704C" w:rsidRDefault="00A9704C" w:rsidP="00112D21">
      <w:pPr>
        <w:pStyle w:val="TableFootnote"/>
      </w:pPr>
    </w:p>
    <w:p w14:paraId="7CEB3942" w14:textId="25ABB903" w:rsidR="00D85251" w:rsidRPr="00816475" w:rsidRDefault="00D85251" w:rsidP="00D85251">
      <w:pPr>
        <w:keepLines/>
        <w:spacing w:before="120"/>
        <w:rPr>
          <w:rFonts w:cs="Times New Roman"/>
          <w:szCs w:val="24"/>
        </w:rPr>
      </w:pPr>
      <w:r w:rsidRPr="00816475">
        <w:rPr>
          <w:rFonts w:cs="Times New Roman"/>
          <w:szCs w:val="24"/>
        </w:rPr>
        <w:t>When the results of the three studies were analyzed separately (i.e.</w:t>
      </w:r>
      <w:r w:rsidR="00FA6CC1">
        <w:rPr>
          <w:rFonts w:cs="Times New Roman"/>
          <w:szCs w:val="24"/>
        </w:rPr>
        <w:t>,</w:t>
      </w:r>
      <w:r w:rsidRPr="00816475">
        <w:rPr>
          <w:rFonts w:cs="Times New Roman"/>
          <w:szCs w:val="24"/>
        </w:rPr>
        <w:t xml:space="preserve"> each one compared with an “ideal” all passing dataset), only the results from the SMC study TST analysis showed a difference from the “ideal” results with both statistical significance and confidence over 80%</w:t>
      </w:r>
      <w:r w:rsidR="00A9704C">
        <w:rPr>
          <w:rFonts w:cs="Times New Roman"/>
          <w:szCs w:val="24"/>
        </w:rPr>
        <w:t xml:space="preserve"> (shown in </w:t>
      </w:r>
      <w:r w:rsidR="00A9704C" w:rsidRPr="00A9704C">
        <w:rPr>
          <w:rFonts w:cs="Times New Roman"/>
          <w:b/>
          <w:szCs w:val="24"/>
        </w:rPr>
        <w:fldChar w:fldCharType="begin"/>
      </w:r>
      <w:r w:rsidR="00A9704C" w:rsidRPr="00A9704C">
        <w:rPr>
          <w:rFonts w:cs="Times New Roman"/>
          <w:b/>
          <w:szCs w:val="24"/>
        </w:rPr>
        <w:instrText xml:space="preserve"> REF _Ref523920939 \h  \* MERGEFORMAT </w:instrText>
      </w:r>
      <w:r w:rsidR="00A9704C" w:rsidRPr="00A9704C">
        <w:rPr>
          <w:rFonts w:cs="Times New Roman"/>
          <w:b/>
          <w:szCs w:val="24"/>
        </w:rPr>
      </w:r>
      <w:r w:rsidR="00A9704C" w:rsidRPr="00A9704C">
        <w:rPr>
          <w:rFonts w:cs="Times New Roman"/>
          <w:b/>
          <w:szCs w:val="24"/>
        </w:rPr>
        <w:fldChar w:fldCharType="separate"/>
      </w:r>
      <w:r w:rsidR="00A9704C" w:rsidRPr="00A9704C">
        <w:rPr>
          <w:rFonts w:cs="Times New Roman"/>
          <w:b/>
          <w:szCs w:val="24"/>
        </w:rPr>
        <w:t xml:space="preserve">Table </w:t>
      </w:r>
      <w:r w:rsidR="00A9704C" w:rsidRPr="00A9704C">
        <w:rPr>
          <w:rFonts w:cs="Times New Roman"/>
          <w:b/>
          <w:noProof/>
          <w:szCs w:val="24"/>
        </w:rPr>
        <w:t>10</w:t>
      </w:r>
      <w:r w:rsidR="00A9704C" w:rsidRPr="00A9704C">
        <w:rPr>
          <w:rFonts w:cs="Times New Roman"/>
          <w:b/>
          <w:szCs w:val="24"/>
        </w:rPr>
        <w:fldChar w:fldCharType="end"/>
      </w:r>
      <w:r w:rsidR="00A9704C">
        <w:rPr>
          <w:rFonts w:cs="Times New Roman"/>
          <w:szCs w:val="24"/>
        </w:rPr>
        <w:t>)</w:t>
      </w:r>
      <w:r w:rsidRPr="00816475">
        <w:rPr>
          <w:rFonts w:cs="Times New Roman"/>
          <w:szCs w:val="24"/>
        </w:rPr>
        <w:t xml:space="preserve">. There were insufficient data for confidence in the results of the other tests and study results. However, the Chi-Square test results indicate that separating the analyses by study is not necessary, as the study results are not significantly different from each other. </w:t>
      </w:r>
    </w:p>
    <w:p w14:paraId="670086E5" w14:textId="7D285E85" w:rsidR="00D85251" w:rsidRPr="001B1399" w:rsidRDefault="00D85251" w:rsidP="00816475">
      <w:pPr>
        <w:pStyle w:val="TableTitle"/>
      </w:pPr>
      <w:bookmarkStart w:id="31" w:name="_Ref523920939"/>
      <w:r w:rsidRPr="00540297">
        <w:t xml:space="preserve">Table </w:t>
      </w:r>
      <w:r w:rsidRPr="00540297">
        <w:rPr>
          <w:noProof/>
        </w:rPr>
        <w:fldChar w:fldCharType="begin"/>
      </w:r>
      <w:r w:rsidRPr="00540297">
        <w:rPr>
          <w:noProof/>
        </w:rPr>
        <w:instrText xml:space="preserve"> SEQ Table \* ARABIC </w:instrText>
      </w:r>
      <w:r w:rsidRPr="00540297">
        <w:rPr>
          <w:noProof/>
        </w:rPr>
        <w:fldChar w:fldCharType="separate"/>
      </w:r>
      <w:r w:rsidR="006F0139" w:rsidRPr="00540297">
        <w:rPr>
          <w:noProof/>
        </w:rPr>
        <w:t>10</w:t>
      </w:r>
      <w:r w:rsidRPr="00540297">
        <w:rPr>
          <w:noProof/>
        </w:rPr>
        <w:fldChar w:fldCharType="end"/>
      </w:r>
      <w:bookmarkEnd w:id="31"/>
      <w:r w:rsidRPr="00540297">
        <w:t>. Results of Comparison Between Blank Analyses and “Ideal” Analyses, by Study</w:t>
      </w:r>
    </w:p>
    <w:tbl>
      <w:tblPr>
        <w:tblW w:w="9614" w:type="dxa"/>
        <w:tblBorders>
          <w:top w:val="single" w:sz="4" w:space="0" w:color="auto"/>
          <w:bottom w:val="single" w:sz="4" w:space="0" w:color="auto"/>
        </w:tblBorders>
        <w:tblLook w:val="04A0" w:firstRow="1" w:lastRow="0" w:firstColumn="1" w:lastColumn="0" w:noHBand="0" w:noVBand="1"/>
      </w:tblPr>
      <w:tblGrid>
        <w:gridCol w:w="948"/>
        <w:gridCol w:w="961"/>
        <w:gridCol w:w="1095"/>
        <w:gridCol w:w="1050"/>
        <w:gridCol w:w="949"/>
        <w:gridCol w:w="1206"/>
        <w:gridCol w:w="1228"/>
        <w:gridCol w:w="949"/>
        <w:gridCol w:w="1228"/>
      </w:tblGrid>
      <w:tr w:rsidR="00D85251" w:rsidRPr="001B1399" w14:paraId="2DF8C00F" w14:textId="77777777" w:rsidTr="00FD4639">
        <w:trPr>
          <w:trHeight w:val="264"/>
          <w:tblHeader/>
        </w:trPr>
        <w:tc>
          <w:tcPr>
            <w:tcW w:w="948" w:type="dxa"/>
            <w:tcBorders>
              <w:bottom w:val="single" w:sz="4" w:space="0" w:color="auto"/>
            </w:tcBorders>
            <w:shd w:val="clear" w:color="auto" w:fill="auto"/>
            <w:noWrap/>
            <w:vAlign w:val="bottom"/>
            <w:hideMark/>
          </w:tcPr>
          <w:p w14:paraId="1A43EB04" w14:textId="77777777" w:rsidR="00D85251" w:rsidRPr="001B1399" w:rsidRDefault="00D85251" w:rsidP="00816475">
            <w:pPr>
              <w:pStyle w:val="TableBodyText"/>
            </w:pPr>
            <w:r w:rsidRPr="001B1399">
              <w:t>Study</w:t>
            </w:r>
          </w:p>
        </w:tc>
        <w:tc>
          <w:tcPr>
            <w:tcW w:w="961" w:type="dxa"/>
            <w:tcBorders>
              <w:bottom w:val="single" w:sz="4" w:space="0" w:color="auto"/>
            </w:tcBorders>
            <w:shd w:val="clear" w:color="auto" w:fill="auto"/>
            <w:noWrap/>
            <w:vAlign w:val="bottom"/>
            <w:hideMark/>
          </w:tcPr>
          <w:p w14:paraId="3A9BBA8A" w14:textId="77777777" w:rsidR="00D85251" w:rsidRPr="001B1399" w:rsidRDefault="00D85251" w:rsidP="00816475">
            <w:pPr>
              <w:pStyle w:val="TableBodyText"/>
            </w:pPr>
            <w:r w:rsidRPr="001B1399">
              <w:t>Analysis</w:t>
            </w:r>
          </w:p>
        </w:tc>
        <w:tc>
          <w:tcPr>
            <w:tcW w:w="1095" w:type="dxa"/>
            <w:tcBorders>
              <w:bottom w:val="single" w:sz="4" w:space="0" w:color="auto"/>
            </w:tcBorders>
            <w:shd w:val="clear" w:color="auto" w:fill="auto"/>
            <w:noWrap/>
            <w:vAlign w:val="bottom"/>
            <w:hideMark/>
          </w:tcPr>
          <w:p w14:paraId="035021EB" w14:textId="77777777" w:rsidR="00D85251" w:rsidRPr="001B1399" w:rsidRDefault="00D85251" w:rsidP="00816475">
            <w:pPr>
              <w:pStyle w:val="TableBodyText"/>
              <w:rPr>
                <w:color w:val="000000"/>
              </w:rPr>
            </w:pPr>
            <w:r w:rsidRPr="001B1399">
              <w:rPr>
                <w:color w:val="000000"/>
              </w:rPr>
              <w:t xml:space="preserve">Mean paired difference </w:t>
            </w:r>
          </w:p>
        </w:tc>
        <w:tc>
          <w:tcPr>
            <w:tcW w:w="1050" w:type="dxa"/>
            <w:tcBorders>
              <w:bottom w:val="single" w:sz="4" w:space="0" w:color="auto"/>
            </w:tcBorders>
            <w:vAlign w:val="bottom"/>
          </w:tcPr>
          <w:p w14:paraId="3431E96C" w14:textId="77777777" w:rsidR="00D85251" w:rsidRPr="001B1399" w:rsidRDefault="00D85251" w:rsidP="00816475">
            <w:pPr>
              <w:pStyle w:val="TableBodyText"/>
              <w:rPr>
                <w:color w:val="000000"/>
              </w:rPr>
            </w:pPr>
            <w:r w:rsidRPr="001B1399">
              <w:rPr>
                <w:color w:val="000000"/>
              </w:rPr>
              <w:t>Standard Deviation</w:t>
            </w:r>
          </w:p>
        </w:tc>
        <w:tc>
          <w:tcPr>
            <w:tcW w:w="949" w:type="dxa"/>
            <w:tcBorders>
              <w:bottom w:val="single" w:sz="4" w:space="0" w:color="auto"/>
            </w:tcBorders>
            <w:shd w:val="clear" w:color="auto" w:fill="auto"/>
            <w:noWrap/>
            <w:vAlign w:val="bottom"/>
            <w:hideMark/>
          </w:tcPr>
          <w:p w14:paraId="79D49ECA" w14:textId="77777777" w:rsidR="00D85251" w:rsidRPr="001B1399" w:rsidRDefault="00D85251" w:rsidP="00816475">
            <w:pPr>
              <w:pStyle w:val="TableBodyText"/>
              <w:rPr>
                <w:color w:val="000000"/>
              </w:rPr>
            </w:pPr>
            <w:r w:rsidRPr="001B1399">
              <w:rPr>
                <w:color w:val="000000"/>
              </w:rPr>
              <w:t>p-value</w:t>
            </w:r>
          </w:p>
        </w:tc>
        <w:tc>
          <w:tcPr>
            <w:tcW w:w="1206" w:type="dxa"/>
            <w:tcBorders>
              <w:bottom w:val="single" w:sz="4" w:space="0" w:color="auto"/>
            </w:tcBorders>
            <w:shd w:val="clear" w:color="auto" w:fill="auto"/>
            <w:noWrap/>
            <w:vAlign w:val="bottom"/>
            <w:hideMark/>
          </w:tcPr>
          <w:p w14:paraId="6CDC91F5" w14:textId="77777777" w:rsidR="00D85251" w:rsidRPr="001B1399" w:rsidRDefault="00D85251" w:rsidP="00816475">
            <w:pPr>
              <w:pStyle w:val="TableBodyText"/>
              <w:rPr>
                <w:color w:val="000000"/>
              </w:rPr>
            </w:pPr>
            <w:r w:rsidRPr="001B1399">
              <w:rPr>
                <w:color w:val="000000"/>
              </w:rPr>
              <w:t>Significant difference?</w:t>
            </w:r>
          </w:p>
        </w:tc>
        <w:tc>
          <w:tcPr>
            <w:tcW w:w="1228" w:type="dxa"/>
            <w:tcBorders>
              <w:bottom w:val="single" w:sz="4" w:space="0" w:color="auto"/>
            </w:tcBorders>
            <w:shd w:val="clear" w:color="auto" w:fill="auto"/>
            <w:noWrap/>
            <w:vAlign w:val="bottom"/>
            <w:hideMark/>
          </w:tcPr>
          <w:p w14:paraId="64D85777" w14:textId="77777777" w:rsidR="00D85251" w:rsidRPr="001B1399" w:rsidRDefault="00D85251" w:rsidP="00816475">
            <w:pPr>
              <w:pStyle w:val="TableBodyText"/>
            </w:pPr>
            <w:r w:rsidRPr="001B1399">
              <w:rPr>
                <w:color w:val="000000"/>
              </w:rPr>
              <w:t>Confidence Level</w:t>
            </w:r>
          </w:p>
        </w:tc>
        <w:tc>
          <w:tcPr>
            <w:tcW w:w="949" w:type="dxa"/>
            <w:tcBorders>
              <w:bottom w:val="single" w:sz="4" w:space="0" w:color="auto"/>
            </w:tcBorders>
            <w:shd w:val="clear" w:color="auto" w:fill="auto"/>
            <w:noWrap/>
            <w:vAlign w:val="bottom"/>
            <w:hideMark/>
          </w:tcPr>
          <w:p w14:paraId="5AA06CFC" w14:textId="77777777" w:rsidR="00D85251" w:rsidRPr="001B1399" w:rsidRDefault="00D85251" w:rsidP="00816475">
            <w:pPr>
              <w:pStyle w:val="TableBodyText"/>
            </w:pPr>
            <w:r w:rsidRPr="001B1399">
              <w:rPr>
                <w:color w:val="000000"/>
              </w:rPr>
              <w:t>Sample size</w:t>
            </w:r>
          </w:p>
        </w:tc>
        <w:tc>
          <w:tcPr>
            <w:tcW w:w="1228" w:type="dxa"/>
            <w:tcBorders>
              <w:bottom w:val="single" w:sz="4" w:space="0" w:color="auto"/>
            </w:tcBorders>
            <w:vAlign w:val="bottom"/>
          </w:tcPr>
          <w:p w14:paraId="5781E9F2" w14:textId="77777777" w:rsidR="00D85251" w:rsidRPr="001B1399" w:rsidRDefault="00D85251" w:rsidP="00816475">
            <w:pPr>
              <w:pStyle w:val="TableBodyText"/>
              <w:rPr>
                <w:color w:val="000000"/>
              </w:rPr>
            </w:pPr>
            <w:r w:rsidRPr="001B1399">
              <w:rPr>
                <w:color w:val="000000"/>
              </w:rPr>
              <w:t xml:space="preserve">Samples Required for 80% Confidence </w:t>
            </w:r>
          </w:p>
        </w:tc>
      </w:tr>
      <w:tr w:rsidR="00D85251" w:rsidRPr="001B1399" w14:paraId="6EE7DAC6" w14:textId="77777777" w:rsidTr="00D85251">
        <w:trPr>
          <w:trHeight w:val="264"/>
        </w:trPr>
        <w:tc>
          <w:tcPr>
            <w:tcW w:w="948" w:type="dxa"/>
            <w:vMerge w:val="restart"/>
            <w:tcBorders>
              <w:top w:val="single" w:sz="4" w:space="0" w:color="auto"/>
              <w:bottom w:val="dotted" w:sz="4" w:space="0" w:color="auto"/>
            </w:tcBorders>
            <w:shd w:val="clear" w:color="auto" w:fill="auto"/>
            <w:noWrap/>
            <w:vAlign w:val="center"/>
            <w:hideMark/>
          </w:tcPr>
          <w:p w14:paraId="3AECBC71" w14:textId="77777777" w:rsidR="00D85251" w:rsidRPr="001B1399" w:rsidRDefault="00D85251" w:rsidP="00FA2F82">
            <w:pPr>
              <w:pStyle w:val="TableBodyText"/>
              <w:keepNext/>
            </w:pPr>
            <w:r w:rsidRPr="001B1399">
              <w:rPr>
                <w:color w:val="000000"/>
              </w:rPr>
              <w:t>EPA</w:t>
            </w:r>
          </w:p>
        </w:tc>
        <w:tc>
          <w:tcPr>
            <w:tcW w:w="961" w:type="dxa"/>
            <w:tcBorders>
              <w:top w:val="single" w:sz="4" w:space="0" w:color="auto"/>
              <w:bottom w:val="dotted" w:sz="4" w:space="0" w:color="auto"/>
            </w:tcBorders>
            <w:shd w:val="clear" w:color="auto" w:fill="auto"/>
            <w:noWrap/>
            <w:vAlign w:val="bottom"/>
            <w:hideMark/>
          </w:tcPr>
          <w:p w14:paraId="27060F59" w14:textId="77777777" w:rsidR="00D85251" w:rsidRPr="001B1399" w:rsidRDefault="00D85251" w:rsidP="00FA2F82">
            <w:pPr>
              <w:pStyle w:val="TableBodyText"/>
              <w:keepNext/>
              <w:rPr>
                <w:color w:val="000000"/>
              </w:rPr>
            </w:pPr>
            <w:r w:rsidRPr="001B1399">
              <w:rPr>
                <w:color w:val="000000"/>
              </w:rPr>
              <w:t>NOEC</w:t>
            </w:r>
          </w:p>
        </w:tc>
        <w:tc>
          <w:tcPr>
            <w:tcW w:w="1095" w:type="dxa"/>
            <w:tcBorders>
              <w:top w:val="single" w:sz="4" w:space="0" w:color="auto"/>
              <w:bottom w:val="dotted" w:sz="4" w:space="0" w:color="auto"/>
            </w:tcBorders>
            <w:shd w:val="clear" w:color="auto" w:fill="auto"/>
            <w:noWrap/>
            <w:vAlign w:val="bottom"/>
            <w:hideMark/>
          </w:tcPr>
          <w:p w14:paraId="2E878A12" w14:textId="77777777" w:rsidR="00D85251" w:rsidRPr="001B1399" w:rsidRDefault="00D85251" w:rsidP="00FA2F82">
            <w:pPr>
              <w:pStyle w:val="TableBodyText"/>
              <w:keepNext/>
              <w:rPr>
                <w:color w:val="000000"/>
              </w:rPr>
            </w:pPr>
            <w:r w:rsidRPr="001B1399">
              <w:rPr>
                <w:color w:val="000000"/>
              </w:rPr>
              <w:t>0.107</w:t>
            </w:r>
          </w:p>
        </w:tc>
        <w:tc>
          <w:tcPr>
            <w:tcW w:w="1050" w:type="dxa"/>
            <w:tcBorders>
              <w:top w:val="single" w:sz="4" w:space="0" w:color="auto"/>
              <w:bottom w:val="dotted" w:sz="4" w:space="0" w:color="auto"/>
            </w:tcBorders>
            <w:vAlign w:val="bottom"/>
          </w:tcPr>
          <w:p w14:paraId="20C8ABFC" w14:textId="77777777" w:rsidR="00D85251" w:rsidRPr="001B1399" w:rsidRDefault="00D85251" w:rsidP="00FA2F82">
            <w:pPr>
              <w:pStyle w:val="TableBodyText"/>
              <w:keepNext/>
              <w:rPr>
                <w:color w:val="000000"/>
              </w:rPr>
            </w:pPr>
            <w:r w:rsidRPr="001B1399">
              <w:rPr>
                <w:color w:val="000000"/>
              </w:rPr>
              <w:t>0.567</w:t>
            </w:r>
          </w:p>
        </w:tc>
        <w:tc>
          <w:tcPr>
            <w:tcW w:w="949" w:type="dxa"/>
            <w:tcBorders>
              <w:top w:val="single" w:sz="4" w:space="0" w:color="auto"/>
              <w:bottom w:val="dotted" w:sz="4" w:space="0" w:color="auto"/>
            </w:tcBorders>
            <w:shd w:val="clear" w:color="auto" w:fill="auto"/>
            <w:noWrap/>
            <w:vAlign w:val="bottom"/>
            <w:hideMark/>
          </w:tcPr>
          <w:p w14:paraId="4D7A950C" w14:textId="77777777" w:rsidR="00D85251" w:rsidRPr="001B1399" w:rsidRDefault="00D85251" w:rsidP="00FA2F82">
            <w:pPr>
              <w:pStyle w:val="TableBodyText"/>
              <w:keepNext/>
              <w:rPr>
                <w:color w:val="000000"/>
              </w:rPr>
            </w:pPr>
            <w:r w:rsidRPr="001B1399">
              <w:rPr>
                <w:color w:val="000000"/>
              </w:rPr>
              <w:t>0.326</w:t>
            </w:r>
          </w:p>
        </w:tc>
        <w:tc>
          <w:tcPr>
            <w:tcW w:w="1206" w:type="dxa"/>
            <w:tcBorders>
              <w:top w:val="single" w:sz="4" w:space="0" w:color="auto"/>
              <w:bottom w:val="dotted" w:sz="4" w:space="0" w:color="auto"/>
            </w:tcBorders>
            <w:shd w:val="clear" w:color="auto" w:fill="auto"/>
            <w:noWrap/>
            <w:vAlign w:val="bottom"/>
            <w:hideMark/>
          </w:tcPr>
          <w:p w14:paraId="72B4D788" w14:textId="77777777" w:rsidR="00D85251" w:rsidRPr="001B1399" w:rsidRDefault="00D85251" w:rsidP="00FA2F82">
            <w:pPr>
              <w:pStyle w:val="TableBodyText"/>
              <w:keepNext/>
              <w:rPr>
                <w:color w:val="000000"/>
              </w:rPr>
            </w:pPr>
            <w:r w:rsidRPr="001B1399">
              <w:rPr>
                <w:color w:val="000000"/>
              </w:rPr>
              <w:t>No</w:t>
            </w:r>
          </w:p>
        </w:tc>
        <w:tc>
          <w:tcPr>
            <w:tcW w:w="1228" w:type="dxa"/>
            <w:tcBorders>
              <w:top w:val="single" w:sz="4" w:space="0" w:color="auto"/>
              <w:bottom w:val="dotted" w:sz="4" w:space="0" w:color="auto"/>
            </w:tcBorders>
            <w:shd w:val="clear" w:color="auto" w:fill="auto"/>
            <w:noWrap/>
            <w:vAlign w:val="bottom"/>
            <w:hideMark/>
          </w:tcPr>
          <w:p w14:paraId="1EBD6502" w14:textId="77777777" w:rsidR="00D85251" w:rsidRPr="001B1399" w:rsidRDefault="00D85251" w:rsidP="00FA2F82">
            <w:pPr>
              <w:pStyle w:val="TableBodyText"/>
              <w:keepNext/>
              <w:rPr>
                <w:color w:val="000000"/>
              </w:rPr>
            </w:pPr>
            <w:r w:rsidRPr="001B1399">
              <w:rPr>
                <w:color w:val="000000"/>
              </w:rPr>
              <w:t>16%</w:t>
            </w:r>
          </w:p>
        </w:tc>
        <w:tc>
          <w:tcPr>
            <w:tcW w:w="949" w:type="dxa"/>
            <w:tcBorders>
              <w:top w:val="single" w:sz="4" w:space="0" w:color="auto"/>
              <w:bottom w:val="dotted" w:sz="4" w:space="0" w:color="auto"/>
            </w:tcBorders>
            <w:shd w:val="clear" w:color="auto" w:fill="auto"/>
            <w:noWrap/>
            <w:vAlign w:val="bottom"/>
          </w:tcPr>
          <w:p w14:paraId="62D8C714" w14:textId="77777777" w:rsidR="00D85251" w:rsidRPr="001B1399" w:rsidRDefault="00D85251" w:rsidP="00FA2F82">
            <w:pPr>
              <w:pStyle w:val="TableBodyText"/>
              <w:keepNext/>
              <w:rPr>
                <w:color w:val="000000"/>
              </w:rPr>
            </w:pPr>
            <w:r w:rsidRPr="001B1399">
              <w:rPr>
                <w:color w:val="000000"/>
              </w:rPr>
              <w:t>28</w:t>
            </w:r>
          </w:p>
        </w:tc>
        <w:tc>
          <w:tcPr>
            <w:tcW w:w="1228" w:type="dxa"/>
            <w:tcBorders>
              <w:top w:val="single" w:sz="4" w:space="0" w:color="auto"/>
              <w:bottom w:val="dotted" w:sz="4" w:space="0" w:color="auto"/>
            </w:tcBorders>
            <w:vAlign w:val="bottom"/>
          </w:tcPr>
          <w:p w14:paraId="315A43CD" w14:textId="77777777" w:rsidR="00D85251" w:rsidRPr="001B1399" w:rsidRDefault="00D85251" w:rsidP="00FA2F82">
            <w:pPr>
              <w:pStyle w:val="TableBodyText"/>
              <w:keepNext/>
              <w:rPr>
                <w:color w:val="000000"/>
              </w:rPr>
            </w:pPr>
            <w:r w:rsidRPr="001B1399">
              <w:rPr>
                <w:color w:val="000000"/>
              </w:rPr>
              <w:t>223</w:t>
            </w:r>
          </w:p>
        </w:tc>
      </w:tr>
      <w:tr w:rsidR="00D85251" w:rsidRPr="001B1399" w14:paraId="7ECF7974" w14:textId="77777777" w:rsidTr="00D85251">
        <w:trPr>
          <w:trHeight w:val="264"/>
        </w:trPr>
        <w:tc>
          <w:tcPr>
            <w:tcW w:w="948" w:type="dxa"/>
            <w:vMerge/>
            <w:tcBorders>
              <w:top w:val="dotted" w:sz="4" w:space="0" w:color="auto"/>
              <w:bottom w:val="dotted" w:sz="4" w:space="0" w:color="auto"/>
            </w:tcBorders>
            <w:shd w:val="clear" w:color="auto" w:fill="auto"/>
            <w:noWrap/>
            <w:vAlign w:val="center"/>
            <w:hideMark/>
          </w:tcPr>
          <w:p w14:paraId="4FC0CCD3" w14:textId="77777777" w:rsidR="00D85251" w:rsidRPr="001B1399" w:rsidRDefault="00D85251" w:rsidP="00FA2F82">
            <w:pPr>
              <w:pStyle w:val="TableBodyText"/>
              <w:keepNext/>
              <w:rPr>
                <w:color w:val="000000"/>
              </w:rPr>
            </w:pPr>
          </w:p>
        </w:tc>
        <w:tc>
          <w:tcPr>
            <w:tcW w:w="961" w:type="dxa"/>
            <w:tcBorders>
              <w:top w:val="dotted" w:sz="4" w:space="0" w:color="auto"/>
              <w:bottom w:val="dotted" w:sz="4" w:space="0" w:color="auto"/>
            </w:tcBorders>
            <w:shd w:val="clear" w:color="auto" w:fill="auto"/>
            <w:noWrap/>
            <w:vAlign w:val="bottom"/>
            <w:hideMark/>
          </w:tcPr>
          <w:p w14:paraId="327E8DE6" w14:textId="77777777" w:rsidR="00D85251" w:rsidRPr="001B1399" w:rsidRDefault="00D85251" w:rsidP="00FA2F82">
            <w:pPr>
              <w:pStyle w:val="TableBodyText"/>
              <w:keepNext/>
              <w:rPr>
                <w:color w:val="000000"/>
              </w:rPr>
            </w:pPr>
            <w:r w:rsidRPr="001B1399">
              <w:rPr>
                <w:color w:val="000000"/>
              </w:rPr>
              <w:t>IC25</w:t>
            </w:r>
          </w:p>
        </w:tc>
        <w:tc>
          <w:tcPr>
            <w:tcW w:w="1095" w:type="dxa"/>
            <w:tcBorders>
              <w:top w:val="dotted" w:sz="4" w:space="0" w:color="auto"/>
              <w:bottom w:val="dotted" w:sz="4" w:space="0" w:color="auto"/>
            </w:tcBorders>
            <w:shd w:val="clear" w:color="auto" w:fill="auto"/>
            <w:noWrap/>
            <w:vAlign w:val="bottom"/>
            <w:hideMark/>
          </w:tcPr>
          <w:p w14:paraId="3C1682D4" w14:textId="77777777" w:rsidR="00D85251" w:rsidRPr="001B1399" w:rsidRDefault="00D85251" w:rsidP="00FA2F82">
            <w:pPr>
              <w:pStyle w:val="TableBodyText"/>
              <w:keepNext/>
              <w:rPr>
                <w:color w:val="000000"/>
              </w:rPr>
            </w:pPr>
            <w:r w:rsidRPr="001B1399">
              <w:rPr>
                <w:color w:val="000000"/>
              </w:rPr>
              <w:t>0.192</w:t>
            </w:r>
          </w:p>
        </w:tc>
        <w:tc>
          <w:tcPr>
            <w:tcW w:w="1050" w:type="dxa"/>
            <w:tcBorders>
              <w:top w:val="dotted" w:sz="4" w:space="0" w:color="auto"/>
              <w:bottom w:val="dotted" w:sz="4" w:space="0" w:color="auto"/>
            </w:tcBorders>
            <w:vAlign w:val="bottom"/>
          </w:tcPr>
          <w:p w14:paraId="46A5C36D" w14:textId="77777777" w:rsidR="00D85251" w:rsidRPr="001B1399" w:rsidRDefault="00D85251" w:rsidP="00FA2F82">
            <w:pPr>
              <w:pStyle w:val="TableBodyText"/>
              <w:keepNext/>
              <w:rPr>
                <w:color w:val="000000"/>
              </w:rPr>
            </w:pPr>
            <w:r w:rsidRPr="001B1399">
              <w:rPr>
                <w:color w:val="000000"/>
              </w:rPr>
              <w:t>1.000</w:t>
            </w:r>
          </w:p>
        </w:tc>
        <w:tc>
          <w:tcPr>
            <w:tcW w:w="949" w:type="dxa"/>
            <w:tcBorders>
              <w:top w:val="dotted" w:sz="4" w:space="0" w:color="auto"/>
              <w:bottom w:val="dotted" w:sz="4" w:space="0" w:color="auto"/>
            </w:tcBorders>
            <w:shd w:val="clear" w:color="auto" w:fill="auto"/>
            <w:noWrap/>
            <w:vAlign w:val="bottom"/>
            <w:hideMark/>
          </w:tcPr>
          <w:p w14:paraId="60470037" w14:textId="77777777" w:rsidR="00D85251" w:rsidRPr="001B1399" w:rsidRDefault="00D85251" w:rsidP="00FA2F82">
            <w:pPr>
              <w:pStyle w:val="TableBodyText"/>
              <w:keepNext/>
              <w:rPr>
                <w:color w:val="000000"/>
              </w:rPr>
            </w:pPr>
            <w:r w:rsidRPr="001B1399">
              <w:rPr>
                <w:color w:val="000000"/>
              </w:rPr>
              <w:t>0.319</w:t>
            </w:r>
          </w:p>
        </w:tc>
        <w:tc>
          <w:tcPr>
            <w:tcW w:w="1206" w:type="dxa"/>
            <w:tcBorders>
              <w:top w:val="dotted" w:sz="4" w:space="0" w:color="auto"/>
              <w:bottom w:val="dotted" w:sz="4" w:space="0" w:color="auto"/>
            </w:tcBorders>
            <w:shd w:val="clear" w:color="auto" w:fill="auto"/>
            <w:noWrap/>
            <w:vAlign w:val="bottom"/>
            <w:hideMark/>
          </w:tcPr>
          <w:p w14:paraId="1EE03319" w14:textId="77777777" w:rsidR="00D85251" w:rsidRPr="001B1399" w:rsidRDefault="00D85251" w:rsidP="00FA2F82">
            <w:pPr>
              <w:pStyle w:val="TableBodyText"/>
              <w:keepNext/>
              <w:rPr>
                <w:color w:val="000000"/>
              </w:rPr>
            </w:pPr>
            <w:r w:rsidRPr="001B1399">
              <w:rPr>
                <w:color w:val="000000"/>
              </w:rPr>
              <w:t>No</w:t>
            </w:r>
          </w:p>
        </w:tc>
        <w:tc>
          <w:tcPr>
            <w:tcW w:w="1228" w:type="dxa"/>
            <w:tcBorders>
              <w:top w:val="dotted" w:sz="4" w:space="0" w:color="auto"/>
              <w:bottom w:val="dotted" w:sz="4" w:space="0" w:color="auto"/>
            </w:tcBorders>
            <w:shd w:val="clear" w:color="auto" w:fill="auto"/>
            <w:noWrap/>
            <w:vAlign w:val="bottom"/>
            <w:hideMark/>
          </w:tcPr>
          <w:p w14:paraId="1A14F5E4" w14:textId="77777777" w:rsidR="00D85251" w:rsidRPr="001B1399" w:rsidRDefault="00D85251" w:rsidP="00FA2F82">
            <w:pPr>
              <w:pStyle w:val="TableBodyText"/>
              <w:keepNext/>
              <w:rPr>
                <w:color w:val="000000"/>
              </w:rPr>
            </w:pPr>
            <w:r w:rsidRPr="001B1399">
              <w:rPr>
                <w:color w:val="000000"/>
              </w:rPr>
              <w:t>16%</w:t>
            </w:r>
          </w:p>
        </w:tc>
        <w:tc>
          <w:tcPr>
            <w:tcW w:w="949" w:type="dxa"/>
            <w:tcBorders>
              <w:top w:val="dotted" w:sz="4" w:space="0" w:color="auto"/>
              <w:bottom w:val="dotted" w:sz="4" w:space="0" w:color="auto"/>
            </w:tcBorders>
            <w:shd w:val="clear" w:color="auto" w:fill="auto"/>
            <w:noWrap/>
            <w:vAlign w:val="bottom"/>
          </w:tcPr>
          <w:p w14:paraId="3129DAF6" w14:textId="77777777" w:rsidR="00D85251" w:rsidRPr="001B1399" w:rsidRDefault="00D85251" w:rsidP="00FA2F82">
            <w:pPr>
              <w:pStyle w:val="TableBodyText"/>
              <w:keepNext/>
              <w:rPr>
                <w:color w:val="000000"/>
              </w:rPr>
            </w:pPr>
            <w:r w:rsidRPr="001B1399">
              <w:rPr>
                <w:color w:val="000000"/>
              </w:rPr>
              <w:t>28</w:t>
            </w:r>
          </w:p>
        </w:tc>
        <w:tc>
          <w:tcPr>
            <w:tcW w:w="1228" w:type="dxa"/>
            <w:tcBorders>
              <w:top w:val="dotted" w:sz="4" w:space="0" w:color="auto"/>
              <w:bottom w:val="dotted" w:sz="4" w:space="0" w:color="auto"/>
            </w:tcBorders>
            <w:vAlign w:val="bottom"/>
          </w:tcPr>
          <w:p w14:paraId="2DC1CC83" w14:textId="77777777" w:rsidR="00D85251" w:rsidRPr="001B1399" w:rsidRDefault="00D85251" w:rsidP="00FA2F82">
            <w:pPr>
              <w:pStyle w:val="TableBodyText"/>
              <w:keepNext/>
              <w:rPr>
                <w:color w:val="000000"/>
              </w:rPr>
            </w:pPr>
            <w:r w:rsidRPr="001B1399">
              <w:rPr>
                <w:color w:val="000000"/>
              </w:rPr>
              <w:t>215</w:t>
            </w:r>
          </w:p>
        </w:tc>
      </w:tr>
      <w:tr w:rsidR="00D85251" w:rsidRPr="001B1399" w14:paraId="2E7BD70B" w14:textId="77777777" w:rsidTr="00D85251">
        <w:trPr>
          <w:trHeight w:val="264"/>
        </w:trPr>
        <w:tc>
          <w:tcPr>
            <w:tcW w:w="948" w:type="dxa"/>
            <w:vMerge/>
            <w:tcBorders>
              <w:top w:val="dotted" w:sz="4" w:space="0" w:color="auto"/>
              <w:bottom w:val="single" w:sz="4" w:space="0" w:color="auto"/>
            </w:tcBorders>
            <w:shd w:val="clear" w:color="auto" w:fill="auto"/>
            <w:noWrap/>
            <w:vAlign w:val="center"/>
            <w:hideMark/>
          </w:tcPr>
          <w:p w14:paraId="78735C5C" w14:textId="77777777" w:rsidR="00D85251" w:rsidRPr="001B1399" w:rsidRDefault="00D85251" w:rsidP="00FA2F82">
            <w:pPr>
              <w:pStyle w:val="TableBodyText"/>
              <w:rPr>
                <w:color w:val="000000"/>
              </w:rPr>
            </w:pPr>
          </w:p>
        </w:tc>
        <w:tc>
          <w:tcPr>
            <w:tcW w:w="961" w:type="dxa"/>
            <w:tcBorders>
              <w:top w:val="dotted" w:sz="4" w:space="0" w:color="auto"/>
              <w:bottom w:val="single" w:sz="4" w:space="0" w:color="auto"/>
            </w:tcBorders>
            <w:shd w:val="clear" w:color="auto" w:fill="auto"/>
            <w:noWrap/>
            <w:vAlign w:val="bottom"/>
            <w:hideMark/>
          </w:tcPr>
          <w:p w14:paraId="7CAB341F" w14:textId="77777777" w:rsidR="00D85251" w:rsidRPr="001B1399" w:rsidRDefault="00D85251" w:rsidP="00FA2F82">
            <w:pPr>
              <w:pStyle w:val="TableBodyText"/>
              <w:rPr>
                <w:color w:val="000000"/>
              </w:rPr>
            </w:pPr>
            <w:r w:rsidRPr="001B1399">
              <w:rPr>
                <w:color w:val="000000"/>
              </w:rPr>
              <w:t>TST</w:t>
            </w:r>
          </w:p>
        </w:tc>
        <w:tc>
          <w:tcPr>
            <w:tcW w:w="1095" w:type="dxa"/>
            <w:tcBorders>
              <w:top w:val="dotted" w:sz="4" w:space="0" w:color="auto"/>
              <w:bottom w:val="single" w:sz="4" w:space="0" w:color="auto"/>
            </w:tcBorders>
            <w:shd w:val="clear" w:color="auto" w:fill="auto"/>
            <w:noWrap/>
            <w:vAlign w:val="bottom"/>
            <w:hideMark/>
          </w:tcPr>
          <w:p w14:paraId="4EFB8F75" w14:textId="77777777" w:rsidR="00D85251" w:rsidRPr="001B1399" w:rsidRDefault="00D85251" w:rsidP="00FA2F82">
            <w:pPr>
              <w:pStyle w:val="TableBodyText"/>
              <w:rPr>
                <w:color w:val="000000"/>
              </w:rPr>
            </w:pPr>
            <w:r w:rsidRPr="001B1399">
              <w:rPr>
                <w:color w:val="000000"/>
              </w:rPr>
              <w:t>0.643</w:t>
            </w:r>
          </w:p>
        </w:tc>
        <w:tc>
          <w:tcPr>
            <w:tcW w:w="1050" w:type="dxa"/>
            <w:tcBorders>
              <w:top w:val="dotted" w:sz="4" w:space="0" w:color="auto"/>
              <w:bottom w:val="single" w:sz="4" w:space="0" w:color="auto"/>
            </w:tcBorders>
            <w:vAlign w:val="bottom"/>
          </w:tcPr>
          <w:p w14:paraId="23BB61A2" w14:textId="77777777" w:rsidR="00D85251" w:rsidRPr="001B1399" w:rsidRDefault="00D85251" w:rsidP="00FA2F82">
            <w:pPr>
              <w:pStyle w:val="TableBodyText"/>
              <w:rPr>
                <w:color w:val="000000"/>
              </w:rPr>
            </w:pPr>
            <w:r w:rsidRPr="001B1399">
              <w:rPr>
                <w:color w:val="000000"/>
              </w:rPr>
              <w:t>2.831</w:t>
            </w:r>
          </w:p>
        </w:tc>
        <w:tc>
          <w:tcPr>
            <w:tcW w:w="949" w:type="dxa"/>
            <w:tcBorders>
              <w:top w:val="dotted" w:sz="4" w:space="0" w:color="auto"/>
              <w:bottom w:val="single" w:sz="4" w:space="0" w:color="auto"/>
            </w:tcBorders>
            <w:shd w:val="clear" w:color="auto" w:fill="auto"/>
            <w:noWrap/>
            <w:vAlign w:val="bottom"/>
            <w:hideMark/>
          </w:tcPr>
          <w:p w14:paraId="669D4D6E" w14:textId="77777777" w:rsidR="00D85251" w:rsidRPr="001B1399" w:rsidRDefault="00D85251" w:rsidP="00FA2F82">
            <w:pPr>
              <w:pStyle w:val="TableBodyText"/>
              <w:rPr>
                <w:color w:val="000000"/>
              </w:rPr>
            </w:pPr>
            <w:r w:rsidRPr="001B1399">
              <w:rPr>
                <w:color w:val="000000"/>
              </w:rPr>
              <w:t>0.240</w:t>
            </w:r>
          </w:p>
        </w:tc>
        <w:tc>
          <w:tcPr>
            <w:tcW w:w="1206" w:type="dxa"/>
            <w:tcBorders>
              <w:top w:val="dotted" w:sz="4" w:space="0" w:color="auto"/>
              <w:bottom w:val="single" w:sz="4" w:space="0" w:color="auto"/>
            </w:tcBorders>
            <w:shd w:val="clear" w:color="auto" w:fill="auto"/>
            <w:noWrap/>
            <w:vAlign w:val="bottom"/>
            <w:hideMark/>
          </w:tcPr>
          <w:p w14:paraId="3BB05D09" w14:textId="77777777" w:rsidR="00D85251" w:rsidRPr="001B1399" w:rsidRDefault="00D85251" w:rsidP="00FA2F82">
            <w:pPr>
              <w:pStyle w:val="TableBodyText"/>
              <w:rPr>
                <w:color w:val="000000"/>
              </w:rPr>
            </w:pPr>
            <w:r w:rsidRPr="001B1399">
              <w:rPr>
                <w:color w:val="000000"/>
              </w:rPr>
              <w:t>No</w:t>
            </w:r>
          </w:p>
        </w:tc>
        <w:tc>
          <w:tcPr>
            <w:tcW w:w="1228" w:type="dxa"/>
            <w:tcBorders>
              <w:top w:val="dotted" w:sz="4" w:space="0" w:color="auto"/>
              <w:bottom w:val="single" w:sz="4" w:space="0" w:color="auto"/>
            </w:tcBorders>
            <w:shd w:val="clear" w:color="auto" w:fill="auto"/>
            <w:noWrap/>
            <w:vAlign w:val="bottom"/>
            <w:hideMark/>
          </w:tcPr>
          <w:p w14:paraId="77EE0792" w14:textId="77777777" w:rsidR="00D85251" w:rsidRPr="001B1399" w:rsidRDefault="00D85251" w:rsidP="00FA2F82">
            <w:pPr>
              <w:pStyle w:val="TableBodyText"/>
              <w:rPr>
                <w:color w:val="000000"/>
              </w:rPr>
            </w:pPr>
            <w:r w:rsidRPr="001B1399">
              <w:rPr>
                <w:color w:val="000000"/>
              </w:rPr>
              <w:t>21%</w:t>
            </w:r>
          </w:p>
        </w:tc>
        <w:tc>
          <w:tcPr>
            <w:tcW w:w="949" w:type="dxa"/>
            <w:tcBorders>
              <w:top w:val="dotted" w:sz="4" w:space="0" w:color="auto"/>
              <w:bottom w:val="single" w:sz="4" w:space="0" w:color="auto"/>
            </w:tcBorders>
            <w:shd w:val="clear" w:color="auto" w:fill="auto"/>
            <w:noWrap/>
            <w:vAlign w:val="bottom"/>
          </w:tcPr>
          <w:p w14:paraId="01A55C10" w14:textId="77777777" w:rsidR="00D85251" w:rsidRPr="001B1399" w:rsidRDefault="00D85251" w:rsidP="00FA2F82">
            <w:pPr>
              <w:pStyle w:val="TableBodyText"/>
              <w:rPr>
                <w:color w:val="000000"/>
              </w:rPr>
            </w:pPr>
            <w:r w:rsidRPr="001B1399">
              <w:rPr>
                <w:color w:val="000000"/>
              </w:rPr>
              <w:t>28</w:t>
            </w:r>
          </w:p>
        </w:tc>
        <w:tc>
          <w:tcPr>
            <w:tcW w:w="1228" w:type="dxa"/>
            <w:tcBorders>
              <w:top w:val="dotted" w:sz="4" w:space="0" w:color="auto"/>
              <w:bottom w:val="single" w:sz="4" w:space="0" w:color="auto"/>
            </w:tcBorders>
            <w:vAlign w:val="bottom"/>
          </w:tcPr>
          <w:p w14:paraId="3FC97434" w14:textId="77777777" w:rsidR="00D85251" w:rsidRPr="001B1399" w:rsidRDefault="00D85251" w:rsidP="00FA2F82">
            <w:pPr>
              <w:pStyle w:val="TableBodyText"/>
              <w:rPr>
                <w:color w:val="000000"/>
              </w:rPr>
            </w:pPr>
            <w:r w:rsidRPr="001B1399">
              <w:rPr>
                <w:color w:val="000000"/>
              </w:rPr>
              <w:t>155</w:t>
            </w:r>
          </w:p>
        </w:tc>
      </w:tr>
      <w:tr w:rsidR="00D85251" w:rsidRPr="001B1399" w14:paraId="76A6BD72" w14:textId="77777777" w:rsidTr="00D85251">
        <w:trPr>
          <w:trHeight w:val="264"/>
        </w:trPr>
        <w:tc>
          <w:tcPr>
            <w:tcW w:w="948" w:type="dxa"/>
            <w:vMerge w:val="restart"/>
            <w:tcBorders>
              <w:top w:val="single" w:sz="4" w:space="0" w:color="auto"/>
              <w:bottom w:val="dotted" w:sz="4" w:space="0" w:color="auto"/>
            </w:tcBorders>
            <w:shd w:val="clear" w:color="auto" w:fill="auto"/>
            <w:noWrap/>
            <w:vAlign w:val="center"/>
            <w:hideMark/>
          </w:tcPr>
          <w:p w14:paraId="5FF5925E" w14:textId="77777777" w:rsidR="00D85251" w:rsidRPr="001B1399" w:rsidRDefault="00D85251" w:rsidP="00FA2F82">
            <w:pPr>
              <w:pStyle w:val="TableBodyText"/>
            </w:pPr>
            <w:r w:rsidRPr="001B1399">
              <w:rPr>
                <w:color w:val="000000"/>
              </w:rPr>
              <w:t>SMC</w:t>
            </w:r>
          </w:p>
        </w:tc>
        <w:tc>
          <w:tcPr>
            <w:tcW w:w="961" w:type="dxa"/>
            <w:tcBorders>
              <w:top w:val="single" w:sz="4" w:space="0" w:color="auto"/>
              <w:bottom w:val="dotted" w:sz="4" w:space="0" w:color="auto"/>
            </w:tcBorders>
            <w:shd w:val="clear" w:color="auto" w:fill="auto"/>
            <w:noWrap/>
            <w:vAlign w:val="bottom"/>
            <w:hideMark/>
          </w:tcPr>
          <w:p w14:paraId="6AFD0407" w14:textId="77777777" w:rsidR="00D85251" w:rsidRPr="001B1399" w:rsidRDefault="00D85251" w:rsidP="00FA2F82">
            <w:pPr>
              <w:pStyle w:val="TableBodyText"/>
              <w:rPr>
                <w:color w:val="000000"/>
              </w:rPr>
            </w:pPr>
            <w:r w:rsidRPr="001B1399">
              <w:rPr>
                <w:color w:val="000000"/>
              </w:rPr>
              <w:t>NOEC</w:t>
            </w:r>
          </w:p>
        </w:tc>
        <w:tc>
          <w:tcPr>
            <w:tcW w:w="1095" w:type="dxa"/>
            <w:tcBorders>
              <w:top w:val="single" w:sz="4" w:space="0" w:color="auto"/>
              <w:bottom w:val="dotted" w:sz="4" w:space="0" w:color="auto"/>
            </w:tcBorders>
            <w:shd w:val="clear" w:color="auto" w:fill="auto"/>
            <w:noWrap/>
            <w:vAlign w:val="bottom"/>
            <w:hideMark/>
          </w:tcPr>
          <w:p w14:paraId="07905F42" w14:textId="77777777" w:rsidR="00D85251" w:rsidRPr="001B1399" w:rsidRDefault="00D85251" w:rsidP="00FA2F82">
            <w:pPr>
              <w:pStyle w:val="TableBodyText"/>
              <w:rPr>
                <w:color w:val="000000"/>
              </w:rPr>
            </w:pPr>
            <w:r w:rsidRPr="001B1399">
              <w:rPr>
                <w:color w:val="000000"/>
              </w:rPr>
              <w:t>0.545</w:t>
            </w:r>
          </w:p>
        </w:tc>
        <w:tc>
          <w:tcPr>
            <w:tcW w:w="1050" w:type="dxa"/>
            <w:tcBorders>
              <w:top w:val="single" w:sz="4" w:space="0" w:color="auto"/>
              <w:bottom w:val="dotted" w:sz="4" w:space="0" w:color="auto"/>
            </w:tcBorders>
            <w:vAlign w:val="bottom"/>
          </w:tcPr>
          <w:p w14:paraId="48A30ADE" w14:textId="77777777" w:rsidR="00D85251" w:rsidRPr="001B1399" w:rsidRDefault="00D85251" w:rsidP="00FA2F82">
            <w:pPr>
              <w:pStyle w:val="TableBodyText"/>
              <w:rPr>
                <w:color w:val="000000"/>
              </w:rPr>
            </w:pPr>
            <w:r w:rsidRPr="001B1399">
              <w:rPr>
                <w:color w:val="000000"/>
              </w:rPr>
              <w:t>0.912</w:t>
            </w:r>
          </w:p>
        </w:tc>
        <w:tc>
          <w:tcPr>
            <w:tcW w:w="949" w:type="dxa"/>
            <w:tcBorders>
              <w:top w:val="single" w:sz="4" w:space="0" w:color="auto"/>
              <w:bottom w:val="dotted" w:sz="4" w:space="0" w:color="auto"/>
            </w:tcBorders>
            <w:shd w:val="clear" w:color="auto" w:fill="auto"/>
            <w:noWrap/>
            <w:vAlign w:val="bottom"/>
            <w:hideMark/>
          </w:tcPr>
          <w:p w14:paraId="31E4C0B7" w14:textId="77777777" w:rsidR="00D85251" w:rsidRPr="001B1399" w:rsidRDefault="00D85251" w:rsidP="00FA2F82">
            <w:pPr>
              <w:pStyle w:val="TableBodyText"/>
              <w:rPr>
                <w:color w:val="000000"/>
              </w:rPr>
            </w:pPr>
            <w:r w:rsidRPr="001B1399">
              <w:rPr>
                <w:color w:val="000000"/>
              </w:rPr>
              <w:t>0.011</w:t>
            </w:r>
          </w:p>
        </w:tc>
        <w:tc>
          <w:tcPr>
            <w:tcW w:w="1206" w:type="dxa"/>
            <w:tcBorders>
              <w:top w:val="single" w:sz="4" w:space="0" w:color="auto"/>
              <w:bottom w:val="dotted" w:sz="4" w:space="0" w:color="auto"/>
            </w:tcBorders>
            <w:shd w:val="clear" w:color="auto" w:fill="D6E3BC" w:themeFill="accent3" w:themeFillTint="66"/>
            <w:noWrap/>
            <w:vAlign w:val="bottom"/>
            <w:hideMark/>
          </w:tcPr>
          <w:p w14:paraId="2FC1ECB2" w14:textId="77777777" w:rsidR="00D85251" w:rsidRPr="001B1399" w:rsidRDefault="00D85251" w:rsidP="00FA2F82">
            <w:pPr>
              <w:pStyle w:val="TableBodyText"/>
              <w:rPr>
                <w:color w:val="000000"/>
              </w:rPr>
            </w:pPr>
            <w:r w:rsidRPr="001B1399">
              <w:rPr>
                <w:color w:val="000000"/>
              </w:rPr>
              <w:t>Yes</w:t>
            </w:r>
          </w:p>
        </w:tc>
        <w:tc>
          <w:tcPr>
            <w:tcW w:w="1228" w:type="dxa"/>
            <w:tcBorders>
              <w:top w:val="single" w:sz="4" w:space="0" w:color="auto"/>
              <w:bottom w:val="dotted" w:sz="4" w:space="0" w:color="auto"/>
            </w:tcBorders>
            <w:shd w:val="clear" w:color="auto" w:fill="auto"/>
            <w:noWrap/>
            <w:vAlign w:val="bottom"/>
            <w:hideMark/>
          </w:tcPr>
          <w:p w14:paraId="3DA235B1" w14:textId="77777777" w:rsidR="00D85251" w:rsidRPr="001B1399" w:rsidRDefault="00D85251" w:rsidP="00FA2F82">
            <w:pPr>
              <w:pStyle w:val="TableBodyText"/>
              <w:rPr>
                <w:color w:val="000000"/>
              </w:rPr>
            </w:pPr>
            <w:r w:rsidRPr="001B1399">
              <w:rPr>
                <w:color w:val="000000"/>
              </w:rPr>
              <w:t>76%</w:t>
            </w:r>
          </w:p>
        </w:tc>
        <w:tc>
          <w:tcPr>
            <w:tcW w:w="949" w:type="dxa"/>
            <w:tcBorders>
              <w:top w:val="single" w:sz="4" w:space="0" w:color="auto"/>
              <w:bottom w:val="dotted" w:sz="4" w:space="0" w:color="auto"/>
            </w:tcBorders>
            <w:shd w:val="clear" w:color="auto" w:fill="auto"/>
            <w:noWrap/>
            <w:vAlign w:val="bottom"/>
          </w:tcPr>
          <w:p w14:paraId="12F296A7" w14:textId="77777777" w:rsidR="00D85251" w:rsidRPr="001B1399" w:rsidRDefault="00D85251" w:rsidP="00FA2F82">
            <w:pPr>
              <w:pStyle w:val="TableBodyText"/>
              <w:rPr>
                <w:color w:val="000000"/>
              </w:rPr>
            </w:pPr>
            <w:r w:rsidRPr="001B1399">
              <w:rPr>
                <w:color w:val="000000"/>
              </w:rPr>
              <w:t>22</w:t>
            </w:r>
          </w:p>
        </w:tc>
        <w:tc>
          <w:tcPr>
            <w:tcW w:w="1228" w:type="dxa"/>
            <w:tcBorders>
              <w:top w:val="single" w:sz="4" w:space="0" w:color="auto"/>
              <w:bottom w:val="dotted" w:sz="4" w:space="0" w:color="auto"/>
            </w:tcBorders>
            <w:vAlign w:val="bottom"/>
          </w:tcPr>
          <w:p w14:paraId="7F8A45DA" w14:textId="77777777" w:rsidR="00D85251" w:rsidRPr="001B1399" w:rsidRDefault="00D85251" w:rsidP="00FA2F82">
            <w:pPr>
              <w:pStyle w:val="TableBodyText"/>
              <w:rPr>
                <w:color w:val="000000"/>
              </w:rPr>
            </w:pPr>
            <w:r w:rsidRPr="001B1399">
              <w:rPr>
                <w:color w:val="000000"/>
              </w:rPr>
              <w:t>24</w:t>
            </w:r>
          </w:p>
        </w:tc>
      </w:tr>
      <w:tr w:rsidR="00D85251" w:rsidRPr="001B1399" w14:paraId="2CCBE9CB" w14:textId="77777777" w:rsidTr="00D85251">
        <w:trPr>
          <w:trHeight w:val="264"/>
        </w:trPr>
        <w:tc>
          <w:tcPr>
            <w:tcW w:w="948" w:type="dxa"/>
            <w:vMerge/>
            <w:tcBorders>
              <w:top w:val="dotted" w:sz="4" w:space="0" w:color="auto"/>
              <w:bottom w:val="dotted" w:sz="4" w:space="0" w:color="auto"/>
            </w:tcBorders>
            <w:shd w:val="clear" w:color="auto" w:fill="auto"/>
            <w:noWrap/>
            <w:vAlign w:val="center"/>
            <w:hideMark/>
          </w:tcPr>
          <w:p w14:paraId="75BEA4FD" w14:textId="77777777" w:rsidR="00D85251" w:rsidRPr="001B1399" w:rsidRDefault="00D85251" w:rsidP="00FA2F82">
            <w:pPr>
              <w:pStyle w:val="TableBodyText"/>
              <w:rPr>
                <w:color w:val="000000"/>
              </w:rPr>
            </w:pPr>
          </w:p>
        </w:tc>
        <w:tc>
          <w:tcPr>
            <w:tcW w:w="961" w:type="dxa"/>
            <w:tcBorders>
              <w:top w:val="dotted" w:sz="4" w:space="0" w:color="auto"/>
              <w:bottom w:val="dotted" w:sz="4" w:space="0" w:color="auto"/>
            </w:tcBorders>
            <w:shd w:val="clear" w:color="auto" w:fill="auto"/>
            <w:noWrap/>
            <w:vAlign w:val="bottom"/>
            <w:hideMark/>
          </w:tcPr>
          <w:p w14:paraId="2DCC7160" w14:textId="77777777" w:rsidR="00D85251" w:rsidRPr="001B1399" w:rsidRDefault="00D85251" w:rsidP="00FA2F82">
            <w:pPr>
              <w:pStyle w:val="TableBodyText"/>
              <w:rPr>
                <w:color w:val="000000"/>
              </w:rPr>
            </w:pPr>
            <w:r w:rsidRPr="001B1399">
              <w:rPr>
                <w:color w:val="000000"/>
              </w:rPr>
              <w:t>IC25</w:t>
            </w:r>
          </w:p>
        </w:tc>
        <w:tc>
          <w:tcPr>
            <w:tcW w:w="1095" w:type="dxa"/>
            <w:tcBorders>
              <w:top w:val="dotted" w:sz="4" w:space="0" w:color="auto"/>
              <w:bottom w:val="dotted" w:sz="4" w:space="0" w:color="auto"/>
            </w:tcBorders>
            <w:shd w:val="clear" w:color="auto" w:fill="auto"/>
            <w:noWrap/>
            <w:vAlign w:val="bottom"/>
            <w:hideMark/>
          </w:tcPr>
          <w:p w14:paraId="17264645" w14:textId="77777777" w:rsidR="00D85251" w:rsidRPr="001B1399" w:rsidRDefault="00D85251" w:rsidP="00FA2F82">
            <w:pPr>
              <w:pStyle w:val="TableBodyText"/>
              <w:rPr>
                <w:color w:val="000000"/>
              </w:rPr>
            </w:pPr>
            <w:r w:rsidRPr="001B1399">
              <w:rPr>
                <w:color w:val="000000"/>
              </w:rPr>
              <w:t>0.984</w:t>
            </w:r>
          </w:p>
        </w:tc>
        <w:tc>
          <w:tcPr>
            <w:tcW w:w="1050" w:type="dxa"/>
            <w:tcBorders>
              <w:top w:val="dotted" w:sz="4" w:space="0" w:color="auto"/>
              <w:bottom w:val="dotted" w:sz="4" w:space="0" w:color="auto"/>
            </w:tcBorders>
            <w:vAlign w:val="bottom"/>
          </w:tcPr>
          <w:p w14:paraId="3262891A" w14:textId="77777777" w:rsidR="00D85251" w:rsidRPr="001B1399" w:rsidRDefault="00D85251" w:rsidP="00FA2F82">
            <w:pPr>
              <w:pStyle w:val="TableBodyText"/>
              <w:rPr>
                <w:color w:val="000000"/>
              </w:rPr>
            </w:pPr>
            <w:r w:rsidRPr="001B1399">
              <w:rPr>
                <w:color w:val="000000"/>
              </w:rPr>
              <w:t>3.275</w:t>
            </w:r>
          </w:p>
        </w:tc>
        <w:tc>
          <w:tcPr>
            <w:tcW w:w="949" w:type="dxa"/>
            <w:tcBorders>
              <w:top w:val="dotted" w:sz="4" w:space="0" w:color="auto"/>
              <w:bottom w:val="dotted" w:sz="4" w:space="0" w:color="auto"/>
            </w:tcBorders>
            <w:shd w:val="clear" w:color="auto" w:fill="auto"/>
            <w:noWrap/>
            <w:vAlign w:val="bottom"/>
            <w:hideMark/>
          </w:tcPr>
          <w:p w14:paraId="09328197" w14:textId="77777777" w:rsidR="00D85251" w:rsidRPr="001B1399" w:rsidRDefault="00D85251" w:rsidP="00FA2F82">
            <w:pPr>
              <w:pStyle w:val="TableBodyText"/>
              <w:rPr>
                <w:color w:val="000000"/>
              </w:rPr>
            </w:pPr>
            <w:r w:rsidRPr="001B1399">
              <w:rPr>
                <w:color w:val="000000"/>
              </w:rPr>
              <w:t>0.174</w:t>
            </w:r>
          </w:p>
        </w:tc>
        <w:tc>
          <w:tcPr>
            <w:tcW w:w="1206" w:type="dxa"/>
            <w:tcBorders>
              <w:top w:val="dotted" w:sz="4" w:space="0" w:color="auto"/>
              <w:bottom w:val="dotted" w:sz="4" w:space="0" w:color="auto"/>
            </w:tcBorders>
            <w:shd w:val="clear" w:color="auto" w:fill="auto"/>
            <w:noWrap/>
            <w:vAlign w:val="bottom"/>
            <w:hideMark/>
          </w:tcPr>
          <w:p w14:paraId="71A23AD8" w14:textId="77777777" w:rsidR="00D85251" w:rsidRPr="001B1399" w:rsidRDefault="00D85251" w:rsidP="00FA2F82">
            <w:pPr>
              <w:pStyle w:val="TableBodyText"/>
              <w:rPr>
                <w:color w:val="000000"/>
              </w:rPr>
            </w:pPr>
            <w:r w:rsidRPr="001B1399">
              <w:rPr>
                <w:color w:val="000000"/>
              </w:rPr>
              <w:t>No</w:t>
            </w:r>
          </w:p>
        </w:tc>
        <w:tc>
          <w:tcPr>
            <w:tcW w:w="1228" w:type="dxa"/>
            <w:tcBorders>
              <w:top w:val="dotted" w:sz="4" w:space="0" w:color="auto"/>
              <w:bottom w:val="dotted" w:sz="4" w:space="0" w:color="auto"/>
            </w:tcBorders>
            <w:shd w:val="clear" w:color="auto" w:fill="auto"/>
            <w:noWrap/>
            <w:vAlign w:val="bottom"/>
            <w:hideMark/>
          </w:tcPr>
          <w:p w14:paraId="77B86B20" w14:textId="77777777" w:rsidR="00D85251" w:rsidRPr="001B1399" w:rsidRDefault="00D85251" w:rsidP="00FA2F82">
            <w:pPr>
              <w:pStyle w:val="TableBodyText"/>
              <w:rPr>
                <w:color w:val="000000"/>
              </w:rPr>
            </w:pPr>
            <w:r w:rsidRPr="001B1399">
              <w:rPr>
                <w:color w:val="000000"/>
              </w:rPr>
              <w:t>27%</w:t>
            </w:r>
          </w:p>
        </w:tc>
        <w:tc>
          <w:tcPr>
            <w:tcW w:w="949" w:type="dxa"/>
            <w:tcBorders>
              <w:top w:val="dotted" w:sz="4" w:space="0" w:color="auto"/>
              <w:bottom w:val="dotted" w:sz="4" w:space="0" w:color="auto"/>
            </w:tcBorders>
            <w:shd w:val="clear" w:color="auto" w:fill="auto"/>
            <w:noWrap/>
            <w:vAlign w:val="bottom"/>
          </w:tcPr>
          <w:p w14:paraId="78F291CC" w14:textId="77777777" w:rsidR="00D85251" w:rsidRPr="001B1399" w:rsidRDefault="00D85251" w:rsidP="00FA2F82">
            <w:pPr>
              <w:pStyle w:val="TableBodyText"/>
              <w:rPr>
                <w:color w:val="000000"/>
              </w:rPr>
            </w:pPr>
            <w:r w:rsidRPr="001B1399">
              <w:rPr>
                <w:color w:val="000000"/>
              </w:rPr>
              <w:t>22</w:t>
            </w:r>
          </w:p>
        </w:tc>
        <w:tc>
          <w:tcPr>
            <w:tcW w:w="1228" w:type="dxa"/>
            <w:tcBorders>
              <w:top w:val="dotted" w:sz="4" w:space="0" w:color="auto"/>
              <w:bottom w:val="dotted" w:sz="4" w:space="0" w:color="auto"/>
            </w:tcBorders>
            <w:vAlign w:val="bottom"/>
          </w:tcPr>
          <w:p w14:paraId="0CD043F6" w14:textId="77777777" w:rsidR="00D85251" w:rsidRPr="001B1399" w:rsidRDefault="00D85251" w:rsidP="00FA2F82">
            <w:pPr>
              <w:pStyle w:val="TableBodyText"/>
              <w:rPr>
                <w:color w:val="000000"/>
              </w:rPr>
            </w:pPr>
            <w:r w:rsidRPr="001B1399">
              <w:rPr>
                <w:color w:val="000000"/>
              </w:rPr>
              <w:t>89</w:t>
            </w:r>
          </w:p>
        </w:tc>
      </w:tr>
      <w:tr w:rsidR="00D85251" w:rsidRPr="001B1399" w14:paraId="4AF7F50C" w14:textId="77777777" w:rsidTr="00D85251">
        <w:trPr>
          <w:trHeight w:val="264"/>
        </w:trPr>
        <w:tc>
          <w:tcPr>
            <w:tcW w:w="948" w:type="dxa"/>
            <w:vMerge/>
            <w:tcBorders>
              <w:top w:val="dotted" w:sz="4" w:space="0" w:color="auto"/>
              <w:bottom w:val="single" w:sz="4" w:space="0" w:color="auto"/>
            </w:tcBorders>
            <w:shd w:val="clear" w:color="auto" w:fill="auto"/>
            <w:noWrap/>
            <w:vAlign w:val="center"/>
            <w:hideMark/>
          </w:tcPr>
          <w:p w14:paraId="25D4D7C8" w14:textId="77777777" w:rsidR="00D85251" w:rsidRPr="001B1399" w:rsidRDefault="00D85251" w:rsidP="00FA2F82">
            <w:pPr>
              <w:pStyle w:val="TableBodyText"/>
              <w:rPr>
                <w:color w:val="000000"/>
              </w:rPr>
            </w:pPr>
          </w:p>
        </w:tc>
        <w:tc>
          <w:tcPr>
            <w:tcW w:w="961" w:type="dxa"/>
            <w:tcBorders>
              <w:top w:val="dotted" w:sz="4" w:space="0" w:color="auto"/>
              <w:bottom w:val="single" w:sz="4" w:space="0" w:color="auto"/>
            </w:tcBorders>
            <w:shd w:val="clear" w:color="auto" w:fill="auto"/>
            <w:noWrap/>
            <w:vAlign w:val="bottom"/>
            <w:hideMark/>
          </w:tcPr>
          <w:p w14:paraId="7166CE9F" w14:textId="77777777" w:rsidR="00D85251" w:rsidRPr="001B1399" w:rsidRDefault="00D85251" w:rsidP="00FA2F82">
            <w:pPr>
              <w:pStyle w:val="TableBodyText"/>
              <w:rPr>
                <w:color w:val="000000"/>
              </w:rPr>
            </w:pPr>
            <w:r w:rsidRPr="001B1399">
              <w:rPr>
                <w:color w:val="000000"/>
              </w:rPr>
              <w:t>TST</w:t>
            </w:r>
          </w:p>
        </w:tc>
        <w:tc>
          <w:tcPr>
            <w:tcW w:w="1095" w:type="dxa"/>
            <w:tcBorders>
              <w:top w:val="dotted" w:sz="4" w:space="0" w:color="auto"/>
              <w:bottom w:val="single" w:sz="4" w:space="0" w:color="auto"/>
            </w:tcBorders>
            <w:shd w:val="clear" w:color="auto" w:fill="auto"/>
            <w:noWrap/>
            <w:vAlign w:val="bottom"/>
            <w:hideMark/>
          </w:tcPr>
          <w:p w14:paraId="1011A818" w14:textId="77777777" w:rsidR="00D85251" w:rsidRPr="001B1399" w:rsidRDefault="00D85251" w:rsidP="00FA2F82">
            <w:pPr>
              <w:pStyle w:val="TableBodyText"/>
              <w:rPr>
                <w:color w:val="000000"/>
              </w:rPr>
            </w:pPr>
            <w:r w:rsidRPr="001B1399">
              <w:rPr>
                <w:color w:val="000000"/>
              </w:rPr>
              <w:t>1.182</w:t>
            </w:r>
          </w:p>
        </w:tc>
        <w:tc>
          <w:tcPr>
            <w:tcW w:w="1050" w:type="dxa"/>
            <w:tcBorders>
              <w:top w:val="dotted" w:sz="4" w:space="0" w:color="auto"/>
              <w:bottom w:val="single" w:sz="4" w:space="0" w:color="auto"/>
            </w:tcBorders>
            <w:vAlign w:val="bottom"/>
          </w:tcPr>
          <w:p w14:paraId="106A5DCA" w14:textId="77777777" w:rsidR="00D85251" w:rsidRPr="001B1399" w:rsidRDefault="00D85251" w:rsidP="00FA2F82">
            <w:pPr>
              <w:pStyle w:val="TableBodyText"/>
              <w:rPr>
                <w:color w:val="000000"/>
              </w:rPr>
            </w:pPr>
            <w:r w:rsidRPr="001B1399">
              <w:rPr>
                <w:color w:val="000000"/>
              </w:rPr>
              <w:t>1.708</w:t>
            </w:r>
          </w:p>
        </w:tc>
        <w:tc>
          <w:tcPr>
            <w:tcW w:w="949" w:type="dxa"/>
            <w:tcBorders>
              <w:top w:val="dotted" w:sz="4" w:space="0" w:color="auto"/>
              <w:bottom w:val="single" w:sz="4" w:space="0" w:color="auto"/>
            </w:tcBorders>
            <w:shd w:val="clear" w:color="auto" w:fill="auto"/>
            <w:noWrap/>
            <w:vAlign w:val="bottom"/>
            <w:hideMark/>
          </w:tcPr>
          <w:p w14:paraId="5B9CC348" w14:textId="77777777" w:rsidR="00D85251" w:rsidRPr="001B1399" w:rsidRDefault="00D85251" w:rsidP="00FA2F82">
            <w:pPr>
              <w:pStyle w:val="TableBodyText"/>
              <w:rPr>
                <w:color w:val="000000"/>
              </w:rPr>
            </w:pPr>
            <w:r w:rsidRPr="001B1399">
              <w:rPr>
                <w:color w:val="000000"/>
              </w:rPr>
              <w:t>0.004</w:t>
            </w:r>
          </w:p>
        </w:tc>
        <w:tc>
          <w:tcPr>
            <w:tcW w:w="1206" w:type="dxa"/>
            <w:tcBorders>
              <w:top w:val="dotted" w:sz="4" w:space="0" w:color="auto"/>
              <w:bottom w:val="single" w:sz="4" w:space="0" w:color="auto"/>
            </w:tcBorders>
            <w:shd w:val="clear" w:color="auto" w:fill="D6E3BC" w:themeFill="accent3" w:themeFillTint="66"/>
            <w:noWrap/>
            <w:vAlign w:val="bottom"/>
            <w:hideMark/>
          </w:tcPr>
          <w:p w14:paraId="27FC8423" w14:textId="77777777" w:rsidR="00D85251" w:rsidRPr="001B1399" w:rsidRDefault="00D85251" w:rsidP="00FA2F82">
            <w:pPr>
              <w:pStyle w:val="TableBodyText"/>
              <w:rPr>
                <w:color w:val="000000"/>
              </w:rPr>
            </w:pPr>
            <w:r w:rsidRPr="001B1399">
              <w:rPr>
                <w:color w:val="000000"/>
              </w:rPr>
              <w:t>Yes</w:t>
            </w:r>
          </w:p>
        </w:tc>
        <w:tc>
          <w:tcPr>
            <w:tcW w:w="1228" w:type="dxa"/>
            <w:tcBorders>
              <w:top w:val="dotted" w:sz="4" w:space="0" w:color="auto"/>
              <w:bottom w:val="single" w:sz="4" w:space="0" w:color="auto"/>
            </w:tcBorders>
            <w:shd w:val="clear" w:color="000000" w:fill="FFFF00"/>
            <w:noWrap/>
            <w:vAlign w:val="bottom"/>
            <w:hideMark/>
          </w:tcPr>
          <w:p w14:paraId="1D660A89" w14:textId="77777777" w:rsidR="00D85251" w:rsidRPr="001B1399" w:rsidRDefault="00D85251" w:rsidP="00FA2F82">
            <w:pPr>
              <w:pStyle w:val="TableBodyText"/>
              <w:rPr>
                <w:color w:val="000000"/>
              </w:rPr>
            </w:pPr>
            <w:r w:rsidRPr="001B1399">
              <w:rPr>
                <w:color w:val="000000"/>
              </w:rPr>
              <w:t>87%</w:t>
            </w:r>
          </w:p>
        </w:tc>
        <w:tc>
          <w:tcPr>
            <w:tcW w:w="949" w:type="dxa"/>
            <w:tcBorders>
              <w:top w:val="dotted" w:sz="4" w:space="0" w:color="auto"/>
              <w:bottom w:val="single" w:sz="4" w:space="0" w:color="auto"/>
            </w:tcBorders>
            <w:shd w:val="clear" w:color="auto" w:fill="auto"/>
            <w:noWrap/>
            <w:vAlign w:val="bottom"/>
          </w:tcPr>
          <w:p w14:paraId="6EAED8BF" w14:textId="77777777" w:rsidR="00D85251" w:rsidRPr="001B1399" w:rsidRDefault="00D85251" w:rsidP="00FA2F82">
            <w:pPr>
              <w:pStyle w:val="TableBodyText"/>
              <w:rPr>
                <w:color w:val="000000"/>
              </w:rPr>
            </w:pPr>
            <w:r w:rsidRPr="001B1399">
              <w:rPr>
                <w:color w:val="000000"/>
              </w:rPr>
              <w:t>22</w:t>
            </w:r>
          </w:p>
        </w:tc>
        <w:tc>
          <w:tcPr>
            <w:tcW w:w="1228" w:type="dxa"/>
            <w:tcBorders>
              <w:top w:val="dotted" w:sz="4" w:space="0" w:color="auto"/>
              <w:bottom w:val="single" w:sz="4" w:space="0" w:color="auto"/>
            </w:tcBorders>
            <w:vAlign w:val="bottom"/>
          </w:tcPr>
          <w:p w14:paraId="44BE1351" w14:textId="77777777" w:rsidR="00D85251" w:rsidRPr="001B1399" w:rsidRDefault="00D85251" w:rsidP="00FA2F82">
            <w:pPr>
              <w:pStyle w:val="TableBodyText"/>
              <w:rPr>
                <w:color w:val="000000"/>
              </w:rPr>
            </w:pPr>
            <w:r w:rsidRPr="001B1399">
              <w:rPr>
                <w:color w:val="000000"/>
              </w:rPr>
              <w:t>19</w:t>
            </w:r>
          </w:p>
        </w:tc>
      </w:tr>
      <w:tr w:rsidR="00D85251" w:rsidRPr="001B1399" w14:paraId="5B4A581A" w14:textId="77777777" w:rsidTr="00D85251">
        <w:trPr>
          <w:trHeight w:val="264"/>
        </w:trPr>
        <w:tc>
          <w:tcPr>
            <w:tcW w:w="948" w:type="dxa"/>
            <w:vMerge w:val="restart"/>
            <w:tcBorders>
              <w:top w:val="single" w:sz="4" w:space="0" w:color="auto"/>
              <w:bottom w:val="dotted" w:sz="4" w:space="0" w:color="auto"/>
            </w:tcBorders>
            <w:shd w:val="clear" w:color="auto" w:fill="auto"/>
            <w:noWrap/>
            <w:vAlign w:val="center"/>
            <w:hideMark/>
          </w:tcPr>
          <w:p w14:paraId="2580B968" w14:textId="77777777" w:rsidR="00D85251" w:rsidRPr="001B1399" w:rsidRDefault="00D85251" w:rsidP="00FA2F82">
            <w:pPr>
              <w:pStyle w:val="TableBodyText"/>
            </w:pPr>
            <w:r w:rsidRPr="001B1399">
              <w:rPr>
                <w:color w:val="000000"/>
              </w:rPr>
              <w:t>WC</w:t>
            </w:r>
          </w:p>
        </w:tc>
        <w:tc>
          <w:tcPr>
            <w:tcW w:w="961" w:type="dxa"/>
            <w:tcBorders>
              <w:top w:val="single" w:sz="4" w:space="0" w:color="auto"/>
              <w:bottom w:val="dotted" w:sz="4" w:space="0" w:color="auto"/>
            </w:tcBorders>
            <w:shd w:val="clear" w:color="auto" w:fill="auto"/>
            <w:noWrap/>
            <w:vAlign w:val="bottom"/>
            <w:hideMark/>
          </w:tcPr>
          <w:p w14:paraId="5655A1C6" w14:textId="77777777" w:rsidR="00D85251" w:rsidRPr="001B1399" w:rsidRDefault="00D85251" w:rsidP="00FA2F82">
            <w:pPr>
              <w:pStyle w:val="TableBodyText"/>
              <w:rPr>
                <w:color w:val="000000"/>
              </w:rPr>
            </w:pPr>
            <w:r w:rsidRPr="001B1399">
              <w:rPr>
                <w:color w:val="000000"/>
              </w:rPr>
              <w:t>NOEC</w:t>
            </w:r>
          </w:p>
        </w:tc>
        <w:tc>
          <w:tcPr>
            <w:tcW w:w="1095" w:type="dxa"/>
            <w:tcBorders>
              <w:top w:val="single" w:sz="4" w:space="0" w:color="auto"/>
              <w:bottom w:val="dotted" w:sz="4" w:space="0" w:color="auto"/>
            </w:tcBorders>
            <w:shd w:val="clear" w:color="auto" w:fill="auto"/>
            <w:noWrap/>
            <w:vAlign w:val="bottom"/>
            <w:hideMark/>
          </w:tcPr>
          <w:p w14:paraId="2E2BFE59" w14:textId="1CDA123E" w:rsidR="00D85251" w:rsidRPr="001B1399" w:rsidRDefault="00D85251" w:rsidP="00FA2F82">
            <w:pPr>
              <w:pStyle w:val="TableBodyText"/>
              <w:rPr>
                <w:color w:val="000000"/>
              </w:rPr>
            </w:pPr>
            <w:r w:rsidRPr="001B1399">
              <w:rPr>
                <w:color w:val="000000"/>
              </w:rPr>
              <w:t>1.</w:t>
            </w:r>
            <w:r w:rsidR="00004795">
              <w:rPr>
                <w:color w:val="000000"/>
              </w:rPr>
              <w:t>381</w:t>
            </w:r>
          </w:p>
        </w:tc>
        <w:tc>
          <w:tcPr>
            <w:tcW w:w="1050" w:type="dxa"/>
            <w:tcBorders>
              <w:top w:val="single" w:sz="4" w:space="0" w:color="auto"/>
              <w:bottom w:val="dotted" w:sz="4" w:space="0" w:color="auto"/>
            </w:tcBorders>
            <w:vAlign w:val="bottom"/>
          </w:tcPr>
          <w:p w14:paraId="68C978DE" w14:textId="0427FB75" w:rsidR="00D85251" w:rsidRPr="001B1399" w:rsidRDefault="00D85251" w:rsidP="00FA2F82">
            <w:pPr>
              <w:pStyle w:val="TableBodyText"/>
              <w:rPr>
                <w:color w:val="000000"/>
              </w:rPr>
            </w:pPr>
            <w:r w:rsidRPr="001B1399">
              <w:rPr>
                <w:color w:val="000000"/>
              </w:rPr>
              <w:t>3.</w:t>
            </w:r>
            <w:r w:rsidR="00004795">
              <w:rPr>
                <w:color w:val="000000"/>
              </w:rPr>
              <w:t>514</w:t>
            </w:r>
          </w:p>
        </w:tc>
        <w:tc>
          <w:tcPr>
            <w:tcW w:w="949" w:type="dxa"/>
            <w:tcBorders>
              <w:top w:val="single" w:sz="4" w:space="0" w:color="auto"/>
              <w:bottom w:val="dotted" w:sz="4" w:space="0" w:color="auto"/>
            </w:tcBorders>
            <w:shd w:val="clear" w:color="auto" w:fill="auto"/>
            <w:noWrap/>
            <w:vAlign w:val="bottom"/>
            <w:hideMark/>
          </w:tcPr>
          <w:p w14:paraId="142EC301" w14:textId="21986417" w:rsidR="00D85251" w:rsidRPr="001B1399" w:rsidRDefault="00D85251" w:rsidP="00FA2F82">
            <w:pPr>
              <w:pStyle w:val="TableBodyText"/>
              <w:rPr>
                <w:color w:val="000000"/>
              </w:rPr>
            </w:pPr>
            <w:r w:rsidRPr="001B1399">
              <w:rPr>
                <w:color w:val="000000"/>
              </w:rPr>
              <w:t>0.</w:t>
            </w:r>
            <w:r w:rsidR="00004795">
              <w:rPr>
                <w:color w:val="000000"/>
              </w:rPr>
              <w:t>087</w:t>
            </w:r>
          </w:p>
        </w:tc>
        <w:tc>
          <w:tcPr>
            <w:tcW w:w="1206" w:type="dxa"/>
            <w:tcBorders>
              <w:top w:val="single" w:sz="4" w:space="0" w:color="auto"/>
              <w:bottom w:val="dotted" w:sz="4" w:space="0" w:color="auto"/>
            </w:tcBorders>
            <w:shd w:val="clear" w:color="auto" w:fill="auto"/>
            <w:noWrap/>
            <w:vAlign w:val="bottom"/>
            <w:hideMark/>
          </w:tcPr>
          <w:p w14:paraId="60FBB57C" w14:textId="77777777" w:rsidR="00D85251" w:rsidRPr="001B1399" w:rsidRDefault="00D85251" w:rsidP="00FA2F82">
            <w:pPr>
              <w:pStyle w:val="TableBodyText"/>
              <w:rPr>
                <w:color w:val="000000"/>
              </w:rPr>
            </w:pPr>
            <w:r w:rsidRPr="001B1399">
              <w:rPr>
                <w:color w:val="000000"/>
              </w:rPr>
              <w:t>No</w:t>
            </w:r>
          </w:p>
        </w:tc>
        <w:tc>
          <w:tcPr>
            <w:tcW w:w="1228" w:type="dxa"/>
            <w:tcBorders>
              <w:top w:val="single" w:sz="4" w:space="0" w:color="auto"/>
              <w:bottom w:val="dotted" w:sz="4" w:space="0" w:color="auto"/>
            </w:tcBorders>
            <w:shd w:val="clear" w:color="auto" w:fill="auto"/>
            <w:noWrap/>
            <w:vAlign w:val="bottom"/>
            <w:hideMark/>
          </w:tcPr>
          <w:p w14:paraId="336E31C3" w14:textId="61CD2E76" w:rsidR="00D85251" w:rsidRPr="00004795" w:rsidRDefault="00004795" w:rsidP="00FA2F82">
            <w:pPr>
              <w:pStyle w:val="TableBodyText"/>
              <w:rPr>
                <w:color w:val="000000"/>
              </w:rPr>
            </w:pPr>
            <w:r w:rsidRPr="00004795">
              <w:rPr>
                <w:color w:val="000000"/>
              </w:rPr>
              <w:t>40</w:t>
            </w:r>
            <w:r w:rsidR="00D85251" w:rsidRPr="00004795">
              <w:rPr>
                <w:color w:val="000000"/>
              </w:rPr>
              <w:t>%</w:t>
            </w:r>
          </w:p>
        </w:tc>
        <w:tc>
          <w:tcPr>
            <w:tcW w:w="949" w:type="dxa"/>
            <w:tcBorders>
              <w:top w:val="single" w:sz="4" w:space="0" w:color="auto"/>
              <w:bottom w:val="dotted" w:sz="4" w:space="0" w:color="auto"/>
            </w:tcBorders>
            <w:shd w:val="clear" w:color="auto" w:fill="auto"/>
            <w:noWrap/>
            <w:vAlign w:val="bottom"/>
          </w:tcPr>
          <w:p w14:paraId="2577C5E8" w14:textId="6F5559EB" w:rsidR="00D85251" w:rsidRPr="00004795" w:rsidRDefault="00D85251" w:rsidP="00FA2F82">
            <w:pPr>
              <w:pStyle w:val="TableBodyText"/>
              <w:rPr>
                <w:color w:val="000000"/>
              </w:rPr>
            </w:pPr>
            <w:r w:rsidRPr="00004795">
              <w:rPr>
                <w:color w:val="000000"/>
              </w:rPr>
              <w:t>2</w:t>
            </w:r>
            <w:r w:rsidR="00004795" w:rsidRPr="00004795">
              <w:rPr>
                <w:color w:val="000000"/>
              </w:rPr>
              <w:t>1</w:t>
            </w:r>
          </w:p>
        </w:tc>
        <w:tc>
          <w:tcPr>
            <w:tcW w:w="1228" w:type="dxa"/>
            <w:tcBorders>
              <w:top w:val="single" w:sz="4" w:space="0" w:color="auto"/>
              <w:bottom w:val="dotted" w:sz="4" w:space="0" w:color="auto"/>
            </w:tcBorders>
            <w:vAlign w:val="bottom"/>
          </w:tcPr>
          <w:p w14:paraId="7EF0145E" w14:textId="7B44B0DC" w:rsidR="00D85251" w:rsidRPr="00004795" w:rsidRDefault="00004795" w:rsidP="00FA2F82">
            <w:pPr>
              <w:pStyle w:val="TableBodyText"/>
              <w:rPr>
                <w:color w:val="000000"/>
              </w:rPr>
            </w:pPr>
            <w:r w:rsidRPr="00004795">
              <w:rPr>
                <w:color w:val="000000"/>
              </w:rPr>
              <w:t>53</w:t>
            </w:r>
          </w:p>
        </w:tc>
      </w:tr>
      <w:tr w:rsidR="00D85251" w:rsidRPr="001B1399" w14:paraId="79F9ABDA" w14:textId="77777777" w:rsidTr="00004795">
        <w:trPr>
          <w:trHeight w:val="264"/>
        </w:trPr>
        <w:tc>
          <w:tcPr>
            <w:tcW w:w="948" w:type="dxa"/>
            <w:vMerge/>
            <w:tcBorders>
              <w:top w:val="dotted" w:sz="4" w:space="0" w:color="auto"/>
              <w:bottom w:val="dotted" w:sz="4" w:space="0" w:color="auto"/>
            </w:tcBorders>
            <w:shd w:val="clear" w:color="auto" w:fill="auto"/>
            <w:noWrap/>
            <w:vAlign w:val="bottom"/>
            <w:hideMark/>
          </w:tcPr>
          <w:p w14:paraId="4E22C452" w14:textId="77777777" w:rsidR="00D85251" w:rsidRPr="001B1399" w:rsidRDefault="00D85251" w:rsidP="00FA2F82">
            <w:pPr>
              <w:pStyle w:val="TableBodyText"/>
              <w:rPr>
                <w:color w:val="000000"/>
              </w:rPr>
            </w:pPr>
          </w:p>
        </w:tc>
        <w:tc>
          <w:tcPr>
            <w:tcW w:w="961" w:type="dxa"/>
            <w:tcBorders>
              <w:top w:val="dotted" w:sz="4" w:space="0" w:color="auto"/>
              <w:bottom w:val="dotted" w:sz="4" w:space="0" w:color="auto"/>
            </w:tcBorders>
            <w:shd w:val="clear" w:color="auto" w:fill="auto"/>
            <w:noWrap/>
            <w:vAlign w:val="bottom"/>
            <w:hideMark/>
          </w:tcPr>
          <w:p w14:paraId="26D266B1" w14:textId="77777777" w:rsidR="00D85251" w:rsidRPr="001B1399" w:rsidRDefault="00D85251" w:rsidP="00FA2F82">
            <w:pPr>
              <w:pStyle w:val="TableBodyText"/>
              <w:rPr>
                <w:color w:val="000000"/>
              </w:rPr>
            </w:pPr>
            <w:r w:rsidRPr="001B1399">
              <w:rPr>
                <w:color w:val="000000"/>
              </w:rPr>
              <w:t>IC25</w:t>
            </w:r>
          </w:p>
        </w:tc>
        <w:tc>
          <w:tcPr>
            <w:tcW w:w="1095" w:type="dxa"/>
            <w:tcBorders>
              <w:top w:val="dotted" w:sz="4" w:space="0" w:color="auto"/>
              <w:bottom w:val="dotted" w:sz="4" w:space="0" w:color="auto"/>
            </w:tcBorders>
            <w:shd w:val="clear" w:color="auto" w:fill="auto"/>
            <w:noWrap/>
            <w:vAlign w:val="bottom"/>
            <w:hideMark/>
          </w:tcPr>
          <w:p w14:paraId="70BA532A" w14:textId="071E6BE1" w:rsidR="00D85251" w:rsidRPr="001B1399" w:rsidRDefault="00004795" w:rsidP="00FA2F82">
            <w:pPr>
              <w:pStyle w:val="TableBodyText"/>
              <w:rPr>
                <w:color w:val="000000"/>
              </w:rPr>
            </w:pPr>
            <w:r>
              <w:rPr>
                <w:color w:val="000000"/>
              </w:rPr>
              <w:t>0.387</w:t>
            </w:r>
          </w:p>
        </w:tc>
        <w:tc>
          <w:tcPr>
            <w:tcW w:w="1050" w:type="dxa"/>
            <w:tcBorders>
              <w:top w:val="dotted" w:sz="4" w:space="0" w:color="auto"/>
              <w:bottom w:val="dotted" w:sz="4" w:space="0" w:color="auto"/>
            </w:tcBorders>
            <w:vAlign w:val="bottom"/>
          </w:tcPr>
          <w:p w14:paraId="37155B4F" w14:textId="617744BC" w:rsidR="00D85251" w:rsidRPr="001B1399" w:rsidRDefault="00004795" w:rsidP="00FA2F82">
            <w:pPr>
              <w:pStyle w:val="TableBodyText"/>
              <w:rPr>
                <w:color w:val="000000"/>
              </w:rPr>
            </w:pPr>
            <w:r>
              <w:rPr>
                <w:color w:val="000000"/>
              </w:rPr>
              <w:t>0.692</w:t>
            </w:r>
          </w:p>
        </w:tc>
        <w:tc>
          <w:tcPr>
            <w:tcW w:w="949" w:type="dxa"/>
            <w:tcBorders>
              <w:top w:val="dotted" w:sz="4" w:space="0" w:color="auto"/>
              <w:bottom w:val="dotted" w:sz="4" w:space="0" w:color="auto"/>
            </w:tcBorders>
            <w:shd w:val="clear" w:color="auto" w:fill="auto"/>
            <w:noWrap/>
            <w:vAlign w:val="bottom"/>
            <w:hideMark/>
          </w:tcPr>
          <w:p w14:paraId="495CB2A6" w14:textId="55A267C7" w:rsidR="00D85251" w:rsidRPr="001B1399" w:rsidRDefault="00D85251" w:rsidP="00FA2F82">
            <w:pPr>
              <w:pStyle w:val="TableBodyText"/>
              <w:rPr>
                <w:color w:val="000000"/>
              </w:rPr>
            </w:pPr>
            <w:r w:rsidRPr="001B1399">
              <w:rPr>
                <w:color w:val="000000"/>
              </w:rPr>
              <w:t>0.</w:t>
            </w:r>
            <w:r w:rsidR="00004795">
              <w:rPr>
                <w:color w:val="000000"/>
              </w:rPr>
              <w:t>019</w:t>
            </w:r>
          </w:p>
        </w:tc>
        <w:tc>
          <w:tcPr>
            <w:tcW w:w="1206" w:type="dxa"/>
            <w:tcBorders>
              <w:top w:val="dotted" w:sz="4" w:space="0" w:color="auto"/>
              <w:bottom w:val="dotted" w:sz="4" w:space="0" w:color="auto"/>
            </w:tcBorders>
            <w:shd w:val="clear" w:color="auto" w:fill="D6E3BC" w:themeFill="accent3" w:themeFillTint="66"/>
            <w:noWrap/>
            <w:vAlign w:val="bottom"/>
            <w:hideMark/>
          </w:tcPr>
          <w:p w14:paraId="043E790D" w14:textId="3327BDA5" w:rsidR="00D85251" w:rsidRPr="001B1399" w:rsidRDefault="00004795" w:rsidP="00FA2F82">
            <w:pPr>
              <w:pStyle w:val="TableBodyText"/>
              <w:rPr>
                <w:color w:val="000000"/>
              </w:rPr>
            </w:pPr>
            <w:r>
              <w:rPr>
                <w:color w:val="000000"/>
              </w:rPr>
              <w:t>Yes</w:t>
            </w:r>
          </w:p>
        </w:tc>
        <w:tc>
          <w:tcPr>
            <w:tcW w:w="1228" w:type="dxa"/>
            <w:tcBorders>
              <w:top w:val="dotted" w:sz="4" w:space="0" w:color="auto"/>
              <w:bottom w:val="dotted" w:sz="4" w:space="0" w:color="auto"/>
            </w:tcBorders>
            <w:shd w:val="clear" w:color="auto" w:fill="auto"/>
            <w:noWrap/>
            <w:vAlign w:val="bottom"/>
            <w:hideMark/>
          </w:tcPr>
          <w:p w14:paraId="6BB6AD07" w14:textId="621332D1" w:rsidR="00D85251" w:rsidRPr="00B00D1E" w:rsidRDefault="00B00D1E" w:rsidP="00FA2F82">
            <w:pPr>
              <w:pStyle w:val="TableBodyText"/>
              <w:rPr>
                <w:color w:val="000000"/>
              </w:rPr>
            </w:pPr>
            <w:r w:rsidRPr="00B00D1E">
              <w:rPr>
                <w:color w:val="000000"/>
              </w:rPr>
              <w:t>68</w:t>
            </w:r>
            <w:r w:rsidR="00D85251" w:rsidRPr="00B00D1E">
              <w:rPr>
                <w:color w:val="000000"/>
              </w:rPr>
              <w:t>%</w:t>
            </w:r>
          </w:p>
        </w:tc>
        <w:tc>
          <w:tcPr>
            <w:tcW w:w="949" w:type="dxa"/>
            <w:tcBorders>
              <w:top w:val="dotted" w:sz="4" w:space="0" w:color="auto"/>
              <w:bottom w:val="dotted" w:sz="4" w:space="0" w:color="auto"/>
            </w:tcBorders>
            <w:shd w:val="clear" w:color="auto" w:fill="auto"/>
            <w:noWrap/>
            <w:vAlign w:val="bottom"/>
          </w:tcPr>
          <w:p w14:paraId="5A18E66B" w14:textId="75696DAA" w:rsidR="00D85251" w:rsidRPr="00B00D1E" w:rsidRDefault="00D85251" w:rsidP="00FA2F82">
            <w:pPr>
              <w:pStyle w:val="TableBodyText"/>
              <w:rPr>
                <w:color w:val="000000"/>
              </w:rPr>
            </w:pPr>
            <w:r w:rsidRPr="00B00D1E">
              <w:rPr>
                <w:color w:val="000000"/>
              </w:rPr>
              <w:t>2</w:t>
            </w:r>
            <w:r w:rsidR="00004795" w:rsidRPr="00B00D1E">
              <w:rPr>
                <w:color w:val="000000"/>
              </w:rPr>
              <w:t>1</w:t>
            </w:r>
          </w:p>
        </w:tc>
        <w:tc>
          <w:tcPr>
            <w:tcW w:w="1228" w:type="dxa"/>
            <w:tcBorders>
              <w:top w:val="dotted" w:sz="4" w:space="0" w:color="auto"/>
              <w:bottom w:val="dotted" w:sz="4" w:space="0" w:color="auto"/>
            </w:tcBorders>
            <w:vAlign w:val="bottom"/>
          </w:tcPr>
          <w:p w14:paraId="084C80E6" w14:textId="5086C771" w:rsidR="00D85251" w:rsidRPr="00B00D1E" w:rsidRDefault="00B00D1E" w:rsidP="00FA2F82">
            <w:pPr>
              <w:pStyle w:val="TableBodyText"/>
              <w:rPr>
                <w:color w:val="000000"/>
              </w:rPr>
            </w:pPr>
            <w:r w:rsidRPr="00B00D1E">
              <w:rPr>
                <w:color w:val="000000"/>
              </w:rPr>
              <w:t>28</w:t>
            </w:r>
          </w:p>
        </w:tc>
      </w:tr>
      <w:tr w:rsidR="00D85251" w:rsidRPr="001B1399" w14:paraId="256BE928" w14:textId="77777777" w:rsidTr="00D85251">
        <w:trPr>
          <w:trHeight w:val="264"/>
        </w:trPr>
        <w:tc>
          <w:tcPr>
            <w:tcW w:w="948" w:type="dxa"/>
            <w:vMerge/>
            <w:tcBorders>
              <w:top w:val="dotted" w:sz="4" w:space="0" w:color="auto"/>
              <w:bottom w:val="single" w:sz="4" w:space="0" w:color="auto"/>
            </w:tcBorders>
            <w:shd w:val="clear" w:color="auto" w:fill="auto"/>
            <w:noWrap/>
            <w:vAlign w:val="bottom"/>
            <w:hideMark/>
          </w:tcPr>
          <w:p w14:paraId="7A42C227" w14:textId="77777777" w:rsidR="00D85251" w:rsidRPr="001B1399" w:rsidRDefault="00D85251" w:rsidP="00816475">
            <w:pPr>
              <w:pStyle w:val="TableBodyText"/>
              <w:rPr>
                <w:color w:val="000000"/>
              </w:rPr>
            </w:pPr>
          </w:p>
        </w:tc>
        <w:tc>
          <w:tcPr>
            <w:tcW w:w="961" w:type="dxa"/>
            <w:tcBorders>
              <w:top w:val="dotted" w:sz="4" w:space="0" w:color="auto"/>
              <w:bottom w:val="single" w:sz="4" w:space="0" w:color="auto"/>
            </w:tcBorders>
            <w:shd w:val="clear" w:color="auto" w:fill="auto"/>
            <w:noWrap/>
            <w:vAlign w:val="bottom"/>
            <w:hideMark/>
          </w:tcPr>
          <w:p w14:paraId="6E1F4B06" w14:textId="77777777" w:rsidR="00D85251" w:rsidRPr="001B1399" w:rsidRDefault="00D85251" w:rsidP="00816475">
            <w:pPr>
              <w:pStyle w:val="TableBodyText"/>
              <w:rPr>
                <w:color w:val="000000"/>
              </w:rPr>
            </w:pPr>
            <w:r w:rsidRPr="001B1399">
              <w:rPr>
                <w:color w:val="000000"/>
              </w:rPr>
              <w:t>TST</w:t>
            </w:r>
          </w:p>
        </w:tc>
        <w:tc>
          <w:tcPr>
            <w:tcW w:w="1095" w:type="dxa"/>
            <w:tcBorders>
              <w:top w:val="dotted" w:sz="4" w:space="0" w:color="auto"/>
              <w:bottom w:val="single" w:sz="4" w:space="0" w:color="auto"/>
            </w:tcBorders>
            <w:shd w:val="clear" w:color="auto" w:fill="auto"/>
            <w:noWrap/>
            <w:vAlign w:val="bottom"/>
            <w:hideMark/>
          </w:tcPr>
          <w:p w14:paraId="418E24EF" w14:textId="237CAC35" w:rsidR="00D85251" w:rsidRPr="001B1399" w:rsidRDefault="00B00D1E" w:rsidP="00816475">
            <w:pPr>
              <w:pStyle w:val="TableBodyText"/>
              <w:rPr>
                <w:color w:val="000000"/>
              </w:rPr>
            </w:pPr>
            <w:r>
              <w:rPr>
                <w:color w:val="000000"/>
              </w:rPr>
              <w:t>1.048</w:t>
            </w:r>
          </w:p>
        </w:tc>
        <w:tc>
          <w:tcPr>
            <w:tcW w:w="1050" w:type="dxa"/>
            <w:tcBorders>
              <w:top w:val="dotted" w:sz="4" w:space="0" w:color="auto"/>
              <w:bottom w:val="single" w:sz="4" w:space="0" w:color="auto"/>
            </w:tcBorders>
            <w:vAlign w:val="bottom"/>
          </w:tcPr>
          <w:p w14:paraId="052BB321" w14:textId="3F5CFBAC" w:rsidR="00D85251" w:rsidRPr="001B1399" w:rsidRDefault="00B00D1E" w:rsidP="00816475">
            <w:pPr>
              <w:pStyle w:val="TableBodyText"/>
              <w:rPr>
                <w:color w:val="000000"/>
              </w:rPr>
            </w:pPr>
            <w:r>
              <w:rPr>
                <w:color w:val="000000"/>
              </w:rPr>
              <w:t>1.802</w:t>
            </w:r>
          </w:p>
        </w:tc>
        <w:tc>
          <w:tcPr>
            <w:tcW w:w="949" w:type="dxa"/>
            <w:tcBorders>
              <w:top w:val="dotted" w:sz="4" w:space="0" w:color="auto"/>
              <w:bottom w:val="single" w:sz="4" w:space="0" w:color="auto"/>
            </w:tcBorders>
            <w:shd w:val="clear" w:color="auto" w:fill="auto"/>
            <w:noWrap/>
            <w:vAlign w:val="bottom"/>
            <w:hideMark/>
          </w:tcPr>
          <w:p w14:paraId="7883A558" w14:textId="2AAAA967" w:rsidR="00D85251" w:rsidRPr="001B1399" w:rsidRDefault="00D85251" w:rsidP="00816475">
            <w:pPr>
              <w:pStyle w:val="TableBodyText"/>
              <w:rPr>
                <w:color w:val="000000"/>
              </w:rPr>
            </w:pPr>
            <w:r w:rsidRPr="001B1399">
              <w:rPr>
                <w:color w:val="000000"/>
              </w:rPr>
              <w:t>0.</w:t>
            </w:r>
            <w:r w:rsidR="00B00D1E">
              <w:rPr>
                <w:color w:val="000000"/>
              </w:rPr>
              <w:t>015</w:t>
            </w:r>
          </w:p>
        </w:tc>
        <w:tc>
          <w:tcPr>
            <w:tcW w:w="1206" w:type="dxa"/>
            <w:tcBorders>
              <w:top w:val="dotted" w:sz="4" w:space="0" w:color="auto"/>
              <w:bottom w:val="single" w:sz="4" w:space="0" w:color="auto"/>
            </w:tcBorders>
            <w:shd w:val="clear" w:color="auto" w:fill="D6E3BC" w:themeFill="accent3" w:themeFillTint="66"/>
            <w:noWrap/>
            <w:vAlign w:val="bottom"/>
            <w:hideMark/>
          </w:tcPr>
          <w:p w14:paraId="6D6B0F30" w14:textId="77777777" w:rsidR="00D85251" w:rsidRPr="001B1399" w:rsidRDefault="00D85251" w:rsidP="00816475">
            <w:pPr>
              <w:pStyle w:val="TableBodyText"/>
              <w:rPr>
                <w:color w:val="000000"/>
              </w:rPr>
            </w:pPr>
            <w:r w:rsidRPr="001B1399">
              <w:rPr>
                <w:color w:val="000000"/>
              </w:rPr>
              <w:t>Yes</w:t>
            </w:r>
          </w:p>
        </w:tc>
        <w:tc>
          <w:tcPr>
            <w:tcW w:w="1228" w:type="dxa"/>
            <w:tcBorders>
              <w:top w:val="dotted" w:sz="4" w:space="0" w:color="auto"/>
              <w:bottom w:val="single" w:sz="4" w:space="0" w:color="auto"/>
            </w:tcBorders>
            <w:shd w:val="clear" w:color="auto" w:fill="auto"/>
            <w:noWrap/>
            <w:vAlign w:val="bottom"/>
            <w:hideMark/>
          </w:tcPr>
          <w:p w14:paraId="3F3285C5" w14:textId="3104C9C6" w:rsidR="00D85251" w:rsidRPr="00B00D1E" w:rsidRDefault="00B00D1E" w:rsidP="00816475">
            <w:pPr>
              <w:pStyle w:val="TableBodyText"/>
              <w:rPr>
                <w:color w:val="000000"/>
              </w:rPr>
            </w:pPr>
            <w:r w:rsidRPr="00B00D1E">
              <w:rPr>
                <w:color w:val="000000"/>
              </w:rPr>
              <w:t>72</w:t>
            </w:r>
            <w:r w:rsidR="00D85251" w:rsidRPr="00B00D1E">
              <w:rPr>
                <w:color w:val="000000"/>
              </w:rPr>
              <w:t>%</w:t>
            </w:r>
          </w:p>
        </w:tc>
        <w:tc>
          <w:tcPr>
            <w:tcW w:w="949" w:type="dxa"/>
            <w:tcBorders>
              <w:top w:val="dotted" w:sz="4" w:space="0" w:color="auto"/>
              <w:bottom w:val="single" w:sz="4" w:space="0" w:color="auto"/>
            </w:tcBorders>
            <w:shd w:val="clear" w:color="auto" w:fill="auto"/>
            <w:noWrap/>
            <w:vAlign w:val="bottom"/>
          </w:tcPr>
          <w:p w14:paraId="1042AE9C" w14:textId="04647015" w:rsidR="00D85251" w:rsidRPr="00B00D1E" w:rsidRDefault="00D85251" w:rsidP="00816475">
            <w:pPr>
              <w:pStyle w:val="TableBodyText"/>
              <w:rPr>
                <w:color w:val="000000"/>
              </w:rPr>
            </w:pPr>
            <w:r w:rsidRPr="00B00D1E">
              <w:rPr>
                <w:color w:val="000000"/>
              </w:rPr>
              <w:t>2</w:t>
            </w:r>
            <w:r w:rsidR="00004795" w:rsidRPr="00B00D1E">
              <w:rPr>
                <w:color w:val="000000"/>
              </w:rPr>
              <w:t>1</w:t>
            </w:r>
          </w:p>
        </w:tc>
        <w:tc>
          <w:tcPr>
            <w:tcW w:w="1228" w:type="dxa"/>
            <w:tcBorders>
              <w:top w:val="dotted" w:sz="4" w:space="0" w:color="auto"/>
              <w:bottom w:val="single" w:sz="4" w:space="0" w:color="auto"/>
            </w:tcBorders>
            <w:vAlign w:val="bottom"/>
          </w:tcPr>
          <w:p w14:paraId="69315A8E" w14:textId="75B3C9D7" w:rsidR="00D85251" w:rsidRPr="00B00D1E" w:rsidRDefault="00B00D1E" w:rsidP="00816475">
            <w:pPr>
              <w:pStyle w:val="TableBodyText"/>
              <w:rPr>
                <w:color w:val="000000"/>
              </w:rPr>
            </w:pPr>
            <w:r w:rsidRPr="00B00D1E">
              <w:rPr>
                <w:color w:val="000000"/>
              </w:rPr>
              <w:t>26</w:t>
            </w:r>
          </w:p>
        </w:tc>
      </w:tr>
    </w:tbl>
    <w:p w14:paraId="0513C5A9" w14:textId="77777777" w:rsidR="00A9704C" w:rsidRDefault="00A9704C" w:rsidP="00112D21">
      <w:pPr>
        <w:pStyle w:val="TableFootnote"/>
      </w:pPr>
    </w:p>
    <w:p w14:paraId="1DABFAC0" w14:textId="10EADD21" w:rsidR="00D85251" w:rsidRPr="00816475" w:rsidRDefault="00D85251" w:rsidP="00816475">
      <w:pPr>
        <w:spacing w:before="120"/>
        <w:rPr>
          <w:rFonts w:cs="Times New Roman"/>
          <w:szCs w:val="24"/>
        </w:rPr>
      </w:pPr>
      <w:r w:rsidRPr="00816475">
        <w:rPr>
          <w:rFonts w:cs="Times New Roman"/>
          <w:szCs w:val="24"/>
        </w:rPr>
        <w:t xml:space="preserve">When </w:t>
      </w:r>
      <w:r w:rsidR="00F53FC9">
        <w:rPr>
          <w:rFonts w:cs="Times New Roman"/>
          <w:szCs w:val="24"/>
        </w:rPr>
        <w:t xml:space="preserve">the results of </w:t>
      </w:r>
      <w:r w:rsidRPr="00816475">
        <w:rPr>
          <w:rFonts w:cs="Times New Roman"/>
          <w:szCs w:val="24"/>
        </w:rPr>
        <w:t xml:space="preserve">each </w:t>
      </w:r>
      <w:r w:rsidR="00F53FC9">
        <w:rPr>
          <w:rFonts w:cs="Times New Roman"/>
          <w:szCs w:val="24"/>
        </w:rPr>
        <w:t>analysis were</w:t>
      </w:r>
      <w:r w:rsidRPr="00816475">
        <w:rPr>
          <w:rFonts w:cs="Times New Roman"/>
          <w:szCs w:val="24"/>
        </w:rPr>
        <w:t xml:space="preserve"> compared with each other using the combined data set, the </w:t>
      </w:r>
      <w:r w:rsidR="009F6874">
        <w:rPr>
          <w:rFonts w:cs="Times New Roman"/>
          <w:szCs w:val="24"/>
        </w:rPr>
        <w:t>IC25</w:t>
      </w:r>
      <w:r w:rsidRPr="00816475">
        <w:rPr>
          <w:rFonts w:cs="Times New Roman"/>
          <w:szCs w:val="24"/>
        </w:rPr>
        <w:t xml:space="preserve"> and TST test results showed differences that were statistically significant. However, as shown in</w:t>
      </w:r>
      <w:r w:rsidR="00A9704C">
        <w:rPr>
          <w:rFonts w:cs="Times New Roman"/>
          <w:szCs w:val="24"/>
        </w:rPr>
        <w:t xml:space="preserve"> </w:t>
      </w:r>
      <w:r w:rsidR="00A9704C" w:rsidRPr="00A9704C">
        <w:rPr>
          <w:rFonts w:cs="Times New Roman"/>
          <w:b/>
          <w:szCs w:val="24"/>
        </w:rPr>
        <w:fldChar w:fldCharType="begin"/>
      </w:r>
      <w:r w:rsidR="00A9704C" w:rsidRPr="00A9704C">
        <w:rPr>
          <w:rFonts w:cs="Times New Roman"/>
          <w:b/>
          <w:szCs w:val="24"/>
        </w:rPr>
        <w:instrText xml:space="preserve"> REF _Ref527447453 \h  \* MERGEFORMAT </w:instrText>
      </w:r>
      <w:r w:rsidR="00A9704C" w:rsidRPr="00A9704C">
        <w:rPr>
          <w:rFonts w:cs="Times New Roman"/>
          <w:b/>
          <w:szCs w:val="24"/>
        </w:rPr>
      </w:r>
      <w:r w:rsidR="00A9704C" w:rsidRPr="00A9704C">
        <w:rPr>
          <w:rFonts w:cs="Times New Roman"/>
          <w:b/>
          <w:szCs w:val="24"/>
        </w:rPr>
        <w:fldChar w:fldCharType="separate"/>
      </w:r>
      <w:r w:rsidR="00A9704C" w:rsidRPr="00A9704C">
        <w:rPr>
          <w:rFonts w:cs="Times New Roman"/>
          <w:b/>
          <w:szCs w:val="24"/>
        </w:rPr>
        <w:t xml:space="preserve">Table </w:t>
      </w:r>
      <w:r w:rsidR="00A9704C" w:rsidRPr="00A9704C">
        <w:rPr>
          <w:rFonts w:cs="Times New Roman"/>
          <w:b/>
          <w:noProof/>
          <w:szCs w:val="24"/>
        </w:rPr>
        <w:t>11</w:t>
      </w:r>
      <w:r w:rsidR="00A9704C" w:rsidRPr="00A9704C">
        <w:rPr>
          <w:rFonts w:cs="Times New Roman"/>
          <w:b/>
          <w:szCs w:val="24"/>
        </w:rPr>
        <w:fldChar w:fldCharType="end"/>
      </w:r>
      <w:r w:rsidRPr="00816475">
        <w:rPr>
          <w:rFonts w:cs="Times New Roman"/>
          <w:szCs w:val="24"/>
        </w:rPr>
        <w:t xml:space="preserve">, over 130 data points would be necessary to show this with at least 80% confidence. The differences between NOEC and IC25 and between </w:t>
      </w:r>
      <w:r w:rsidR="009F6874">
        <w:rPr>
          <w:rFonts w:cs="Times New Roman"/>
          <w:szCs w:val="24"/>
        </w:rPr>
        <w:t>NOEC</w:t>
      </w:r>
      <w:r w:rsidRPr="00816475">
        <w:rPr>
          <w:rFonts w:cs="Times New Roman"/>
          <w:szCs w:val="24"/>
        </w:rPr>
        <w:t xml:space="preserve"> and the TST were not statistically significant and would require hundreds of samples to achieve 80% confidence. </w:t>
      </w:r>
    </w:p>
    <w:p w14:paraId="69BF5F87" w14:textId="761F68EC" w:rsidR="00D85251" w:rsidRPr="001B1399" w:rsidRDefault="00D85251" w:rsidP="00816475">
      <w:pPr>
        <w:pStyle w:val="TableTitle"/>
      </w:pPr>
      <w:bookmarkStart w:id="32" w:name="_Ref527447453"/>
      <w:r w:rsidRPr="009F6874">
        <w:t xml:space="preserve">Table </w:t>
      </w:r>
      <w:r w:rsidRPr="009F6874">
        <w:rPr>
          <w:noProof/>
        </w:rPr>
        <w:fldChar w:fldCharType="begin"/>
      </w:r>
      <w:r w:rsidRPr="009F6874">
        <w:rPr>
          <w:noProof/>
        </w:rPr>
        <w:instrText xml:space="preserve"> SEQ Table \* ARABIC </w:instrText>
      </w:r>
      <w:r w:rsidRPr="009F6874">
        <w:rPr>
          <w:noProof/>
        </w:rPr>
        <w:fldChar w:fldCharType="separate"/>
      </w:r>
      <w:r w:rsidR="006F0139" w:rsidRPr="009F6874">
        <w:rPr>
          <w:noProof/>
        </w:rPr>
        <w:t>11</w:t>
      </w:r>
      <w:r w:rsidRPr="009F6874">
        <w:rPr>
          <w:noProof/>
        </w:rPr>
        <w:fldChar w:fldCharType="end"/>
      </w:r>
      <w:bookmarkEnd w:id="32"/>
      <w:r w:rsidRPr="009F6874">
        <w:t>. Results of Comparison Between Blank Analyses</w:t>
      </w:r>
    </w:p>
    <w:tbl>
      <w:tblPr>
        <w:tblW w:w="9680" w:type="dxa"/>
        <w:tblBorders>
          <w:top w:val="single" w:sz="4" w:space="0" w:color="auto"/>
          <w:bottom w:val="single" w:sz="4" w:space="0" w:color="auto"/>
          <w:insideH w:val="dotted" w:sz="4" w:space="0" w:color="auto"/>
        </w:tblBorders>
        <w:tblLook w:val="04A0" w:firstRow="1" w:lastRow="0" w:firstColumn="1" w:lastColumn="0" w:noHBand="0" w:noVBand="1"/>
      </w:tblPr>
      <w:tblGrid>
        <w:gridCol w:w="2028"/>
        <w:gridCol w:w="1095"/>
        <w:gridCol w:w="1050"/>
        <w:gridCol w:w="950"/>
        <w:gridCol w:w="1206"/>
        <w:gridCol w:w="1228"/>
        <w:gridCol w:w="895"/>
        <w:gridCol w:w="1228"/>
      </w:tblGrid>
      <w:tr w:rsidR="00D85251" w:rsidRPr="001B1399" w14:paraId="6BDBF4FB" w14:textId="77777777" w:rsidTr="00FA2F82">
        <w:trPr>
          <w:trHeight w:val="264"/>
          <w:tblHeader/>
        </w:trPr>
        <w:tc>
          <w:tcPr>
            <w:tcW w:w="2028" w:type="dxa"/>
            <w:tcBorders>
              <w:top w:val="single" w:sz="4" w:space="0" w:color="auto"/>
              <w:bottom w:val="single" w:sz="4" w:space="0" w:color="auto"/>
            </w:tcBorders>
            <w:shd w:val="clear" w:color="auto" w:fill="auto"/>
            <w:noWrap/>
            <w:vAlign w:val="bottom"/>
            <w:hideMark/>
          </w:tcPr>
          <w:p w14:paraId="6DC0BEB1" w14:textId="77777777" w:rsidR="00D85251" w:rsidRPr="001B1399" w:rsidRDefault="00D85251" w:rsidP="00816475">
            <w:pPr>
              <w:pStyle w:val="TableBodyText"/>
              <w:keepNext/>
            </w:pPr>
            <w:r w:rsidRPr="001B1399">
              <w:t>Comparison</w:t>
            </w:r>
          </w:p>
        </w:tc>
        <w:tc>
          <w:tcPr>
            <w:tcW w:w="1095" w:type="dxa"/>
            <w:tcBorders>
              <w:top w:val="single" w:sz="4" w:space="0" w:color="auto"/>
              <w:bottom w:val="single" w:sz="4" w:space="0" w:color="auto"/>
            </w:tcBorders>
            <w:shd w:val="clear" w:color="auto" w:fill="auto"/>
            <w:noWrap/>
            <w:vAlign w:val="bottom"/>
            <w:hideMark/>
          </w:tcPr>
          <w:p w14:paraId="166087C9" w14:textId="77777777" w:rsidR="00D85251" w:rsidRPr="001B1399" w:rsidRDefault="00D85251" w:rsidP="00816475">
            <w:pPr>
              <w:pStyle w:val="TableBodyText"/>
              <w:keepNext/>
              <w:rPr>
                <w:color w:val="000000"/>
              </w:rPr>
            </w:pPr>
            <w:r w:rsidRPr="001B1399">
              <w:rPr>
                <w:color w:val="000000"/>
              </w:rPr>
              <w:t xml:space="preserve">Mean paired difference </w:t>
            </w:r>
          </w:p>
        </w:tc>
        <w:tc>
          <w:tcPr>
            <w:tcW w:w="1050" w:type="dxa"/>
            <w:tcBorders>
              <w:top w:val="single" w:sz="4" w:space="0" w:color="auto"/>
              <w:bottom w:val="single" w:sz="4" w:space="0" w:color="auto"/>
            </w:tcBorders>
            <w:vAlign w:val="bottom"/>
          </w:tcPr>
          <w:p w14:paraId="1045EAB0" w14:textId="77777777" w:rsidR="00D85251" w:rsidRPr="001B1399" w:rsidRDefault="00D85251" w:rsidP="00816475">
            <w:pPr>
              <w:pStyle w:val="TableBodyText"/>
              <w:keepNext/>
              <w:rPr>
                <w:color w:val="000000"/>
              </w:rPr>
            </w:pPr>
            <w:r w:rsidRPr="001B1399">
              <w:rPr>
                <w:color w:val="000000"/>
              </w:rPr>
              <w:t>Standard Deviation</w:t>
            </w:r>
          </w:p>
        </w:tc>
        <w:tc>
          <w:tcPr>
            <w:tcW w:w="950" w:type="dxa"/>
            <w:tcBorders>
              <w:top w:val="single" w:sz="4" w:space="0" w:color="auto"/>
              <w:bottom w:val="single" w:sz="4" w:space="0" w:color="auto"/>
            </w:tcBorders>
            <w:shd w:val="clear" w:color="auto" w:fill="auto"/>
            <w:noWrap/>
            <w:vAlign w:val="bottom"/>
            <w:hideMark/>
          </w:tcPr>
          <w:p w14:paraId="65490C0C" w14:textId="77777777" w:rsidR="00D85251" w:rsidRPr="001B1399" w:rsidRDefault="00D85251" w:rsidP="00816475">
            <w:pPr>
              <w:pStyle w:val="TableBodyText"/>
              <w:keepNext/>
              <w:rPr>
                <w:color w:val="000000"/>
              </w:rPr>
            </w:pPr>
            <w:r w:rsidRPr="001B1399">
              <w:rPr>
                <w:color w:val="000000"/>
              </w:rPr>
              <w:t>p-value</w:t>
            </w:r>
          </w:p>
        </w:tc>
        <w:tc>
          <w:tcPr>
            <w:tcW w:w="1206" w:type="dxa"/>
            <w:tcBorders>
              <w:top w:val="single" w:sz="4" w:space="0" w:color="auto"/>
              <w:bottom w:val="single" w:sz="4" w:space="0" w:color="auto"/>
            </w:tcBorders>
            <w:shd w:val="clear" w:color="auto" w:fill="auto"/>
            <w:noWrap/>
            <w:vAlign w:val="bottom"/>
            <w:hideMark/>
          </w:tcPr>
          <w:p w14:paraId="3E600559" w14:textId="77777777" w:rsidR="00D85251" w:rsidRPr="001B1399" w:rsidRDefault="00D85251" w:rsidP="00816475">
            <w:pPr>
              <w:pStyle w:val="TableBodyText"/>
              <w:keepNext/>
              <w:rPr>
                <w:color w:val="000000"/>
              </w:rPr>
            </w:pPr>
            <w:r w:rsidRPr="001B1399">
              <w:rPr>
                <w:color w:val="000000"/>
              </w:rPr>
              <w:t>Significant difference?</w:t>
            </w:r>
          </w:p>
        </w:tc>
        <w:tc>
          <w:tcPr>
            <w:tcW w:w="1228" w:type="dxa"/>
            <w:tcBorders>
              <w:top w:val="single" w:sz="4" w:space="0" w:color="auto"/>
              <w:bottom w:val="single" w:sz="4" w:space="0" w:color="auto"/>
            </w:tcBorders>
            <w:shd w:val="clear" w:color="auto" w:fill="auto"/>
            <w:noWrap/>
            <w:vAlign w:val="bottom"/>
            <w:hideMark/>
          </w:tcPr>
          <w:p w14:paraId="04B9EAC5" w14:textId="77777777" w:rsidR="00D85251" w:rsidRPr="001B1399" w:rsidRDefault="00D85251" w:rsidP="00816475">
            <w:pPr>
              <w:pStyle w:val="TableBodyText"/>
              <w:keepNext/>
            </w:pPr>
            <w:r w:rsidRPr="001B1399">
              <w:rPr>
                <w:color w:val="000000"/>
              </w:rPr>
              <w:t>Confidence Level</w:t>
            </w:r>
          </w:p>
        </w:tc>
        <w:tc>
          <w:tcPr>
            <w:tcW w:w="895" w:type="dxa"/>
            <w:tcBorders>
              <w:top w:val="single" w:sz="4" w:space="0" w:color="auto"/>
              <w:bottom w:val="single" w:sz="4" w:space="0" w:color="auto"/>
            </w:tcBorders>
            <w:vAlign w:val="bottom"/>
          </w:tcPr>
          <w:p w14:paraId="6B704D53" w14:textId="77777777" w:rsidR="00D85251" w:rsidRPr="001B1399" w:rsidRDefault="00D85251" w:rsidP="00816475">
            <w:pPr>
              <w:pStyle w:val="TableBodyText"/>
              <w:keepNext/>
              <w:rPr>
                <w:color w:val="000000"/>
              </w:rPr>
            </w:pPr>
            <w:r w:rsidRPr="001B1399">
              <w:rPr>
                <w:color w:val="000000"/>
              </w:rPr>
              <w:t>Sample size</w:t>
            </w:r>
          </w:p>
        </w:tc>
        <w:tc>
          <w:tcPr>
            <w:tcW w:w="1228" w:type="dxa"/>
            <w:tcBorders>
              <w:top w:val="single" w:sz="4" w:space="0" w:color="auto"/>
              <w:bottom w:val="single" w:sz="4" w:space="0" w:color="auto"/>
            </w:tcBorders>
            <w:shd w:val="clear" w:color="auto" w:fill="auto"/>
            <w:noWrap/>
            <w:vAlign w:val="bottom"/>
            <w:hideMark/>
          </w:tcPr>
          <w:p w14:paraId="4E53471D" w14:textId="77777777" w:rsidR="00D85251" w:rsidRPr="001B1399" w:rsidRDefault="00D85251" w:rsidP="00816475">
            <w:pPr>
              <w:pStyle w:val="TableBodyText"/>
              <w:keepNext/>
            </w:pPr>
            <w:r w:rsidRPr="001B1399">
              <w:rPr>
                <w:color w:val="000000"/>
              </w:rPr>
              <w:t xml:space="preserve">Samples Required for 80% Confidence </w:t>
            </w:r>
          </w:p>
        </w:tc>
      </w:tr>
      <w:tr w:rsidR="00D85251" w:rsidRPr="001B1399" w14:paraId="2324B14F" w14:textId="77777777" w:rsidTr="00FA2F82">
        <w:trPr>
          <w:trHeight w:val="264"/>
        </w:trPr>
        <w:tc>
          <w:tcPr>
            <w:tcW w:w="2028" w:type="dxa"/>
            <w:tcBorders>
              <w:top w:val="single" w:sz="4" w:space="0" w:color="auto"/>
            </w:tcBorders>
            <w:shd w:val="clear" w:color="auto" w:fill="auto"/>
            <w:noWrap/>
            <w:vAlign w:val="bottom"/>
            <w:hideMark/>
          </w:tcPr>
          <w:p w14:paraId="70522C07" w14:textId="77777777" w:rsidR="00D85251" w:rsidRPr="001B1399" w:rsidRDefault="00D85251" w:rsidP="00816475">
            <w:pPr>
              <w:pStyle w:val="TableBodyText"/>
              <w:rPr>
                <w:color w:val="000000"/>
              </w:rPr>
            </w:pPr>
            <w:r w:rsidRPr="001B1399">
              <w:rPr>
                <w:color w:val="000000"/>
              </w:rPr>
              <w:t>NOEC versus IC25</w:t>
            </w:r>
          </w:p>
        </w:tc>
        <w:tc>
          <w:tcPr>
            <w:tcW w:w="1095" w:type="dxa"/>
            <w:tcBorders>
              <w:top w:val="single" w:sz="4" w:space="0" w:color="auto"/>
            </w:tcBorders>
            <w:shd w:val="clear" w:color="auto" w:fill="auto"/>
            <w:noWrap/>
            <w:vAlign w:val="bottom"/>
            <w:hideMark/>
          </w:tcPr>
          <w:p w14:paraId="1B7009A6" w14:textId="1E71C374" w:rsidR="00D85251" w:rsidRPr="001B1399" w:rsidRDefault="00D85251" w:rsidP="00816475">
            <w:pPr>
              <w:pStyle w:val="TableBodyText"/>
              <w:rPr>
                <w:color w:val="000000"/>
              </w:rPr>
            </w:pPr>
            <w:r w:rsidRPr="001B1399">
              <w:rPr>
                <w:color w:val="000000"/>
              </w:rPr>
              <w:t>0.</w:t>
            </w:r>
            <w:r w:rsidR="009F6874">
              <w:rPr>
                <w:color w:val="000000"/>
              </w:rPr>
              <w:t>125</w:t>
            </w:r>
          </w:p>
        </w:tc>
        <w:tc>
          <w:tcPr>
            <w:tcW w:w="1050" w:type="dxa"/>
            <w:tcBorders>
              <w:top w:val="single" w:sz="4" w:space="0" w:color="auto"/>
            </w:tcBorders>
            <w:vAlign w:val="bottom"/>
          </w:tcPr>
          <w:p w14:paraId="342ED795" w14:textId="728891D6" w:rsidR="00D85251" w:rsidRPr="001B1399" w:rsidRDefault="009F6874" w:rsidP="00816475">
            <w:pPr>
              <w:pStyle w:val="TableBodyText"/>
              <w:rPr>
                <w:color w:val="000000"/>
              </w:rPr>
            </w:pPr>
            <w:r>
              <w:rPr>
                <w:color w:val="000000"/>
              </w:rPr>
              <w:t>2.605</w:t>
            </w:r>
          </w:p>
        </w:tc>
        <w:tc>
          <w:tcPr>
            <w:tcW w:w="950" w:type="dxa"/>
            <w:tcBorders>
              <w:top w:val="single" w:sz="4" w:space="0" w:color="auto"/>
            </w:tcBorders>
            <w:shd w:val="clear" w:color="auto" w:fill="auto"/>
            <w:noWrap/>
            <w:vAlign w:val="bottom"/>
            <w:hideMark/>
          </w:tcPr>
          <w:p w14:paraId="04114467" w14:textId="4E0D7D2B" w:rsidR="00D85251" w:rsidRPr="001B1399" w:rsidRDefault="00D85251" w:rsidP="00816475">
            <w:pPr>
              <w:pStyle w:val="TableBodyText"/>
              <w:rPr>
                <w:color w:val="000000"/>
              </w:rPr>
            </w:pPr>
            <w:r w:rsidRPr="001B1399">
              <w:rPr>
                <w:color w:val="000000"/>
              </w:rPr>
              <w:t>0.</w:t>
            </w:r>
            <w:r w:rsidR="009F6874">
              <w:rPr>
                <w:color w:val="000000"/>
              </w:rPr>
              <w:t>687</w:t>
            </w:r>
          </w:p>
        </w:tc>
        <w:tc>
          <w:tcPr>
            <w:tcW w:w="1206" w:type="dxa"/>
            <w:tcBorders>
              <w:top w:val="single" w:sz="4" w:space="0" w:color="auto"/>
            </w:tcBorders>
            <w:shd w:val="clear" w:color="auto" w:fill="auto"/>
            <w:noWrap/>
            <w:vAlign w:val="bottom"/>
            <w:hideMark/>
          </w:tcPr>
          <w:p w14:paraId="2579CBA8" w14:textId="77777777" w:rsidR="00D85251" w:rsidRPr="001B1399" w:rsidRDefault="00D85251" w:rsidP="00816475">
            <w:pPr>
              <w:pStyle w:val="TableBodyText"/>
              <w:rPr>
                <w:color w:val="000000"/>
              </w:rPr>
            </w:pPr>
            <w:r w:rsidRPr="001B1399">
              <w:rPr>
                <w:color w:val="000000"/>
              </w:rPr>
              <w:t>No</w:t>
            </w:r>
          </w:p>
        </w:tc>
        <w:tc>
          <w:tcPr>
            <w:tcW w:w="1228" w:type="dxa"/>
            <w:tcBorders>
              <w:top w:val="single" w:sz="4" w:space="0" w:color="auto"/>
            </w:tcBorders>
            <w:shd w:val="clear" w:color="auto" w:fill="auto"/>
            <w:noWrap/>
            <w:vAlign w:val="bottom"/>
            <w:hideMark/>
          </w:tcPr>
          <w:p w14:paraId="4C86B443" w14:textId="556F0077" w:rsidR="00D85251" w:rsidRPr="001B1399" w:rsidRDefault="009F6874" w:rsidP="00816475">
            <w:pPr>
              <w:pStyle w:val="TableBodyText"/>
              <w:rPr>
                <w:color w:val="000000"/>
              </w:rPr>
            </w:pPr>
            <w:r>
              <w:rPr>
                <w:color w:val="000000"/>
              </w:rPr>
              <w:t>7</w:t>
            </w:r>
            <w:r w:rsidR="00D85251" w:rsidRPr="001B1399">
              <w:rPr>
                <w:color w:val="000000"/>
              </w:rPr>
              <w:t>%</w:t>
            </w:r>
          </w:p>
        </w:tc>
        <w:tc>
          <w:tcPr>
            <w:tcW w:w="895" w:type="dxa"/>
            <w:tcBorders>
              <w:top w:val="single" w:sz="4" w:space="0" w:color="auto"/>
            </w:tcBorders>
            <w:vAlign w:val="bottom"/>
          </w:tcPr>
          <w:p w14:paraId="66BE4C13" w14:textId="4E2BAFA9" w:rsidR="00D85251" w:rsidRPr="001B1399" w:rsidRDefault="00D85251" w:rsidP="00816475">
            <w:pPr>
              <w:pStyle w:val="TableBodyText"/>
              <w:rPr>
                <w:color w:val="000000"/>
              </w:rPr>
            </w:pPr>
            <w:r w:rsidRPr="001B1399">
              <w:rPr>
                <w:color w:val="000000"/>
              </w:rPr>
              <w:t>7</w:t>
            </w:r>
            <w:r w:rsidR="009F6874">
              <w:rPr>
                <w:color w:val="000000"/>
              </w:rPr>
              <w:t>1</w:t>
            </w:r>
          </w:p>
        </w:tc>
        <w:tc>
          <w:tcPr>
            <w:tcW w:w="1228" w:type="dxa"/>
            <w:tcBorders>
              <w:top w:val="single" w:sz="4" w:space="0" w:color="auto"/>
            </w:tcBorders>
            <w:shd w:val="clear" w:color="auto" w:fill="auto"/>
            <w:noWrap/>
            <w:vAlign w:val="bottom"/>
            <w:hideMark/>
          </w:tcPr>
          <w:p w14:paraId="2D7957A9" w14:textId="19F1D2F8" w:rsidR="00D85251" w:rsidRPr="001B1399" w:rsidRDefault="009F6874" w:rsidP="00816475">
            <w:pPr>
              <w:pStyle w:val="TableBodyText"/>
              <w:rPr>
                <w:color w:val="000000"/>
              </w:rPr>
            </w:pPr>
            <w:r>
              <w:rPr>
                <w:color w:val="000000"/>
              </w:rPr>
              <w:t>3411</w:t>
            </w:r>
          </w:p>
        </w:tc>
      </w:tr>
      <w:tr w:rsidR="00D85251" w:rsidRPr="001B1399" w14:paraId="74D1507F" w14:textId="77777777" w:rsidTr="009F6874">
        <w:trPr>
          <w:trHeight w:val="264"/>
        </w:trPr>
        <w:tc>
          <w:tcPr>
            <w:tcW w:w="2028" w:type="dxa"/>
            <w:shd w:val="clear" w:color="auto" w:fill="auto"/>
            <w:noWrap/>
            <w:vAlign w:val="bottom"/>
            <w:hideMark/>
          </w:tcPr>
          <w:p w14:paraId="51B2DF0B" w14:textId="77777777" w:rsidR="00D85251" w:rsidRPr="001B1399" w:rsidRDefault="00D85251" w:rsidP="00816475">
            <w:pPr>
              <w:pStyle w:val="TableBodyText"/>
              <w:rPr>
                <w:color w:val="000000"/>
              </w:rPr>
            </w:pPr>
            <w:r w:rsidRPr="001B1399">
              <w:rPr>
                <w:color w:val="000000"/>
              </w:rPr>
              <w:t>NOEC versus TST</w:t>
            </w:r>
          </w:p>
        </w:tc>
        <w:tc>
          <w:tcPr>
            <w:tcW w:w="1095" w:type="dxa"/>
            <w:shd w:val="clear" w:color="auto" w:fill="auto"/>
            <w:noWrap/>
            <w:vAlign w:val="bottom"/>
            <w:hideMark/>
          </w:tcPr>
          <w:p w14:paraId="56237D70" w14:textId="4CEA7D11" w:rsidR="00D85251" w:rsidRPr="001B1399" w:rsidRDefault="00D85251" w:rsidP="00816475">
            <w:pPr>
              <w:pStyle w:val="TableBodyText"/>
              <w:rPr>
                <w:color w:val="000000"/>
              </w:rPr>
            </w:pPr>
            <w:r w:rsidRPr="001B1399">
              <w:rPr>
                <w:color w:val="000000"/>
              </w:rPr>
              <w:t>-0.</w:t>
            </w:r>
            <w:r w:rsidR="009F6874">
              <w:rPr>
                <w:color w:val="000000"/>
              </w:rPr>
              <w:t>310</w:t>
            </w:r>
          </w:p>
        </w:tc>
        <w:tc>
          <w:tcPr>
            <w:tcW w:w="1050" w:type="dxa"/>
            <w:vAlign w:val="bottom"/>
          </w:tcPr>
          <w:p w14:paraId="2A9026BA" w14:textId="4A0816F9" w:rsidR="00D85251" w:rsidRPr="001B1399" w:rsidRDefault="009F6874" w:rsidP="00816475">
            <w:pPr>
              <w:pStyle w:val="TableBodyText"/>
              <w:rPr>
                <w:color w:val="000000"/>
              </w:rPr>
            </w:pPr>
            <w:r>
              <w:rPr>
                <w:color w:val="000000"/>
              </w:rPr>
              <w:t>2.453</w:t>
            </w:r>
          </w:p>
        </w:tc>
        <w:tc>
          <w:tcPr>
            <w:tcW w:w="950" w:type="dxa"/>
            <w:shd w:val="clear" w:color="auto" w:fill="auto"/>
            <w:noWrap/>
            <w:vAlign w:val="bottom"/>
            <w:hideMark/>
          </w:tcPr>
          <w:p w14:paraId="772A7CC4" w14:textId="706C7C9F" w:rsidR="00D85251" w:rsidRPr="001B1399" w:rsidRDefault="00D85251" w:rsidP="00816475">
            <w:pPr>
              <w:pStyle w:val="TableBodyText"/>
              <w:rPr>
                <w:color w:val="000000"/>
              </w:rPr>
            </w:pPr>
            <w:r w:rsidRPr="001B1399">
              <w:rPr>
                <w:color w:val="000000"/>
              </w:rPr>
              <w:t>0.</w:t>
            </w:r>
            <w:r w:rsidR="009F6874">
              <w:rPr>
                <w:color w:val="000000"/>
              </w:rPr>
              <w:t>291</w:t>
            </w:r>
          </w:p>
        </w:tc>
        <w:tc>
          <w:tcPr>
            <w:tcW w:w="1206" w:type="dxa"/>
            <w:shd w:val="clear" w:color="auto" w:fill="auto"/>
            <w:noWrap/>
            <w:vAlign w:val="bottom"/>
            <w:hideMark/>
          </w:tcPr>
          <w:p w14:paraId="34016B2F" w14:textId="71DAD586" w:rsidR="00D85251" w:rsidRPr="001B1399" w:rsidRDefault="009F6874" w:rsidP="00816475">
            <w:pPr>
              <w:pStyle w:val="TableBodyText"/>
              <w:rPr>
                <w:color w:val="000000"/>
              </w:rPr>
            </w:pPr>
            <w:r>
              <w:rPr>
                <w:color w:val="000000"/>
              </w:rPr>
              <w:t>No</w:t>
            </w:r>
          </w:p>
        </w:tc>
        <w:tc>
          <w:tcPr>
            <w:tcW w:w="1228" w:type="dxa"/>
            <w:shd w:val="clear" w:color="auto" w:fill="auto"/>
            <w:noWrap/>
            <w:vAlign w:val="bottom"/>
            <w:hideMark/>
          </w:tcPr>
          <w:p w14:paraId="3579A6D8" w14:textId="11DF9DFC" w:rsidR="00D85251" w:rsidRPr="001B1399" w:rsidRDefault="009F6874" w:rsidP="00816475">
            <w:pPr>
              <w:pStyle w:val="TableBodyText"/>
              <w:rPr>
                <w:color w:val="000000"/>
              </w:rPr>
            </w:pPr>
            <w:r>
              <w:rPr>
                <w:color w:val="000000"/>
              </w:rPr>
              <w:t>18</w:t>
            </w:r>
            <w:r w:rsidR="00D85251" w:rsidRPr="001B1399">
              <w:rPr>
                <w:color w:val="000000"/>
              </w:rPr>
              <w:t>%</w:t>
            </w:r>
          </w:p>
        </w:tc>
        <w:tc>
          <w:tcPr>
            <w:tcW w:w="895" w:type="dxa"/>
            <w:vAlign w:val="bottom"/>
          </w:tcPr>
          <w:p w14:paraId="17026BDC" w14:textId="6624D105" w:rsidR="00D85251" w:rsidRPr="001B1399" w:rsidRDefault="009F6874" w:rsidP="00816475">
            <w:pPr>
              <w:pStyle w:val="TableBodyText"/>
              <w:rPr>
                <w:color w:val="000000"/>
              </w:rPr>
            </w:pPr>
            <w:r>
              <w:rPr>
                <w:color w:val="000000"/>
              </w:rPr>
              <w:t>71</w:t>
            </w:r>
          </w:p>
        </w:tc>
        <w:tc>
          <w:tcPr>
            <w:tcW w:w="1228" w:type="dxa"/>
            <w:shd w:val="clear" w:color="auto" w:fill="auto"/>
            <w:noWrap/>
            <w:vAlign w:val="bottom"/>
            <w:hideMark/>
          </w:tcPr>
          <w:p w14:paraId="52F0A406" w14:textId="6D24C411" w:rsidR="00D85251" w:rsidRPr="001B1399" w:rsidRDefault="009F6874" w:rsidP="00816475">
            <w:pPr>
              <w:pStyle w:val="TableBodyText"/>
              <w:rPr>
                <w:color w:val="000000"/>
              </w:rPr>
            </w:pPr>
            <w:r>
              <w:rPr>
                <w:color w:val="000000"/>
              </w:rPr>
              <w:t>494</w:t>
            </w:r>
          </w:p>
        </w:tc>
      </w:tr>
      <w:tr w:rsidR="00D85251" w:rsidRPr="001B1399" w14:paraId="74E375B1" w14:textId="77777777" w:rsidTr="009F6874">
        <w:trPr>
          <w:trHeight w:val="264"/>
        </w:trPr>
        <w:tc>
          <w:tcPr>
            <w:tcW w:w="2028" w:type="dxa"/>
            <w:shd w:val="clear" w:color="auto" w:fill="auto"/>
            <w:noWrap/>
            <w:vAlign w:val="bottom"/>
            <w:hideMark/>
          </w:tcPr>
          <w:p w14:paraId="1D09FB92" w14:textId="77777777" w:rsidR="00D85251" w:rsidRPr="001B1399" w:rsidRDefault="00D85251" w:rsidP="00816475">
            <w:pPr>
              <w:pStyle w:val="TableBodyText"/>
              <w:rPr>
                <w:color w:val="000000"/>
              </w:rPr>
            </w:pPr>
            <w:r w:rsidRPr="001B1399">
              <w:rPr>
                <w:color w:val="000000"/>
              </w:rPr>
              <w:t>IC25 versus TST</w:t>
            </w:r>
          </w:p>
        </w:tc>
        <w:tc>
          <w:tcPr>
            <w:tcW w:w="1095" w:type="dxa"/>
            <w:shd w:val="clear" w:color="auto" w:fill="auto"/>
            <w:noWrap/>
            <w:vAlign w:val="bottom"/>
            <w:hideMark/>
          </w:tcPr>
          <w:p w14:paraId="2304C504" w14:textId="55A4C760" w:rsidR="00D85251" w:rsidRPr="001B1399" w:rsidRDefault="00D85251" w:rsidP="00816475">
            <w:pPr>
              <w:pStyle w:val="TableBodyText"/>
              <w:rPr>
                <w:color w:val="000000"/>
              </w:rPr>
            </w:pPr>
            <w:r w:rsidRPr="001B1399">
              <w:rPr>
                <w:color w:val="000000"/>
              </w:rPr>
              <w:t>-0.</w:t>
            </w:r>
            <w:r w:rsidR="009F6874">
              <w:rPr>
                <w:color w:val="000000"/>
              </w:rPr>
              <w:t>435</w:t>
            </w:r>
          </w:p>
        </w:tc>
        <w:tc>
          <w:tcPr>
            <w:tcW w:w="1050" w:type="dxa"/>
            <w:vAlign w:val="bottom"/>
          </w:tcPr>
          <w:p w14:paraId="0906EE0B" w14:textId="3ECA1120" w:rsidR="00D85251" w:rsidRPr="001B1399" w:rsidRDefault="009F6874" w:rsidP="00816475">
            <w:pPr>
              <w:pStyle w:val="TableBodyText"/>
              <w:rPr>
                <w:color w:val="000000"/>
              </w:rPr>
            </w:pPr>
            <w:r>
              <w:rPr>
                <w:color w:val="000000"/>
              </w:rPr>
              <w:t>1.757</w:t>
            </w:r>
          </w:p>
        </w:tc>
        <w:tc>
          <w:tcPr>
            <w:tcW w:w="950" w:type="dxa"/>
            <w:shd w:val="clear" w:color="auto" w:fill="auto"/>
            <w:noWrap/>
            <w:vAlign w:val="bottom"/>
            <w:hideMark/>
          </w:tcPr>
          <w:p w14:paraId="69E6C953" w14:textId="0CD92369" w:rsidR="00D85251" w:rsidRPr="001B1399" w:rsidRDefault="00D85251" w:rsidP="00816475">
            <w:pPr>
              <w:pStyle w:val="TableBodyText"/>
              <w:rPr>
                <w:color w:val="000000"/>
              </w:rPr>
            </w:pPr>
            <w:r w:rsidRPr="001B1399">
              <w:rPr>
                <w:color w:val="000000"/>
              </w:rPr>
              <w:t>0.</w:t>
            </w:r>
            <w:r w:rsidR="009F6874">
              <w:rPr>
                <w:color w:val="000000"/>
              </w:rPr>
              <w:t>041</w:t>
            </w:r>
          </w:p>
        </w:tc>
        <w:tc>
          <w:tcPr>
            <w:tcW w:w="1206" w:type="dxa"/>
            <w:shd w:val="clear" w:color="auto" w:fill="D6E3BC" w:themeFill="accent3" w:themeFillTint="66"/>
            <w:noWrap/>
            <w:vAlign w:val="bottom"/>
            <w:hideMark/>
          </w:tcPr>
          <w:p w14:paraId="55C6713C" w14:textId="03166B37" w:rsidR="00D85251" w:rsidRPr="001B1399" w:rsidRDefault="009F6874" w:rsidP="00816475">
            <w:pPr>
              <w:pStyle w:val="TableBodyText"/>
              <w:rPr>
                <w:color w:val="000000"/>
              </w:rPr>
            </w:pPr>
            <w:r>
              <w:rPr>
                <w:color w:val="000000"/>
              </w:rPr>
              <w:t>Yes</w:t>
            </w:r>
          </w:p>
        </w:tc>
        <w:tc>
          <w:tcPr>
            <w:tcW w:w="1228" w:type="dxa"/>
            <w:shd w:val="clear" w:color="auto" w:fill="auto"/>
            <w:noWrap/>
            <w:vAlign w:val="bottom"/>
            <w:hideMark/>
          </w:tcPr>
          <w:p w14:paraId="38F2DCD8" w14:textId="2B40D9EB" w:rsidR="00D85251" w:rsidRPr="001B1399" w:rsidRDefault="009F6874" w:rsidP="00816475">
            <w:pPr>
              <w:pStyle w:val="TableBodyText"/>
              <w:rPr>
                <w:color w:val="000000"/>
              </w:rPr>
            </w:pPr>
            <w:r>
              <w:rPr>
                <w:color w:val="000000"/>
              </w:rPr>
              <w:t>54</w:t>
            </w:r>
            <w:r w:rsidR="00D85251" w:rsidRPr="001B1399">
              <w:rPr>
                <w:color w:val="000000"/>
              </w:rPr>
              <w:t>%</w:t>
            </w:r>
          </w:p>
        </w:tc>
        <w:tc>
          <w:tcPr>
            <w:tcW w:w="895" w:type="dxa"/>
            <w:vAlign w:val="bottom"/>
          </w:tcPr>
          <w:p w14:paraId="580F2056" w14:textId="16C7C1EE" w:rsidR="00D85251" w:rsidRPr="001B1399" w:rsidRDefault="009F6874" w:rsidP="00816475">
            <w:pPr>
              <w:pStyle w:val="TableBodyText"/>
              <w:rPr>
                <w:color w:val="000000"/>
              </w:rPr>
            </w:pPr>
            <w:r>
              <w:rPr>
                <w:color w:val="000000"/>
              </w:rPr>
              <w:t>71</w:t>
            </w:r>
          </w:p>
        </w:tc>
        <w:tc>
          <w:tcPr>
            <w:tcW w:w="1228" w:type="dxa"/>
            <w:shd w:val="clear" w:color="auto" w:fill="auto"/>
            <w:noWrap/>
            <w:vAlign w:val="bottom"/>
            <w:hideMark/>
          </w:tcPr>
          <w:p w14:paraId="57586339" w14:textId="3AD25B8A" w:rsidR="00D85251" w:rsidRPr="001B1399" w:rsidRDefault="009F6874" w:rsidP="00816475">
            <w:pPr>
              <w:pStyle w:val="TableBodyText"/>
              <w:rPr>
                <w:color w:val="000000"/>
              </w:rPr>
            </w:pPr>
            <w:r>
              <w:rPr>
                <w:color w:val="000000"/>
              </w:rPr>
              <w:t>130</w:t>
            </w:r>
          </w:p>
        </w:tc>
      </w:tr>
    </w:tbl>
    <w:p w14:paraId="55270E65" w14:textId="01E04CE9" w:rsidR="00D85251" w:rsidRPr="001B1399" w:rsidRDefault="00D85251" w:rsidP="00A9704C">
      <w:pPr>
        <w:pStyle w:val="Heading3"/>
      </w:pPr>
      <w:bookmarkStart w:id="33" w:name="_Toc527448274"/>
      <w:r w:rsidRPr="001B1399">
        <w:t>Conclusions based on statistical analysis</w:t>
      </w:r>
      <w:bookmarkEnd w:id="33"/>
    </w:p>
    <w:p w14:paraId="566025B6" w14:textId="0E92DEB3" w:rsidR="00D85251" w:rsidRPr="00A9704C" w:rsidRDefault="00D85251" w:rsidP="00A9704C">
      <w:pPr>
        <w:spacing w:before="120"/>
        <w:rPr>
          <w:rFonts w:cs="Times New Roman"/>
          <w:szCs w:val="24"/>
        </w:rPr>
      </w:pPr>
      <w:r w:rsidRPr="00A9704C">
        <w:rPr>
          <w:rFonts w:cs="Times New Roman"/>
          <w:szCs w:val="24"/>
        </w:rPr>
        <w:t>None of the individual studies had</w:t>
      </w:r>
      <w:r w:rsidR="00F53FC9">
        <w:rPr>
          <w:rFonts w:cs="Times New Roman"/>
          <w:szCs w:val="24"/>
        </w:rPr>
        <w:t xml:space="preserve"> a</w:t>
      </w:r>
      <w:r w:rsidRPr="00A9704C">
        <w:rPr>
          <w:rFonts w:cs="Times New Roman"/>
          <w:szCs w:val="24"/>
        </w:rPr>
        <w:t xml:space="preserve"> </w:t>
      </w:r>
      <w:proofErr w:type="gramStart"/>
      <w:r w:rsidRPr="00A9704C">
        <w:rPr>
          <w:rFonts w:cs="Times New Roman"/>
          <w:szCs w:val="24"/>
        </w:rPr>
        <w:t xml:space="preserve">sufficient </w:t>
      </w:r>
      <w:r w:rsidR="00F53FC9">
        <w:rPr>
          <w:rFonts w:cs="Times New Roman"/>
          <w:szCs w:val="24"/>
        </w:rPr>
        <w:t>number of</w:t>
      </w:r>
      <w:proofErr w:type="gramEnd"/>
      <w:r w:rsidR="00F53FC9">
        <w:rPr>
          <w:rFonts w:cs="Times New Roman"/>
          <w:szCs w:val="24"/>
        </w:rPr>
        <w:t xml:space="preserve"> </w:t>
      </w:r>
      <w:r w:rsidRPr="00A9704C">
        <w:rPr>
          <w:rFonts w:cs="Times New Roman"/>
          <w:szCs w:val="24"/>
        </w:rPr>
        <w:t xml:space="preserve">samples to determine </w:t>
      </w:r>
      <w:r w:rsidR="00F53FC9">
        <w:rPr>
          <w:rFonts w:cs="Times New Roman"/>
          <w:szCs w:val="24"/>
        </w:rPr>
        <w:t>the</w:t>
      </w:r>
      <w:r w:rsidRPr="00A9704C">
        <w:rPr>
          <w:rFonts w:cs="Times New Roman"/>
          <w:szCs w:val="24"/>
        </w:rPr>
        <w:t xml:space="preserve"> </w:t>
      </w:r>
      <w:r w:rsidR="00EF11F0">
        <w:rPr>
          <w:rFonts w:cs="Times New Roman"/>
          <w:szCs w:val="24"/>
        </w:rPr>
        <w:t xml:space="preserve">rate of </w:t>
      </w:r>
      <w:r w:rsidR="00EF11F0">
        <w:rPr>
          <w:rFonts w:cs="Times New Roman"/>
        </w:rPr>
        <w:t>i</w:t>
      </w:r>
      <w:r w:rsidR="00EF11F0" w:rsidRPr="00EF11F0">
        <w:rPr>
          <w:rFonts w:cs="Times New Roman"/>
          <w:szCs w:val="24"/>
        </w:rPr>
        <w:t>ncorrect determinations of toxicity</w:t>
      </w:r>
      <w:r w:rsidRPr="00A9704C">
        <w:rPr>
          <w:rFonts w:cs="Times New Roman"/>
          <w:szCs w:val="24"/>
        </w:rPr>
        <w:t xml:space="preserve"> for the </w:t>
      </w:r>
      <w:proofErr w:type="spellStart"/>
      <w:r w:rsidRPr="00A9704C">
        <w:rPr>
          <w:rFonts w:cs="Times New Roman"/>
          <w:i/>
          <w:szCs w:val="24"/>
        </w:rPr>
        <w:t>Ceriodaphnia</w:t>
      </w:r>
      <w:proofErr w:type="spellEnd"/>
      <w:r w:rsidRPr="00A9704C">
        <w:rPr>
          <w:rFonts w:cs="Times New Roman"/>
          <w:i/>
          <w:szCs w:val="24"/>
        </w:rPr>
        <w:t xml:space="preserve"> </w:t>
      </w:r>
      <w:proofErr w:type="spellStart"/>
      <w:r w:rsidRPr="00A9704C">
        <w:rPr>
          <w:rFonts w:cs="Times New Roman"/>
          <w:i/>
          <w:szCs w:val="24"/>
        </w:rPr>
        <w:t>dubia</w:t>
      </w:r>
      <w:proofErr w:type="spellEnd"/>
      <w:r w:rsidRPr="00A9704C">
        <w:rPr>
          <w:rFonts w:cs="Times New Roman"/>
          <w:szCs w:val="24"/>
        </w:rPr>
        <w:t xml:space="preserve"> short-term chronic reproduction test with adequate statistical confidence (a minimum confidence level of 80% is necessary).</w:t>
      </w:r>
    </w:p>
    <w:p w14:paraId="41939BF9" w14:textId="4B37F3C6" w:rsidR="00D85251" w:rsidRPr="00A9704C" w:rsidRDefault="00D85251" w:rsidP="00A9704C">
      <w:pPr>
        <w:spacing w:before="120"/>
        <w:rPr>
          <w:rFonts w:cs="Times New Roman"/>
          <w:szCs w:val="24"/>
        </w:rPr>
      </w:pPr>
      <w:r w:rsidRPr="00A9704C">
        <w:rPr>
          <w:rFonts w:cs="Times New Roman"/>
          <w:szCs w:val="24"/>
        </w:rPr>
        <w:t xml:space="preserve">The results of a Chi-Square test showed no significant difference between the results from the three studies; therefore, the study results can be combined for this analysis. Out of </w:t>
      </w:r>
      <w:r w:rsidR="009F6874">
        <w:rPr>
          <w:rFonts w:cs="Times New Roman"/>
          <w:szCs w:val="24"/>
        </w:rPr>
        <w:t>71</w:t>
      </w:r>
      <w:r w:rsidRPr="00A9704C">
        <w:rPr>
          <w:rFonts w:cs="Times New Roman"/>
          <w:szCs w:val="24"/>
        </w:rPr>
        <w:t xml:space="preserve"> samples from all three studies, the TST analysis had a </w:t>
      </w:r>
      <w:r w:rsidR="009F6874">
        <w:rPr>
          <w:rFonts w:cs="Times New Roman"/>
          <w:szCs w:val="24"/>
        </w:rPr>
        <w:t>34</w:t>
      </w:r>
      <w:r w:rsidRPr="00A9704C">
        <w:rPr>
          <w:rFonts w:cs="Times New Roman"/>
          <w:szCs w:val="24"/>
        </w:rPr>
        <w:t>% fail rate (</w:t>
      </w:r>
      <w:r w:rsidR="009F6874">
        <w:rPr>
          <w:rFonts w:cs="Times New Roman"/>
          <w:szCs w:val="24"/>
        </w:rPr>
        <w:t>24</w:t>
      </w:r>
      <w:r w:rsidRPr="00A9704C">
        <w:rPr>
          <w:rFonts w:cs="Times New Roman"/>
          <w:szCs w:val="24"/>
        </w:rPr>
        <w:t xml:space="preserve"> non-passing results), the IC25 analysis had a </w:t>
      </w:r>
      <w:r w:rsidR="009F6874">
        <w:rPr>
          <w:rFonts w:cs="Times New Roman"/>
          <w:szCs w:val="24"/>
        </w:rPr>
        <w:t>27</w:t>
      </w:r>
      <w:r w:rsidRPr="00A9704C">
        <w:rPr>
          <w:rFonts w:cs="Times New Roman"/>
          <w:szCs w:val="24"/>
        </w:rPr>
        <w:t>% fail rate</w:t>
      </w:r>
      <w:r w:rsidR="00F53FC9">
        <w:rPr>
          <w:rFonts w:cs="Times New Roman"/>
          <w:szCs w:val="24"/>
        </w:rPr>
        <w:t xml:space="preserve"> </w:t>
      </w:r>
      <w:r w:rsidR="00F53FC9" w:rsidRPr="00A9704C">
        <w:rPr>
          <w:rFonts w:cs="Times New Roman"/>
          <w:szCs w:val="24"/>
        </w:rPr>
        <w:t>(</w:t>
      </w:r>
      <w:r w:rsidR="009F6874">
        <w:rPr>
          <w:rFonts w:cs="Times New Roman"/>
          <w:szCs w:val="24"/>
        </w:rPr>
        <w:t>19</w:t>
      </w:r>
      <w:r w:rsidR="00F53FC9" w:rsidRPr="00A9704C">
        <w:rPr>
          <w:rFonts w:cs="Times New Roman"/>
          <w:szCs w:val="24"/>
        </w:rPr>
        <w:t xml:space="preserve"> non-passing results)</w:t>
      </w:r>
      <w:r w:rsidRPr="00A9704C">
        <w:rPr>
          <w:rFonts w:cs="Times New Roman"/>
          <w:szCs w:val="24"/>
        </w:rPr>
        <w:t xml:space="preserve">, and the NOEC analysis had a </w:t>
      </w:r>
      <w:r w:rsidR="009F6874">
        <w:rPr>
          <w:rFonts w:cs="Times New Roman"/>
          <w:szCs w:val="24"/>
        </w:rPr>
        <w:t>23</w:t>
      </w:r>
      <w:r w:rsidRPr="00A9704C">
        <w:rPr>
          <w:rFonts w:cs="Times New Roman"/>
          <w:szCs w:val="24"/>
        </w:rPr>
        <w:t>% fail rate</w:t>
      </w:r>
      <w:r w:rsidR="00F53FC9">
        <w:rPr>
          <w:rFonts w:cs="Times New Roman"/>
          <w:szCs w:val="24"/>
        </w:rPr>
        <w:t xml:space="preserve"> </w:t>
      </w:r>
      <w:r w:rsidR="00F53FC9" w:rsidRPr="00A9704C">
        <w:rPr>
          <w:rFonts w:cs="Times New Roman"/>
          <w:szCs w:val="24"/>
        </w:rPr>
        <w:t>(</w:t>
      </w:r>
      <w:r w:rsidR="009F6874">
        <w:rPr>
          <w:rFonts w:cs="Times New Roman"/>
          <w:szCs w:val="24"/>
        </w:rPr>
        <w:t>16</w:t>
      </w:r>
      <w:r w:rsidR="00F53FC9" w:rsidRPr="00A9704C">
        <w:rPr>
          <w:rFonts w:cs="Times New Roman"/>
          <w:szCs w:val="24"/>
        </w:rPr>
        <w:t xml:space="preserve"> non-passing results)</w:t>
      </w:r>
      <w:r w:rsidRPr="00A9704C">
        <w:rPr>
          <w:rFonts w:cs="Times New Roman"/>
          <w:szCs w:val="24"/>
        </w:rPr>
        <w:t>. These all exceed the acceptable fail rate of 1 out of 20, or 5%</w:t>
      </w:r>
      <w:r w:rsidR="005955D5">
        <w:rPr>
          <w:rFonts w:cs="Times New Roman"/>
          <w:szCs w:val="24"/>
        </w:rPr>
        <w:t>, which demonstrates the</w:t>
      </w:r>
      <w:r w:rsidR="005955D5" w:rsidRPr="00A9704C">
        <w:rPr>
          <w:rFonts w:cs="Times New Roman"/>
          <w:szCs w:val="24"/>
        </w:rPr>
        <w:t xml:space="preserve"> issue of variability of </w:t>
      </w:r>
      <w:proofErr w:type="spellStart"/>
      <w:r w:rsidR="005955D5" w:rsidRPr="00A9704C">
        <w:rPr>
          <w:rFonts w:cs="Times New Roman"/>
          <w:i/>
          <w:szCs w:val="24"/>
        </w:rPr>
        <w:t>Ceriodaphnia</w:t>
      </w:r>
      <w:proofErr w:type="spellEnd"/>
      <w:r w:rsidR="005955D5" w:rsidRPr="00A9704C">
        <w:rPr>
          <w:rFonts w:cs="Times New Roman"/>
          <w:i/>
          <w:szCs w:val="24"/>
        </w:rPr>
        <w:t xml:space="preserve"> </w:t>
      </w:r>
      <w:proofErr w:type="spellStart"/>
      <w:r w:rsidR="005955D5" w:rsidRPr="00A9704C">
        <w:rPr>
          <w:rFonts w:cs="Times New Roman"/>
          <w:i/>
          <w:szCs w:val="24"/>
        </w:rPr>
        <w:t>dubia</w:t>
      </w:r>
      <w:proofErr w:type="spellEnd"/>
      <w:r w:rsidR="005955D5" w:rsidRPr="00A9704C">
        <w:rPr>
          <w:rFonts w:cs="Times New Roman"/>
          <w:szCs w:val="24"/>
        </w:rPr>
        <w:t xml:space="preserve"> short-term chronic reproduction test results</w:t>
      </w:r>
      <w:r w:rsidRPr="00A9704C">
        <w:rPr>
          <w:rFonts w:cs="Times New Roman"/>
          <w:szCs w:val="24"/>
        </w:rPr>
        <w:t xml:space="preserve">. </w:t>
      </w:r>
    </w:p>
    <w:p w14:paraId="56D365AA" w14:textId="6E38A4D2" w:rsidR="00D85251" w:rsidRPr="00A9704C" w:rsidRDefault="00D85251" w:rsidP="00A9704C">
      <w:pPr>
        <w:spacing w:before="120"/>
        <w:rPr>
          <w:rFonts w:cs="Times New Roman"/>
          <w:szCs w:val="24"/>
        </w:rPr>
      </w:pPr>
      <w:r w:rsidRPr="00A9704C">
        <w:rPr>
          <w:rFonts w:cs="Times New Roman"/>
          <w:szCs w:val="24"/>
        </w:rPr>
        <w:t>The statistical difference between the results of the TST analysis and the results of a</w:t>
      </w:r>
      <w:r w:rsidR="00F53FC9">
        <w:rPr>
          <w:rFonts w:cs="Times New Roman"/>
          <w:szCs w:val="24"/>
        </w:rPr>
        <w:t>n</w:t>
      </w:r>
      <w:r w:rsidRPr="00A9704C">
        <w:rPr>
          <w:rFonts w:cs="Times New Roman"/>
          <w:szCs w:val="24"/>
        </w:rPr>
        <w:t xml:space="preserve"> “ideal” analysis was significant with a confidence level of </w:t>
      </w:r>
      <w:r w:rsidR="009F6874">
        <w:rPr>
          <w:rFonts w:cs="Times New Roman"/>
          <w:szCs w:val="24"/>
        </w:rPr>
        <w:t>93</w:t>
      </w:r>
      <w:r w:rsidRPr="00A9704C">
        <w:rPr>
          <w:rFonts w:cs="Times New Roman"/>
          <w:szCs w:val="24"/>
        </w:rPr>
        <w:t xml:space="preserve">%. A comparison of the </w:t>
      </w:r>
      <w:r w:rsidR="009F6874">
        <w:rPr>
          <w:rFonts w:cs="Times New Roman"/>
          <w:szCs w:val="24"/>
        </w:rPr>
        <w:t>IC25</w:t>
      </w:r>
      <w:r w:rsidRPr="00A9704C">
        <w:rPr>
          <w:rFonts w:cs="Times New Roman"/>
          <w:szCs w:val="24"/>
        </w:rPr>
        <w:t xml:space="preserve"> versus TST test results </w:t>
      </w:r>
      <w:r w:rsidR="00F53FC9">
        <w:rPr>
          <w:rFonts w:cs="Times New Roman"/>
          <w:szCs w:val="24"/>
        </w:rPr>
        <w:t xml:space="preserve">also </w:t>
      </w:r>
      <w:r w:rsidRPr="00A9704C">
        <w:rPr>
          <w:rFonts w:cs="Times New Roman"/>
          <w:szCs w:val="24"/>
        </w:rPr>
        <w:t xml:space="preserve">showed </w:t>
      </w:r>
      <w:r w:rsidR="00F53FC9">
        <w:rPr>
          <w:rFonts w:cs="Times New Roman"/>
          <w:szCs w:val="24"/>
        </w:rPr>
        <w:t xml:space="preserve">a statistically significant </w:t>
      </w:r>
      <w:r w:rsidRPr="00A9704C">
        <w:rPr>
          <w:rFonts w:cs="Times New Roman"/>
          <w:szCs w:val="24"/>
        </w:rPr>
        <w:t xml:space="preserve">difference, although at a confidence level of only </w:t>
      </w:r>
      <w:r w:rsidR="009F6874">
        <w:rPr>
          <w:rFonts w:cs="Times New Roman"/>
          <w:szCs w:val="24"/>
        </w:rPr>
        <w:t>54</w:t>
      </w:r>
      <w:r w:rsidRPr="00A9704C">
        <w:rPr>
          <w:rFonts w:cs="Times New Roman"/>
          <w:szCs w:val="24"/>
        </w:rPr>
        <w:t xml:space="preserve">%. This suggests that the TST analysis may have a fail rate statistically above that of the two other types of analysis and above the acceptable fail rate. </w:t>
      </w:r>
    </w:p>
    <w:p w14:paraId="1BE29FEF" w14:textId="77777777" w:rsidR="002B7746" w:rsidRDefault="002B7746">
      <w:pPr>
        <w:spacing w:after="0"/>
        <w:rPr>
          <w:rFonts w:ascii="Arial" w:hAnsi="Arial"/>
          <w:b/>
          <w:caps/>
        </w:rPr>
      </w:pPr>
      <w:r>
        <w:br w:type="page"/>
      </w:r>
    </w:p>
    <w:p w14:paraId="06F00C2B" w14:textId="50EFD59C" w:rsidR="00D85251" w:rsidRPr="00A9704C" w:rsidRDefault="00D85251" w:rsidP="002B7746">
      <w:pPr>
        <w:pStyle w:val="Heading2"/>
      </w:pPr>
      <w:bookmarkStart w:id="34" w:name="_Toc527448275"/>
      <w:r w:rsidRPr="00A9704C">
        <w:t>Qualitative Analysis</w:t>
      </w:r>
      <w:bookmarkEnd w:id="34"/>
    </w:p>
    <w:p w14:paraId="420F8631" w14:textId="1B5F7398" w:rsidR="00D85251" w:rsidRPr="00A9704C" w:rsidRDefault="00D85251" w:rsidP="00A9704C">
      <w:pPr>
        <w:spacing w:before="120"/>
        <w:rPr>
          <w:rFonts w:cs="Times New Roman"/>
          <w:szCs w:val="24"/>
        </w:rPr>
      </w:pPr>
      <w:r w:rsidRPr="00A9704C">
        <w:rPr>
          <w:rFonts w:cs="Times New Roman"/>
          <w:szCs w:val="24"/>
        </w:rPr>
        <w:t xml:space="preserve">As noted previously, </w:t>
      </w:r>
      <w:proofErr w:type="gramStart"/>
      <w:r w:rsidRPr="00A9704C">
        <w:rPr>
          <w:rFonts w:cs="Times New Roman"/>
          <w:szCs w:val="24"/>
        </w:rPr>
        <w:t>a number of</w:t>
      </w:r>
      <w:proofErr w:type="gramEnd"/>
      <w:r w:rsidRPr="00A9704C">
        <w:rPr>
          <w:rFonts w:cs="Times New Roman"/>
          <w:szCs w:val="24"/>
        </w:rPr>
        <w:t xml:space="preserve"> questions have been raised about the data generated </w:t>
      </w:r>
      <w:r w:rsidR="00A9704C">
        <w:rPr>
          <w:rFonts w:cs="Times New Roman"/>
          <w:szCs w:val="24"/>
        </w:rPr>
        <w:t>by</w:t>
      </w:r>
      <w:r w:rsidRPr="00A9704C">
        <w:rPr>
          <w:rFonts w:cs="Times New Roman"/>
          <w:szCs w:val="24"/>
        </w:rPr>
        <w:t xml:space="preserve"> the three studies in question.</w:t>
      </w:r>
    </w:p>
    <w:p w14:paraId="689BE4F5" w14:textId="303642E2" w:rsidR="00D85251" w:rsidRPr="00A9704C" w:rsidRDefault="006E0152" w:rsidP="00A9704C">
      <w:pPr>
        <w:spacing w:before="120"/>
        <w:rPr>
          <w:rFonts w:cs="Times New Roman"/>
          <w:szCs w:val="24"/>
        </w:rPr>
      </w:pPr>
      <w:r>
        <w:rPr>
          <w:rFonts w:cs="Times New Roman"/>
          <w:szCs w:val="24"/>
        </w:rPr>
        <w:t>T</w:t>
      </w:r>
      <w:r w:rsidR="00D85251" w:rsidRPr="00A9704C">
        <w:rPr>
          <w:rFonts w:cs="Times New Roman"/>
          <w:szCs w:val="24"/>
        </w:rPr>
        <w:t xml:space="preserve">he </w:t>
      </w:r>
      <w:r>
        <w:rPr>
          <w:rFonts w:cs="Times New Roman"/>
          <w:szCs w:val="24"/>
        </w:rPr>
        <w:t xml:space="preserve">quality of the </w:t>
      </w:r>
      <w:r w:rsidR="00D85251" w:rsidRPr="00A9704C">
        <w:rPr>
          <w:rFonts w:cs="Times New Roman"/>
          <w:szCs w:val="24"/>
        </w:rPr>
        <w:t xml:space="preserve">“blank” samples used in the studies that showed toxicity </w:t>
      </w:r>
      <w:r>
        <w:rPr>
          <w:rFonts w:cs="Times New Roman"/>
          <w:szCs w:val="24"/>
        </w:rPr>
        <w:t xml:space="preserve">was questioned. It was suggested that they </w:t>
      </w:r>
      <w:r w:rsidR="00D85251" w:rsidRPr="00A9704C">
        <w:rPr>
          <w:rFonts w:cs="Times New Roman"/>
          <w:szCs w:val="24"/>
        </w:rPr>
        <w:t>were incorrectly formulated or contaminated</w:t>
      </w:r>
      <w:r>
        <w:rPr>
          <w:rFonts w:cs="Times New Roman"/>
          <w:szCs w:val="24"/>
        </w:rPr>
        <w:t>, particularly those</w:t>
      </w:r>
      <w:r w:rsidR="00D85251" w:rsidRPr="00A9704C">
        <w:rPr>
          <w:rFonts w:cs="Times New Roman"/>
          <w:szCs w:val="24"/>
        </w:rPr>
        <w:t xml:space="preserve"> samples that yielded large effect levels. </w:t>
      </w:r>
      <w:r>
        <w:rPr>
          <w:rFonts w:cs="Times New Roman"/>
          <w:szCs w:val="24"/>
        </w:rPr>
        <w:t>The performance of</w:t>
      </w:r>
      <w:r w:rsidR="00D85251" w:rsidRPr="00A9704C">
        <w:rPr>
          <w:rFonts w:cs="Times New Roman"/>
          <w:szCs w:val="24"/>
        </w:rPr>
        <w:t xml:space="preserve"> the laboratories producing toxic results </w:t>
      </w:r>
      <w:r>
        <w:rPr>
          <w:rFonts w:cs="Times New Roman"/>
          <w:szCs w:val="24"/>
        </w:rPr>
        <w:t>from the analysis of</w:t>
      </w:r>
      <w:r w:rsidR="00D85251" w:rsidRPr="00A9704C">
        <w:rPr>
          <w:rFonts w:cs="Times New Roman"/>
          <w:szCs w:val="24"/>
        </w:rPr>
        <w:t xml:space="preserve"> blank samples </w:t>
      </w:r>
      <w:r>
        <w:rPr>
          <w:rFonts w:cs="Times New Roman"/>
          <w:szCs w:val="24"/>
        </w:rPr>
        <w:t>was also questioned</w:t>
      </w:r>
      <w:r w:rsidR="00D85251" w:rsidRPr="00A9704C">
        <w:rPr>
          <w:rFonts w:cs="Times New Roman"/>
          <w:szCs w:val="24"/>
        </w:rPr>
        <w:t xml:space="preserve">, e.g. </w:t>
      </w:r>
      <w:r>
        <w:rPr>
          <w:rFonts w:cs="Times New Roman"/>
          <w:szCs w:val="24"/>
        </w:rPr>
        <w:t xml:space="preserve">perhaps </w:t>
      </w:r>
      <w:r w:rsidR="00D85251" w:rsidRPr="00A9704C">
        <w:rPr>
          <w:rFonts w:cs="Times New Roman"/>
          <w:szCs w:val="24"/>
        </w:rPr>
        <w:t xml:space="preserve">they did not properly perform the tests in accordance with promulgated standard methods. </w:t>
      </w:r>
    </w:p>
    <w:p w14:paraId="3FAB7F11" w14:textId="600EAC50" w:rsidR="00D85251" w:rsidRPr="00A9704C" w:rsidRDefault="00D85251" w:rsidP="00A9704C">
      <w:pPr>
        <w:spacing w:before="120"/>
        <w:rPr>
          <w:rFonts w:cs="Times New Roman"/>
          <w:szCs w:val="24"/>
        </w:rPr>
      </w:pPr>
      <w:r w:rsidRPr="00A9704C">
        <w:rPr>
          <w:rFonts w:cs="Times New Roman"/>
          <w:szCs w:val="24"/>
        </w:rPr>
        <w:t>If, in fact, these concerns were valid, this would call into question the raw data used in the statistical analysis presented above</w:t>
      </w:r>
      <w:r w:rsidR="006E0152">
        <w:rPr>
          <w:rFonts w:cs="Times New Roman"/>
          <w:szCs w:val="24"/>
        </w:rPr>
        <w:t xml:space="preserve"> and</w:t>
      </w:r>
      <w:r w:rsidRPr="00A9704C">
        <w:rPr>
          <w:rFonts w:cs="Times New Roman"/>
          <w:szCs w:val="24"/>
        </w:rPr>
        <w:t xml:space="preserve"> impact the conclusions of that analysis. Unfortunately, the questions regarding the validity of the data produced </w:t>
      </w:r>
      <w:r w:rsidR="006E0152">
        <w:rPr>
          <w:rFonts w:cs="Times New Roman"/>
          <w:szCs w:val="24"/>
        </w:rPr>
        <w:t>by</w:t>
      </w:r>
      <w:r w:rsidRPr="00A9704C">
        <w:rPr>
          <w:rFonts w:cs="Times New Roman"/>
          <w:szCs w:val="24"/>
        </w:rPr>
        <w:t xml:space="preserve"> these studies are unanswerable. This leaves the overall issue of variability of </w:t>
      </w:r>
      <w:proofErr w:type="spellStart"/>
      <w:r w:rsidRPr="00A9704C">
        <w:rPr>
          <w:rFonts w:cs="Times New Roman"/>
          <w:i/>
          <w:szCs w:val="24"/>
        </w:rPr>
        <w:t>Ceriodaphnia</w:t>
      </w:r>
      <w:proofErr w:type="spellEnd"/>
      <w:r w:rsidRPr="00A9704C">
        <w:rPr>
          <w:rFonts w:cs="Times New Roman"/>
          <w:i/>
          <w:szCs w:val="24"/>
        </w:rPr>
        <w:t xml:space="preserve"> </w:t>
      </w:r>
      <w:proofErr w:type="spellStart"/>
      <w:r w:rsidRPr="00A9704C">
        <w:rPr>
          <w:rFonts w:cs="Times New Roman"/>
          <w:i/>
          <w:szCs w:val="24"/>
        </w:rPr>
        <w:t>dubia</w:t>
      </w:r>
      <w:proofErr w:type="spellEnd"/>
      <w:r w:rsidRPr="00A9704C">
        <w:rPr>
          <w:rFonts w:cs="Times New Roman"/>
          <w:szCs w:val="24"/>
        </w:rPr>
        <w:t xml:space="preserve"> short-term chronic reproduction test results unresolved.     </w:t>
      </w:r>
    </w:p>
    <w:p w14:paraId="0787C548" w14:textId="6C0EFF96" w:rsidR="002B7746" w:rsidRPr="002B7746" w:rsidRDefault="00D85251" w:rsidP="002B7746">
      <w:pPr>
        <w:spacing w:before="120"/>
        <w:rPr>
          <w:rFonts w:cs="Times New Roman"/>
          <w:szCs w:val="24"/>
        </w:rPr>
      </w:pPr>
      <w:r w:rsidRPr="00A9704C">
        <w:rPr>
          <w:rFonts w:cs="Times New Roman"/>
          <w:szCs w:val="24"/>
        </w:rPr>
        <w:t xml:space="preserve">One approach to attempt to resolve this issue would be to perform a tightly controlled study to quantify the </w:t>
      </w:r>
      <w:r w:rsidR="009F20F9">
        <w:rPr>
          <w:rFonts w:cs="Times New Roman"/>
          <w:szCs w:val="24"/>
        </w:rPr>
        <w:t xml:space="preserve">rate of </w:t>
      </w:r>
      <w:r w:rsidR="009F20F9">
        <w:rPr>
          <w:rFonts w:cs="Times New Roman"/>
        </w:rPr>
        <w:t>i</w:t>
      </w:r>
      <w:r w:rsidR="009F20F9" w:rsidRPr="00EF11F0">
        <w:rPr>
          <w:rFonts w:cs="Times New Roman"/>
          <w:szCs w:val="24"/>
        </w:rPr>
        <w:t>ncorrect determinations of toxicity</w:t>
      </w:r>
      <w:r w:rsidRPr="00A9704C">
        <w:rPr>
          <w:rFonts w:cs="Times New Roman"/>
          <w:szCs w:val="24"/>
        </w:rPr>
        <w:t xml:space="preserve"> which addresses the questions and criticisms raised about the prior studies. Such a study would include testing on an array of synthetic dilution water blanks which would allow an examination of various dilution water compositions used by analytical laboratories in accordance with the flexibilities allowed under standard methods. Testing would be performed by twenty or more certified laboratories, using their standard dilution waters as controls.  Dilution series would be run which would allow statistical analysis using the TST, NOEC and point estimate procedures. A referee laboratory would oversee the preparation of the samples to be tested and would certify the quality of the samples. An independent expert panel would review the methods, data analysis and reports prepared to describe study results and findings.</w:t>
      </w:r>
    </w:p>
    <w:p w14:paraId="1646F834" w14:textId="601E5AA1" w:rsidR="00D85251" w:rsidRPr="001B1399" w:rsidRDefault="00D85251" w:rsidP="002B7746">
      <w:pPr>
        <w:pStyle w:val="Heading2"/>
      </w:pPr>
      <w:bookmarkStart w:id="35" w:name="_Toc527448276"/>
      <w:r w:rsidRPr="001B1399">
        <w:t>Findings</w:t>
      </w:r>
      <w:bookmarkEnd w:id="35"/>
    </w:p>
    <w:p w14:paraId="67BAFE30" w14:textId="7B8D7DE3" w:rsidR="00D85251" w:rsidRPr="00A9704C" w:rsidRDefault="00D85251" w:rsidP="00A9704C">
      <w:pPr>
        <w:spacing w:before="120"/>
        <w:rPr>
          <w:rFonts w:cs="Times New Roman"/>
          <w:szCs w:val="24"/>
        </w:rPr>
      </w:pPr>
      <w:r w:rsidRPr="00A9704C">
        <w:rPr>
          <w:rFonts w:cs="Times New Roman"/>
          <w:szCs w:val="24"/>
        </w:rPr>
        <w:t xml:space="preserve">The findings from the overall assessment are that available studies and data are insufficient to conclusively resolve outstanding questions regarding the variability of </w:t>
      </w:r>
      <w:proofErr w:type="spellStart"/>
      <w:r w:rsidRPr="00A9704C">
        <w:rPr>
          <w:rFonts w:cs="Times New Roman"/>
          <w:i/>
          <w:szCs w:val="24"/>
        </w:rPr>
        <w:t>Ceriodaphnia</w:t>
      </w:r>
      <w:proofErr w:type="spellEnd"/>
      <w:r w:rsidRPr="00A9704C">
        <w:rPr>
          <w:rFonts w:cs="Times New Roman"/>
          <w:i/>
          <w:szCs w:val="24"/>
        </w:rPr>
        <w:t xml:space="preserve"> </w:t>
      </w:r>
      <w:proofErr w:type="spellStart"/>
      <w:r w:rsidRPr="00A9704C">
        <w:rPr>
          <w:rFonts w:cs="Times New Roman"/>
          <w:i/>
          <w:szCs w:val="24"/>
        </w:rPr>
        <w:t>dubia</w:t>
      </w:r>
      <w:proofErr w:type="spellEnd"/>
      <w:r w:rsidRPr="00A9704C">
        <w:rPr>
          <w:rFonts w:cs="Times New Roman"/>
          <w:szCs w:val="24"/>
        </w:rPr>
        <w:t xml:space="preserve"> chronic WET test results and the evaluation of </w:t>
      </w:r>
      <w:r w:rsidR="009F20F9">
        <w:rPr>
          <w:rFonts w:cs="Times New Roman"/>
        </w:rPr>
        <w:t>i</w:t>
      </w:r>
      <w:r w:rsidR="009F20F9" w:rsidRPr="00EF11F0">
        <w:rPr>
          <w:rFonts w:cs="Times New Roman"/>
          <w:szCs w:val="24"/>
        </w:rPr>
        <w:t>ncorrect determinations of toxicity</w:t>
      </w:r>
      <w:r w:rsidRPr="00A9704C">
        <w:rPr>
          <w:rFonts w:cs="Times New Roman"/>
          <w:szCs w:val="24"/>
        </w:rPr>
        <w:t xml:space="preserve">. While the statistical analysis of available </w:t>
      </w:r>
      <w:r w:rsidR="009C6D8F">
        <w:rPr>
          <w:rFonts w:cs="Times New Roman"/>
          <w:szCs w:val="24"/>
        </w:rPr>
        <w:t xml:space="preserve">data </w:t>
      </w:r>
      <w:r w:rsidRPr="00A9704C">
        <w:rPr>
          <w:rFonts w:cs="Times New Roman"/>
          <w:szCs w:val="24"/>
        </w:rPr>
        <w:t>indicates that</w:t>
      </w:r>
      <w:r w:rsidR="009F20F9">
        <w:rPr>
          <w:rFonts w:cs="Times New Roman"/>
          <w:szCs w:val="24"/>
        </w:rPr>
        <w:t xml:space="preserve"> </w:t>
      </w:r>
      <w:r w:rsidR="00DC105F">
        <w:rPr>
          <w:rFonts w:cs="Times New Roman"/>
          <w:szCs w:val="24"/>
        </w:rPr>
        <w:t xml:space="preserve">the </w:t>
      </w:r>
      <w:r w:rsidR="009F20F9">
        <w:rPr>
          <w:rFonts w:cs="Times New Roman"/>
          <w:szCs w:val="24"/>
        </w:rPr>
        <w:t>incidence of</w:t>
      </w:r>
      <w:r w:rsidRPr="00A9704C">
        <w:rPr>
          <w:rFonts w:cs="Times New Roman"/>
          <w:szCs w:val="24"/>
        </w:rPr>
        <w:t xml:space="preserve"> </w:t>
      </w:r>
      <w:r w:rsidR="009F20F9">
        <w:rPr>
          <w:rFonts w:cs="Times New Roman"/>
        </w:rPr>
        <w:t>i</w:t>
      </w:r>
      <w:r w:rsidR="009F20F9" w:rsidRPr="00EF11F0">
        <w:rPr>
          <w:rFonts w:cs="Times New Roman"/>
          <w:szCs w:val="24"/>
        </w:rPr>
        <w:t>ncorrect determinations of toxicity</w:t>
      </w:r>
      <w:r w:rsidR="009F20F9" w:rsidRPr="00E6684F">
        <w:rPr>
          <w:rFonts w:cs="Times New Roman"/>
        </w:rPr>
        <w:t xml:space="preserve"> </w:t>
      </w:r>
      <w:r w:rsidR="009F20F9">
        <w:rPr>
          <w:rFonts w:cs="Times New Roman"/>
          <w:szCs w:val="24"/>
        </w:rPr>
        <w:t>was</w:t>
      </w:r>
      <w:r w:rsidRPr="00A9704C">
        <w:rPr>
          <w:rFonts w:cs="Times New Roman"/>
          <w:szCs w:val="24"/>
        </w:rPr>
        <w:t xml:space="preserve"> unacceptably high, questions regarding the validity of the raw data impact our ability to rely on those results.</w:t>
      </w:r>
      <w:r w:rsidR="00DC105F">
        <w:rPr>
          <w:rFonts w:cs="Times New Roman"/>
          <w:szCs w:val="24"/>
        </w:rPr>
        <w:t xml:space="preserve"> I</w:t>
      </w:r>
      <w:r w:rsidRPr="00A9704C">
        <w:rPr>
          <w:rFonts w:cs="Times New Roman"/>
          <w:szCs w:val="24"/>
        </w:rPr>
        <w:t xml:space="preserve">t is concluded that performance of a properly designed and implemented “blank” study with </w:t>
      </w:r>
      <w:proofErr w:type="gramStart"/>
      <w:r w:rsidRPr="00A9704C">
        <w:rPr>
          <w:rFonts w:cs="Times New Roman"/>
          <w:szCs w:val="24"/>
        </w:rPr>
        <w:t>sufficient</w:t>
      </w:r>
      <w:proofErr w:type="gramEnd"/>
      <w:r w:rsidRPr="00A9704C">
        <w:rPr>
          <w:rFonts w:cs="Times New Roman"/>
          <w:szCs w:val="24"/>
        </w:rPr>
        <w:t xml:space="preserve"> statistical power and oversight would have the potential to resolve concerns by identifying measures to reduce the occurrence of </w:t>
      </w:r>
      <w:r w:rsidR="009F20F9">
        <w:rPr>
          <w:rFonts w:cs="Times New Roman"/>
        </w:rPr>
        <w:t>i</w:t>
      </w:r>
      <w:r w:rsidR="009F20F9" w:rsidRPr="00EF11F0">
        <w:rPr>
          <w:rFonts w:cs="Times New Roman"/>
          <w:szCs w:val="24"/>
        </w:rPr>
        <w:t>ncorrect determinations of toxicity</w:t>
      </w:r>
      <w:r w:rsidR="009F20F9" w:rsidRPr="00E6684F">
        <w:rPr>
          <w:rFonts w:cs="Times New Roman"/>
        </w:rPr>
        <w:t xml:space="preserve"> </w:t>
      </w:r>
      <w:r w:rsidRPr="00A9704C">
        <w:rPr>
          <w:rFonts w:cs="Times New Roman"/>
          <w:szCs w:val="24"/>
        </w:rPr>
        <w:t xml:space="preserve">to an acceptable level while not impacting the ability to detect toxic samples. </w:t>
      </w:r>
    </w:p>
    <w:p w14:paraId="0BB66A3B" w14:textId="77777777" w:rsidR="00D85251" w:rsidRPr="001B1399" w:rsidRDefault="00D85251" w:rsidP="00D85251">
      <w:pPr>
        <w:rPr>
          <w:rFonts w:cstheme="minorHAnsi"/>
        </w:rPr>
      </w:pPr>
    </w:p>
    <w:p w14:paraId="641BCAB0" w14:textId="77777777" w:rsidR="00A9704C" w:rsidRDefault="00A9704C">
      <w:pPr>
        <w:spacing w:after="0"/>
        <w:rPr>
          <w:rFonts w:ascii="Arial Black" w:hAnsi="Arial Black"/>
          <w:sz w:val="32"/>
        </w:rPr>
      </w:pPr>
      <w:r>
        <w:br w:type="page"/>
      </w:r>
    </w:p>
    <w:p w14:paraId="70161766" w14:textId="5DDF8C72" w:rsidR="00D85251" w:rsidRPr="00A9704C" w:rsidRDefault="00D85251" w:rsidP="00A9704C">
      <w:pPr>
        <w:pStyle w:val="Heading1"/>
      </w:pPr>
      <w:bookmarkStart w:id="36" w:name="_Toc527448277"/>
      <w:r w:rsidRPr="00A9704C">
        <w:t>References</w:t>
      </w:r>
      <w:bookmarkEnd w:id="36"/>
    </w:p>
    <w:p w14:paraId="6753B027" w14:textId="60FAA93C" w:rsidR="00AA66B7" w:rsidRDefault="00154A5E" w:rsidP="002B7746">
      <w:pPr>
        <w:spacing w:before="120"/>
        <w:rPr>
          <w:rFonts w:eastAsia="Times New Roman" w:cs="Times New Roman"/>
          <w:color w:val="222222"/>
          <w:szCs w:val="24"/>
        </w:rPr>
      </w:pPr>
      <w:r>
        <w:rPr>
          <w:rFonts w:eastAsia="Times New Roman" w:cs="Times New Roman"/>
          <w:color w:val="222222"/>
          <w:szCs w:val="24"/>
        </w:rPr>
        <w:t>Central Valley Clean Water Association (</w:t>
      </w:r>
      <w:r w:rsidR="00AA66B7" w:rsidRPr="00AA66B7">
        <w:rPr>
          <w:rFonts w:eastAsia="Times New Roman" w:cs="Times New Roman"/>
          <w:color w:val="222222"/>
          <w:szCs w:val="24"/>
        </w:rPr>
        <w:t>CVCWA</w:t>
      </w:r>
      <w:r>
        <w:rPr>
          <w:rFonts w:eastAsia="Times New Roman" w:cs="Times New Roman"/>
          <w:color w:val="222222"/>
          <w:szCs w:val="24"/>
        </w:rPr>
        <w:t>)</w:t>
      </w:r>
      <w:r w:rsidR="00AA66B7" w:rsidRPr="00AA66B7">
        <w:rPr>
          <w:rFonts w:eastAsia="Times New Roman" w:cs="Times New Roman"/>
          <w:color w:val="222222"/>
          <w:szCs w:val="24"/>
        </w:rPr>
        <w:t xml:space="preserve">, 2018. </w:t>
      </w:r>
      <w:r w:rsidR="00AA66B7" w:rsidRPr="00AA66B7">
        <w:rPr>
          <w:rFonts w:eastAsia="Times New Roman" w:cs="Times New Roman"/>
          <w:i/>
          <w:color w:val="222222"/>
          <w:szCs w:val="24"/>
        </w:rPr>
        <w:t>Toxicity Special Study: Phase I Study Report</w:t>
      </w:r>
      <w:r w:rsidR="00AA66B7">
        <w:rPr>
          <w:rFonts w:eastAsia="Times New Roman" w:cs="Times New Roman"/>
          <w:i/>
          <w:color w:val="222222"/>
          <w:szCs w:val="24"/>
        </w:rPr>
        <w:t>.</w:t>
      </w:r>
      <w:r w:rsidR="00AA66B7" w:rsidRPr="00AA66B7">
        <w:rPr>
          <w:rFonts w:eastAsia="Times New Roman" w:cs="Times New Roman"/>
          <w:i/>
          <w:color w:val="222222"/>
          <w:szCs w:val="24"/>
        </w:rPr>
        <w:t xml:space="preserve"> </w:t>
      </w:r>
      <w:r w:rsidR="00AA66B7" w:rsidRPr="00AA66B7">
        <w:rPr>
          <w:rFonts w:eastAsia="Times New Roman" w:cs="Times New Roman"/>
          <w:color w:val="222222"/>
          <w:szCs w:val="24"/>
        </w:rPr>
        <w:t>Preliminary Draft. October</w:t>
      </w:r>
      <w:r w:rsidR="00AA66B7">
        <w:rPr>
          <w:rFonts w:eastAsia="Times New Roman" w:cs="Times New Roman"/>
          <w:color w:val="222222"/>
          <w:szCs w:val="24"/>
        </w:rPr>
        <w:t>.</w:t>
      </w:r>
    </w:p>
    <w:p w14:paraId="6DDA302D" w14:textId="337F48C9" w:rsidR="00E50E2C" w:rsidRDefault="00E50E2C" w:rsidP="002B7746">
      <w:pPr>
        <w:spacing w:before="120"/>
        <w:rPr>
          <w:rFonts w:eastAsia="Times New Roman" w:cs="Times New Roman"/>
          <w:color w:val="222222"/>
          <w:szCs w:val="24"/>
        </w:rPr>
      </w:pPr>
      <w:r w:rsidRPr="00E50E2C">
        <w:rPr>
          <w:rFonts w:eastAsia="Times New Roman" w:cs="Times New Roman"/>
          <w:color w:val="222222"/>
          <w:szCs w:val="24"/>
        </w:rPr>
        <w:t xml:space="preserve">Denton, </w:t>
      </w:r>
      <w:r w:rsidR="009915DC">
        <w:rPr>
          <w:rFonts w:eastAsia="Times New Roman" w:cs="Times New Roman"/>
          <w:color w:val="222222"/>
          <w:szCs w:val="24"/>
        </w:rPr>
        <w:t>D.</w:t>
      </w:r>
      <w:r w:rsidRPr="00E50E2C">
        <w:rPr>
          <w:rFonts w:eastAsia="Times New Roman" w:cs="Times New Roman"/>
          <w:color w:val="222222"/>
          <w:szCs w:val="24"/>
        </w:rPr>
        <w:t xml:space="preserve"> L., Diamon</w:t>
      </w:r>
      <w:r w:rsidR="00FA728F">
        <w:rPr>
          <w:rFonts w:eastAsia="Times New Roman" w:cs="Times New Roman"/>
          <w:color w:val="222222"/>
          <w:szCs w:val="24"/>
        </w:rPr>
        <w:t>d</w:t>
      </w:r>
      <w:r w:rsidRPr="00E50E2C">
        <w:rPr>
          <w:rFonts w:eastAsia="Times New Roman" w:cs="Times New Roman"/>
          <w:color w:val="222222"/>
          <w:szCs w:val="24"/>
        </w:rPr>
        <w:t>,</w:t>
      </w:r>
      <w:r w:rsidR="009915DC">
        <w:rPr>
          <w:rFonts w:eastAsia="Times New Roman" w:cs="Times New Roman"/>
          <w:color w:val="222222"/>
          <w:szCs w:val="24"/>
        </w:rPr>
        <w:t xml:space="preserve"> J.</w:t>
      </w:r>
      <w:r w:rsidRPr="00E50E2C">
        <w:rPr>
          <w:rFonts w:eastAsia="Times New Roman" w:cs="Times New Roman"/>
          <w:color w:val="222222"/>
          <w:szCs w:val="24"/>
        </w:rPr>
        <w:t xml:space="preserve"> and Zheng</w:t>
      </w:r>
      <w:r w:rsidR="009915DC">
        <w:rPr>
          <w:rFonts w:eastAsia="Times New Roman" w:cs="Times New Roman"/>
          <w:color w:val="222222"/>
          <w:szCs w:val="24"/>
        </w:rPr>
        <w:t>, L. 2011</w:t>
      </w:r>
      <w:r w:rsidRPr="00E50E2C">
        <w:rPr>
          <w:rFonts w:eastAsia="Times New Roman" w:cs="Times New Roman"/>
          <w:color w:val="222222"/>
          <w:szCs w:val="24"/>
        </w:rPr>
        <w:t xml:space="preserve">. </w:t>
      </w:r>
      <w:r w:rsidRPr="009915DC">
        <w:rPr>
          <w:rFonts w:eastAsia="Times New Roman" w:cs="Times New Roman"/>
          <w:i/>
          <w:color w:val="222222"/>
          <w:szCs w:val="24"/>
        </w:rPr>
        <w:t>Test of significant toxicity: A statistical application for assessing whether an effluent or site water is truly toxic</w:t>
      </w:r>
      <w:r w:rsidRPr="00E50E2C">
        <w:rPr>
          <w:rFonts w:eastAsia="Times New Roman" w:cs="Times New Roman"/>
          <w:color w:val="222222"/>
          <w:szCs w:val="24"/>
        </w:rPr>
        <w:t>. Environmental Toxicology and Chemistry 30.5 (2011): 1117-1126</w:t>
      </w:r>
      <w:r w:rsidR="009915DC">
        <w:rPr>
          <w:rFonts w:eastAsia="Times New Roman" w:cs="Times New Roman"/>
          <w:color w:val="222222"/>
          <w:szCs w:val="24"/>
        </w:rPr>
        <w:t>.</w:t>
      </w:r>
    </w:p>
    <w:p w14:paraId="1C059DA9" w14:textId="37B9A09E" w:rsidR="00D85251" w:rsidRPr="002B7746" w:rsidRDefault="00D85251" w:rsidP="002B7746">
      <w:pPr>
        <w:spacing w:before="120"/>
        <w:rPr>
          <w:rFonts w:eastAsia="Times New Roman" w:cs="Times New Roman"/>
          <w:color w:val="222222"/>
          <w:szCs w:val="24"/>
        </w:rPr>
      </w:pPr>
      <w:r w:rsidRPr="002B7746">
        <w:rPr>
          <w:rFonts w:eastAsia="Times New Roman" w:cs="Times New Roman"/>
          <w:color w:val="222222"/>
          <w:szCs w:val="24"/>
        </w:rPr>
        <w:t xml:space="preserve">Moore, Timothy F., </w:t>
      </w:r>
      <w:r w:rsidR="001A144C">
        <w:rPr>
          <w:rFonts w:eastAsia="Times New Roman" w:cs="Times New Roman"/>
          <w:color w:val="222222"/>
          <w:szCs w:val="24"/>
        </w:rPr>
        <w:t xml:space="preserve">Canton, </w:t>
      </w:r>
      <w:r w:rsidR="00671B37">
        <w:rPr>
          <w:rFonts w:eastAsia="Times New Roman" w:cs="Times New Roman"/>
          <w:color w:val="222222"/>
          <w:szCs w:val="24"/>
        </w:rPr>
        <w:t>S.</w:t>
      </w:r>
      <w:r w:rsidRPr="002B7746">
        <w:rPr>
          <w:rFonts w:eastAsia="Times New Roman" w:cs="Times New Roman"/>
          <w:color w:val="222222"/>
          <w:szCs w:val="24"/>
        </w:rPr>
        <w:t xml:space="preserve"> P., and </w:t>
      </w:r>
      <w:r w:rsidR="001A144C">
        <w:rPr>
          <w:rFonts w:eastAsia="Times New Roman" w:cs="Times New Roman"/>
          <w:color w:val="222222"/>
          <w:szCs w:val="24"/>
        </w:rPr>
        <w:t xml:space="preserve">Grimes, </w:t>
      </w:r>
      <w:r w:rsidRPr="002B7746">
        <w:rPr>
          <w:rFonts w:eastAsia="Times New Roman" w:cs="Times New Roman"/>
          <w:color w:val="222222"/>
          <w:szCs w:val="24"/>
        </w:rPr>
        <w:t>M.</w:t>
      </w:r>
      <w:r w:rsidR="001A144C">
        <w:rPr>
          <w:rFonts w:eastAsia="Times New Roman" w:cs="Times New Roman"/>
          <w:color w:val="222222"/>
          <w:szCs w:val="24"/>
        </w:rPr>
        <w:t>, 2000.</w:t>
      </w:r>
      <w:r w:rsidRPr="002B7746">
        <w:rPr>
          <w:rFonts w:eastAsia="Times New Roman" w:cs="Times New Roman"/>
          <w:color w:val="222222"/>
          <w:szCs w:val="24"/>
        </w:rPr>
        <w:t xml:space="preserve"> </w:t>
      </w:r>
      <w:r w:rsidRPr="001A144C">
        <w:rPr>
          <w:rFonts w:eastAsia="Times New Roman" w:cs="Times New Roman"/>
          <w:i/>
          <w:color w:val="222222"/>
          <w:szCs w:val="24"/>
        </w:rPr>
        <w:t xml:space="preserve">Investigating the </w:t>
      </w:r>
      <w:r w:rsidR="00100E0C">
        <w:rPr>
          <w:rFonts w:eastAsia="Times New Roman" w:cs="Times New Roman"/>
          <w:i/>
          <w:color w:val="222222"/>
          <w:szCs w:val="24"/>
        </w:rPr>
        <w:t>I</w:t>
      </w:r>
      <w:r w:rsidRPr="001A144C">
        <w:rPr>
          <w:rFonts w:eastAsia="Times New Roman" w:cs="Times New Roman"/>
          <w:i/>
          <w:color w:val="222222"/>
          <w:szCs w:val="24"/>
        </w:rPr>
        <w:t xml:space="preserve">ncidence of </w:t>
      </w:r>
      <w:r w:rsidR="00100E0C">
        <w:rPr>
          <w:rFonts w:eastAsia="Times New Roman" w:cs="Times New Roman"/>
          <w:i/>
          <w:color w:val="222222"/>
          <w:szCs w:val="24"/>
        </w:rPr>
        <w:t>T</w:t>
      </w:r>
      <w:r w:rsidRPr="001A144C">
        <w:rPr>
          <w:rFonts w:eastAsia="Times New Roman" w:cs="Times New Roman"/>
          <w:i/>
          <w:color w:val="222222"/>
          <w:szCs w:val="24"/>
        </w:rPr>
        <w:t xml:space="preserve">ype I </w:t>
      </w:r>
      <w:r w:rsidR="00100E0C">
        <w:rPr>
          <w:rFonts w:eastAsia="Times New Roman" w:cs="Times New Roman"/>
          <w:i/>
          <w:color w:val="222222"/>
          <w:szCs w:val="24"/>
        </w:rPr>
        <w:t>E</w:t>
      </w:r>
      <w:r w:rsidRPr="001A144C">
        <w:rPr>
          <w:rFonts w:eastAsia="Times New Roman" w:cs="Times New Roman"/>
          <w:i/>
          <w:color w:val="222222"/>
          <w:szCs w:val="24"/>
        </w:rPr>
        <w:t xml:space="preserve">rrors for </w:t>
      </w:r>
      <w:r w:rsidR="00100E0C">
        <w:rPr>
          <w:rFonts w:eastAsia="Times New Roman" w:cs="Times New Roman"/>
          <w:i/>
          <w:color w:val="222222"/>
          <w:szCs w:val="24"/>
        </w:rPr>
        <w:t>C</w:t>
      </w:r>
      <w:r w:rsidRPr="001A144C">
        <w:rPr>
          <w:rFonts w:eastAsia="Times New Roman" w:cs="Times New Roman"/>
          <w:i/>
          <w:color w:val="222222"/>
          <w:szCs w:val="24"/>
        </w:rPr>
        <w:t xml:space="preserve">hronic </w:t>
      </w:r>
      <w:r w:rsidR="00100E0C">
        <w:rPr>
          <w:rFonts w:eastAsia="Times New Roman" w:cs="Times New Roman"/>
          <w:i/>
          <w:color w:val="222222"/>
          <w:szCs w:val="24"/>
        </w:rPr>
        <w:t>W</w:t>
      </w:r>
      <w:r w:rsidRPr="001A144C">
        <w:rPr>
          <w:rFonts w:eastAsia="Times New Roman" w:cs="Times New Roman"/>
          <w:i/>
          <w:color w:val="222222"/>
          <w:szCs w:val="24"/>
        </w:rPr>
        <w:t xml:space="preserve">hole </w:t>
      </w:r>
      <w:r w:rsidR="00100E0C">
        <w:rPr>
          <w:rFonts w:eastAsia="Times New Roman" w:cs="Times New Roman"/>
          <w:i/>
          <w:color w:val="222222"/>
          <w:szCs w:val="24"/>
        </w:rPr>
        <w:t>E</w:t>
      </w:r>
      <w:r w:rsidRPr="001A144C">
        <w:rPr>
          <w:rFonts w:eastAsia="Times New Roman" w:cs="Times New Roman"/>
          <w:i/>
          <w:color w:val="222222"/>
          <w:szCs w:val="24"/>
        </w:rPr>
        <w:t xml:space="preserve">ffluent </w:t>
      </w:r>
      <w:r w:rsidR="00100E0C">
        <w:rPr>
          <w:rFonts w:eastAsia="Times New Roman" w:cs="Times New Roman"/>
          <w:i/>
          <w:color w:val="222222"/>
          <w:szCs w:val="24"/>
        </w:rPr>
        <w:t>T</w:t>
      </w:r>
      <w:r w:rsidRPr="001A144C">
        <w:rPr>
          <w:rFonts w:eastAsia="Times New Roman" w:cs="Times New Roman"/>
          <w:i/>
          <w:color w:val="222222"/>
          <w:szCs w:val="24"/>
        </w:rPr>
        <w:t xml:space="preserve">oxicity </w:t>
      </w:r>
      <w:r w:rsidR="00100E0C">
        <w:rPr>
          <w:rFonts w:eastAsia="Times New Roman" w:cs="Times New Roman"/>
          <w:i/>
          <w:color w:val="222222"/>
          <w:szCs w:val="24"/>
        </w:rPr>
        <w:t>T</w:t>
      </w:r>
      <w:r w:rsidRPr="001A144C">
        <w:rPr>
          <w:rFonts w:eastAsia="Times New Roman" w:cs="Times New Roman"/>
          <w:i/>
          <w:color w:val="222222"/>
          <w:szCs w:val="24"/>
        </w:rPr>
        <w:t xml:space="preserve">esting </w:t>
      </w:r>
      <w:r w:rsidR="00100E0C">
        <w:rPr>
          <w:rFonts w:eastAsia="Times New Roman" w:cs="Times New Roman"/>
          <w:i/>
          <w:color w:val="222222"/>
          <w:szCs w:val="24"/>
        </w:rPr>
        <w:t>U</w:t>
      </w:r>
      <w:r w:rsidRPr="001A144C">
        <w:rPr>
          <w:rFonts w:eastAsia="Times New Roman" w:cs="Times New Roman"/>
          <w:i/>
          <w:color w:val="222222"/>
          <w:szCs w:val="24"/>
        </w:rPr>
        <w:t xml:space="preserve">sing </w:t>
      </w:r>
      <w:proofErr w:type="spellStart"/>
      <w:r w:rsidRPr="001A144C">
        <w:rPr>
          <w:rFonts w:eastAsia="Times New Roman" w:cs="Times New Roman"/>
          <w:i/>
          <w:color w:val="222222"/>
          <w:szCs w:val="24"/>
        </w:rPr>
        <w:t>Ce</w:t>
      </w:r>
      <w:r w:rsidRPr="002B7746">
        <w:rPr>
          <w:rFonts w:eastAsia="Times New Roman" w:cs="Times New Roman"/>
          <w:i/>
          <w:color w:val="222222"/>
          <w:szCs w:val="24"/>
        </w:rPr>
        <w:t>riodaphnia</w:t>
      </w:r>
      <w:proofErr w:type="spellEnd"/>
      <w:r w:rsidRPr="002B7746">
        <w:rPr>
          <w:rFonts w:eastAsia="Times New Roman" w:cs="Times New Roman"/>
          <w:i/>
          <w:color w:val="222222"/>
          <w:szCs w:val="24"/>
        </w:rPr>
        <w:t xml:space="preserve"> </w:t>
      </w:r>
      <w:proofErr w:type="spellStart"/>
      <w:r w:rsidRPr="002B7746">
        <w:rPr>
          <w:rFonts w:eastAsia="Times New Roman" w:cs="Times New Roman"/>
          <w:i/>
          <w:color w:val="222222"/>
          <w:szCs w:val="24"/>
        </w:rPr>
        <w:t>dubia</w:t>
      </w:r>
      <w:proofErr w:type="spellEnd"/>
      <w:r w:rsidR="001A144C">
        <w:rPr>
          <w:rFonts w:eastAsia="Times New Roman" w:cs="Times New Roman"/>
          <w:color w:val="222222"/>
          <w:szCs w:val="24"/>
        </w:rPr>
        <w:t>.</w:t>
      </w:r>
      <w:r w:rsidRPr="002B7746">
        <w:rPr>
          <w:rFonts w:eastAsia="Times New Roman" w:cs="Times New Roman"/>
          <w:color w:val="222222"/>
          <w:szCs w:val="24"/>
        </w:rPr>
        <w:t xml:space="preserve"> </w:t>
      </w:r>
      <w:r w:rsidRPr="001A144C">
        <w:rPr>
          <w:rFonts w:eastAsia="Times New Roman" w:cs="Times New Roman"/>
          <w:iCs/>
          <w:color w:val="222222"/>
          <w:szCs w:val="24"/>
        </w:rPr>
        <w:t xml:space="preserve">Environmental </w:t>
      </w:r>
      <w:r w:rsidR="00671B37">
        <w:rPr>
          <w:rFonts w:eastAsia="Times New Roman" w:cs="Times New Roman"/>
          <w:iCs/>
          <w:color w:val="222222"/>
          <w:szCs w:val="24"/>
        </w:rPr>
        <w:t>T</w:t>
      </w:r>
      <w:r w:rsidRPr="001A144C">
        <w:rPr>
          <w:rFonts w:eastAsia="Times New Roman" w:cs="Times New Roman"/>
          <w:iCs/>
          <w:color w:val="222222"/>
          <w:szCs w:val="24"/>
        </w:rPr>
        <w:t xml:space="preserve">oxicology and </w:t>
      </w:r>
      <w:r w:rsidR="00671B37">
        <w:rPr>
          <w:rFonts w:eastAsia="Times New Roman" w:cs="Times New Roman"/>
          <w:iCs/>
          <w:color w:val="222222"/>
          <w:szCs w:val="24"/>
        </w:rPr>
        <w:t>C</w:t>
      </w:r>
      <w:r w:rsidRPr="001A144C">
        <w:rPr>
          <w:rFonts w:eastAsia="Times New Roman" w:cs="Times New Roman"/>
          <w:iCs/>
          <w:color w:val="222222"/>
          <w:szCs w:val="24"/>
        </w:rPr>
        <w:t>hemistry</w:t>
      </w:r>
      <w:r w:rsidRPr="002B7746">
        <w:rPr>
          <w:rFonts w:eastAsia="Times New Roman" w:cs="Times New Roman"/>
          <w:color w:val="222222"/>
          <w:szCs w:val="24"/>
        </w:rPr>
        <w:t xml:space="preserve"> 19.1 (2000): 118-122.</w:t>
      </w:r>
    </w:p>
    <w:p w14:paraId="67A9335C" w14:textId="5B7057A1" w:rsidR="00D85251" w:rsidRPr="002B7746" w:rsidRDefault="001A144C" w:rsidP="002B7746">
      <w:pPr>
        <w:spacing w:before="120"/>
        <w:rPr>
          <w:rFonts w:cs="Times New Roman"/>
          <w:szCs w:val="24"/>
        </w:rPr>
      </w:pPr>
      <w:r>
        <w:rPr>
          <w:rFonts w:cs="Times New Roman"/>
          <w:szCs w:val="24"/>
        </w:rPr>
        <w:t xml:space="preserve">Schiff, </w:t>
      </w:r>
      <w:r w:rsidR="002B7746" w:rsidRPr="002B7746">
        <w:rPr>
          <w:rFonts w:cs="Times New Roman"/>
          <w:szCs w:val="24"/>
        </w:rPr>
        <w:t>K</w:t>
      </w:r>
      <w:r>
        <w:rPr>
          <w:rFonts w:cs="Times New Roman"/>
          <w:szCs w:val="24"/>
        </w:rPr>
        <w:t>.</w:t>
      </w:r>
      <w:r w:rsidR="002B7746" w:rsidRPr="002B7746">
        <w:rPr>
          <w:rFonts w:cs="Times New Roman"/>
          <w:szCs w:val="24"/>
        </w:rPr>
        <w:t>C</w:t>
      </w:r>
      <w:r>
        <w:rPr>
          <w:rFonts w:cs="Times New Roman"/>
          <w:szCs w:val="24"/>
        </w:rPr>
        <w:t>.</w:t>
      </w:r>
      <w:r w:rsidR="002B7746" w:rsidRPr="002B7746">
        <w:rPr>
          <w:rFonts w:cs="Times New Roman"/>
          <w:szCs w:val="24"/>
        </w:rPr>
        <w:t>, Greenstein</w:t>
      </w:r>
      <w:r>
        <w:rPr>
          <w:rFonts w:cs="Times New Roman"/>
          <w:szCs w:val="24"/>
        </w:rPr>
        <w:t>, D.,</w:t>
      </w:r>
      <w:r w:rsidR="002B7746">
        <w:rPr>
          <w:rFonts w:cs="Times New Roman"/>
          <w:szCs w:val="24"/>
        </w:rPr>
        <w:t xml:space="preserve"> 2016</w:t>
      </w:r>
      <w:r w:rsidR="002B7746" w:rsidRPr="002B7746">
        <w:rPr>
          <w:rFonts w:cs="Times New Roman"/>
          <w:szCs w:val="24"/>
        </w:rPr>
        <w:t xml:space="preserve">. </w:t>
      </w:r>
      <w:r w:rsidR="00D85251" w:rsidRPr="001A144C">
        <w:rPr>
          <w:rFonts w:cs="Times New Roman"/>
          <w:i/>
          <w:szCs w:val="24"/>
        </w:rPr>
        <w:t>Stormwater Monitoring Coalition Toxicity Testing Laboratory Guidance Document</w:t>
      </w:r>
      <w:r w:rsidR="00D85251" w:rsidRPr="002B7746">
        <w:rPr>
          <w:rFonts w:cs="Times New Roman"/>
          <w:szCs w:val="24"/>
        </w:rPr>
        <w:t>. Southern California Coastal Water Research Project, Technical Report 0956.</w:t>
      </w:r>
    </w:p>
    <w:p w14:paraId="461F5F5D" w14:textId="4C9918FB" w:rsidR="00D85251" w:rsidRPr="002B7746" w:rsidRDefault="00D85251" w:rsidP="002B7746">
      <w:pPr>
        <w:spacing w:before="120"/>
        <w:rPr>
          <w:rFonts w:cs="Times New Roman"/>
          <w:szCs w:val="24"/>
        </w:rPr>
      </w:pPr>
      <w:r w:rsidRPr="002B7746">
        <w:rPr>
          <w:rFonts w:cs="Times New Roman"/>
          <w:szCs w:val="24"/>
        </w:rPr>
        <w:t>U</w:t>
      </w:r>
      <w:r w:rsidR="00154A5E">
        <w:rPr>
          <w:rFonts w:cs="Times New Roman"/>
          <w:szCs w:val="24"/>
        </w:rPr>
        <w:t xml:space="preserve">nited </w:t>
      </w:r>
      <w:r w:rsidRPr="002B7746">
        <w:rPr>
          <w:rFonts w:cs="Times New Roman"/>
          <w:szCs w:val="24"/>
        </w:rPr>
        <w:t>S</w:t>
      </w:r>
      <w:r w:rsidR="00154A5E">
        <w:rPr>
          <w:rFonts w:cs="Times New Roman"/>
          <w:szCs w:val="24"/>
        </w:rPr>
        <w:t>tates</w:t>
      </w:r>
      <w:bookmarkStart w:id="37" w:name="_GoBack"/>
      <w:bookmarkEnd w:id="37"/>
      <w:r w:rsidRPr="002B7746">
        <w:rPr>
          <w:rFonts w:cs="Times New Roman"/>
          <w:szCs w:val="24"/>
        </w:rPr>
        <w:t xml:space="preserve"> </w:t>
      </w:r>
      <w:r w:rsidR="00154A5E">
        <w:rPr>
          <w:rFonts w:cs="Times New Roman"/>
          <w:szCs w:val="24"/>
        </w:rPr>
        <w:t xml:space="preserve">Environmental Protection Agency (US </w:t>
      </w:r>
      <w:r w:rsidRPr="002B7746">
        <w:rPr>
          <w:rFonts w:cs="Times New Roman"/>
          <w:szCs w:val="24"/>
        </w:rPr>
        <w:t>EPA</w:t>
      </w:r>
      <w:r w:rsidR="00154A5E">
        <w:rPr>
          <w:rFonts w:cs="Times New Roman"/>
          <w:szCs w:val="24"/>
        </w:rPr>
        <w:t>)</w:t>
      </w:r>
      <w:r w:rsidRPr="002B7746">
        <w:rPr>
          <w:rFonts w:cs="Times New Roman"/>
          <w:szCs w:val="24"/>
        </w:rPr>
        <w:t xml:space="preserve">, 1991. </w:t>
      </w:r>
      <w:r w:rsidRPr="001A144C">
        <w:rPr>
          <w:rFonts w:cs="Times New Roman"/>
          <w:i/>
          <w:szCs w:val="24"/>
        </w:rPr>
        <w:t>Technical Support Document for Water Quality-based Toxics Control</w:t>
      </w:r>
      <w:r w:rsidRPr="002B7746">
        <w:rPr>
          <w:rFonts w:cs="Times New Roman"/>
          <w:szCs w:val="24"/>
        </w:rPr>
        <w:t>. United States Environmental Protection Agency, Office of Water. Washington, D.C. EPA 505/2-90-001. March.</w:t>
      </w:r>
    </w:p>
    <w:p w14:paraId="3C9A3A91" w14:textId="4FA838AD" w:rsidR="00D85251" w:rsidRPr="002B7746" w:rsidRDefault="00D85251" w:rsidP="002B7746">
      <w:pPr>
        <w:spacing w:before="120"/>
        <w:rPr>
          <w:rFonts w:cs="Times New Roman"/>
          <w:szCs w:val="24"/>
        </w:rPr>
      </w:pPr>
      <w:r w:rsidRPr="002B7746">
        <w:rPr>
          <w:rFonts w:cs="Times New Roman"/>
          <w:szCs w:val="24"/>
        </w:rPr>
        <w:t xml:space="preserve">US EPA, 2000. </w:t>
      </w:r>
      <w:r w:rsidRPr="001A144C">
        <w:rPr>
          <w:rFonts w:cs="Times New Roman"/>
          <w:i/>
          <w:szCs w:val="24"/>
        </w:rPr>
        <w:t>Understanding and Accounting for Method Variability in Whole Effluent Toxicity Applications Under the National Pollutant Discharge Elimination System Program</w:t>
      </w:r>
      <w:r w:rsidRPr="002B7746">
        <w:rPr>
          <w:rFonts w:cs="Times New Roman"/>
          <w:szCs w:val="24"/>
        </w:rPr>
        <w:t>. United States Environmental Protection Agency, Office of Wastewater Management. EPA-833-R-00-003. June.</w:t>
      </w:r>
    </w:p>
    <w:p w14:paraId="03C5A6F8" w14:textId="340053C5" w:rsidR="00D85251" w:rsidRPr="002B7746" w:rsidRDefault="00D85251" w:rsidP="002B7746">
      <w:pPr>
        <w:spacing w:before="120"/>
        <w:rPr>
          <w:rFonts w:cs="Times New Roman"/>
          <w:szCs w:val="24"/>
        </w:rPr>
      </w:pPr>
      <w:r w:rsidRPr="002B7746">
        <w:rPr>
          <w:rFonts w:cs="Times New Roman"/>
          <w:szCs w:val="24"/>
        </w:rPr>
        <w:t xml:space="preserve">U.S. EPA, 2001. </w:t>
      </w:r>
      <w:r w:rsidRPr="001A144C">
        <w:rPr>
          <w:rFonts w:cs="Times New Roman"/>
          <w:i/>
          <w:szCs w:val="24"/>
        </w:rPr>
        <w:t xml:space="preserve">Final </w:t>
      </w:r>
      <w:r w:rsidR="001A144C">
        <w:rPr>
          <w:rFonts w:cs="Times New Roman"/>
          <w:i/>
          <w:szCs w:val="24"/>
        </w:rPr>
        <w:t>R</w:t>
      </w:r>
      <w:r w:rsidRPr="001A144C">
        <w:rPr>
          <w:rFonts w:cs="Times New Roman"/>
          <w:i/>
          <w:szCs w:val="24"/>
        </w:rPr>
        <w:t xml:space="preserve">eport: Interlaboratory </w:t>
      </w:r>
      <w:r w:rsidR="001A144C">
        <w:rPr>
          <w:rFonts w:cs="Times New Roman"/>
          <w:i/>
          <w:szCs w:val="24"/>
        </w:rPr>
        <w:t>V</w:t>
      </w:r>
      <w:r w:rsidRPr="001A144C">
        <w:rPr>
          <w:rFonts w:cs="Times New Roman"/>
          <w:i/>
          <w:szCs w:val="24"/>
        </w:rPr>
        <w:t xml:space="preserve">ariability </w:t>
      </w:r>
      <w:r w:rsidR="001A144C">
        <w:rPr>
          <w:rFonts w:cs="Times New Roman"/>
          <w:i/>
          <w:szCs w:val="24"/>
        </w:rPr>
        <w:t>S</w:t>
      </w:r>
      <w:r w:rsidRPr="001A144C">
        <w:rPr>
          <w:rFonts w:cs="Times New Roman"/>
          <w:i/>
          <w:szCs w:val="24"/>
        </w:rPr>
        <w:t xml:space="preserve">tudy of EPA </w:t>
      </w:r>
      <w:r w:rsidR="001A144C">
        <w:rPr>
          <w:rFonts w:cs="Times New Roman"/>
          <w:i/>
          <w:szCs w:val="24"/>
        </w:rPr>
        <w:t>S</w:t>
      </w:r>
      <w:r w:rsidRPr="001A144C">
        <w:rPr>
          <w:rFonts w:cs="Times New Roman"/>
          <w:i/>
          <w:szCs w:val="24"/>
        </w:rPr>
        <w:t xml:space="preserve">hort-term </w:t>
      </w:r>
      <w:r w:rsidR="001A144C">
        <w:rPr>
          <w:rFonts w:cs="Times New Roman"/>
          <w:i/>
          <w:szCs w:val="24"/>
        </w:rPr>
        <w:t>C</w:t>
      </w:r>
      <w:r w:rsidRPr="001A144C">
        <w:rPr>
          <w:rFonts w:cs="Times New Roman"/>
          <w:i/>
          <w:szCs w:val="24"/>
        </w:rPr>
        <w:t>hronic and</w:t>
      </w:r>
      <w:r w:rsidR="001A144C">
        <w:rPr>
          <w:rFonts w:cs="Times New Roman"/>
          <w:i/>
          <w:szCs w:val="24"/>
        </w:rPr>
        <w:t xml:space="preserve"> A</w:t>
      </w:r>
      <w:r w:rsidRPr="001A144C">
        <w:rPr>
          <w:rFonts w:cs="Times New Roman"/>
          <w:i/>
          <w:szCs w:val="24"/>
        </w:rPr>
        <w:t xml:space="preserve">cute </w:t>
      </w:r>
      <w:r w:rsidR="001A144C">
        <w:rPr>
          <w:rFonts w:cs="Times New Roman"/>
          <w:i/>
          <w:szCs w:val="24"/>
        </w:rPr>
        <w:t>W</w:t>
      </w:r>
      <w:r w:rsidRPr="001A144C">
        <w:rPr>
          <w:rFonts w:cs="Times New Roman"/>
          <w:i/>
          <w:szCs w:val="24"/>
        </w:rPr>
        <w:t xml:space="preserve">hole </w:t>
      </w:r>
      <w:r w:rsidR="001A144C">
        <w:rPr>
          <w:rFonts w:cs="Times New Roman"/>
          <w:i/>
          <w:szCs w:val="24"/>
        </w:rPr>
        <w:t>E</w:t>
      </w:r>
      <w:r w:rsidRPr="001A144C">
        <w:rPr>
          <w:rFonts w:cs="Times New Roman"/>
          <w:i/>
          <w:szCs w:val="24"/>
        </w:rPr>
        <w:t xml:space="preserve">ffluent </w:t>
      </w:r>
      <w:r w:rsidR="001A144C">
        <w:rPr>
          <w:rFonts w:cs="Times New Roman"/>
          <w:i/>
          <w:szCs w:val="24"/>
        </w:rPr>
        <w:t>T</w:t>
      </w:r>
      <w:r w:rsidRPr="001A144C">
        <w:rPr>
          <w:rFonts w:cs="Times New Roman"/>
          <w:i/>
          <w:szCs w:val="24"/>
        </w:rPr>
        <w:t xml:space="preserve">oxicity </w:t>
      </w:r>
      <w:r w:rsidR="001A144C">
        <w:rPr>
          <w:rFonts w:cs="Times New Roman"/>
          <w:i/>
          <w:szCs w:val="24"/>
        </w:rPr>
        <w:t>T</w:t>
      </w:r>
      <w:r w:rsidRPr="001A144C">
        <w:rPr>
          <w:rFonts w:cs="Times New Roman"/>
          <w:i/>
          <w:szCs w:val="24"/>
        </w:rPr>
        <w:t xml:space="preserve">est </w:t>
      </w:r>
      <w:r w:rsidR="001A144C">
        <w:rPr>
          <w:rFonts w:cs="Times New Roman"/>
          <w:i/>
          <w:szCs w:val="24"/>
        </w:rPr>
        <w:t>M</w:t>
      </w:r>
      <w:r w:rsidRPr="001A144C">
        <w:rPr>
          <w:rFonts w:cs="Times New Roman"/>
          <w:i/>
          <w:szCs w:val="24"/>
        </w:rPr>
        <w:t>ethods</w:t>
      </w:r>
      <w:r w:rsidRPr="002B7746">
        <w:rPr>
          <w:rFonts w:cs="Times New Roman"/>
          <w:szCs w:val="24"/>
        </w:rPr>
        <w:t>. United States Environmental Protection Agency, Office of Water. Washington, DC. EPA-821-B-01-04.</w:t>
      </w:r>
    </w:p>
    <w:p w14:paraId="50A326D9" w14:textId="2299D057" w:rsidR="00D85251" w:rsidRPr="002B7746" w:rsidRDefault="00D85251" w:rsidP="002B7746">
      <w:pPr>
        <w:spacing w:before="120"/>
        <w:rPr>
          <w:rFonts w:cs="Times New Roman"/>
          <w:szCs w:val="24"/>
        </w:rPr>
      </w:pPr>
      <w:r w:rsidRPr="002B7746">
        <w:rPr>
          <w:rFonts w:cs="Times New Roman"/>
          <w:szCs w:val="24"/>
        </w:rPr>
        <w:t xml:space="preserve">US EPA, 2011. </w:t>
      </w:r>
      <w:r w:rsidRPr="001A144C">
        <w:rPr>
          <w:rFonts w:cs="Times New Roman"/>
          <w:i/>
          <w:szCs w:val="24"/>
        </w:rPr>
        <w:t>Whole Effluent Toxicity Test Drive Analysis of the Test of Significant Toxicity (TST)</w:t>
      </w:r>
      <w:r w:rsidRPr="002B7746">
        <w:rPr>
          <w:rFonts w:cs="Times New Roman"/>
          <w:szCs w:val="24"/>
        </w:rPr>
        <w:t>.  United State Environmental Protection Agency, EPA Region 9, Sacramento, CA. July.</w:t>
      </w:r>
    </w:p>
    <w:p w14:paraId="1E1639DC" w14:textId="185141F1" w:rsidR="00D85251" w:rsidRPr="002B7746" w:rsidRDefault="00D85251" w:rsidP="002B7746">
      <w:pPr>
        <w:spacing w:before="120"/>
        <w:rPr>
          <w:rFonts w:cs="Times New Roman"/>
          <w:szCs w:val="24"/>
        </w:rPr>
      </w:pPr>
      <w:r w:rsidRPr="002B7746">
        <w:rPr>
          <w:rFonts w:cs="Times New Roman"/>
          <w:szCs w:val="24"/>
        </w:rPr>
        <w:t>Warren-Hicks</w:t>
      </w:r>
      <w:r w:rsidR="001A144C">
        <w:rPr>
          <w:rFonts w:cs="Times New Roman"/>
          <w:szCs w:val="24"/>
        </w:rPr>
        <w:t>,</w:t>
      </w:r>
      <w:r w:rsidRPr="002B7746">
        <w:rPr>
          <w:rFonts w:cs="Times New Roman"/>
          <w:szCs w:val="24"/>
        </w:rPr>
        <w:t xml:space="preserve"> W</w:t>
      </w:r>
      <w:r w:rsidR="001A144C">
        <w:rPr>
          <w:rFonts w:cs="Times New Roman"/>
          <w:szCs w:val="24"/>
        </w:rPr>
        <w:t>.</w:t>
      </w:r>
      <w:r w:rsidRPr="002B7746">
        <w:rPr>
          <w:rFonts w:cs="Times New Roman"/>
          <w:szCs w:val="24"/>
        </w:rPr>
        <w:t>J</w:t>
      </w:r>
      <w:r w:rsidR="001A144C">
        <w:rPr>
          <w:rFonts w:cs="Times New Roman"/>
          <w:szCs w:val="24"/>
        </w:rPr>
        <w:t>.</w:t>
      </w:r>
      <w:r w:rsidRPr="002B7746">
        <w:rPr>
          <w:rFonts w:cs="Times New Roman"/>
          <w:szCs w:val="24"/>
        </w:rPr>
        <w:t>, Parkhurst</w:t>
      </w:r>
      <w:r w:rsidR="001A144C">
        <w:rPr>
          <w:rFonts w:cs="Times New Roman"/>
          <w:szCs w:val="24"/>
        </w:rPr>
        <w:t>,</w:t>
      </w:r>
      <w:r w:rsidRPr="002B7746">
        <w:rPr>
          <w:rFonts w:cs="Times New Roman"/>
          <w:szCs w:val="24"/>
        </w:rPr>
        <w:t xml:space="preserve"> B</w:t>
      </w:r>
      <w:r w:rsidR="001A144C">
        <w:rPr>
          <w:rFonts w:cs="Times New Roman"/>
          <w:szCs w:val="24"/>
        </w:rPr>
        <w:t>.</w:t>
      </w:r>
      <w:r w:rsidRPr="002B7746">
        <w:rPr>
          <w:rFonts w:cs="Times New Roman"/>
          <w:szCs w:val="24"/>
        </w:rPr>
        <w:t>R.</w:t>
      </w:r>
      <w:r w:rsidR="001A144C">
        <w:rPr>
          <w:rFonts w:cs="Times New Roman"/>
          <w:szCs w:val="24"/>
        </w:rPr>
        <w:t>,</w:t>
      </w:r>
      <w:r w:rsidRPr="002B7746">
        <w:rPr>
          <w:rFonts w:cs="Times New Roman"/>
          <w:szCs w:val="24"/>
        </w:rPr>
        <w:t xml:space="preserve"> 1995. </w:t>
      </w:r>
      <w:r w:rsidRPr="001A144C">
        <w:rPr>
          <w:rFonts w:cs="Times New Roman"/>
          <w:i/>
          <w:szCs w:val="24"/>
        </w:rPr>
        <w:t xml:space="preserve">Issues in </w:t>
      </w:r>
      <w:r w:rsidR="001A144C">
        <w:rPr>
          <w:rFonts w:cs="Times New Roman"/>
          <w:i/>
          <w:szCs w:val="24"/>
        </w:rPr>
        <w:t>W</w:t>
      </w:r>
      <w:r w:rsidRPr="001A144C">
        <w:rPr>
          <w:rFonts w:cs="Times New Roman"/>
          <w:i/>
          <w:szCs w:val="24"/>
        </w:rPr>
        <w:t xml:space="preserve">hole </w:t>
      </w:r>
      <w:r w:rsidR="001A144C">
        <w:rPr>
          <w:rFonts w:cs="Times New Roman"/>
          <w:i/>
          <w:szCs w:val="24"/>
        </w:rPr>
        <w:t>E</w:t>
      </w:r>
      <w:r w:rsidRPr="001A144C">
        <w:rPr>
          <w:rFonts w:cs="Times New Roman"/>
          <w:i/>
          <w:szCs w:val="24"/>
        </w:rPr>
        <w:t xml:space="preserve">ffluent </w:t>
      </w:r>
      <w:r w:rsidR="001A144C">
        <w:rPr>
          <w:rFonts w:cs="Times New Roman"/>
          <w:i/>
          <w:szCs w:val="24"/>
        </w:rPr>
        <w:t>T</w:t>
      </w:r>
      <w:r w:rsidRPr="001A144C">
        <w:rPr>
          <w:rFonts w:cs="Times New Roman"/>
          <w:i/>
          <w:szCs w:val="24"/>
        </w:rPr>
        <w:t xml:space="preserve">oxicity </w:t>
      </w:r>
      <w:r w:rsidR="001A144C">
        <w:rPr>
          <w:rFonts w:cs="Times New Roman"/>
          <w:i/>
          <w:szCs w:val="24"/>
        </w:rPr>
        <w:t>T</w:t>
      </w:r>
      <w:r w:rsidRPr="001A144C">
        <w:rPr>
          <w:rFonts w:cs="Times New Roman"/>
          <w:i/>
          <w:szCs w:val="24"/>
        </w:rPr>
        <w:t xml:space="preserve">est </w:t>
      </w:r>
      <w:r w:rsidR="001A144C">
        <w:rPr>
          <w:rFonts w:cs="Times New Roman"/>
          <w:i/>
          <w:szCs w:val="24"/>
        </w:rPr>
        <w:t>U</w:t>
      </w:r>
      <w:r w:rsidRPr="001A144C">
        <w:rPr>
          <w:rFonts w:cs="Times New Roman"/>
          <w:i/>
          <w:szCs w:val="24"/>
        </w:rPr>
        <w:t>ncertainty</w:t>
      </w:r>
      <w:r w:rsidRPr="002B7746">
        <w:rPr>
          <w:rFonts w:cs="Times New Roman"/>
          <w:szCs w:val="24"/>
        </w:rPr>
        <w:t>. pp. 180-189. I</w:t>
      </w:r>
      <w:r w:rsidR="00671B37">
        <w:rPr>
          <w:rFonts w:cs="Times New Roman"/>
          <w:szCs w:val="24"/>
        </w:rPr>
        <w:t>n</w:t>
      </w:r>
      <w:r w:rsidRPr="002B7746">
        <w:rPr>
          <w:rFonts w:cs="Times New Roman"/>
          <w:szCs w:val="24"/>
        </w:rPr>
        <w:t xml:space="preserve">: </w:t>
      </w:r>
      <w:proofErr w:type="spellStart"/>
      <w:r w:rsidRPr="002B7746">
        <w:rPr>
          <w:rFonts w:cs="Times New Roman"/>
          <w:szCs w:val="24"/>
        </w:rPr>
        <w:t>Grothe</w:t>
      </w:r>
      <w:proofErr w:type="spellEnd"/>
      <w:r w:rsidR="00671B37">
        <w:rPr>
          <w:rFonts w:cs="Times New Roman"/>
          <w:szCs w:val="24"/>
        </w:rPr>
        <w:t>,</w:t>
      </w:r>
      <w:r w:rsidRPr="002B7746">
        <w:rPr>
          <w:rFonts w:cs="Times New Roman"/>
          <w:szCs w:val="24"/>
        </w:rPr>
        <w:t xml:space="preserve"> D</w:t>
      </w:r>
      <w:r w:rsidR="00671B37">
        <w:rPr>
          <w:rFonts w:cs="Times New Roman"/>
          <w:szCs w:val="24"/>
        </w:rPr>
        <w:t>.</w:t>
      </w:r>
      <w:r w:rsidRPr="002B7746">
        <w:rPr>
          <w:rFonts w:cs="Times New Roman"/>
          <w:szCs w:val="24"/>
        </w:rPr>
        <w:t>R</w:t>
      </w:r>
      <w:r w:rsidR="00671B37">
        <w:rPr>
          <w:rFonts w:cs="Times New Roman"/>
          <w:szCs w:val="24"/>
        </w:rPr>
        <w:t>.</w:t>
      </w:r>
      <w:r w:rsidRPr="002B7746">
        <w:rPr>
          <w:rFonts w:cs="Times New Roman"/>
          <w:szCs w:val="24"/>
        </w:rPr>
        <w:t>, Dickson</w:t>
      </w:r>
      <w:r w:rsidR="00671B37">
        <w:rPr>
          <w:rFonts w:cs="Times New Roman"/>
          <w:szCs w:val="24"/>
        </w:rPr>
        <w:t>,</w:t>
      </w:r>
      <w:r w:rsidRPr="002B7746">
        <w:rPr>
          <w:rFonts w:cs="Times New Roman"/>
          <w:szCs w:val="24"/>
        </w:rPr>
        <w:t xml:space="preserve"> K</w:t>
      </w:r>
      <w:r w:rsidR="00671B37">
        <w:rPr>
          <w:rFonts w:cs="Times New Roman"/>
          <w:szCs w:val="24"/>
        </w:rPr>
        <w:t>.</w:t>
      </w:r>
      <w:r w:rsidRPr="002B7746">
        <w:rPr>
          <w:rFonts w:cs="Times New Roman"/>
          <w:szCs w:val="24"/>
        </w:rPr>
        <w:t>L</w:t>
      </w:r>
      <w:r w:rsidR="00671B37">
        <w:rPr>
          <w:rFonts w:cs="Times New Roman"/>
          <w:szCs w:val="24"/>
        </w:rPr>
        <w:t>.</w:t>
      </w:r>
      <w:r w:rsidRPr="002B7746">
        <w:rPr>
          <w:rFonts w:cs="Times New Roman"/>
          <w:szCs w:val="24"/>
        </w:rPr>
        <w:t>, Reed-Judkins</w:t>
      </w:r>
      <w:r w:rsidR="00671B37">
        <w:rPr>
          <w:rFonts w:cs="Times New Roman"/>
          <w:szCs w:val="24"/>
        </w:rPr>
        <w:t>,</w:t>
      </w:r>
      <w:r w:rsidRPr="002B7746">
        <w:rPr>
          <w:rFonts w:cs="Times New Roman"/>
          <w:szCs w:val="24"/>
        </w:rPr>
        <w:t xml:space="preserve"> D</w:t>
      </w:r>
      <w:r w:rsidR="00671B37">
        <w:rPr>
          <w:rFonts w:cs="Times New Roman"/>
          <w:szCs w:val="24"/>
        </w:rPr>
        <w:t>.</w:t>
      </w:r>
      <w:r w:rsidRPr="002B7746">
        <w:rPr>
          <w:rFonts w:cs="Times New Roman"/>
          <w:szCs w:val="24"/>
        </w:rPr>
        <w:t>K</w:t>
      </w:r>
      <w:r w:rsidR="00671B37">
        <w:rPr>
          <w:rFonts w:cs="Times New Roman"/>
          <w:szCs w:val="24"/>
        </w:rPr>
        <w:t>.</w:t>
      </w:r>
      <w:r w:rsidRPr="002B7746">
        <w:rPr>
          <w:rFonts w:cs="Times New Roman"/>
          <w:szCs w:val="24"/>
        </w:rPr>
        <w:t xml:space="preserve"> (eds.). </w:t>
      </w:r>
      <w:r w:rsidRPr="002B7746">
        <w:rPr>
          <w:rFonts w:cs="Times New Roman"/>
          <w:iCs/>
          <w:szCs w:val="24"/>
        </w:rPr>
        <w:t>Whole Effluent Toxicity Testing: An Evaluation of Methods and Prediction of Receiving System Impacts</w:t>
      </w:r>
      <w:r w:rsidRPr="002B7746">
        <w:rPr>
          <w:rFonts w:cs="Times New Roman"/>
          <w:szCs w:val="24"/>
        </w:rPr>
        <w:t>. SETAC Press, Pensacola, FL.</w:t>
      </w:r>
    </w:p>
    <w:p w14:paraId="2CA90FA3" w14:textId="77777777" w:rsidR="0035209E" w:rsidRPr="00584D38" w:rsidRDefault="0035209E" w:rsidP="0035209E"/>
    <w:sectPr w:rsidR="0035209E" w:rsidRPr="00584D38" w:rsidSect="00395A4E">
      <w:footerReference w:type="default" r:id="rId10"/>
      <w:pgSz w:w="12240" w:h="15840"/>
      <w:pgMar w:top="1440" w:right="1440" w:bottom="1440" w:left="1440" w:header="720" w:footer="720" w:gutter="0"/>
      <w:pgNumType w:start="1"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B2808" w14:textId="77777777" w:rsidR="00487563" w:rsidRDefault="00487563">
      <w:r>
        <w:separator/>
      </w:r>
    </w:p>
  </w:endnote>
  <w:endnote w:type="continuationSeparator" w:id="0">
    <w:p w14:paraId="18AA2ECC" w14:textId="77777777" w:rsidR="00487563" w:rsidRDefault="0048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doni Bk BT">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utura Md BT">
    <w:altName w:val="Times New Roman"/>
    <w:charset w:val="00"/>
    <w:family w:val="auto"/>
    <w:pitch w:val="default"/>
  </w:font>
  <w:font w:name="Futura Bk BT">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936C" w14:textId="4CDB9103" w:rsidR="00632002" w:rsidRDefault="00632002">
    <w:pPr>
      <w:pStyle w:val="Footer"/>
    </w:pPr>
    <w:r>
      <w:tab/>
      <w:t>Page E-</w:t>
    </w:r>
    <w:r w:rsidRPr="000010F3">
      <w:rPr>
        <w:rStyle w:val="PageNumber"/>
        <w:sz w:val="18"/>
        <w:szCs w:val="18"/>
      </w:rPr>
      <w:fldChar w:fldCharType="begin"/>
    </w:r>
    <w:r w:rsidRPr="000010F3">
      <w:rPr>
        <w:rStyle w:val="PageNumber"/>
        <w:sz w:val="18"/>
        <w:szCs w:val="18"/>
      </w:rPr>
      <w:instrText xml:space="preserve"> PAGE </w:instrText>
    </w:r>
    <w:r w:rsidRPr="000010F3">
      <w:rPr>
        <w:rStyle w:val="PageNumber"/>
        <w:sz w:val="18"/>
        <w:szCs w:val="18"/>
      </w:rPr>
      <w:fldChar w:fldCharType="separate"/>
    </w:r>
    <w:r w:rsidRPr="000010F3">
      <w:rPr>
        <w:rStyle w:val="PageNumber"/>
        <w:noProof/>
        <w:sz w:val="18"/>
        <w:szCs w:val="18"/>
      </w:rPr>
      <w:t>1</w:t>
    </w:r>
    <w:r w:rsidRPr="000010F3">
      <w:rPr>
        <w:rStyle w:val="PageNumber"/>
        <w:sz w:val="18"/>
        <w:szCs w:val="18"/>
      </w:rPr>
      <w:fldChar w:fldCharType="end"/>
    </w:r>
    <w:r>
      <w:rPr>
        <w:rStyle w:val="PageNumber"/>
        <w:i w:val="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7E59" w14:textId="1E5707F1" w:rsidR="00632002" w:rsidRDefault="00632002">
    <w:pPr>
      <w:pStyle w:val="Footer"/>
    </w:pPr>
    <w:r>
      <w:tab/>
      <w:t xml:space="preserve">Page </w:t>
    </w:r>
    <w:r w:rsidRPr="000010F3">
      <w:rPr>
        <w:rStyle w:val="PageNumber"/>
        <w:sz w:val="18"/>
        <w:szCs w:val="18"/>
      </w:rPr>
      <w:fldChar w:fldCharType="begin"/>
    </w:r>
    <w:r w:rsidRPr="000010F3">
      <w:rPr>
        <w:rStyle w:val="PageNumber"/>
        <w:sz w:val="18"/>
        <w:szCs w:val="18"/>
      </w:rPr>
      <w:instrText xml:space="preserve"> PAGE </w:instrText>
    </w:r>
    <w:r w:rsidRPr="000010F3">
      <w:rPr>
        <w:rStyle w:val="PageNumber"/>
        <w:sz w:val="18"/>
        <w:szCs w:val="18"/>
      </w:rPr>
      <w:fldChar w:fldCharType="separate"/>
    </w:r>
    <w:r w:rsidRPr="000010F3">
      <w:rPr>
        <w:rStyle w:val="PageNumber"/>
        <w:noProof/>
        <w:sz w:val="18"/>
        <w:szCs w:val="18"/>
      </w:rPr>
      <w:t>1</w:t>
    </w:r>
    <w:r w:rsidRPr="000010F3">
      <w:rPr>
        <w:rStyle w:val="PageNumber"/>
        <w:sz w:val="18"/>
        <w:szCs w:val="18"/>
      </w:rPr>
      <w:fldChar w:fldCharType="end"/>
    </w:r>
    <w:r>
      <w:rPr>
        <w:rStyle w:val="PageNumber"/>
        <w:i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D462A" w14:textId="77777777" w:rsidR="00487563" w:rsidRDefault="00487563">
      <w:r>
        <w:separator/>
      </w:r>
    </w:p>
  </w:footnote>
  <w:footnote w:type="continuationSeparator" w:id="0">
    <w:p w14:paraId="7431F4A6" w14:textId="77777777" w:rsidR="00487563" w:rsidRDefault="00487563">
      <w:r>
        <w:continuationSeparator/>
      </w:r>
    </w:p>
  </w:footnote>
  <w:footnote w:id="1">
    <w:p w14:paraId="139C1642" w14:textId="6F15A19F" w:rsidR="00632002" w:rsidRDefault="00632002">
      <w:pPr>
        <w:pStyle w:val="FootnoteText"/>
      </w:pPr>
      <w:r>
        <w:rPr>
          <w:rStyle w:val="FootnoteReference"/>
        </w:rPr>
        <w:footnoteRef/>
      </w:r>
      <w:r>
        <w:t xml:space="preserve"> </w:t>
      </w:r>
      <w:r>
        <w:rPr>
          <w:rFonts w:cs="Times New Roman"/>
        </w:rPr>
        <w:t>CVCWA, 2018</w:t>
      </w:r>
      <w:r w:rsidRPr="00A300C3">
        <w:rPr>
          <w:rFonts w:cs="Times New Roman"/>
        </w:rPr>
        <w:t xml:space="preserve">. </w:t>
      </w:r>
      <w:r w:rsidRPr="00254A91">
        <w:rPr>
          <w:rFonts w:cs="Times New Roman"/>
          <w:i/>
        </w:rPr>
        <w:t>Toxicity Special Study: Phase I Study Report</w:t>
      </w:r>
      <w:r w:rsidRPr="00AA66B7">
        <w:rPr>
          <w:rFonts w:cs="Times New Roman"/>
        </w:rPr>
        <w:t>. Preliminary Draft. October.</w:t>
      </w:r>
    </w:p>
  </w:footnote>
  <w:footnote w:id="2">
    <w:p w14:paraId="56E2FEB9" w14:textId="4B8DB1D8" w:rsidR="00632002" w:rsidRDefault="00632002">
      <w:pPr>
        <w:pStyle w:val="FootnoteText"/>
      </w:pPr>
      <w:r>
        <w:rPr>
          <w:rStyle w:val="FootnoteReference"/>
        </w:rPr>
        <w:footnoteRef/>
      </w:r>
      <w:r>
        <w:t xml:space="preserve"> Ethylenediamine tetraacetic acid.</w:t>
      </w:r>
    </w:p>
  </w:footnote>
  <w:footnote w:id="3">
    <w:p w14:paraId="35BDB7B2" w14:textId="58435B9D" w:rsidR="00632002" w:rsidRDefault="00632002">
      <w:pPr>
        <w:pStyle w:val="FootnoteText"/>
      </w:pPr>
      <w:r>
        <w:rPr>
          <w:rStyle w:val="FootnoteReference"/>
        </w:rPr>
        <w:footnoteRef/>
      </w:r>
      <w:r>
        <w:t xml:space="preserve"> USEPA, 2011. </w:t>
      </w:r>
      <w:r w:rsidRPr="00E6684F">
        <w:rPr>
          <w:rFonts w:cs="Times New Roman"/>
          <w:i/>
          <w:szCs w:val="24"/>
        </w:rPr>
        <w:t>Whole Effluent Toxicity Test Drive Analysis of the Test of Significant Toxicity (TST)</w:t>
      </w:r>
      <w:r>
        <w:rPr>
          <w:rFonts w:cs="Times New Roman"/>
          <w:szCs w:val="24"/>
        </w:rPr>
        <w:t>. USEPA, Region 9. July.</w:t>
      </w:r>
    </w:p>
  </w:footnote>
  <w:footnote w:id="4">
    <w:p w14:paraId="02C377C8" w14:textId="77777777" w:rsidR="00632002" w:rsidRPr="00A300C3" w:rsidRDefault="00632002" w:rsidP="00A02F80">
      <w:pPr>
        <w:pStyle w:val="FootnoteText"/>
        <w:spacing w:before="120"/>
        <w:rPr>
          <w:rFonts w:cs="Times New Roman"/>
          <w:szCs w:val="20"/>
        </w:rPr>
      </w:pPr>
      <w:r w:rsidRPr="00A300C3">
        <w:rPr>
          <w:rStyle w:val="FootnoteReference"/>
          <w:rFonts w:cs="Times New Roman"/>
          <w:szCs w:val="20"/>
        </w:rPr>
        <w:footnoteRef/>
      </w:r>
      <w:r w:rsidRPr="00A300C3">
        <w:rPr>
          <w:rFonts w:cs="Times New Roman"/>
          <w:szCs w:val="20"/>
        </w:rPr>
        <w:t xml:space="preserve"> The term “blind” refers to the fact that the laboratories were not aware that the sample water was pure, clean water, thereby removing the possibility of laboratory staff unconsciously or unintentionally performing the analysis in a manner different from any other sample. </w:t>
      </w:r>
    </w:p>
  </w:footnote>
  <w:footnote w:id="5">
    <w:p w14:paraId="39CFC420" w14:textId="77777777" w:rsidR="00632002" w:rsidRPr="00A300C3" w:rsidRDefault="00632002" w:rsidP="00A02F80">
      <w:pPr>
        <w:pStyle w:val="FootnoteText"/>
        <w:spacing w:before="120"/>
        <w:rPr>
          <w:rFonts w:cs="Times New Roman"/>
          <w:szCs w:val="20"/>
        </w:rPr>
      </w:pPr>
      <w:r w:rsidRPr="00A300C3">
        <w:rPr>
          <w:rStyle w:val="FootnoteReference"/>
          <w:rFonts w:cs="Times New Roman"/>
          <w:szCs w:val="20"/>
        </w:rPr>
        <w:footnoteRef/>
      </w:r>
      <w:r w:rsidRPr="00A300C3">
        <w:rPr>
          <w:rFonts w:cs="Times New Roman"/>
          <w:szCs w:val="20"/>
        </w:rPr>
        <w:t xml:space="preserve"> The term “blank” refers to water that is supposedly clean and pure, without chemicals that could cause toxicity. A blank sample is expected to show no toxicity. </w:t>
      </w:r>
    </w:p>
  </w:footnote>
  <w:footnote w:id="6">
    <w:p w14:paraId="2D901277" w14:textId="72ADB018" w:rsidR="00632002" w:rsidRPr="00A300C3" w:rsidRDefault="00632002" w:rsidP="00A02F80">
      <w:pPr>
        <w:pStyle w:val="FootnoteText"/>
        <w:spacing w:before="120"/>
        <w:rPr>
          <w:rFonts w:cs="Times New Roman"/>
          <w:szCs w:val="20"/>
        </w:rPr>
      </w:pPr>
      <w:r w:rsidRPr="00A300C3">
        <w:rPr>
          <w:rStyle w:val="FootnoteReference"/>
          <w:rFonts w:cs="Times New Roman"/>
          <w:szCs w:val="20"/>
        </w:rPr>
        <w:footnoteRef/>
      </w:r>
      <w:r w:rsidRPr="00A300C3">
        <w:rPr>
          <w:rFonts w:cs="Times New Roman"/>
          <w:szCs w:val="20"/>
        </w:rPr>
        <w:t xml:space="preserve"> U.S. EPA, 2001. </w:t>
      </w:r>
    </w:p>
  </w:footnote>
  <w:footnote w:id="7">
    <w:p w14:paraId="0B21340E" w14:textId="72D67319" w:rsidR="00632002" w:rsidRPr="00A300C3" w:rsidRDefault="00632002" w:rsidP="00A02F80">
      <w:pPr>
        <w:pStyle w:val="FootnoteText"/>
        <w:spacing w:before="120"/>
        <w:rPr>
          <w:rFonts w:cs="Times New Roman"/>
          <w:szCs w:val="20"/>
        </w:rPr>
      </w:pPr>
      <w:r w:rsidRPr="00A300C3">
        <w:rPr>
          <w:rStyle w:val="FootnoteReference"/>
          <w:rFonts w:cs="Times New Roman"/>
          <w:szCs w:val="20"/>
        </w:rPr>
        <w:footnoteRef/>
      </w:r>
      <w:r w:rsidRPr="00A300C3">
        <w:rPr>
          <w:rFonts w:cs="Times New Roman"/>
          <w:szCs w:val="20"/>
        </w:rPr>
        <w:t xml:space="preserve"> </w:t>
      </w:r>
      <w:r>
        <w:rPr>
          <w:rFonts w:cs="Times New Roman"/>
          <w:szCs w:val="20"/>
        </w:rPr>
        <w:t xml:space="preserve">Schiff, K.C., Greenstein, D., 2016. </w:t>
      </w:r>
    </w:p>
  </w:footnote>
  <w:footnote w:id="8">
    <w:p w14:paraId="13D6A1E1" w14:textId="7A6EC8D8" w:rsidR="00632002" w:rsidRPr="00A300C3" w:rsidRDefault="00632002" w:rsidP="00A02F80">
      <w:pPr>
        <w:pStyle w:val="FootnoteText"/>
        <w:spacing w:before="120"/>
        <w:rPr>
          <w:rFonts w:cs="Times New Roman"/>
          <w:szCs w:val="20"/>
        </w:rPr>
      </w:pPr>
      <w:r w:rsidRPr="00A300C3">
        <w:rPr>
          <w:rStyle w:val="FootnoteReference"/>
          <w:rFonts w:cs="Times New Roman"/>
          <w:szCs w:val="20"/>
        </w:rPr>
        <w:footnoteRef/>
      </w:r>
      <w:r w:rsidRPr="00A300C3">
        <w:rPr>
          <w:rFonts w:cs="Times New Roman"/>
          <w:szCs w:val="20"/>
        </w:rPr>
        <w:t xml:space="preserve"> </w:t>
      </w:r>
      <w:r w:rsidRPr="00A300C3">
        <w:rPr>
          <w:rFonts w:cs="Times New Roman"/>
          <w:color w:val="222222"/>
          <w:szCs w:val="20"/>
        </w:rPr>
        <w:t xml:space="preserve">Moore, </w:t>
      </w:r>
      <w:r>
        <w:rPr>
          <w:rFonts w:cs="Times New Roman"/>
          <w:color w:val="222222"/>
          <w:szCs w:val="20"/>
        </w:rPr>
        <w:t>T.</w:t>
      </w:r>
      <w:r w:rsidRPr="00A300C3">
        <w:rPr>
          <w:rFonts w:cs="Times New Roman"/>
          <w:color w:val="222222"/>
          <w:szCs w:val="20"/>
        </w:rPr>
        <w:t xml:space="preserve">F., </w:t>
      </w:r>
      <w:r>
        <w:rPr>
          <w:rFonts w:cs="Times New Roman"/>
          <w:color w:val="222222"/>
          <w:szCs w:val="20"/>
        </w:rPr>
        <w:t>Canton, S.P</w:t>
      </w:r>
      <w:r w:rsidRPr="00A300C3">
        <w:rPr>
          <w:rFonts w:cs="Times New Roman"/>
          <w:color w:val="222222"/>
          <w:szCs w:val="20"/>
        </w:rPr>
        <w:t>, and</w:t>
      </w:r>
      <w:r>
        <w:rPr>
          <w:rFonts w:cs="Times New Roman"/>
          <w:color w:val="222222"/>
          <w:szCs w:val="20"/>
        </w:rPr>
        <w:t xml:space="preserve"> Grimes, M</w:t>
      </w:r>
      <w:r w:rsidRPr="00A300C3">
        <w:rPr>
          <w:rFonts w:cs="Times New Roman"/>
          <w:color w:val="222222"/>
          <w:szCs w:val="20"/>
        </w:rPr>
        <w:t>.</w:t>
      </w:r>
      <w:r>
        <w:rPr>
          <w:rFonts w:cs="Times New Roman"/>
          <w:color w:val="222222"/>
          <w:szCs w:val="20"/>
        </w:rPr>
        <w:t>, 2000.</w:t>
      </w:r>
    </w:p>
  </w:footnote>
  <w:footnote w:id="9">
    <w:p w14:paraId="3391C6AC" w14:textId="77777777" w:rsidR="00632002" w:rsidRPr="00A300C3" w:rsidRDefault="00632002" w:rsidP="00A02F80">
      <w:pPr>
        <w:pStyle w:val="FootnoteText"/>
        <w:spacing w:before="120"/>
        <w:rPr>
          <w:rFonts w:cs="Times New Roman"/>
        </w:rPr>
      </w:pPr>
      <w:r w:rsidRPr="00A300C3">
        <w:rPr>
          <w:rStyle w:val="FootnoteReference"/>
          <w:rFonts w:cs="Times New Roman"/>
        </w:rPr>
        <w:footnoteRef/>
      </w:r>
      <w:r w:rsidRPr="00A300C3">
        <w:rPr>
          <w:rFonts w:cs="Times New Roman"/>
        </w:rPr>
        <w:t xml:space="preserve"> Denton, Debra L., Jerry Diamon, and Lei Zheng. “Test of significant toxicity: A statistical application for assessing whether an effluent or site water is truly toxic.” </w:t>
      </w:r>
      <w:r w:rsidRPr="00A300C3">
        <w:rPr>
          <w:rFonts w:cs="Times New Roman"/>
          <w:i/>
        </w:rPr>
        <w:t>Environmental Toxicology and Chemistry</w:t>
      </w:r>
      <w:r w:rsidRPr="00A300C3">
        <w:rPr>
          <w:rFonts w:cs="Times New Roman"/>
        </w:rPr>
        <w:t xml:space="preserve"> 30.5 (2011): 1117-1126</w:t>
      </w:r>
    </w:p>
  </w:footnote>
  <w:footnote w:id="10">
    <w:p w14:paraId="085BF0A9" w14:textId="0A6C490F" w:rsidR="00632002" w:rsidRPr="00816475" w:rsidRDefault="00632002" w:rsidP="00A02F80">
      <w:pPr>
        <w:pStyle w:val="FootnoteText"/>
        <w:spacing w:before="120"/>
        <w:rPr>
          <w:rFonts w:cs="Times New Roman"/>
        </w:rPr>
      </w:pPr>
      <w:r w:rsidRPr="00816475">
        <w:rPr>
          <w:rStyle w:val="FootnoteReference"/>
          <w:rFonts w:cs="Times New Roman"/>
        </w:rPr>
        <w:footnoteRef/>
      </w:r>
      <w:r w:rsidRPr="00816475">
        <w:rPr>
          <w:rFonts w:cs="Times New Roman"/>
        </w:rPr>
        <w:t xml:space="preserve"> </w:t>
      </w:r>
      <w:r>
        <w:rPr>
          <w:rFonts w:cs="Times New Roman"/>
        </w:rPr>
        <w:t xml:space="preserve">USEPA, 2000. </w:t>
      </w:r>
      <w:r w:rsidRPr="00967BE3">
        <w:rPr>
          <w:rFonts w:cs="Times New Roman"/>
          <w:i/>
        </w:rPr>
        <w:t>Understanding and Accounting for Method Variability in Whole Effluent Toxicity Applications Under the National Pollutant Discharge Elimination System Program</w:t>
      </w:r>
      <w:r w:rsidRPr="002424A1">
        <w:rPr>
          <w:rFonts w:cs="Times New Roman"/>
        </w:rPr>
        <w:t xml:space="preserve"> (EPA 833-R000-003</w:t>
      </w:r>
      <w:r>
        <w:rPr>
          <w:rFonts w:cs="Times New Roman"/>
        </w:rPr>
        <w:t>)</w:t>
      </w:r>
      <w:r w:rsidRPr="002424A1">
        <w:rPr>
          <w:rFonts w:cs="Times New Roman"/>
        </w:rPr>
        <w:t>, June</w:t>
      </w:r>
      <w:r w:rsidRPr="003749C9">
        <w:rPr>
          <w:rFonts w:cs="Times New Roman"/>
        </w:rPr>
        <w:t>.</w:t>
      </w:r>
    </w:p>
  </w:footnote>
  <w:footnote w:id="11">
    <w:p w14:paraId="4A2C282F" w14:textId="77777777" w:rsidR="00632002" w:rsidRPr="00816475" w:rsidRDefault="00632002" w:rsidP="00A02F80">
      <w:pPr>
        <w:pStyle w:val="FootnoteText"/>
        <w:spacing w:before="120"/>
        <w:rPr>
          <w:rFonts w:cs="Times New Roman"/>
        </w:rPr>
      </w:pPr>
      <w:r w:rsidRPr="00816475">
        <w:rPr>
          <w:rStyle w:val="FootnoteReference"/>
          <w:rFonts w:cs="Times New Roman"/>
        </w:rPr>
        <w:footnoteRef/>
      </w:r>
      <w:r w:rsidRPr="00816475">
        <w:rPr>
          <w:rFonts w:cs="Times New Roman"/>
        </w:rPr>
        <w:t xml:space="preserve"> Cohen, Jacob. </w:t>
      </w:r>
      <w:r w:rsidRPr="00FD4639">
        <w:rPr>
          <w:rFonts w:cs="Times New Roman"/>
          <w:i/>
        </w:rPr>
        <w:t>Statistical Power Analysis for the Behavioral Sciences</w:t>
      </w:r>
      <w:r w:rsidRPr="00816475">
        <w:rPr>
          <w:rFonts w:cs="Times New Roman"/>
        </w:rPr>
        <w:t xml:space="preserve">, Second Edition. 1988. </w:t>
      </w:r>
      <w:hyperlink r:id="rId1" w:history="1">
        <w:r w:rsidRPr="00816475">
          <w:rPr>
            <w:rStyle w:val="Hyperlink"/>
            <w:rFonts w:cs="Times New Roman"/>
          </w:rPr>
          <w:t>http://www.utstat.toronto.edu/~brunner/oldclass/378f16/readings/CohenPower.pdf</w:t>
        </w:r>
      </w:hyperlink>
      <w:r w:rsidRPr="00816475">
        <w:rPr>
          <w:rFonts w:cs="Times New Roman"/>
          <w:szCs w:val="24"/>
        </w:rPr>
        <w:t xml:space="preserve"> </w:t>
      </w:r>
      <w:hyperlink r:id="rId2" w:history="1">
        <w:r w:rsidRPr="00816475">
          <w:rPr>
            <w:rStyle w:val="Hyperlink"/>
            <w:rFonts w:cs="Times New Roman"/>
          </w:rPr>
          <w:t>https://effectsizefaq.com/category/type-ii-error/</w:t>
        </w:r>
      </w:hyperlink>
      <w:r w:rsidRPr="00816475">
        <w:rPr>
          <w:rFonts w:cs="Times New Roman"/>
          <w:szCs w:val="24"/>
        </w:rPr>
        <w:t xml:space="preserve">  </w:t>
      </w:r>
    </w:p>
  </w:footnote>
  <w:footnote w:id="12">
    <w:p w14:paraId="1B0E7409" w14:textId="77777777" w:rsidR="00632002" w:rsidRPr="00816475" w:rsidRDefault="00632002" w:rsidP="00A02F80">
      <w:pPr>
        <w:pStyle w:val="FootnoteText"/>
        <w:spacing w:before="120"/>
        <w:rPr>
          <w:rFonts w:cs="Times New Roman"/>
        </w:rPr>
      </w:pPr>
      <w:r w:rsidRPr="00816475">
        <w:rPr>
          <w:rStyle w:val="FootnoteReference"/>
          <w:rFonts w:cs="Times New Roman"/>
        </w:rPr>
        <w:footnoteRef/>
      </w:r>
      <w:r w:rsidRPr="00816475">
        <w:rPr>
          <w:rFonts w:cs="Times New Roman"/>
        </w:rPr>
        <w:t xml:space="preserve"> As noted above, t</w:t>
      </w:r>
      <w:r w:rsidRPr="00816475">
        <w:rPr>
          <w:rFonts w:cs="Times New Roman"/>
          <w:szCs w:val="24"/>
        </w:rPr>
        <w:t>he maximum acceptable fail rate for toxicity tests is 5% (1 in 20 samples). To show 80% confidence in the differences between a theoretical dataset with this fail rate and an “ideal” all-passing dataset, when the failures are set to the smallest possible values (2 TUc for NOEC and TST and 1.01 TUc for IC25), 159 samples are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1A46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FFAC9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E06A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706C7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1A447D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C218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03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8CA2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A8C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6A5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373ED"/>
    <w:multiLevelType w:val="hybridMultilevel"/>
    <w:tmpl w:val="274257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1724DC"/>
    <w:multiLevelType w:val="hybridMultilevel"/>
    <w:tmpl w:val="306C1150"/>
    <w:lvl w:ilvl="0" w:tplc="2A6A7476">
      <w:start w:val="1"/>
      <w:numFmt w:val="lowerLetter"/>
      <w:lvlText w:val="%1."/>
      <w:lvlJc w:val="left"/>
      <w:pPr>
        <w:ind w:left="1490" w:hanging="360"/>
      </w:pPr>
      <w:rPr>
        <w:rFonts w:hint="default"/>
      </w:rPr>
    </w:lvl>
    <w:lvl w:ilvl="1" w:tplc="04090019">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2" w15:restartNumberingAfterBreak="0">
    <w:nsid w:val="0C276B1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402857"/>
    <w:multiLevelType w:val="hybridMultilevel"/>
    <w:tmpl w:val="8C22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03FC5"/>
    <w:multiLevelType w:val="hybridMultilevel"/>
    <w:tmpl w:val="1ECCDD30"/>
    <w:lvl w:ilvl="0" w:tplc="0B201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34FBE"/>
    <w:multiLevelType w:val="hybridMultilevel"/>
    <w:tmpl w:val="B19C1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95104"/>
    <w:multiLevelType w:val="hybridMultilevel"/>
    <w:tmpl w:val="A83C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32955"/>
    <w:multiLevelType w:val="hybridMultilevel"/>
    <w:tmpl w:val="D48A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52708"/>
    <w:multiLevelType w:val="hybridMultilevel"/>
    <w:tmpl w:val="333CD31A"/>
    <w:lvl w:ilvl="0" w:tplc="41D26324">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793305"/>
    <w:multiLevelType w:val="multilevel"/>
    <w:tmpl w:val="85B844C0"/>
    <w:lvl w:ilvl="0">
      <w:start w:val="1"/>
      <w:numFmt w:val="decimal"/>
      <w:suff w:val="space"/>
      <w:lvlText w:val="Sec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C373916"/>
    <w:multiLevelType w:val="hybridMultilevel"/>
    <w:tmpl w:val="674C2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73F96"/>
    <w:multiLevelType w:val="multilevel"/>
    <w:tmpl w:val="85B844C0"/>
    <w:lvl w:ilvl="0">
      <w:start w:val="1"/>
      <w:numFmt w:val="decimal"/>
      <w:suff w:val="space"/>
      <w:lvlText w:val="Sec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2015871"/>
    <w:multiLevelType w:val="hybridMultilevel"/>
    <w:tmpl w:val="5B40265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E2151"/>
    <w:multiLevelType w:val="hybridMultilevel"/>
    <w:tmpl w:val="B19C1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73710"/>
    <w:multiLevelType w:val="hybridMultilevel"/>
    <w:tmpl w:val="36DC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B1D7B"/>
    <w:multiLevelType w:val="multilevel"/>
    <w:tmpl w:val="4F0AC790"/>
    <w:lvl w:ilvl="0">
      <w:start w:val="1"/>
      <w:numFmt w:val="decimal"/>
      <w:suff w:val="space"/>
      <w:lvlText w:val="Sec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0BA192F"/>
    <w:multiLevelType w:val="hybridMultilevel"/>
    <w:tmpl w:val="D9DE970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F10AA4"/>
    <w:multiLevelType w:val="hybridMultilevel"/>
    <w:tmpl w:val="C39A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B6038"/>
    <w:multiLevelType w:val="hybridMultilevel"/>
    <w:tmpl w:val="001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52DCF"/>
    <w:multiLevelType w:val="hybridMultilevel"/>
    <w:tmpl w:val="1ECCDD30"/>
    <w:lvl w:ilvl="0" w:tplc="0B201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4B19BB"/>
    <w:multiLevelType w:val="hybridMultilevel"/>
    <w:tmpl w:val="BB2889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FC721B"/>
    <w:multiLevelType w:val="hybridMultilevel"/>
    <w:tmpl w:val="A4D0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F102B"/>
    <w:multiLevelType w:val="hybridMultilevel"/>
    <w:tmpl w:val="E8C4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0626E"/>
    <w:multiLevelType w:val="multilevel"/>
    <w:tmpl w:val="85B844C0"/>
    <w:lvl w:ilvl="0">
      <w:start w:val="1"/>
      <w:numFmt w:val="decimal"/>
      <w:suff w:val="space"/>
      <w:lvlText w:val="Section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4" w15:restartNumberingAfterBreak="0">
    <w:nsid w:val="761010F8"/>
    <w:multiLevelType w:val="hybridMultilevel"/>
    <w:tmpl w:val="41362E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21"/>
  </w:num>
  <w:num w:numId="4">
    <w:abstractNumId w:val="12"/>
  </w:num>
  <w:num w:numId="5">
    <w:abstractNumId w:val="23"/>
  </w:num>
  <w:num w:numId="6">
    <w:abstractNumId w:val="11"/>
  </w:num>
  <w:num w:numId="7">
    <w:abstractNumId w:val="15"/>
  </w:num>
  <w:num w:numId="8">
    <w:abstractNumId w:val="26"/>
  </w:num>
  <w:num w:numId="9">
    <w:abstractNumId w:val="10"/>
  </w:num>
  <w:num w:numId="10">
    <w:abstractNumId w:val="17"/>
  </w:num>
  <w:num w:numId="11">
    <w:abstractNumId w:val="20"/>
  </w:num>
  <w:num w:numId="12">
    <w:abstractNumId w:val="18"/>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32"/>
  </w:num>
  <w:num w:numId="26">
    <w:abstractNumId w:val="29"/>
  </w:num>
  <w:num w:numId="27">
    <w:abstractNumId w:val="14"/>
  </w:num>
  <w:num w:numId="28">
    <w:abstractNumId w:val="24"/>
  </w:num>
  <w:num w:numId="29">
    <w:abstractNumId w:val="16"/>
  </w:num>
  <w:num w:numId="30">
    <w:abstractNumId w:val="34"/>
  </w:num>
  <w:num w:numId="31">
    <w:abstractNumId w:val="31"/>
  </w:num>
  <w:num w:numId="32">
    <w:abstractNumId w:val="22"/>
  </w:num>
  <w:num w:numId="33">
    <w:abstractNumId w:val="30"/>
  </w:num>
  <w:num w:numId="34">
    <w:abstractNumId w:val="25"/>
  </w:num>
  <w:num w:numId="35">
    <w:abstractNumId w:val="33"/>
  </w:num>
  <w:num w:numId="36">
    <w:abstractNumId w:val="3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proofState w:spelling="clean" w:grammar="clean"/>
  <w:attachedTemplate r:id="rId1"/>
  <w:linkStyles/>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51"/>
    <w:rsid w:val="000010F3"/>
    <w:rsid w:val="00004795"/>
    <w:rsid w:val="00077980"/>
    <w:rsid w:val="00100E0C"/>
    <w:rsid w:val="00102FAD"/>
    <w:rsid w:val="0011069A"/>
    <w:rsid w:val="00112D21"/>
    <w:rsid w:val="00132C6B"/>
    <w:rsid w:val="00154A5E"/>
    <w:rsid w:val="00156FCF"/>
    <w:rsid w:val="00162041"/>
    <w:rsid w:val="00165431"/>
    <w:rsid w:val="001A144C"/>
    <w:rsid w:val="001C3E51"/>
    <w:rsid w:val="001C752F"/>
    <w:rsid w:val="002044F1"/>
    <w:rsid w:val="002424A1"/>
    <w:rsid w:val="00254A91"/>
    <w:rsid w:val="0027541F"/>
    <w:rsid w:val="00297060"/>
    <w:rsid w:val="002A6306"/>
    <w:rsid w:val="002B34E8"/>
    <w:rsid w:val="002B7746"/>
    <w:rsid w:val="00301E77"/>
    <w:rsid w:val="00302E18"/>
    <w:rsid w:val="00345B95"/>
    <w:rsid w:val="0035209E"/>
    <w:rsid w:val="00370039"/>
    <w:rsid w:val="003749C9"/>
    <w:rsid w:val="00395A4E"/>
    <w:rsid w:val="003A0E4E"/>
    <w:rsid w:val="003B6E1C"/>
    <w:rsid w:val="003F25C3"/>
    <w:rsid w:val="00442230"/>
    <w:rsid w:val="00450C7A"/>
    <w:rsid w:val="00451AF6"/>
    <w:rsid w:val="00487563"/>
    <w:rsid w:val="004F24E2"/>
    <w:rsid w:val="00506C86"/>
    <w:rsid w:val="00510E32"/>
    <w:rsid w:val="00540297"/>
    <w:rsid w:val="00541C93"/>
    <w:rsid w:val="00551414"/>
    <w:rsid w:val="0055648E"/>
    <w:rsid w:val="005700B9"/>
    <w:rsid w:val="0057011F"/>
    <w:rsid w:val="005955D5"/>
    <w:rsid w:val="005C75D4"/>
    <w:rsid w:val="00632002"/>
    <w:rsid w:val="00634388"/>
    <w:rsid w:val="00636249"/>
    <w:rsid w:val="00636DEF"/>
    <w:rsid w:val="006504FF"/>
    <w:rsid w:val="00671B37"/>
    <w:rsid w:val="00684660"/>
    <w:rsid w:val="00691885"/>
    <w:rsid w:val="00696263"/>
    <w:rsid w:val="006C0C51"/>
    <w:rsid w:val="006C74EE"/>
    <w:rsid w:val="006E0152"/>
    <w:rsid w:val="006E5960"/>
    <w:rsid w:val="006F0139"/>
    <w:rsid w:val="006F555E"/>
    <w:rsid w:val="006F747C"/>
    <w:rsid w:val="007141A7"/>
    <w:rsid w:val="00716420"/>
    <w:rsid w:val="00717F51"/>
    <w:rsid w:val="00744CF4"/>
    <w:rsid w:val="00752B34"/>
    <w:rsid w:val="007843D2"/>
    <w:rsid w:val="00785C88"/>
    <w:rsid w:val="007921BE"/>
    <w:rsid w:val="007B2A10"/>
    <w:rsid w:val="007E5B24"/>
    <w:rsid w:val="00816475"/>
    <w:rsid w:val="00817A06"/>
    <w:rsid w:val="008516CD"/>
    <w:rsid w:val="008579F6"/>
    <w:rsid w:val="008D5B2E"/>
    <w:rsid w:val="008F4D09"/>
    <w:rsid w:val="008F556A"/>
    <w:rsid w:val="00967BE3"/>
    <w:rsid w:val="00982C01"/>
    <w:rsid w:val="009915DC"/>
    <w:rsid w:val="009C46A8"/>
    <w:rsid w:val="009C6D8F"/>
    <w:rsid w:val="009F20F9"/>
    <w:rsid w:val="009F6874"/>
    <w:rsid w:val="00A02F80"/>
    <w:rsid w:val="00A300C3"/>
    <w:rsid w:val="00A4072E"/>
    <w:rsid w:val="00A43F3A"/>
    <w:rsid w:val="00A6331B"/>
    <w:rsid w:val="00A77F4D"/>
    <w:rsid w:val="00A94F30"/>
    <w:rsid w:val="00A9704C"/>
    <w:rsid w:val="00AA66B7"/>
    <w:rsid w:val="00AD1E21"/>
    <w:rsid w:val="00AD7D7A"/>
    <w:rsid w:val="00AF3D2E"/>
    <w:rsid w:val="00AF3F60"/>
    <w:rsid w:val="00AF4797"/>
    <w:rsid w:val="00B00D1E"/>
    <w:rsid w:val="00B34A4C"/>
    <w:rsid w:val="00B53909"/>
    <w:rsid w:val="00B92797"/>
    <w:rsid w:val="00BA2CD3"/>
    <w:rsid w:val="00BF5B57"/>
    <w:rsid w:val="00C65EE4"/>
    <w:rsid w:val="00C7071A"/>
    <w:rsid w:val="00CA719F"/>
    <w:rsid w:val="00CE5B44"/>
    <w:rsid w:val="00D14D94"/>
    <w:rsid w:val="00D3739A"/>
    <w:rsid w:val="00D85251"/>
    <w:rsid w:val="00D87A89"/>
    <w:rsid w:val="00DC105F"/>
    <w:rsid w:val="00DD0E5D"/>
    <w:rsid w:val="00DE1D10"/>
    <w:rsid w:val="00E50E2C"/>
    <w:rsid w:val="00E6684F"/>
    <w:rsid w:val="00EA087D"/>
    <w:rsid w:val="00EB7A5C"/>
    <w:rsid w:val="00EE0DD6"/>
    <w:rsid w:val="00EF11F0"/>
    <w:rsid w:val="00F113BF"/>
    <w:rsid w:val="00F22715"/>
    <w:rsid w:val="00F53FC9"/>
    <w:rsid w:val="00F87AD8"/>
    <w:rsid w:val="00F91B87"/>
    <w:rsid w:val="00FA007D"/>
    <w:rsid w:val="00FA2F82"/>
    <w:rsid w:val="00FA6CC1"/>
    <w:rsid w:val="00FA728F"/>
    <w:rsid w:val="00FB4EF5"/>
    <w:rsid w:val="00FD4639"/>
    <w:rsid w:val="00FF6D3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C5FF"/>
  <w15:docId w15:val="{F9ABA865-90D8-4956-AEC6-0F399808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752F"/>
    <w:pPr>
      <w:spacing w:after="120"/>
    </w:pPr>
    <w:rPr>
      <w:rFonts w:eastAsiaTheme="minorHAnsi" w:cstheme="minorBidi"/>
      <w:sz w:val="24"/>
      <w:szCs w:val="22"/>
    </w:rPr>
  </w:style>
  <w:style w:type="paragraph" w:styleId="Heading1">
    <w:name w:val="heading 1"/>
    <w:basedOn w:val="Normal"/>
    <w:next w:val="Normal"/>
    <w:link w:val="Heading1Char"/>
    <w:qFormat/>
    <w:rsid w:val="001C752F"/>
    <w:pPr>
      <w:keepNext/>
      <w:pBdr>
        <w:bottom w:val="single" w:sz="8" w:space="1" w:color="auto"/>
      </w:pBdr>
      <w:outlineLvl w:val="0"/>
    </w:pPr>
    <w:rPr>
      <w:rFonts w:ascii="Arial Black" w:hAnsi="Arial Black"/>
      <w:sz w:val="32"/>
    </w:rPr>
  </w:style>
  <w:style w:type="paragraph" w:styleId="Heading2">
    <w:name w:val="heading 2"/>
    <w:basedOn w:val="Normal"/>
    <w:next w:val="Normal"/>
    <w:link w:val="Heading2Char"/>
    <w:qFormat/>
    <w:rsid w:val="001C752F"/>
    <w:pPr>
      <w:keepNext/>
      <w:numPr>
        <w:ilvl w:val="1"/>
        <w:numId w:val="1"/>
      </w:numPr>
      <w:spacing w:before="240"/>
      <w:outlineLvl w:val="1"/>
    </w:pPr>
    <w:rPr>
      <w:rFonts w:ascii="Arial" w:hAnsi="Arial"/>
      <w:b/>
      <w:caps/>
    </w:rPr>
  </w:style>
  <w:style w:type="paragraph" w:styleId="Heading3">
    <w:name w:val="heading 3"/>
    <w:basedOn w:val="Normal"/>
    <w:next w:val="Normal"/>
    <w:link w:val="Heading3Char"/>
    <w:qFormat/>
    <w:rsid w:val="001C752F"/>
    <w:pPr>
      <w:keepNext/>
      <w:numPr>
        <w:ilvl w:val="2"/>
        <w:numId w:val="1"/>
      </w:numPr>
      <w:spacing w:before="240"/>
      <w:outlineLvl w:val="2"/>
    </w:pPr>
    <w:rPr>
      <w:rFonts w:ascii="Arial" w:hAnsi="Arial"/>
      <w:b/>
    </w:rPr>
  </w:style>
  <w:style w:type="paragraph" w:styleId="Heading4">
    <w:name w:val="heading 4"/>
    <w:basedOn w:val="Normal"/>
    <w:next w:val="Normal"/>
    <w:link w:val="Heading4Char"/>
    <w:qFormat/>
    <w:rsid w:val="001C752F"/>
    <w:pPr>
      <w:keepNext/>
      <w:numPr>
        <w:ilvl w:val="3"/>
        <w:numId w:val="1"/>
      </w:numPr>
      <w:spacing w:before="240"/>
      <w:outlineLvl w:val="3"/>
    </w:pPr>
    <w:rPr>
      <w:rFonts w:ascii="Arial" w:hAnsi="Arial"/>
      <w:b/>
      <w:i/>
      <w:sz w:val="22"/>
    </w:rPr>
  </w:style>
  <w:style w:type="paragraph" w:styleId="Heading5">
    <w:name w:val="heading 5"/>
    <w:basedOn w:val="Normal"/>
    <w:next w:val="Normal"/>
    <w:link w:val="Heading5Char"/>
    <w:qFormat/>
    <w:rsid w:val="001C752F"/>
    <w:pPr>
      <w:keepNext/>
      <w:numPr>
        <w:ilvl w:val="4"/>
        <w:numId w:val="1"/>
      </w:numPr>
      <w:spacing w:before="240"/>
      <w:outlineLvl w:val="4"/>
    </w:pPr>
    <w:rPr>
      <w:rFonts w:ascii="Arial" w:hAnsi="Arial"/>
      <w:i/>
      <w:sz w:val="22"/>
    </w:rPr>
  </w:style>
  <w:style w:type="paragraph" w:styleId="Heading6">
    <w:name w:val="heading 6"/>
    <w:basedOn w:val="Normal"/>
    <w:next w:val="Normal"/>
    <w:link w:val="Heading6Char"/>
    <w:qFormat/>
    <w:rsid w:val="001C752F"/>
    <w:pPr>
      <w:numPr>
        <w:ilvl w:val="5"/>
        <w:numId w:val="1"/>
      </w:numPr>
      <w:spacing w:before="240" w:after="60"/>
      <w:outlineLvl w:val="5"/>
    </w:pPr>
    <w:rPr>
      <w:b/>
      <w:bCs/>
      <w:sz w:val="22"/>
    </w:rPr>
  </w:style>
  <w:style w:type="paragraph" w:styleId="Heading7">
    <w:name w:val="heading 7"/>
    <w:basedOn w:val="Normal"/>
    <w:next w:val="Normal"/>
    <w:link w:val="Heading7Char"/>
    <w:qFormat/>
    <w:rsid w:val="001C752F"/>
    <w:pPr>
      <w:numPr>
        <w:ilvl w:val="6"/>
        <w:numId w:val="1"/>
      </w:numPr>
      <w:spacing w:before="240" w:after="60"/>
      <w:outlineLvl w:val="6"/>
    </w:pPr>
    <w:rPr>
      <w:szCs w:val="24"/>
    </w:rPr>
  </w:style>
  <w:style w:type="paragraph" w:styleId="Heading8">
    <w:name w:val="heading 8"/>
    <w:basedOn w:val="Normal"/>
    <w:next w:val="Normal"/>
    <w:link w:val="Heading8Char"/>
    <w:qFormat/>
    <w:rsid w:val="001C752F"/>
    <w:pPr>
      <w:numPr>
        <w:ilvl w:val="7"/>
        <w:numId w:val="1"/>
      </w:numPr>
      <w:spacing w:before="240" w:after="60"/>
      <w:outlineLvl w:val="7"/>
    </w:pPr>
    <w:rPr>
      <w:i/>
      <w:iCs/>
      <w:szCs w:val="24"/>
    </w:rPr>
  </w:style>
  <w:style w:type="paragraph" w:styleId="Heading9">
    <w:name w:val="heading 9"/>
    <w:basedOn w:val="Normal"/>
    <w:next w:val="Normal"/>
    <w:link w:val="Heading9Char"/>
    <w:qFormat/>
    <w:rsid w:val="001C752F"/>
    <w:pPr>
      <w:numPr>
        <w:ilvl w:val="8"/>
        <w:numId w:val="1"/>
      </w:numPr>
      <w:spacing w:before="240" w:after="60"/>
      <w:outlineLvl w:val="8"/>
    </w:pPr>
    <w:rPr>
      <w:rFonts w:ascii="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752F"/>
    <w:rPr>
      <w:vertAlign w:val="superscript"/>
    </w:rPr>
  </w:style>
  <w:style w:type="paragraph" w:styleId="FootnoteText">
    <w:name w:val="footnote text"/>
    <w:basedOn w:val="Normal"/>
    <w:link w:val="FootnoteTextChar"/>
    <w:semiHidden/>
    <w:rsid w:val="001C752F"/>
    <w:rPr>
      <w:sz w:val="20"/>
    </w:rPr>
  </w:style>
  <w:style w:type="paragraph" w:styleId="Footer">
    <w:name w:val="footer"/>
    <w:basedOn w:val="Normal"/>
    <w:link w:val="FooterChar"/>
    <w:rsid w:val="001C752F"/>
    <w:pPr>
      <w:pBdr>
        <w:top w:val="single" w:sz="4" w:space="1" w:color="auto"/>
      </w:pBdr>
      <w:tabs>
        <w:tab w:val="center" w:pos="4680"/>
        <w:tab w:val="right" w:pos="9360"/>
      </w:tabs>
    </w:pPr>
    <w:rPr>
      <w:i/>
      <w:sz w:val="18"/>
    </w:rPr>
  </w:style>
  <w:style w:type="character" w:styleId="PageNumber">
    <w:name w:val="page number"/>
    <w:basedOn w:val="DefaultParagraphFont"/>
    <w:rsid w:val="001C752F"/>
    <w:rPr>
      <w:rFonts w:ascii="Times New Roman" w:hAnsi="Times New Roman"/>
      <w:sz w:val="24"/>
    </w:rPr>
  </w:style>
  <w:style w:type="character" w:styleId="CommentReference">
    <w:name w:val="annotation reference"/>
    <w:basedOn w:val="DefaultParagraphFont"/>
    <w:semiHidden/>
    <w:rsid w:val="001C752F"/>
    <w:rPr>
      <w:sz w:val="16"/>
      <w:szCs w:val="16"/>
    </w:rPr>
  </w:style>
  <w:style w:type="paragraph" w:styleId="CommentText">
    <w:name w:val="annotation text"/>
    <w:basedOn w:val="Normal"/>
    <w:link w:val="CommentTextChar"/>
    <w:semiHidden/>
    <w:rsid w:val="001C752F"/>
    <w:rPr>
      <w:sz w:val="20"/>
    </w:rPr>
  </w:style>
  <w:style w:type="paragraph" w:styleId="CommentSubject">
    <w:name w:val="annotation subject"/>
    <w:basedOn w:val="CommentText"/>
    <w:next w:val="CommentText"/>
    <w:link w:val="CommentSubjectChar"/>
    <w:semiHidden/>
    <w:rsid w:val="001C752F"/>
    <w:rPr>
      <w:b/>
    </w:rPr>
  </w:style>
  <w:style w:type="paragraph" w:styleId="BalloonText">
    <w:name w:val="Balloon Text"/>
    <w:basedOn w:val="Normal"/>
    <w:link w:val="BalloonTextChar"/>
    <w:semiHidden/>
    <w:rsid w:val="001C752F"/>
    <w:rPr>
      <w:rFonts w:ascii="Tahoma" w:hAnsi="Tahoma"/>
      <w:sz w:val="16"/>
    </w:rPr>
  </w:style>
  <w:style w:type="paragraph" w:styleId="TOC1">
    <w:name w:val="toc 1"/>
    <w:basedOn w:val="Normal"/>
    <w:next w:val="Normal"/>
    <w:autoRedefine/>
    <w:rsid w:val="001C752F"/>
    <w:pPr>
      <w:tabs>
        <w:tab w:val="right" w:leader="dot" w:pos="9346"/>
      </w:tabs>
    </w:pPr>
    <w:rPr>
      <w:b/>
    </w:rPr>
  </w:style>
  <w:style w:type="paragraph" w:styleId="TOC2">
    <w:name w:val="toc 2"/>
    <w:basedOn w:val="Normal"/>
    <w:next w:val="Normal"/>
    <w:autoRedefine/>
    <w:rsid w:val="001C752F"/>
    <w:pPr>
      <w:tabs>
        <w:tab w:val="right" w:leader="dot" w:pos="9350"/>
      </w:tabs>
      <w:ind w:left="240"/>
    </w:pPr>
    <w:rPr>
      <w:noProof/>
    </w:rPr>
  </w:style>
  <w:style w:type="paragraph" w:styleId="TOC3">
    <w:name w:val="toc 3"/>
    <w:basedOn w:val="Normal"/>
    <w:next w:val="Normal"/>
    <w:autoRedefine/>
    <w:rsid w:val="001C752F"/>
    <w:pPr>
      <w:ind w:left="480"/>
    </w:pPr>
  </w:style>
  <w:style w:type="paragraph" w:styleId="TOC4">
    <w:name w:val="toc 4"/>
    <w:basedOn w:val="Normal"/>
    <w:next w:val="Normal"/>
    <w:autoRedefine/>
    <w:semiHidden/>
    <w:rsid w:val="001C752F"/>
    <w:pPr>
      <w:tabs>
        <w:tab w:val="right" w:leader="dot" w:pos="9350"/>
      </w:tabs>
      <w:ind w:left="720"/>
    </w:pPr>
    <w:rPr>
      <w:noProof/>
    </w:rPr>
  </w:style>
  <w:style w:type="paragraph" w:styleId="TOC5">
    <w:name w:val="toc 5"/>
    <w:basedOn w:val="Normal"/>
    <w:next w:val="Normal"/>
    <w:autoRedefine/>
    <w:semiHidden/>
    <w:rsid w:val="001C752F"/>
    <w:pPr>
      <w:tabs>
        <w:tab w:val="right" w:leader="dot" w:pos="9346"/>
      </w:tabs>
      <w:ind w:left="960"/>
    </w:pPr>
  </w:style>
  <w:style w:type="paragraph" w:customStyle="1" w:styleId="TableTitle">
    <w:name w:val="Table Title"/>
    <w:basedOn w:val="Normal"/>
    <w:rsid w:val="001C752F"/>
    <w:pPr>
      <w:keepNext/>
      <w:suppressAutoHyphens/>
      <w:spacing w:before="360" w:after="80"/>
    </w:pPr>
    <w:rPr>
      <w:rFonts w:ascii="Arial" w:hAnsi="Arial"/>
      <w:b/>
      <w:sz w:val="20"/>
    </w:rPr>
  </w:style>
  <w:style w:type="paragraph" w:customStyle="1" w:styleId="TableHeadings">
    <w:name w:val="Table Headings"/>
    <w:basedOn w:val="Normal"/>
    <w:next w:val="TableBodyText"/>
    <w:rsid w:val="001C752F"/>
    <w:pPr>
      <w:spacing w:before="80" w:after="40"/>
      <w:jc w:val="center"/>
    </w:pPr>
    <w:rPr>
      <w:rFonts w:ascii="Arial" w:hAnsi="Arial"/>
      <w:b/>
      <w:sz w:val="20"/>
    </w:rPr>
  </w:style>
  <w:style w:type="paragraph" w:customStyle="1" w:styleId="TableBodyText">
    <w:name w:val="Table Body Text"/>
    <w:basedOn w:val="Normal"/>
    <w:rsid w:val="001C752F"/>
    <w:pPr>
      <w:spacing w:before="40" w:after="40"/>
    </w:pPr>
    <w:rPr>
      <w:rFonts w:ascii="Arial" w:hAnsi="Arial"/>
      <w:sz w:val="20"/>
    </w:rPr>
  </w:style>
  <w:style w:type="paragraph" w:customStyle="1" w:styleId="TableFootnote">
    <w:name w:val="Table Footnote"/>
    <w:basedOn w:val="Normal"/>
    <w:rsid w:val="001C752F"/>
    <w:pPr>
      <w:spacing w:before="20" w:after="20"/>
      <w:ind w:left="360" w:hanging="360"/>
    </w:pPr>
    <w:rPr>
      <w:rFonts w:ascii="Arial" w:eastAsia="Times" w:hAnsi="Arial"/>
      <w:sz w:val="16"/>
    </w:rPr>
  </w:style>
  <w:style w:type="paragraph" w:customStyle="1" w:styleId="FigureTitle">
    <w:name w:val="Figure Title"/>
    <w:basedOn w:val="Normal"/>
    <w:next w:val="BodyText"/>
    <w:rsid w:val="001C752F"/>
    <w:pPr>
      <w:suppressAutoHyphens/>
      <w:spacing w:before="80" w:after="360"/>
      <w:jc w:val="center"/>
    </w:pPr>
    <w:rPr>
      <w:rFonts w:ascii="Arial" w:hAnsi="Arial"/>
      <w:b/>
      <w:sz w:val="20"/>
    </w:rPr>
  </w:style>
  <w:style w:type="paragraph" w:styleId="BodyText">
    <w:name w:val="Body Text"/>
    <w:basedOn w:val="Normal"/>
    <w:link w:val="BodyTextChar"/>
    <w:rsid w:val="001C752F"/>
  </w:style>
  <w:style w:type="table" w:styleId="TableGrid">
    <w:name w:val="Table Grid"/>
    <w:basedOn w:val="TableNormal"/>
    <w:rsid w:val="001C752F"/>
    <w:pPr>
      <w:spacing w:after="120"/>
    </w:pPr>
    <w:tblPr>
      <w:tblBorders>
        <w:top w:val="single" w:sz="4" w:space="0" w:color="000000"/>
        <w:bottom w:val="single" w:sz="4" w:space="0" w:color="000000"/>
      </w:tblBorders>
    </w:tblPr>
    <w:tcPr>
      <w:shd w:val="clear" w:color="auto" w:fill="auto"/>
    </w:tcPr>
    <w:tblStylePr w:type="firstRow">
      <w:tblPr/>
      <w:tcPr>
        <w:tcBorders>
          <w:top w:val="single" w:sz="4" w:space="0" w:color="000000"/>
          <w:left w:val="nil"/>
          <w:bottom w:val="single" w:sz="4" w:space="0" w:color="000000"/>
          <w:right w:val="nil"/>
          <w:insideH w:val="nil"/>
          <w:insideV w:val="nil"/>
          <w:tl2br w:val="nil"/>
          <w:tr2bl w:val="nil"/>
        </w:tcBorders>
        <w:shd w:val="clear" w:color="auto" w:fill="auto"/>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1C752F"/>
    <w:pPr>
      <w:ind w:left="480" w:hanging="480"/>
    </w:pPr>
  </w:style>
  <w:style w:type="paragraph" w:styleId="TOC6">
    <w:name w:val="toc 6"/>
    <w:basedOn w:val="Normal"/>
    <w:next w:val="Normal"/>
    <w:autoRedefine/>
    <w:semiHidden/>
    <w:rsid w:val="001C752F"/>
    <w:pPr>
      <w:spacing w:after="0"/>
      <w:ind w:left="1200"/>
    </w:pPr>
    <w:rPr>
      <w:rFonts w:ascii="Times" w:eastAsia="Times" w:hAnsi="Times"/>
    </w:rPr>
  </w:style>
  <w:style w:type="paragraph" w:styleId="Caption">
    <w:name w:val="caption"/>
    <w:basedOn w:val="Normal"/>
    <w:next w:val="Normal"/>
    <w:qFormat/>
    <w:rsid w:val="001C752F"/>
    <w:pPr>
      <w:spacing w:before="240" w:after="80"/>
    </w:pPr>
    <w:rPr>
      <w:rFonts w:ascii="Arial" w:hAnsi="Arial"/>
      <w:b/>
      <w:sz w:val="20"/>
    </w:rPr>
  </w:style>
  <w:style w:type="paragraph" w:styleId="TOC7">
    <w:name w:val="toc 7"/>
    <w:basedOn w:val="Normal"/>
    <w:next w:val="Normal"/>
    <w:autoRedefine/>
    <w:semiHidden/>
    <w:rsid w:val="001C752F"/>
    <w:pPr>
      <w:spacing w:after="0"/>
      <w:ind w:left="1440"/>
    </w:pPr>
    <w:rPr>
      <w:rFonts w:ascii="Times" w:eastAsia="Times" w:hAnsi="Times"/>
    </w:rPr>
  </w:style>
  <w:style w:type="paragraph" w:styleId="TOC8">
    <w:name w:val="toc 8"/>
    <w:basedOn w:val="Normal"/>
    <w:next w:val="Normal"/>
    <w:autoRedefine/>
    <w:semiHidden/>
    <w:rsid w:val="001C752F"/>
    <w:pPr>
      <w:spacing w:after="0"/>
      <w:ind w:left="1680"/>
    </w:pPr>
    <w:rPr>
      <w:rFonts w:ascii="Times" w:eastAsia="Times" w:hAnsi="Times"/>
    </w:rPr>
  </w:style>
  <w:style w:type="paragraph" w:styleId="TOC9">
    <w:name w:val="toc 9"/>
    <w:basedOn w:val="Normal"/>
    <w:next w:val="Normal"/>
    <w:autoRedefine/>
    <w:semiHidden/>
    <w:rsid w:val="001C752F"/>
    <w:pPr>
      <w:spacing w:after="0"/>
      <w:ind w:left="1920"/>
    </w:pPr>
    <w:rPr>
      <w:rFonts w:ascii="Times" w:eastAsia="Times" w:hAnsi="Times"/>
    </w:rPr>
  </w:style>
  <w:style w:type="paragraph" w:customStyle="1" w:styleId="Hidden">
    <w:name w:val="Hidden"/>
    <w:rsid w:val="001C752F"/>
    <w:rPr>
      <w:rFonts w:ascii="Bodoni Bk BT" w:hAnsi="Bodoni Bk BT"/>
      <w:noProof/>
      <w:vanish/>
      <w:sz w:val="2"/>
    </w:rPr>
  </w:style>
  <w:style w:type="paragraph" w:customStyle="1" w:styleId="MemoTitle">
    <w:name w:val="Memo Title"/>
    <w:basedOn w:val="Heading1"/>
    <w:rsid w:val="001C752F"/>
    <w:pPr>
      <w:pBdr>
        <w:bottom w:val="none" w:sz="0" w:space="0" w:color="auto"/>
      </w:pBdr>
      <w:spacing w:after="0"/>
      <w:jc w:val="both"/>
    </w:pPr>
    <w:rPr>
      <w:spacing w:val="20"/>
      <w:sz w:val="72"/>
    </w:rPr>
  </w:style>
  <w:style w:type="paragraph" w:styleId="BodyTextIndent">
    <w:name w:val="Body Text Indent"/>
    <w:basedOn w:val="Normal"/>
    <w:link w:val="BodyTextIndentChar"/>
    <w:rsid w:val="001C752F"/>
    <w:pPr>
      <w:ind w:left="1800" w:hanging="1800"/>
    </w:pPr>
  </w:style>
  <w:style w:type="paragraph" w:customStyle="1" w:styleId="TableBodyText-FirstLine">
    <w:name w:val="Table Body Text - First Line"/>
    <w:basedOn w:val="Normal"/>
    <w:next w:val="TableBodyText"/>
    <w:qFormat/>
    <w:rsid w:val="001C752F"/>
    <w:pPr>
      <w:spacing w:before="80" w:after="40"/>
    </w:pPr>
    <w:rPr>
      <w:rFonts w:ascii="Arial" w:hAnsi="Arial"/>
      <w:sz w:val="20"/>
    </w:rPr>
  </w:style>
  <w:style w:type="paragraph" w:styleId="TOCHeading">
    <w:name w:val="TOC Heading"/>
    <w:basedOn w:val="Normal"/>
    <w:next w:val="TOC1"/>
    <w:rsid w:val="001C752F"/>
    <w:pPr>
      <w:pBdr>
        <w:bottom w:val="single" w:sz="8" w:space="1" w:color="auto"/>
      </w:pBdr>
    </w:pPr>
    <w:rPr>
      <w:rFonts w:ascii="Arial Black" w:hAnsi="Arial Black"/>
      <w:sz w:val="32"/>
      <w:szCs w:val="32"/>
    </w:rPr>
  </w:style>
  <w:style w:type="character" w:styleId="Hyperlink">
    <w:name w:val="Hyperlink"/>
    <w:basedOn w:val="DefaultParagraphFont"/>
    <w:rsid w:val="001C752F"/>
    <w:rPr>
      <w:color w:val="0000FF"/>
      <w:u w:val="single"/>
    </w:rPr>
  </w:style>
  <w:style w:type="character" w:customStyle="1" w:styleId="Heading1Char">
    <w:name w:val="Heading 1 Char"/>
    <w:basedOn w:val="DefaultParagraphFont"/>
    <w:link w:val="Heading1"/>
    <w:rsid w:val="00D85251"/>
    <w:rPr>
      <w:rFonts w:ascii="Arial Black" w:eastAsiaTheme="minorHAnsi" w:hAnsi="Arial Black" w:cstheme="minorBidi"/>
      <w:sz w:val="32"/>
      <w:szCs w:val="22"/>
    </w:rPr>
  </w:style>
  <w:style w:type="character" w:customStyle="1" w:styleId="Heading2Char">
    <w:name w:val="Heading 2 Char"/>
    <w:basedOn w:val="DefaultParagraphFont"/>
    <w:link w:val="Heading2"/>
    <w:rsid w:val="00D85251"/>
    <w:rPr>
      <w:rFonts w:ascii="Arial" w:eastAsiaTheme="minorHAnsi" w:hAnsi="Arial" w:cstheme="minorBidi"/>
      <w:b/>
      <w:caps/>
      <w:sz w:val="24"/>
      <w:szCs w:val="22"/>
    </w:rPr>
  </w:style>
  <w:style w:type="character" w:customStyle="1" w:styleId="Heading3Char">
    <w:name w:val="Heading 3 Char"/>
    <w:basedOn w:val="DefaultParagraphFont"/>
    <w:link w:val="Heading3"/>
    <w:rsid w:val="00D85251"/>
    <w:rPr>
      <w:rFonts w:ascii="Arial" w:eastAsiaTheme="minorHAnsi" w:hAnsi="Arial" w:cstheme="minorBidi"/>
      <w:b/>
      <w:sz w:val="24"/>
      <w:szCs w:val="22"/>
    </w:rPr>
  </w:style>
  <w:style w:type="character" w:customStyle="1" w:styleId="Heading4Char">
    <w:name w:val="Heading 4 Char"/>
    <w:basedOn w:val="DefaultParagraphFont"/>
    <w:link w:val="Heading4"/>
    <w:rsid w:val="00D85251"/>
    <w:rPr>
      <w:rFonts w:ascii="Arial" w:eastAsiaTheme="minorHAnsi" w:hAnsi="Arial" w:cstheme="minorBidi"/>
      <w:b/>
      <w:i/>
      <w:sz w:val="22"/>
      <w:szCs w:val="22"/>
    </w:rPr>
  </w:style>
  <w:style w:type="character" w:customStyle="1" w:styleId="Heading5Char">
    <w:name w:val="Heading 5 Char"/>
    <w:basedOn w:val="DefaultParagraphFont"/>
    <w:link w:val="Heading5"/>
    <w:rsid w:val="00D85251"/>
    <w:rPr>
      <w:rFonts w:ascii="Arial" w:eastAsiaTheme="minorHAnsi" w:hAnsi="Arial" w:cstheme="minorBidi"/>
      <w:i/>
      <w:sz w:val="22"/>
      <w:szCs w:val="22"/>
    </w:rPr>
  </w:style>
  <w:style w:type="character" w:customStyle="1" w:styleId="Heading6Char">
    <w:name w:val="Heading 6 Char"/>
    <w:basedOn w:val="DefaultParagraphFont"/>
    <w:link w:val="Heading6"/>
    <w:rsid w:val="00D85251"/>
    <w:rPr>
      <w:rFonts w:eastAsiaTheme="minorHAnsi" w:cstheme="minorBidi"/>
      <w:b/>
      <w:bCs/>
      <w:sz w:val="22"/>
      <w:szCs w:val="22"/>
    </w:rPr>
  </w:style>
  <w:style w:type="character" w:customStyle="1" w:styleId="Heading7Char">
    <w:name w:val="Heading 7 Char"/>
    <w:basedOn w:val="DefaultParagraphFont"/>
    <w:link w:val="Heading7"/>
    <w:rsid w:val="00D85251"/>
    <w:rPr>
      <w:rFonts w:eastAsiaTheme="minorHAnsi" w:cstheme="minorBidi"/>
      <w:sz w:val="24"/>
      <w:szCs w:val="24"/>
    </w:rPr>
  </w:style>
  <w:style w:type="character" w:customStyle="1" w:styleId="Heading8Char">
    <w:name w:val="Heading 8 Char"/>
    <w:basedOn w:val="DefaultParagraphFont"/>
    <w:link w:val="Heading8"/>
    <w:rsid w:val="00D85251"/>
    <w:rPr>
      <w:rFonts w:eastAsiaTheme="minorHAnsi" w:cstheme="minorBidi"/>
      <w:i/>
      <w:iCs/>
      <w:sz w:val="24"/>
      <w:szCs w:val="24"/>
    </w:rPr>
  </w:style>
  <w:style w:type="character" w:customStyle="1" w:styleId="Heading9Char">
    <w:name w:val="Heading 9 Char"/>
    <w:basedOn w:val="DefaultParagraphFont"/>
    <w:link w:val="Heading9"/>
    <w:rsid w:val="00D85251"/>
    <w:rPr>
      <w:rFonts w:ascii="Arial" w:eastAsiaTheme="minorHAnsi" w:hAnsi="Arial" w:cs="Arial"/>
      <w:sz w:val="22"/>
      <w:szCs w:val="22"/>
    </w:rPr>
  </w:style>
  <w:style w:type="paragraph" w:styleId="ListParagraph">
    <w:name w:val="List Paragraph"/>
    <w:basedOn w:val="Normal"/>
    <w:uiPriority w:val="34"/>
    <w:qFormat/>
    <w:rsid w:val="00D85251"/>
    <w:pPr>
      <w:ind w:left="720"/>
      <w:contextualSpacing/>
    </w:pPr>
  </w:style>
  <w:style w:type="paragraph" w:customStyle="1" w:styleId="Default">
    <w:name w:val="Default"/>
    <w:rsid w:val="00D85251"/>
    <w:pPr>
      <w:autoSpaceDE w:val="0"/>
      <w:autoSpaceDN w:val="0"/>
      <w:adjustRightInd w:val="0"/>
    </w:pPr>
    <w:rPr>
      <w:rFonts w:ascii="Garamond" w:eastAsiaTheme="minorHAnsi" w:hAnsi="Garamond" w:cs="Garamond"/>
      <w:color w:val="000000"/>
      <w:sz w:val="24"/>
      <w:szCs w:val="24"/>
    </w:rPr>
  </w:style>
  <w:style w:type="character" w:customStyle="1" w:styleId="FootnoteTextChar">
    <w:name w:val="Footnote Text Char"/>
    <w:basedOn w:val="DefaultParagraphFont"/>
    <w:link w:val="FootnoteText"/>
    <w:semiHidden/>
    <w:rsid w:val="00D85251"/>
    <w:rPr>
      <w:rFonts w:eastAsiaTheme="minorHAnsi" w:cstheme="minorBidi"/>
      <w:szCs w:val="22"/>
    </w:rPr>
  </w:style>
  <w:style w:type="character" w:customStyle="1" w:styleId="FooterChar">
    <w:name w:val="Footer Char"/>
    <w:basedOn w:val="DefaultParagraphFont"/>
    <w:link w:val="Footer"/>
    <w:rsid w:val="00D85251"/>
    <w:rPr>
      <w:rFonts w:eastAsiaTheme="minorHAnsi" w:cstheme="minorBidi"/>
      <w:i/>
      <w:sz w:val="18"/>
      <w:szCs w:val="22"/>
    </w:rPr>
  </w:style>
  <w:style w:type="character" w:customStyle="1" w:styleId="CommentTextChar">
    <w:name w:val="Comment Text Char"/>
    <w:basedOn w:val="DefaultParagraphFont"/>
    <w:link w:val="CommentText"/>
    <w:semiHidden/>
    <w:rsid w:val="00D85251"/>
    <w:rPr>
      <w:rFonts w:eastAsiaTheme="minorHAnsi" w:cstheme="minorBidi"/>
      <w:szCs w:val="22"/>
    </w:rPr>
  </w:style>
  <w:style w:type="character" w:customStyle="1" w:styleId="CommentSubjectChar">
    <w:name w:val="Comment Subject Char"/>
    <w:basedOn w:val="CommentTextChar"/>
    <w:link w:val="CommentSubject"/>
    <w:semiHidden/>
    <w:rsid w:val="00D85251"/>
    <w:rPr>
      <w:rFonts w:eastAsiaTheme="minorHAnsi" w:cstheme="minorBidi"/>
      <w:b/>
      <w:szCs w:val="22"/>
    </w:rPr>
  </w:style>
  <w:style w:type="character" w:customStyle="1" w:styleId="BalloonTextChar">
    <w:name w:val="Balloon Text Char"/>
    <w:basedOn w:val="DefaultParagraphFont"/>
    <w:link w:val="BalloonText"/>
    <w:semiHidden/>
    <w:rsid w:val="00D85251"/>
    <w:rPr>
      <w:rFonts w:ascii="Tahoma" w:eastAsiaTheme="minorHAnsi" w:hAnsi="Tahoma" w:cstheme="minorBidi"/>
      <w:sz w:val="16"/>
      <w:szCs w:val="22"/>
    </w:rPr>
  </w:style>
  <w:style w:type="character" w:customStyle="1" w:styleId="BodyTextChar">
    <w:name w:val="Body Text Char"/>
    <w:basedOn w:val="DefaultParagraphFont"/>
    <w:link w:val="BodyText"/>
    <w:rsid w:val="00D85251"/>
    <w:rPr>
      <w:rFonts w:eastAsiaTheme="minorHAnsi" w:cstheme="minorBidi"/>
      <w:sz w:val="24"/>
      <w:szCs w:val="22"/>
    </w:rPr>
  </w:style>
  <w:style w:type="character" w:customStyle="1" w:styleId="BodyTextIndentChar">
    <w:name w:val="Body Text Indent Char"/>
    <w:basedOn w:val="DefaultParagraphFont"/>
    <w:link w:val="BodyTextIndent"/>
    <w:rsid w:val="00D85251"/>
    <w:rPr>
      <w:rFonts w:eastAsiaTheme="minorHAnsi" w:cstheme="minorBidi"/>
      <w:sz w:val="24"/>
      <w:szCs w:val="22"/>
    </w:rPr>
  </w:style>
  <w:style w:type="paragraph" w:styleId="Header">
    <w:name w:val="header"/>
    <w:basedOn w:val="Normal"/>
    <w:link w:val="HeaderChar"/>
    <w:rsid w:val="00D85251"/>
    <w:pPr>
      <w:tabs>
        <w:tab w:val="center" w:pos="4320"/>
        <w:tab w:val="right" w:pos="8640"/>
      </w:tabs>
      <w:spacing w:after="0"/>
    </w:pPr>
    <w:rPr>
      <w:rFonts w:ascii="Bodoni Bk BT" w:eastAsia="Times New Roman" w:hAnsi="Bodoni Bk BT" w:cs="Times New Roman"/>
      <w:szCs w:val="20"/>
    </w:rPr>
  </w:style>
  <w:style w:type="character" w:customStyle="1" w:styleId="HeaderChar">
    <w:name w:val="Header Char"/>
    <w:basedOn w:val="DefaultParagraphFont"/>
    <w:link w:val="Header"/>
    <w:rsid w:val="00D85251"/>
    <w:rPr>
      <w:rFonts w:ascii="Bodoni Bk BT" w:hAnsi="Bodoni Bk BT"/>
      <w:sz w:val="24"/>
    </w:rPr>
  </w:style>
  <w:style w:type="paragraph" w:customStyle="1" w:styleId="BusinessLine">
    <w:name w:val="Business Line"/>
    <w:autoRedefine/>
    <w:rsid w:val="00D85251"/>
    <w:pPr>
      <w:spacing w:before="480" w:after="60"/>
    </w:pPr>
    <w:rPr>
      <w:rFonts w:ascii="Arial" w:hAnsi="Arial"/>
      <w:b/>
      <w:spacing w:val="20"/>
      <w:sz w:val="22"/>
      <w:szCs w:val="22"/>
    </w:rPr>
  </w:style>
  <w:style w:type="paragraph" w:customStyle="1" w:styleId="Customname">
    <w:name w:val="Custom name"/>
    <w:rsid w:val="00D85251"/>
    <w:pPr>
      <w:spacing w:before="80" w:after="60"/>
    </w:pPr>
    <w:rPr>
      <w:rFonts w:ascii="Futura Md BT" w:hAnsi="Futura Md BT"/>
      <w:noProof/>
      <w:spacing w:val="14"/>
      <w:sz w:val="14"/>
    </w:rPr>
  </w:style>
  <w:style w:type="paragraph" w:customStyle="1" w:styleId="FuturaIdentifier">
    <w:name w:val="Futura Identifier"/>
    <w:rsid w:val="00D85251"/>
    <w:pPr>
      <w:spacing w:before="80"/>
      <w:ind w:left="-14"/>
    </w:pPr>
    <w:rPr>
      <w:rFonts w:ascii="Futura Md BT" w:hAnsi="Futura Md BT"/>
      <w:noProof/>
      <w:spacing w:val="20"/>
      <w:sz w:val="15"/>
    </w:rPr>
  </w:style>
  <w:style w:type="paragraph" w:customStyle="1" w:styleId="FaxMemo">
    <w:name w:val="Fax Memo"/>
    <w:rsid w:val="00D85251"/>
    <w:pPr>
      <w:spacing w:before="40" w:after="60"/>
    </w:pPr>
    <w:rPr>
      <w:rFonts w:ascii="Futura Bk BT" w:hAnsi="Futura Bk BT"/>
      <w:noProof/>
      <w:spacing w:val="180"/>
      <w:sz w:val="22"/>
    </w:rPr>
  </w:style>
  <w:style w:type="paragraph" w:customStyle="1" w:styleId="Customaddress">
    <w:name w:val="Custom address"/>
    <w:rsid w:val="00D85251"/>
    <w:pPr>
      <w:spacing w:before="20" w:after="60"/>
    </w:pPr>
    <w:rPr>
      <w:rFonts w:ascii="Futura Bk BT" w:hAnsi="Futura Bk BT"/>
      <w:noProof/>
      <w:spacing w:val="14"/>
      <w:sz w:val="14"/>
    </w:rPr>
  </w:style>
  <w:style w:type="paragraph" w:customStyle="1" w:styleId="Bodonifax">
    <w:name w:val="Bodoni fax"/>
    <w:rsid w:val="00D85251"/>
    <w:pPr>
      <w:spacing w:before="60" w:after="60" w:line="300" w:lineRule="exact"/>
    </w:pPr>
    <w:rPr>
      <w:rFonts w:ascii="Bodoni Bk BT" w:hAnsi="Bodoni Bk BT"/>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effectsizefaq.com/category/type-ii-error/" TargetMode="External"/><Relationship Id="rId1" Type="http://schemas.openxmlformats.org/officeDocument/2006/relationships/hyperlink" Target="http://www.utstat.toronto.edu/~brunner/oldclass/378f16/readings/CohenPow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ryk\Documents\Custom%20Office%20Templates\LWA%20Report%20v.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EC961-D237-4F32-BA88-10271FD1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LWA Report v.2.2</Template>
  <TotalTime>22</TotalTime>
  <Pages>1</Pages>
  <Words>8876</Words>
  <Characters>50595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LWA</Company>
  <LinksUpToDate>false</LinksUpToDate>
  <CharactersWithSpaces>59353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Airy Krich-Brinton</dc:creator>
  <cp:keywords/>
  <cp:lastModifiedBy>Tom Grovhoug</cp:lastModifiedBy>
  <cp:revision>6</cp:revision>
  <cp:lastPrinted>2009-04-22T19:24:00Z</cp:lastPrinted>
  <dcterms:created xsi:type="dcterms:W3CDTF">2018-12-10T18:17:00Z</dcterms:created>
  <dcterms:modified xsi:type="dcterms:W3CDTF">2018-12-10T18:38:00Z</dcterms:modified>
</cp:coreProperties>
</file>